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750A8" w14:textId="77777777" w:rsidR="00134959" w:rsidRPr="000A5C70" w:rsidRDefault="00134959" w:rsidP="00134959">
      <w:pPr>
        <w:pStyle w:val="naisnod"/>
        <w:spacing w:before="0" w:after="0"/>
        <w:ind w:firstLine="720"/>
        <w:rPr>
          <w:sz w:val="22"/>
          <w:szCs w:val="22"/>
        </w:rPr>
      </w:pPr>
      <w:bookmarkStart w:id="0" w:name="OLE_LINK1"/>
      <w:bookmarkStart w:id="1" w:name="OLE_LINK2"/>
      <w:bookmarkStart w:id="2" w:name="OLE_LINK7"/>
      <w:bookmarkStart w:id="3" w:name="OLE_LINK8"/>
      <w:bookmarkStart w:id="4" w:name="OLE_LINK3"/>
      <w:bookmarkStart w:id="5" w:name="OLE_LINK4"/>
      <w:r w:rsidRPr="000A5C70">
        <w:rPr>
          <w:sz w:val="22"/>
          <w:szCs w:val="22"/>
        </w:rPr>
        <w:t>Izziņa par atzinumos sniegtajiem iebildumiem</w:t>
      </w:r>
      <w:bookmarkEnd w:id="0"/>
      <w:bookmarkEnd w:id="1"/>
    </w:p>
    <w:tbl>
      <w:tblPr>
        <w:tblW w:w="0" w:type="auto"/>
        <w:jc w:val="center"/>
        <w:tblLook w:val="00A0" w:firstRow="1" w:lastRow="0" w:firstColumn="1" w:lastColumn="0" w:noHBand="0" w:noVBand="0"/>
      </w:tblPr>
      <w:tblGrid>
        <w:gridCol w:w="13721"/>
      </w:tblGrid>
      <w:tr w:rsidR="00134959" w:rsidRPr="000A5C70" w14:paraId="5FBEB0BD" w14:textId="77777777" w:rsidTr="00D0778C">
        <w:trPr>
          <w:jc w:val="center"/>
        </w:trPr>
        <w:tc>
          <w:tcPr>
            <w:tcW w:w="13721" w:type="dxa"/>
            <w:tcBorders>
              <w:bottom w:val="single" w:sz="6" w:space="0" w:color="000000"/>
            </w:tcBorders>
          </w:tcPr>
          <w:bookmarkEnd w:id="2"/>
          <w:bookmarkEnd w:id="3"/>
          <w:p w14:paraId="526DF78D" w14:textId="77777777" w:rsidR="00134959" w:rsidRPr="000A5C70" w:rsidRDefault="00134959" w:rsidP="00D0778C">
            <w:pPr>
              <w:jc w:val="both"/>
              <w:rPr>
                <w:b/>
              </w:rPr>
            </w:pPr>
            <w:r w:rsidRPr="000A5C70">
              <w:rPr>
                <w:b/>
                <w:sz w:val="22"/>
                <w:szCs w:val="22"/>
              </w:rPr>
              <w:t>Ministru kabineta noteikumu projekts "</w:t>
            </w:r>
            <w:r w:rsidR="002D41E2" w:rsidRPr="000A5C70">
              <w:rPr>
                <w:b/>
                <w:sz w:val="22"/>
                <w:szCs w:val="22"/>
              </w:rPr>
              <w:t>Grozījumi Ministru kabineta 2016.gada 8.marta noteikumos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w:t>
            </w:r>
            <w:r w:rsidRPr="000A5C70">
              <w:rPr>
                <w:b/>
                <w:sz w:val="22"/>
                <w:szCs w:val="22"/>
              </w:rPr>
              <w:t>"</w:t>
            </w:r>
          </w:p>
        </w:tc>
      </w:tr>
    </w:tbl>
    <w:bookmarkEnd w:id="4"/>
    <w:bookmarkEnd w:id="5"/>
    <w:p w14:paraId="318F3EAB" w14:textId="77777777" w:rsidR="00134959" w:rsidRPr="000A5C70" w:rsidRDefault="00134959" w:rsidP="00134959">
      <w:pPr>
        <w:pStyle w:val="naisc"/>
        <w:spacing w:before="0" w:after="0"/>
        <w:ind w:firstLine="1080"/>
        <w:rPr>
          <w:sz w:val="22"/>
          <w:szCs w:val="22"/>
        </w:rPr>
      </w:pPr>
      <w:r w:rsidRPr="000A5C70">
        <w:rPr>
          <w:sz w:val="22"/>
          <w:szCs w:val="22"/>
        </w:rPr>
        <w:t>(dokumenta veids un nosaukums)</w:t>
      </w:r>
    </w:p>
    <w:p w14:paraId="5F63F133" w14:textId="77777777" w:rsidR="00134959" w:rsidRPr="000A5C70" w:rsidRDefault="00134959" w:rsidP="00134959">
      <w:pPr>
        <w:pStyle w:val="naisc"/>
        <w:spacing w:before="0" w:after="0"/>
        <w:ind w:firstLine="1080"/>
        <w:rPr>
          <w:sz w:val="22"/>
          <w:szCs w:val="22"/>
        </w:rPr>
      </w:pPr>
    </w:p>
    <w:p w14:paraId="18290B85" w14:textId="77777777" w:rsidR="00134959" w:rsidRPr="000A5C70" w:rsidRDefault="00134959" w:rsidP="00134959">
      <w:pPr>
        <w:pStyle w:val="naisc"/>
        <w:spacing w:before="0" w:after="0"/>
        <w:ind w:firstLine="1080"/>
        <w:rPr>
          <w:sz w:val="22"/>
          <w:szCs w:val="22"/>
        </w:rPr>
      </w:pPr>
    </w:p>
    <w:p w14:paraId="79ABA68F" w14:textId="77777777" w:rsidR="00134959" w:rsidRPr="000A5C70" w:rsidRDefault="00134959" w:rsidP="00134959">
      <w:pPr>
        <w:pStyle w:val="naisf"/>
        <w:numPr>
          <w:ilvl w:val="0"/>
          <w:numId w:val="1"/>
        </w:numPr>
        <w:spacing w:before="0" w:after="0"/>
        <w:jc w:val="center"/>
        <w:rPr>
          <w:b/>
          <w:sz w:val="22"/>
          <w:szCs w:val="22"/>
        </w:rPr>
      </w:pPr>
      <w:r w:rsidRPr="000A5C70">
        <w:rPr>
          <w:b/>
          <w:sz w:val="22"/>
          <w:szCs w:val="22"/>
        </w:rPr>
        <w:t>Jautājumi, par kuriem saskaņošanā vienošanās nav panākta</w:t>
      </w: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242"/>
        <w:gridCol w:w="3711"/>
        <w:gridCol w:w="3519"/>
        <w:gridCol w:w="1701"/>
        <w:gridCol w:w="2551"/>
      </w:tblGrid>
      <w:tr w:rsidR="00134959" w:rsidRPr="000A5C70" w14:paraId="1040490C" w14:textId="77777777" w:rsidTr="00D0778C">
        <w:tc>
          <w:tcPr>
            <w:tcW w:w="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21B376" w14:textId="77777777" w:rsidR="00134959" w:rsidRPr="000A5C70" w:rsidRDefault="00134959" w:rsidP="00D0778C">
            <w:pPr>
              <w:pStyle w:val="naisc"/>
              <w:spacing w:before="0" w:after="0"/>
              <w:rPr>
                <w:sz w:val="22"/>
                <w:szCs w:val="22"/>
              </w:rPr>
            </w:pPr>
            <w:r w:rsidRPr="000A5C70">
              <w:rPr>
                <w:sz w:val="22"/>
                <w:szCs w:val="22"/>
              </w:rPr>
              <w:t>Nr. p.k.</w:t>
            </w:r>
          </w:p>
        </w:tc>
        <w:tc>
          <w:tcPr>
            <w:tcW w:w="2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EE84EB" w14:textId="77777777" w:rsidR="00134959" w:rsidRPr="000A5C70" w:rsidRDefault="00134959" w:rsidP="00D0778C">
            <w:pPr>
              <w:pStyle w:val="naisc"/>
              <w:spacing w:before="0" w:after="0"/>
              <w:ind w:firstLine="12"/>
              <w:rPr>
                <w:sz w:val="22"/>
                <w:szCs w:val="22"/>
              </w:rPr>
            </w:pPr>
            <w:r w:rsidRPr="000A5C70">
              <w:rPr>
                <w:sz w:val="22"/>
                <w:szCs w:val="22"/>
              </w:rPr>
              <w:t>Saskaņošanai nosūtītā projekta redakcija (konkrēta punkta (panta) redakcija)</w:t>
            </w:r>
          </w:p>
        </w:tc>
        <w:tc>
          <w:tcPr>
            <w:tcW w:w="37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DF70C" w14:textId="77777777" w:rsidR="00134959" w:rsidRPr="000A5C70" w:rsidRDefault="00134959" w:rsidP="00D0778C">
            <w:pPr>
              <w:pStyle w:val="naisc"/>
              <w:spacing w:before="0" w:after="0"/>
              <w:ind w:right="3"/>
              <w:rPr>
                <w:sz w:val="22"/>
                <w:szCs w:val="22"/>
              </w:rPr>
            </w:pPr>
            <w:r w:rsidRPr="000A5C70">
              <w:rPr>
                <w:sz w:val="22"/>
                <w:szCs w:val="22"/>
              </w:rPr>
              <w:t>Atzinumā norādītais ministrijas (citas institūcijas) iebildums, kā arī saskaņošanā papildus izteiktais iebildums par projekta konkrēto punktu (pantu)</w:t>
            </w:r>
          </w:p>
        </w:tc>
        <w:tc>
          <w:tcPr>
            <w:tcW w:w="35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B72BB" w14:textId="77777777" w:rsidR="00134959" w:rsidRPr="000A5C70" w:rsidRDefault="00134959" w:rsidP="00D0778C">
            <w:pPr>
              <w:pStyle w:val="naisc"/>
              <w:spacing w:before="0" w:after="0"/>
              <w:ind w:firstLine="21"/>
              <w:rPr>
                <w:sz w:val="22"/>
                <w:szCs w:val="22"/>
              </w:rPr>
            </w:pPr>
            <w:r w:rsidRPr="000A5C70">
              <w:rPr>
                <w:sz w:val="22"/>
                <w:szCs w:val="22"/>
              </w:rPr>
              <w:t>Atbildīgās ministrijas pamatojums iebilduma noraidījumam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5D54F0" w14:textId="77777777" w:rsidR="00134959" w:rsidRPr="000A5C70" w:rsidRDefault="00134959" w:rsidP="00D0778C">
            <w:pPr>
              <w:jc w:val="center"/>
              <w:rPr>
                <w:sz w:val="22"/>
                <w:szCs w:val="22"/>
              </w:rPr>
            </w:pPr>
            <w:r w:rsidRPr="000A5C70">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shd w:val="clear" w:color="auto" w:fill="auto"/>
          </w:tcPr>
          <w:p w14:paraId="59904F55" w14:textId="77777777" w:rsidR="00134959" w:rsidRPr="000A5C70" w:rsidRDefault="00134959" w:rsidP="00D0778C">
            <w:pPr>
              <w:jc w:val="center"/>
              <w:rPr>
                <w:sz w:val="22"/>
                <w:szCs w:val="22"/>
              </w:rPr>
            </w:pPr>
            <w:r w:rsidRPr="000A5C70">
              <w:rPr>
                <w:sz w:val="22"/>
                <w:szCs w:val="22"/>
              </w:rPr>
              <w:t>Projekta attiecīgā punkta (panta) galīgā redakcija</w:t>
            </w:r>
          </w:p>
        </w:tc>
      </w:tr>
      <w:tr w:rsidR="00134959" w:rsidRPr="000A5C70" w14:paraId="3668ED31" w14:textId="77777777" w:rsidTr="00D0778C">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D3F0AAF" w14:textId="77777777" w:rsidR="00134959" w:rsidRPr="000A5C70" w:rsidRDefault="00134959" w:rsidP="00D0778C">
            <w:pPr>
              <w:pStyle w:val="naisc"/>
              <w:spacing w:before="0" w:after="0"/>
              <w:rPr>
                <w:sz w:val="22"/>
                <w:szCs w:val="22"/>
              </w:rPr>
            </w:pPr>
            <w:r w:rsidRPr="000A5C70">
              <w:rPr>
                <w:sz w:val="22"/>
                <w:szCs w:val="22"/>
              </w:rPr>
              <w:t>1</w:t>
            </w:r>
          </w:p>
        </w:tc>
        <w:tc>
          <w:tcPr>
            <w:tcW w:w="2242" w:type="dxa"/>
            <w:tcBorders>
              <w:top w:val="single" w:sz="6" w:space="0" w:color="000000"/>
              <w:left w:val="single" w:sz="6" w:space="0" w:color="000000"/>
              <w:bottom w:val="single" w:sz="6" w:space="0" w:color="000000"/>
              <w:right w:val="single" w:sz="6" w:space="0" w:color="000000"/>
            </w:tcBorders>
            <w:shd w:val="clear" w:color="auto" w:fill="auto"/>
          </w:tcPr>
          <w:p w14:paraId="46898D54" w14:textId="77777777" w:rsidR="00134959" w:rsidRPr="000A5C70" w:rsidRDefault="00134959" w:rsidP="00D0778C">
            <w:pPr>
              <w:pStyle w:val="naisc"/>
              <w:spacing w:before="0" w:after="0"/>
              <w:ind w:firstLine="720"/>
              <w:rPr>
                <w:sz w:val="22"/>
                <w:szCs w:val="22"/>
              </w:rPr>
            </w:pPr>
            <w:r w:rsidRPr="000A5C70">
              <w:rPr>
                <w:sz w:val="22"/>
                <w:szCs w:val="22"/>
              </w:rPr>
              <w:t>2</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25FF9A5F" w14:textId="77777777" w:rsidR="00134959" w:rsidRPr="000A5C70" w:rsidRDefault="00134959" w:rsidP="00D0778C">
            <w:pPr>
              <w:pStyle w:val="naisc"/>
              <w:spacing w:before="0" w:after="0"/>
              <w:ind w:firstLine="720"/>
              <w:rPr>
                <w:sz w:val="22"/>
                <w:szCs w:val="22"/>
              </w:rPr>
            </w:pPr>
            <w:r w:rsidRPr="000A5C70">
              <w:rPr>
                <w:sz w:val="22"/>
                <w:szCs w:val="22"/>
              </w:rPr>
              <w:t>3</w:t>
            </w:r>
          </w:p>
        </w:tc>
        <w:tc>
          <w:tcPr>
            <w:tcW w:w="3519" w:type="dxa"/>
            <w:tcBorders>
              <w:top w:val="single" w:sz="6" w:space="0" w:color="000000"/>
              <w:left w:val="single" w:sz="6" w:space="0" w:color="000000"/>
              <w:bottom w:val="single" w:sz="6" w:space="0" w:color="000000"/>
              <w:right w:val="single" w:sz="6" w:space="0" w:color="000000"/>
            </w:tcBorders>
            <w:shd w:val="clear" w:color="auto" w:fill="auto"/>
          </w:tcPr>
          <w:p w14:paraId="59D1F398" w14:textId="77777777" w:rsidR="00134959" w:rsidRPr="000A5C70" w:rsidRDefault="00134959" w:rsidP="00D0778C">
            <w:pPr>
              <w:pStyle w:val="naisc"/>
              <w:spacing w:before="0" w:after="0"/>
              <w:ind w:firstLine="720"/>
              <w:rPr>
                <w:sz w:val="22"/>
                <w:szCs w:val="22"/>
              </w:rPr>
            </w:pPr>
            <w:r w:rsidRPr="000A5C70">
              <w:rPr>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7AFA30" w14:textId="77777777" w:rsidR="00134959" w:rsidRPr="000A5C70" w:rsidRDefault="00134959" w:rsidP="00D0778C">
            <w:pPr>
              <w:jc w:val="center"/>
              <w:rPr>
                <w:sz w:val="22"/>
                <w:szCs w:val="22"/>
              </w:rPr>
            </w:pPr>
            <w:r w:rsidRPr="000A5C70">
              <w:rPr>
                <w:sz w:val="22"/>
                <w:szCs w:val="22"/>
              </w:rPr>
              <w:t>5</w:t>
            </w:r>
          </w:p>
        </w:tc>
        <w:tc>
          <w:tcPr>
            <w:tcW w:w="2551" w:type="dxa"/>
            <w:tcBorders>
              <w:top w:val="single" w:sz="4" w:space="0" w:color="auto"/>
              <w:left w:val="single" w:sz="4" w:space="0" w:color="auto"/>
              <w:bottom w:val="single" w:sz="4" w:space="0" w:color="auto"/>
            </w:tcBorders>
            <w:shd w:val="clear" w:color="auto" w:fill="auto"/>
          </w:tcPr>
          <w:p w14:paraId="16DCF9D4" w14:textId="77777777" w:rsidR="00134959" w:rsidRPr="000A5C70" w:rsidRDefault="00134959" w:rsidP="00D0778C">
            <w:pPr>
              <w:jc w:val="center"/>
              <w:rPr>
                <w:sz w:val="22"/>
                <w:szCs w:val="22"/>
              </w:rPr>
            </w:pPr>
            <w:r w:rsidRPr="000A5C70">
              <w:rPr>
                <w:sz w:val="22"/>
                <w:szCs w:val="22"/>
              </w:rPr>
              <w:t>6</w:t>
            </w:r>
          </w:p>
        </w:tc>
      </w:tr>
      <w:tr w:rsidR="00134959" w:rsidRPr="000A5C70" w14:paraId="6ACA6883" w14:textId="77777777" w:rsidTr="00D0778C">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2604CF6" w14:textId="77777777" w:rsidR="00134959" w:rsidRPr="000A5C70" w:rsidRDefault="00134959" w:rsidP="00D0778C">
            <w:pPr>
              <w:pStyle w:val="naisc"/>
              <w:spacing w:before="0" w:after="0"/>
              <w:rPr>
                <w:sz w:val="22"/>
                <w:szCs w:val="22"/>
              </w:rPr>
            </w:pPr>
            <w:r w:rsidRPr="000A5C70">
              <w:rPr>
                <w:sz w:val="22"/>
                <w:szCs w:val="22"/>
              </w:rPr>
              <w:t>1.</w:t>
            </w:r>
          </w:p>
        </w:tc>
        <w:tc>
          <w:tcPr>
            <w:tcW w:w="2242" w:type="dxa"/>
            <w:tcBorders>
              <w:top w:val="single" w:sz="6" w:space="0" w:color="000000"/>
              <w:left w:val="single" w:sz="6" w:space="0" w:color="000000"/>
              <w:bottom w:val="single" w:sz="6" w:space="0" w:color="000000"/>
              <w:right w:val="single" w:sz="6" w:space="0" w:color="000000"/>
            </w:tcBorders>
            <w:shd w:val="clear" w:color="auto" w:fill="auto"/>
          </w:tcPr>
          <w:p w14:paraId="7375633D" w14:textId="77777777" w:rsidR="00134959" w:rsidRPr="000A5C70" w:rsidRDefault="00134959" w:rsidP="00D0778C">
            <w:pPr>
              <w:pStyle w:val="naisc"/>
              <w:spacing w:before="0" w:after="0"/>
              <w:ind w:right="54" w:firstLine="8"/>
              <w:jc w:val="both"/>
              <w:rPr>
                <w:sz w:val="22"/>
                <w:szCs w:val="22"/>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796D0E52" w14:textId="77777777" w:rsidR="00134959" w:rsidRPr="000A5C70" w:rsidRDefault="00134959" w:rsidP="00D0778C">
            <w:pPr>
              <w:pStyle w:val="naisc"/>
              <w:spacing w:before="0" w:after="0"/>
              <w:ind w:firstLine="720"/>
              <w:rPr>
                <w:sz w:val="22"/>
                <w:szCs w:val="22"/>
              </w:rPr>
            </w:pPr>
          </w:p>
        </w:tc>
        <w:tc>
          <w:tcPr>
            <w:tcW w:w="3519" w:type="dxa"/>
            <w:tcBorders>
              <w:top w:val="single" w:sz="6" w:space="0" w:color="000000"/>
              <w:left w:val="single" w:sz="6" w:space="0" w:color="000000"/>
              <w:bottom w:val="single" w:sz="6" w:space="0" w:color="000000"/>
              <w:right w:val="single" w:sz="6" w:space="0" w:color="000000"/>
            </w:tcBorders>
            <w:shd w:val="clear" w:color="auto" w:fill="auto"/>
          </w:tcPr>
          <w:p w14:paraId="67CB6708" w14:textId="77777777" w:rsidR="00134959" w:rsidRPr="000A5C70" w:rsidRDefault="00134959" w:rsidP="00D0778C">
            <w:pPr>
              <w:pStyle w:val="naisc"/>
              <w:spacing w:before="0" w:after="0"/>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3C98DE" w14:textId="77777777" w:rsidR="00134959" w:rsidRPr="000A5C70" w:rsidRDefault="00134959" w:rsidP="00D0778C">
            <w:pPr>
              <w:jc w:val="center"/>
              <w:rPr>
                <w:sz w:val="22"/>
                <w:szCs w:val="22"/>
              </w:rPr>
            </w:pPr>
          </w:p>
        </w:tc>
        <w:tc>
          <w:tcPr>
            <w:tcW w:w="2551" w:type="dxa"/>
            <w:tcBorders>
              <w:top w:val="single" w:sz="4" w:space="0" w:color="auto"/>
              <w:left w:val="single" w:sz="4" w:space="0" w:color="auto"/>
              <w:bottom w:val="single" w:sz="4" w:space="0" w:color="auto"/>
            </w:tcBorders>
            <w:shd w:val="clear" w:color="auto" w:fill="auto"/>
          </w:tcPr>
          <w:p w14:paraId="0CC132E6" w14:textId="77777777" w:rsidR="00134959" w:rsidRPr="000A5C70" w:rsidRDefault="00134959" w:rsidP="00D0778C">
            <w:pPr>
              <w:jc w:val="both"/>
              <w:rPr>
                <w:sz w:val="22"/>
                <w:szCs w:val="22"/>
              </w:rPr>
            </w:pPr>
          </w:p>
        </w:tc>
      </w:tr>
      <w:tr w:rsidR="00134959" w:rsidRPr="000A5C70" w14:paraId="0C776F9B" w14:textId="77777777" w:rsidTr="00D0778C">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2184F74" w14:textId="77777777" w:rsidR="00134959" w:rsidRPr="000A5C70" w:rsidRDefault="00134959" w:rsidP="00D0778C">
            <w:pPr>
              <w:pStyle w:val="naisc"/>
              <w:spacing w:before="0" w:after="0"/>
              <w:rPr>
                <w:sz w:val="22"/>
                <w:szCs w:val="22"/>
              </w:rPr>
            </w:pPr>
          </w:p>
        </w:tc>
        <w:tc>
          <w:tcPr>
            <w:tcW w:w="2242" w:type="dxa"/>
            <w:tcBorders>
              <w:top w:val="single" w:sz="6" w:space="0" w:color="000000"/>
              <w:left w:val="single" w:sz="6" w:space="0" w:color="000000"/>
              <w:bottom w:val="single" w:sz="4" w:space="0" w:color="auto"/>
              <w:right w:val="single" w:sz="6" w:space="0" w:color="000000"/>
            </w:tcBorders>
            <w:shd w:val="clear" w:color="auto" w:fill="auto"/>
          </w:tcPr>
          <w:p w14:paraId="29ACFFEA" w14:textId="77777777" w:rsidR="00134959" w:rsidRPr="000A5C70" w:rsidRDefault="00134959" w:rsidP="00D0778C">
            <w:pPr>
              <w:jc w:val="both"/>
              <w:outlineLvl w:val="0"/>
              <w:rPr>
                <w:sz w:val="22"/>
                <w:szCs w:val="22"/>
              </w:rPr>
            </w:pPr>
          </w:p>
        </w:tc>
        <w:tc>
          <w:tcPr>
            <w:tcW w:w="3711" w:type="dxa"/>
            <w:tcBorders>
              <w:top w:val="single" w:sz="6" w:space="0" w:color="000000"/>
              <w:left w:val="single" w:sz="6" w:space="0" w:color="000000"/>
              <w:bottom w:val="single" w:sz="4" w:space="0" w:color="auto"/>
              <w:right w:val="single" w:sz="6" w:space="0" w:color="000000"/>
            </w:tcBorders>
            <w:shd w:val="clear" w:color="auto" w:fill="auto"/>
          </w:tcPr>
          <w:p w14:paraId="6CE287B3" w14:textId="77777777" w:rsidR="00134959" w:rsidRPr="000A5C70" w:rsidRDefault="00134959" w:rsidP="00D0778C">
            <w:pPr>
              <w:jc w:val="both"/>
              <w:rPr>
                <w:b/>
                <w:sz w:val="22"/>
                <w:szCs w:val="22"/>
              </w:rPr>
            </w:pPr>
          </w:p>
        </w:tc>
        <w:tc>
          <w:tcPr>
            <w:tcW w:w="3519" w:type="dxa"/>
            <w:tcBorders>
              <w:top w:val="single" w:sz="6" w:space="0" w:color="000000"/>
              <w:left w:val="single" w:sz="6" w:space="0" w:color="000000"/>
              <w:bottom w:val="single" w:sz="6" w:space="0" w:color="000000"/>
              <w:right w:val="single" w:sz="6" w:space="0" w:color="000000"/>
            </w:tcBorders>
            <w:shd w:val="clear" w:color="auto" w:fill="auto"/>
          </w:tcPr>
          <w:p w14:paraId="497CDA1C" w14:textId="77777777" w:rsidR="00134959" w:rsidRPr="000A5C70" w:rsidRDefault="00134959" w:rsidP="00D0778C">
            <w:pPr>
              <w:pStyle w:val="naisc"/>
              <w:spacing w:before="0" w:after="0"/>
              <w:jc w:val="left"/>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C83638" w14:textId="77777777" w:rsidR="00134959" w:rsidRPr="000A5C70" w:rsidRDefault="00134959" w:rsidP="00D0778C">
            <w:pPr>
              <w:jc w:val="center"/>
              <w:rPr>
                <w:sz w:val="22"/>
                <w:szCs w:val="22"/>
              </w:rPr>
            </w:pPr>
          </w:p>
        </w:tc>
        <w:tc>
          <w:tcPr>
            <w:tcW w:w="2551" w:type="dxa"/>
            <w:tcBorders>
              <w:top w:val="single" w:sz="4" w:space="0" w:color="auto"/>
              <w:left w:val="single" w:sz="4" w:space="0" w:color="auto"/>
              <w:bottom w:val="single" w:sz="4" w:space="0" w:color="auto"/>
            </w:tcBorders>
            <w:shd w:val="clear" w:color="auto" w:fill="auto"/>
          </w:tcPr>
          <w:p w14:paraId="7CD4D835" w14:textId="77777777" w:rsidR="00134959" w:rsidRPr="000A5C70" w:rsidRDefault="00134959" w:rsidP="00D0778C">
            <w:pPr>
              <w:jc w:val="both"/>
              <w:rPr>
                <w:sz w:val="22"/>
                <w:szCs w:val="22"/>
              </w:rPr>
            </w:pPr>
          </w:p>
        </w:tc>
      </w:tr>
    </w:tbl>
    <w:p w14:paraId="5D0134A5" w14:textId="77777777" w:rsidR="00134959" w:rsidRPr="000A5C70" w:rsidRDefault="00134959" w:rsidP="00134959">
      <w:pPr>
        <w:pStyle w:val="naisf"/>
        <w:spacing w:before="0" w:after="0"/>
        <w:ind w:firstLine="0"/>
        <w:rPr>
          <w:b/>
          <w:sz w:val="22"/>
          <w:szCs w:val="22"/>
        </w:rPr>
      </w:pPr>
    </w:p>
    <w:p w14:paraId="124D85A5" w14:textId="77777777" w:rsidR="00134959" w:rsidRPr="000A5C70" w:rsidRDefault="00134959" w:rsidP="00134959">
      <w:pPr>
        <w:pStyle w:val="naisf"/>
        <w:spacing w:before="0" w:after="0"/>
        <w:ind w:firstLine="0"/>
        <w:rPr>
          <w:b/>
          <w:sz w:val="22"/>
          <w:szCs w:val="22"/>
          <w:u w:val="single"/>
        </w:rPr>
      </w:pPr>
      <w:r w:rsidRPr="000A5C70">
        <w:rPr>
          <w:sz w:val="22"/>
          <w:szCs w:val="22"/>
        </w:rPr>
        <w:t>Informācija par</w:t>
      </w:r>
      <w:r w:rsidRPr="000A5C70">
        <w:rPr>
          <w:b/>
          <w:sz w:val="22"/>
          <w:szCs w:val="22"/>
        </w:rPr>
        <w:t xml:space="preserve"> </w:t>
      </w:r>
      <w:r w:rsidRPr="000A5C70">
        <w:rPr>
          <w:sz w:val="22"/>
          <w:szCs w:val="22"/>
        </w:rPr>
        <w:t xml:space="preserve">starpministriju (starpinstitūciju) sanāksmi vai </w:t>
      </w:r>
      <w:r w:rsidRPr="000A5C70">
        <w:rPr>
          <w:b/>
          <w:sz w:val="22"/>
          <w:szCs w:val="22"/>
          <w:u w:val="single"/>
        </w:rPr>
        <w:t>elektronisko saskaņošanu</w:t>
      </w:r>
    </w:p>
    <w:p w14:paraId="430CCD67" w14:textId="77777777" w:rsidR="00134959" w:rsidRPr="000A5C70" w:rsidRDefault="00134959" w:rsidP="00134959">
      <w:pPr>
        <w:pStyle w:val="naisf"/>
        <w:spacing w:before="0" w:after="0"/>
        <w:ind w:firstLine="0"/>
        <w:rPr>
          <w:b/>
          <w:sz w:val="22"/>
          <w:szCs w:val="22"/>
          <w:u w:val="single"/>
        </w:rPr>
      </w:pPr>
    </w:p>
    <w:p w14:paraId="5D30C6AD" w14:textId="2C215434" w:rsidR="00134959" w:rsidRPr="000A5C70" w:rsidRDefault="00134959" w:rsidP="00134959">
      <w:pPr>
        <w:pStyle w:val="naisf"/>
        <w:spacing w:before="0" w:after="0"/>
        <w:ind w:firstLine="0"/>
        <w:rPr>
          <w:sz w:val="22"/>
          <w:szCs w:val="22"/>
        </w:rPr>
      </w:pPr>
      <w:r w:rsidRPr="000A5C70">
        <w:rPr>
          <w:sz w:val="22"/>
          <w:szCs w:val="22"/>
        </w:rPr>
        <w:t xml:space="preserve">Datums: </w:t>
      </w:r>
      <w:r w:rsidR="00B1777C">
        <w:rPr>
          <w:sz w:val="22"/>
          <w:szCs w:val="22"/>
        </w:rPr>
        <w:t>30</w:t>
      </w:r>
      <w:r w:rsidR="00ED1163" w:rsidRPr="000A5C70">
        <w:rPr>
          <w:sz w:val="22"/>
          <w:szCs w:val="22"/>
        </w:rPr>
        <w:t>.03</w:t>
      </w:r>
      <w:r w:rsidRPr="000A5C70">
        <w:rPr>
          <w:sz w:val="22"/>
          <w:szCs w:val="22"/>
        </w:rPr>
        <w:t>.2020.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774"/>
      </w:tblGrid>
      <w:tr w:rsidR="00134959" w:rsidRPr="000A5C70" w14:paraId="36E112DA" w14:textId="77777777" w:rsidTr="00D0778C">
        <w:tc>
          <w:tcPr>
            <w:tcW w:w="4219" w:type="dxa"/>
          </w:tcPr>
          <w:p w14:paraId="3342C805" w14:textId="77777777" w:rsidR="00134959" w:rsidRPr="000A5C70" w:rsidRDefault="00134959" w:rsidP="00D0778C">
            <w:pPr>
              <w:rPr>
                <w:sz w:val="22"/>
                <w:szCs w:val="22"/>
              </w:rPr>
            </w:pPr>
          </w:p>
        </w:tc>
        <w:tc>
          <w:tcPr>
            <w:tcW w:w="9774" w:type="dxa"/>
          </w:tcPr>
          <w:p w14:paraId="2400343F" w14:textId="77777777" w:rsidR="00134959" w:rsidRPr="000A5C70" w:rsidRDefault="00134959" w:rsidP="00D0778C">
            <w:pPr>
              <w:jc w:val="both"/>
              <w:rPr>
                <w:sz w:val="22"/>
                <w:szCs w:val="22"/>
              </w:rPr>
            </w:pPr>
          </w:p>
        </w:tc>
      </w:tr>
      <w:tr w:rsidR="00134959" w:rsidRPr="000A5C70" w14:paraId="457DE9E1" w14:textId="77777777" w:rsidTr="00D0778C">
        <w:tc>
          <w:tcPr>
            <w:tcW w:w="4219" w:type="dxa"/>
          </w:tcPr>
          <w:p w14:paraId="739D1759" w14:textId="77777777" w:rsidR="00134959" w:rsidRPr="000A5C70" w:rsidRDefault="00134959" w:rsidP="00D0778C">
            <w:pPr>
              <w:rPr>
                <w:sz w:val="22"/>
                <w:szCs w:val="22"/>
              </w:rPr>
            </w:pPr>
            <w:r w:rsidRPr="000A5C70">
              <w:rPr>
                <w:sz w:val="22"/>
                <w:szCs w:val="22"/>
              </w:rPr>
              <w:t>Saskaņošanas dalībnieki:</w:t>
            </w:r>
          </w:p>
        </w:tc>
        <w:tc>
          <w:tcPr>
            <w:tcW w:w="9774" w:type="dxa"/>
          </w:tcPr>
          <w:p w14:paraId="6C95AF95" w14:textId="77777777" w:rsidR="0038330F" w:rsidRPr="000A5C70" w:rsidRDefault="00134959" w:rsidP="0038330F">
            <w:pPr>
              <w:jc w:val="both"/>
              <w:rPr>
                <w:sz w:val="22"/>
                <w:szCs w:val="22"/>
              </w:rPr>
            </w:pPr>
            <w:r w:rsidRPr="000A5C70">
              <w:rPr>
                <w:sz w:val="22"/>
                <w:szCs w:val="22"/>
              </w:rPr>
              <w:t>Tieslietu ministrija, Finanšu ministrija, Ekonomikas ministrija, Labklājības ministrija, Veselības ministrija, Pārresoru koordinācijas centrs, Latvijas Pašvaldības savienība, Latvijas Lielo pilsētu asociācija, biedrība "Reģionālo attīstības centru apvienība"</w:t>
            </w:r>
          </w:p>
        </w:tc>
      </w:tr>
      <w:tr w:rsidR="00134959" w:rsidRPr="000A5C70" w14:paraId="13D5390C" w14:textId="77777777" w:rsidTr="00D0778C">
        <w:tc>
          <w:tcPr>
            <w:tcW w:w="4219" w:type="dxa"/>
          </w:tcPr>
          <w:p w14:paraId="0A82353B" w14:textId="77777777" w:rsidR="00134959" w:rsidRPr="000A5C70" w:rsidRDefault="00134959" w:rsidP="00D0778C">
            <w:pPr>
              <w:rPr>
                <w:sz w:val="22"/>
                <w:szCs w:val="22"/>
              </w:rPr>
            </w:pPr>
          </w:p>
        </w:tc>
        <w:tc>
          <w:tcPr>
            <w:tcW w:w="9774" w:type="dxa"/>
          </w:tcPr>
          <w:p w14:paraId="4040DFC4" w14:textId="77777777" w:rsidR="00134959" w:rsidRPr="000A5C70" w:rsidRDefault="00134959" w:rsidP="00D0778C">
            <w:pPr>
              <w:rPr>
                <w:sz w:val="22"/>
                <w:szCs w:val="22"/>
              </w:rPr>
            </w:pPr>
          </w:p>
        </w:tc>
      </w:tr>
      <w:tr w:rsidR="00134959" w:rsidRPr="000A5C70" w14:paraId="4D6477C7" w14:textId="77777777" w:rsidTr="00D0778C">
        <w:tc>
          <w:tcPr>
            <w:tcW w:w="4219" w:type="dxa"/>
          </w:tcPr>
          <w:p w14:paraId="75FA48D7" w14:textId="77777777" w:rsidR="00134959" w:rsidRPr="000A5C70" w:rsidRDefault="00134959" w:rsidP="00D0778C">
            <w:pPr>
              <w:pStyle w:val="naiskr"/>
              <w:spacing w:before="0" w:after="0"/>
              <w:jc w:val="both"/>
            </w:pPr>
            <w:r w:rsidRPr="000A5C70">
              <w:rPr>
                <w:sz w:val="22"/>
                <w:szCs w:val="22"/>
              </w:rPr>
              <w:t xml:space="preserve">Saskaņošanas dalībnieki izskatīja šādu ministriju (citu institūciju) iebildumus: </w:t>
            </w:r>
          </w:p>
        </w:tc>
        <w:tc>
          <w:tcPr>
            <w:tcW w:w="9774" w:type="dxa"/>
          </w:tcPr>
          <w:p w14:paraId="1DC944E3" w14:textId="1E7448F5" w:rsidR="00134959" w:rsidRPr="000A5C70" w:rsidRDefault="00FC1B13" w:rsidP="002D41E2">
            <w:pPr>
              <w:jc w:val="both"/>
              <w:rPr>
                <w:sz w:val="22"/>
                <w:szCs w:val="22"/>
              </w:rPr>
            </w:pPr>
            <w:r>
              <w:rPr>
                <w:sz w:val="22"/>
                <w:szCs w:val="22"/>
              </w:rPr>
              <w:t xml:space="preserve">Finanšu ministrija, </w:t>
            </w:r>
            <w:r w:rsidR="006E277C">
              <w:rPr>
                <w:sz w:val="22"/>
                <w:szCs w:val="22"/>
              </w:rPr>
              <w:t>Tieslietu</w:t>
            </w:r>
            <w:r w:rsidR="00134959" w:rsidRPr="000A5C70">
              <w:rPr>
                <w:sz w:val="22"/>
                <w:szCs w:val="22"/>
              </w:rPr>
              <w:t xml:space="preserve"> ministrija</w:t>
            </w:r>
          </w:p>
        </w:tc>
      </w:tr>
      <w:tr w:rsidR="00134959" w:rsidRPr="000A5C70" w14:paraId="1A341F59" w14:textId="77777777" w:rsidTr="00D0778C">
        <w:tc>
          <w:tcPr>
            <w:tcW w:w="4219" w:type="dxa"/>
          </w:tcPr>
          <w:p w14:paraId="2253F9CB" w14:textId="77777777" w:rsidR="00134959" w:rsidRPr="000A5C70" w:rsidRDefault="00134959" w:rsidP="00D0778C">
            <w:pPr>
              <w:pStyle w:val="naiskr"/>
              <w:spacing w:before="0" w:after="0"/>
              <w:jc w:val="both"/>
              <w:rPr>
                <w:sz w:val="22"/>
                <w:szCs w:val="22"/>
              </w:rPr>
            </w:pPr>
          </w:p>
        </w:tc>
        <w:tc>
          <w:tcPr>
            <w:tcW w:w="9774" w:type="dxa"/>
          </w:tcPr>
          <w:p w14:paraId="0AA294D3" w14:textId="77777777" w:rsidR="00134959" w:rsidRPr="000A5C70" w:rsidRDefault="00134959" w:rsidP="00D0778C">
            <w:pPr>
              <w:rPr>
                <w:sz w:val="22"/>
                <w:szCs w:val="22"/>
              </w:rPr>
            </w:pPr>
          </w:p>
        </w:tc>
      </w:tr>
      <w:tr w:rsidR="00134959" w:rsidRPr="000A5C70" w14:paraId="6958FB2F" w14:textId="77777777" w:rsidTr="00D0778C">
        <w:tc>
          <w:tcPr>
            <w:tcW w:w="4219" w:type="dxa"/>
          </w:tcPr>
          <w:p w14:paraId="5CA351C0" w14:textId="77777777" w:rsidR="00134959" w:rsidRPr="000A5C70" w:rsidRDefault="00134959" w:rsidP="00D0778C">
            <w:pPr>
              <w:pStyle w:val="naiskr"/>
              <w:spacing w:before="0" w:after="0"/>
              <w:jc w:val="both"/>
              <w:rPr>
                <w:sz w:val="22"/>
                <w:szCs w:val="22"/>
              </w:rPr>
            </w:pPr>
            <w:r w:rsidRPr="000A5C70">
              <w:rPr>
                <w:sz w:val="22"/>
                <w:szCs w:val="22"/>
                <w:lang w:eastAsia="en-US"/>
              </w:rPr>
              <w:t xml:space="preserve">Ministrijas (citas institūcijas), kuras nav ieradušās uz sanāksmi vai kuras nav </w:t>
            </w:r>
            <w:r w:rsidRPr="000A5C70">
              <w:rPr>
                <w:bCs/>
                <w:sz w:val="22"/>
                <w:szCs w:val="22"/>
                <w:lang w:eastAsia="en-US"/>
              </w:rPr>
              <w:t>atbildējušas uz uzaicinājumu piedalīties elektroniskajā saskaņošanā:</w:t>
            </w:r>
          </w:p>
        </w:tc>
        <w:tc>
          <w:tcPr>
            <w:tcW w:w="9774" w:type="dxa"/>
          </w:tcPr>
          <w:p w14:paraId="00842A57" w14:textId="77777777" w:rsidR="00134959" w:rsidRPr="000A5C70" w:rsidRDefault="00134959" w:rsidP="00D0778C">
            <w:pPr>
              <w:jc w:val="both"/>
              <w:rPr>
                <w:sz w:val="22"/>
                <w:szCs w:val="22"/>
              </w:rPr>
            </w:pPr>
          </w:p>
        </w:tc>
      </w:tr>
    </w:tbl>
    <w:p w14:paraId="15A92108" w14:textId="77777777" w:rsidR="00134959" w:rsidRPr="000A5C70" w:rsidRDefault="00134959" w:rsidP="00134959">
      <w:pPr>
        <w:pStyle w:val="naisf"/>
        <w:spacing w:before="0" w:after="0"/>
        <w:ind w:firstLine="0"/>
        <w:rPr>
          <w:b/>
          <w:sz w:val="22"/>
          <w:szCs w:val="22"/>
        </w:rPr>
      </w:pPr>
    </w:p>
    <w:p w14:paraId="1464DE84" w14:textId="77777777" w:rsidR="00134959" w:rsidRPr="000A5C70" w:rsidRDefault="00134959" w:rsidP="00134959">
      <w:pPr>
        <w:pStyle w:val="naisf"/>
        <w:spacing w:before="0" w:after="0"/>
        <w:ind w:firstLine="0"/>
        <w:jc w:val="center"/>
        <w:rPr>
          <w:b/>
          <w:sz w:val="22"/>
          <w:szCs w:val="22"/>
        </w:rPr>
      </w:pPr>
    </w:p>
    <w:p w14:paraId="7CB920AD" w14:textId="77777777" w:rsidR="00FB5519" w:rsidRPr="000A5C70" w:rsidRDefault="00FB5519">
      <w:pPr>
        <w:spacing w:after="160" w:line="259" w:lineRule="auto"/>
        <w:rPr>
          <w:b/>
          <w:sz w:val="22"/>
          <w:szCs w:val="22"/>
        </w:rPr>
      </w:pPr>
      <w:r w:rsidRPr="000A5C70">
        <w:rPr>
          <w:b/>
          <w:sz w:val="22"/>
          <w:szCs w:val="22"/>
        </w:rPr>
        <w:br w:type="page"/>
      </w:r>
    </w:p>
    <w:p w14:paraId="65278BED" w14:textId="77777777" w:rsidR="00134959" w:rsidRPr="000A5C70" w:rsidRDefault="00134959" w:rsidP="00134959">
      <w:pPr>
        <w:pStyle w:val="naisf"/>
        <w:spacing w:before="0" w:after="0"/>
        <w:ind w:firstLine="0"/>
        <w:jc w:val="center"/>
        <w:rPr>
          <w:sz w:val="22"/>
          <w:szCs w:val="22"/>
        </w:rPr>
      </w:pPr>
      <w:r w:rsidRPr="000A5C70">
        <w:rPr>
          <w:b/>
          <w:sz w:val="22"/>
          <w:szCs w:val="22"/>
        </w:rPr>
        <w:lastRenderedPageBreak/>
        <w:t>II. Jautājumi, par kuriem saskaņošanā vienošanās ir panākta</w:t>
      </w:r>
    </w:p>
    <w:tbl>
      <w:tblPr>
        <w:tblW w:w="5651" w:type="pct"/>
        <w:tblInd w:w="-10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7"/>
        <w:gridCol w:w="3292"/>
        <w:gridCol w:w="5243"/>
        <w:gridCol w:w="3545"/>
        <w:gridCol w:w="3194"/>
      </w:tblGrid>
      <w:tr w:rsidR="00134959" w:rsidRPr="000A5C70" w14:paraId="0B1A8618" w14:textId="77777777" w:rsidTr="00860CB0">
        <w:trPr>
          <w:trHeight w:val="978"/>
        </w:trPr>
        <w:tc>
          <w:tcPr>
            <w:tcW w:w="170" w:type="pct"/>
            <w:tcBorders>
              <w:top w:val="single" w:sz="6" w:space="0" w:color="000000"/>
              <w:left w:val="single" w:sz="6" w:space="0" w:color="000000"/>
              <w:bottom w:val="single" w:sz="6" w:space="0" w:color="000000"/>
              <w:right w:val="single" w:sz="6" w:space="0" w:color="000000"/>
            </w:tcBorders>
            <w:vAlign w:val="center"/>
          </w:tcPr>
          <w:p w14:paraId="392FDF56" w14:textId="77777777" w:rsidR="00134959" w:rsidRPr="000A5C70" w:rsidRDefault="00134959" w:rsidP="00D0778C">
            <w:pPr>
              <w:pStyle w:val="naisc"/>
              <w:spacing w:before="0" w:after="0"/>
            </w:pPr>
            <w:r w:rsidRPr="000A5C70">
              <w:t>Nr. p.k.</w:t>
            </w:r>
          </w:p>
        </w:tc>
        <w:tc>
          <w:tcPr>
            <w:tcW w:w="1041" w:type="pct"/>
            <w:tcBorders>
              <w:top w:val="single" w:sz="6" w:space="0" w:color="000000"/>
              <w:left w:val="single" w:sz="6" w:space="0" w:color="000000"/>
              <w:bottom w:val="single" w:sz="6" w:space="0" w:color="000000"/>
              <w:right w:val="single" w:sz="6" w:space="0" w:color="000000"/>
            </w:tcBorders>
            <w:vAlign w:val="center"/>
          </w:tcPr>
          <w:p w14:paraId="7C97B0B8" w14:textId="77777777" w:rsidR="00134959" w:rsidRPr="000A5C70" w:rsidRDefault="00134959" w:rsidP="00D0778C">
            <w:pPr>
              <w:pStyle w:val="naisc"/>
              <w:spacing w:before="0" w:after="0"/>
              <w:ind w:firstLine="12"/>
            </w:pPr>
            <w:r w:rsidRPr="000A5C70">
              <w:t>Saskaņošanai nosūtītā projekta redakcija (konkrēta punkta (panta) redakcija)</w:t>
            </w:r>
          </w:p>
        </w:tc>
        <w:tc>
          <w:tcPr>
            <w:tcW w:w="1658" w:type="pct"/>
            <w:tcBorders>
              <w:top w:val="single" w:sz="6" w:space="0" w:color="000000"/>
              <w:left w:val="single" w:sz="6" w:space="0" w:color="000000"/>
              <w:bottom w:val="single" w:sz="6" w:space="0" w:color="000000"/>
              <w:right w:val="single" w:sz="6" w:space="0" w:color="000000"/>
            </w:tcBorders>
            <w:vAlign w:val="center"/>
          </w:tcPr>
          <w:p w14:paraId="626371D0" w14:textId="77777777" w:rsidR="00134959" w:rsidRPr="000A5C70" w:rsidRDefault="00134959" w:rsidP="00D0778C">
            <w:pPr>
              <w:pStyle w:val="naisc"/>
              <w:spacing w:before="0" w:after="0"/>
              <w:ind w:right="3"/>
            </w:pPr>
            <w:r w:rsidRPr="000A5C70">
              <w:t>Atzinumā norādītais ministrijas (citas institūcijas) iebildums, kā arī saskaņošanā papildus izteiktais iebildums par projekta konkrēto punktu (pantu)</w:t>
            </w:r>
          </w:p>
        </w:tc>
        <w:tc>
          <w:tcPr>
            <w:tcW w:w="1121" w:type="pct"/>
            <w:tcBorders>
              <w:top w:val="single" w:sz="6" w:space="0" w:color="000000"/>
              <w:left w:val="single" w:sz="6" w:space="0" w:color="000000"/>
              <w:bottom w:val="single" w:sz="6" w:space="0" w:color="000000"/>
              <w:right w:val="single" w:sz="6" w:space="0" w:color="000000"/>
            </w:tcBorders>
            <w:vAlign w:val="center"/>
          </w:tcPr>
          <w:p w14:paraId="1C1212DB" w14:textId="77777777" w:rsidR="00134959" w:rsidRPr="000A5C70" w:rsidRDefault="00134959" w:rsidP="00D0778C">
            <w:pPr>
              <w:pStyle w:val="naisc"/>
              <w:spacing w:before="0" w:after="0"/>
              <w:ind w:firstLine="21"/>
            </w:pPr>
            <w:r w:rsidRPr="000A5C70">
              <w:t>Atbildīgās ministrijas norāde par to, ka iebildums ir ņemts vērā, vai informācija par saskaņošanā panākto alternatīvo risinājumu</w:t>
            </w:r>
          </w:p>
        </w:tc>
        <w:tc>
          <w:tcPr>
            <w:tcW w:w="1010" w:type="pct"/>
            <w:tcBorders>
              <w:top w:val="single" w:sz="4" w:space="0" w:color="auto"/>
              <w:left w:val="single" w:sz="4" w:space="0" w:color="auto"/>
              <w:bottom w:val="single" w:sz="4" w:space="0" w:color="auto"/>
            </w:tcBorders>
            <w:vAlign w:val="center"/>
          </w:tcPr>
          <w:p w14:paraId="7C6A0A4F" w14:textId="77777777" w:rsidR="00134959" w:rsidRPr="000A5C70" w:rsidRDefault="00134959" w:rsidP="00D0778C">
            <w:pPr>
              <w:jc w:val="center"/>
            </w:pPr>
            <w:r w:rsidRPr="000A5C70">
              <w:t>Projekta attiecīgā punkta (panta) galīgā redakcija</w:t>
            </w:r>
          </w:p>
        </w:tc>
      </w:tr>
      <w:tr w:rsidR="00134959" w:rsidRPr="000A5C70" w14:paraId="0E51E4E6" w14:textId="77777777" w:rsidTr="00860CB0">
        <w:tc>
          <w:tcPr>
            <w:tcW w:w="170" w:type="pct"/>
            <w:tcBorders>
              <w:top w:val="single" w:sz="6" w:space="0" w:color="000000"/>
              <w:left w:val="single" w:sz="6" w:space="0" w:color="000000"/>
              <w:bottom w:val="single" w:sz="6" w:space="0" w:color="000000"/>
              <w:right w:val="single" w:sz="6" w:space="0" w:color="000000"/>
            </w:tcBorders>
          </w:tcPr>
          <w:p w14:paraId="1396F0E8" w14:textId="77777777" w:rsidR="00134959" w:rsidRPr="000A5C70" w:rsidRDefault="00134959" w:rsidP="00D0778C">
            <w:pPr>
              <w:pStyle w:val="naisc"/>
              <w:spacing w:before="0" w:after="0"/>
            </w:pPr>
            <w:r w:rsidRPr="000A5C70">
              <w:t>1</w:t>
            </w:r>
          </w:p>
        </w:tc>
        <w:tc>
          <w:tcPr>
            <w:tcW w:w="1041" w:type="pct"/>
            <w:tcBorders>
              <w:top w:val="single" w:sz="6" w:space="0" w:color="000000"/>
              <w:left w:val="single" w:sz="6" w:space="0" w:color="000000"/>
              <w:bottom w:val="single" w:sz="6" w:space="0" w:color="000000"/>
              <w:right w:val="single" w:sz="6" w:space="0" w:color="000000"/>
            </w:tcBorders>
          </w:tcPr>
          <w:p w14:paraId="20A4B1E0" w14:textId="77777777" w:rsidR="00134959" w:rsidRPr="000A5C70" w:rsidRDefault="00134959" w:rsidP="00D0778C">
            <w:pPr>
              <w:pStyle w:val="naisc"/>
              <w:spacing w:before="0" w:after="0"/>
            </w:pPr>
            <w:r w:rsidRPr="000A5C70">
              <w:t>2</w:t>
            </w:r>
          </w:p>
        </w:tc>
        <w:tc>
          <w:tcPr>
            <w:tcW w:w="1658" w:type="pct"/>
            <w:tcBorders>
              <w:top w:val="single" w:sz="6" w:space="0" w:color="000000"/>
              <w:left w:val="single" w:sz="6" w:space="0" w:color="000000"/>
              <w:bottom w:val="single" w:sz="6" w:space="0" w:color="000000"/>
              <w:right w:val="single" w:sz="6" w:space="0" w:color="000000"/>
            </w:tcBorders>
          </w:tcPr>
          <w:p w14:paraId="69489DB0" w14:textId="77777777" w:rsidR="00134959" w:rsidRPr="000A5C70" w:rsidRDefault="00134959" w:rsidP="00D0778C">
            <w:pPr>
              <w:pStyle w:val="naisc"/>
              <w:spacing w:before="0" w:after="0"/>
              <w:ind w:firstLine="35"/>
            </w:pPr>
            <w:r w:rsidRPr="000A5C70">
              <w:t>3</w:t>
            </w:r>
          </w:p>
        </w:tc>
        <w:tc>
          <w:tcPr>
            <w:tcW w:w="1121" w:type="pct"/>
            <w:tcBorders>
              <w:top w:val="single" w:sz="6" w:space="0" w:color="000000"/>
              <w:left w:val="single" w:sz="6" w:space="0" w:color="000000"/>
              <w:bottom w:val="single" w:sz="6" w:space="0" w:color="000000"/>
              <w:right w:val="single" w:sz="6" w:space="0" w:color="000000"/>
            </w:tcBorders>
          </w:tcPr>
          <w:p w14:paraId="21D65570" w14:textId="77777777" w:rsidR="00134959" w:rsidRPr="000A5C70" w:rsidRDefault="00134959" w:rsidP="00D0778C">
            <w:pPr>
              <w:pStyle w:val="naisc"/>
              <w:spacing w:before="0" w:after="0"/>
            </w:pPr>
            <w:r w:rsidRPr="000A5C70">
              <w:t>4</w:t>
            </w:r>
          </w:p>
        </w:tc>
        <w:tc>
          <w:tcPr>
            <w:tcW w:w="1010" w:type="pct"/>
            <w:tcBorders>
              <w:top w:val="single" w:sz="4" w:space="0" w:color="auto"/>
              <w:left w:val="single" w:sz="4" w:space="0" w:color="auto"/>
              <w:bottom w:val="single" w:sz="4" w:space="0" w:color="auto"/>
            </w:tcBorders>
          </w:tcPr>
          <w:p w14:paraId="36985DC3" w14:textId="77777777" w:rsidR="00134959" w:rsidRPr="000A5C70" w:rsidRDefault="00134959" w:rsidP="00D0778C">
            <w:pPr>
              <w:jc w:val="center"/>
            </w:pPr>
            <w:r w:rsidRPr="000A5C70">
              <w:t>5</w:t>
            </w:r>
          </w:p>
        </w:tc>
      </w:tr>
      <w:tr w:rsidR="00134959" w:rsidRPr="000A5C70" w14:paraId="578BEDC7" w14:textId="77777777" w:rsidTr="00860CB0">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76C703F9" w14:textId="77777777" w:rsidR="00134959" w:rsidRPr="000A5C70" w:rsidRDefault="00134959" w:rsidP="00D0778C">
            <w:pPr>
              <w:pStyle w:val="naisc"/>
              <w:numPr>
                <w:ilvl w:val="0"/>
                <w:numId w:val="2"/>
              </w:numPr>
              <w:spacing w:before="0" w:after="0"/>
            </w:pPr>
          </w:p>
        </w:tc>
        <w:tc>
          <w:tcPr>
            <w:tcW w:w="1041" w:type="pct"/>
            <w:tcBorders>
              <w:top w:val="single" w:sz="6" w:space="0" w:color="000000"/>
              <w:left w:val="single" w:sz="6" w:space="0" w:color="000000"/>
              <w:bottom w:val="single" w:sz="6" w:space="0" w:color="000000"/>
              <w:right w:val="single" w:sz="6" w:space="0" w:color="000000"/>
            </w:tcBorders>
            <w:shd w:val="clear" w:color="auto" w:fill="auto"/>
          </w:tcPr>
          <w:p w14:paraId="4BF05F0B" w14:textId="77777777" w:rsidR="000E10EE" w:rsidRPr="000A5C70" w:rsidRDefault="000E10EE" w:rsidP="000E10EE">
            <w:pPr>
              <w:tabs>
                <w:tab w:val="left" w:pos="1134"/>
              </w:tabs>
              <w:jc w:val="both"/>
            </w:pPr>
            <w:r w:rsidRPr="000A5C70">
              <w:t>3. Izteikt 10.1.2. apakšpunktu šādā redakcijā:</w:t>
            </w:r>
          </w:p>
          <w:p w14:paraId="5F7AFEF0" w14:textId="77777777" w:rsidR="000E10EE" w:rsidRPr="000A5C70" w:rsidRDefault="000E10EE" w:rsidP="000E10EE">
            <w:pPr>
              <w:pStyle w:val="ListParagraph"/>
              <w:rPr>
                <w:rFonts w:ascii="Times New Roman" w:hAnsi="Times New Roman"/>
                <w:sz w:val="24"/>
                <w:szCs w:val="24"/>
              </w:rPr>
            </w:pPr>
          </w:p>
          <w:p w14:paraId="0C932424" w14:textId="77777777" w:rsidR="000E10EE" w:rsidRPr="000A5C70" w:rsidRDefault="000E10EE" w:rsidP="000E10EE">
            <w:pPr>
              <w:pStyle w:val="ListParagraph"/>
              <w:tabs>
                <w:tab w:val="left" w:pos="1134"/>
              </w:tabs>
              <w:spacing w:after="0" w:line="240" w:lineRule="auto"/>
              <w:ind w:left="0" w:firstLine="346"/>
              <w:jc w:val="both"/>
              <w:rPr>
                <w:rFonts w:ascii="Times New Roman" w:hAnsi="Times New Roman"/>
                <w:sz w:val="24"/>
                <w:szCs w:val="24"/>
              </w:rPr>
            </w:pPr>
            <w:r w:rsidRPr="000A5C70">
              <w:rPr>
                <w:rFonts w:ascii="Times New Roman" w:hAnsi="Times New Roman"/>
                <w:sz w:val="24"/>
                <w:szCs w:val="24"/>
                <w:shd w:val="clear" w:color="auto" w:fill="FFFFFF"/>
              </w:rPr>
              <w:t>"10.1.2. no atjaunojamiem energoresursiem ražotā papildjauda – vismaz 1,6 megavati, tai skaitā vismaz 0,74 megavati trešās atlases kārtas projektos;".</w:t>
            </w:r>
          </w:p>
          <w:p w14:paraId="03DE4296" w14:textId="77777777" w:rsidR="00134959" w:rsidRPr="000A5C70" w:rsidRDefault="00134959" w:rsidP="00D0778C">
            <w:pPr>
              <w:jc w:val="both"/>
              <w:outlineLvl w:val="0"/>
            </w:pP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14:paraId="00AD2F3D" w14:textId="77777777" w:rsidR="000E10EE" w:rsidRPr="000A5C70" w:rsidRDefault="000E10EE" w:rsidP="000E10EE">
            <w:pPr>
              <w:tabs>
                <w:tab w:val="left" w:pos="720"/>
                <w:tab w:val="left" w:pos="993"/>
              </w:tabs>
              <w:jc w:val="both"/>
            </w:pPr>
            <w:r w:rsidRPr="000A5C70">
              <w:rPr>
                <w:b/>
              </w:rPr>
              <w:t>Finanšu ministrija (14.02.2020. atzinums)</w:t>
            </w:r>
          </w:p>
          <w:p w14:paraId="0EF9FA39" w14:textId="77777777" w:rsidR="000E10EE" w:rsidRPr="000A5C70" w:rsidRDefault="000E10EE" w:rsidP="000E10EE">
            <w:pPr>
              <w:tabs>
                <w:tab w:val="left" w:pos="720"/>
                <w:tab w:val="left" w:pos="993"/>
              </w:tabs>
              <w:jc w:val="both"/>
            </w:pPr>
          </w:p>
          <w:p w14:paraId="270125FD" w14:textId="77777777" w:rsidR="00134959" w:rsidRPr="000A5C70" w:rsidRDefault="000E10EE" w:rsidP="000E10EE">
            <w:pPr>
              <w:tabs>
                <w:tab w:val="left" w:pos="720"/>
                <w:tab w:val="left" w:pos="993"/>
              </w:tabs>
              <w:jc w:val="both"/>
              <w:rPr>
                <w:iCs/>
              </w:rPr>
            </w:pPr>
            <w:r w:rsidRPr="000A5C70">
              <w:t>Lūdzam precizēt noteikumu projekta 3.punktu, neizslēdzot sākotnējo redakciju arī par virssaistību finansējuma pienesumu rādītāja sasniegšanā, lai nodrošinātu vienotu pieeju un informācijas izsekojamību.</w:t>
            </w:r>
          </w:p>
        </w:tc>
        <w:tc>
          <w:tcPr>
            <w:tcW w:w="1121" w:type="pct"/>
            <w:tcBorders>
              <w:top w:val="single" w:sz="6" w:space="0" w:color="000000"/>
              <w:left w:val="single" w:sz="6" w:space="0" w:color="000000"/>
              <w:bottom w:val="single" w:sz="6" w:space="0" w:color="000000"/>
              <w:right w:val="single" w:sz="6" w:space="0" w:color="000000"/>
            </w:tcBorders>
            <w:shd w:val="clear" w:color="auto" w:fill="auto"/>
          </w:tcPr>
          <w:p w14:paraId="08F31F6E" w14:textId="69DF465B" w:rsidR="00134959" w:rsidRPr="000A5C70" w:rsidRDefault="00FE5446" w:rsidP="00D0778C">
            <w:pPr>
              <w:jc w:val="both"/>
              <w:rPr>
                <w:b/>
                <w:lang w:eastAsia="en-US"/>
              </w:rPr>
            </w:pPr>
            <w:r>
              <w:rPr>
                <w:b/>
                <w:lang w:eastAsia="en-US"/>
              </w:rPr>
              <w:t>Panākta vienošanās saskaņošanas procesā.</w:t>
            </w:r>
            <w:bookmarkStart w:id="6" w:name="_GoBack"/>
            <w:bookmarkEnd w:id="6"/>
          </w:p>
          <w:p w14:paraId="721B329C" w14:textId="6D189371" w:rsidR="00B807DC" w:rsidRPr="000A5C70" w:rsidRDefault="00B807DC" w:rsidP="00E57D86">
            <w:pPr>
              <w:jc w:val="both"/>
              <w:rPr>
                <w:b/>
                <w:lang w:eastAsia="en-US"/>
              </w:rPr>
            </w:pPr>
            <w:r w:rsidRPr="000A5C70">
              <w:rPr>
                <w:lang w:eastAsia="en-US"/>
              </w:rPr>
              <w:t xml:space="preserve">Vides aizsardzības un reģionālās attīstības ministrija (turpmāk – VARAM)  </w:t>
            </w:r>
            <w:r w:rsidR="006A6270" w:rsidRPr="000A5C70">
              <w:rPr>
                <w:lang w:eastAsia="en-US"/>
              </w:rPr>
              <w:t>skaidro</w:t>
            </w:r>
            <w:r w:rsidRPr="000A5C70">
              <w:rPr>
                <w:lang w:eastAsia="en-US"/>
              </w:rPr>
              <w:t xml:space="preserve">, ka MK noteikumu Nr. 152 10.1.1. un 10.1.3. apakšpunktā noteikto rādītāju “primārās enerģijas gada patēriņa samazinājums sabiedriskajās ēkās” un “aprēķinātais siltumnīcefekta gāzu samazinājums gadā” sasniedzamās minimālās (obligāti sasniedzamās) vērtības noteiktas un tiek vērtētas attiecībā pret ieguldīto ERAF finansējumu katrā projektā. Tādējādi tiek nodrošināts attiecīgo obligāti sasniedzamo rādītāju apjoms arī pret virssaistību ieguldīto finansējumu. Savukārt MK noteikumu Nr. 152 10.1.2. apakšpunktā noteiktā iznākuma rādītāja “no atjaunojamiem energoresursiem ražotā papildjauda” (turpmāk – AER rādītājs) vērtība saskaņā ar 4.2.2. SAM projektu vērtēšanas kritērijiem nav tieši saistīta ar projektos ieguldīto finansējumu, </w:t>
            </w:r>
            <w:r w:rsidRPr="000A5C70">
              <w:rPr>
                <w:lang w:eastAsia="en-US"/>
              </w:rPr>
              <w:lastRenderedPageBreak/>
              <w:t xml:space="preserve">t.i., projektu iesniegumu iesniedzējiem par šī rādītāja vērtības sasniegšanai nepieciešamās darbības - atjaunojamos energoresursus izmantojošu siltumenerģiju ražojošu avotu iegāde un uzstādīšanas – paredzēšanu projektā tiek piešķirti papildu punkti neatkarīgi no uzstādāmās iekārtas jaudas, ievērojot, ka šis nav obligāti izpildāms </w:t>
            </w:r>
            <w:r w:rsidR="006A6270" w:rsidRPr="000A5C70">
              <w:rPr>
                <w:lang w:eastAsia="en-US"/>
              </w:rPr>
              <w:t>nosacījums</w:t>
            </w:r>
            <w:r w:rsidRPr="000A5C70">
              <w:rPr>
                <w:lang w:eastAsia="en-US"/>
              </w:rPr>
              <w:t xml:space="preserve">. 4.2.2. SAM projektu </w:t>
            </w:r>
            <w:r w:rsidR="006A6270" w:rsidRPr="000A5C70">
              <w:rPr>
                <w:lang w:eastAsia="en-US"/>
              </w:rPr>
              <w:t>pirmās</w:t>
            </w:r>
            <w:r w:rsidRPr="000A5C70">
              <w:rPr>
                <w:lang w:eastAsia="en-US"/>
              </w:rPr>
              <w:t xml:space="preserve"> atlases kārtas īstenošanas laikā secināts, ka </w:t>
            </w:r>
            <w:r w:rsidRPr="000A5C70">
              <w:t>nacionālas nozīmes attīstības centru projektos sākotnēji paredzētais un proporcionāli katrai atlases kārtai pieejamajam finansējumam aprēķinātais AER rādītājs netiks sasniegts, jo projektos atbalstāmās ēkas lielākoties pieslēgtas centralizētajai siltumapgādei. Tas kopumā mazina nepieciešamību atjaunojamos energoresursus (AER) izmantojošu siltumavotu uzstādīšanai. Rezultātā 1. kārtā AER iekārtu ar kopējo jaudu 0,201 MW uzstādīšana tika ieplānota tikai sešos projektos.</w:t>
            </w:r>
            <w:r w:rsidR="006A6270" w:rsidRPr="000A5C70">
              <w:t xml:space="preserve"> Papildus v</w:t>
            </w:r>
            <w:r w:rsidRPr="000A5C70">
              <w:t xml:space="preserve">ēršam uzmanību uz to, ka nav iespējams nodalīt no virssaistībām sasniegto AER rādītāja vērtību, attiecīgi arī no virssaistībām sasniedzamās rādītāja proporcijas </w:t>
            </w:r>
            <w:r w:rsidRPr="000A5C70">
              <w:lastRenderedPageBreak/>
              <w:t xml:space="preserve">noteikšana nav jēgpilna. </w:t>
            </w:r>
            <w:r w:rsidR="006A6270" w:rsidRPr="000A5C70">
              <w:t xml:space="preserve">Vienlaikus, ņemot vērā, ka MK noteikumu projekts paredz obligātas </w:t>
            </w:r>
            <w:r w:rsidRPr="000A5C70">
              <w:rPr>
                <w:lang w:eastAsia="en-US"/>
              </w:rPr>
              <w:t>darbības AER rādītāja sasniegšanai (kopā – 0,74 MW)</w:t>
            </w:r>
            <w:r w:rsidR="006A6270" w:rsidRPr="000A5C70">
              <w:rPr>
                <w:lang w:eastAsia="en-US"/>
              </w:rPr>
              <w:t xml:space="preserve"> visos trešās kārtas projektos</w:t>
            </w:r>
            <w:r w:rsidRPr="000A5C70">
              <w:rPr>
                <w:lang w:eastAsia="en-US"/>
              </w:rPr>
              <w:t>, tiks nodrošināta gan darbības programmā, gan MK noteikumos Nr. 152 noteikto AER rādītāja vērtību sasniegšana.</w:t>
            </w:r>
          </w:p>
        </w:tc>
        <w:tc>
          <w:tcPr>
            <w:tcW w:w="1010" w:type="pct"/>
            <w:tcBorders>
              <w:top w:val="single" w:sz="4" w:space="0" w:color="auto"/>
              <w:left w:val="single" w:sz="4" w:space="0" w:color="auto"/>
              <w:bottom w:val="single" w:sz="4" w:space="0" w:color="auto"/>
            </w:tcBorders>
            <w:shd w:val="clear" w:color="auto" w:fill="auto"/>
          </w:tcPr>
          <w:p w14:paraId="03A9CCE8" w14:textId="77777777" w:rsidR="00047EF9" w:rsidRPr="000A5C70" w:rsidRDefault="00047EF9" w:rsidP="00047EF9">
            <w:pPr>
              <w:tabs>
                <w:tab w:val="left" w:pos="1134"/>
              </w:tabs>
              <w:jc w:val="both"/>
              <w:rPr>
                <w:bCs/>
              </w:rPr>
            </w:pPr>
            <w:r w:rsidRPr="000A5C70">
              <w:rPr>
                <w:bCs/>
              </w:rPr>
              <w:lastRenderedPageBreak/>
              <w:t>3. Izteikt 10.1.2. apakšpunktu šādā redakcijā:</w:t>
            </w:r>
          </w:p>
          <w:p w14:paraId="18718F1C" w14:textId="6C66F407" w:rsidR="00134959" w:rsidRPr="000A5C70" w:rsidRDefault="00E83767" w:rsidP="00CA10F3">
            <w:pPr>
              <w:autoSpaceDE w:val="0"/>
              <w:autoSpaceDN w:val="0"/>
              <w:adjustRightInd w:val="0"/>
              <w:ind w:right="141"/>
              <w:jc w:val="both"/>
            </w:pPr>
            <w:r w:rsidRPr="000A5C70">
              <w:rPr>
                <w:shd w:val="clear" w:color="auto" w:fill="FFFFFF"/>
              </w:rPr>
              <w:t>“10.1.2. no atjaunojamiem energoresursiem ražotā papildjauda – vismaz 1,6 megavati, tai skaitā</w:t>
            </w:r>
            <w:r w:rsidRPr="000A5C70">
              <w:rPr>
                <w:b/>
                <w:bCs/>
                <w:shd w:val="clear" w:color="auto" w:fill="FFFFFF"/>
              </w:rPr>
              <w:t xml:space="preserve"> </w:t>
            </w:r>
            <w:r w:rsidRPr="000A5C70">
              <w:rPr>
                <w:shd w:val="clear" w:color="auto" w:fill="FFFFFF"/>
              </w:rPr>
              <w:t>vismaz 0,74 megavati trešās atlases kārtas projektos;".</w:t>
            </w:r>
          </w:p>
        </w:tc>
      </w:tr>
      <w:tr w:rsidR="000E10EE" w:rsidRPr="000A5C70" w14:paraId="3DD537D0" w14:textId="77777777" w:rsidTr="002A0317">
        <w:trPr>
          <w:trHeight w:val="547"/>
        </w:trPr>
        <w:tc>
          <w:tcPr>
            <w:tcW w:w="170" w:type="pct"/>
            <w:tcBorders>
              <w:top w:val="single" w:sz="6" w:space="0" w:color="000000"/>
              <w:left w:val="single" w:sz="6" w:space="0" w:color="000000"/>
              <w:bottom w:val="single" w:sz="4" w:space="0" w:color="auto"/>
              <w:right w:val="single" w:sz="6" w:space="0" w:color="000000"/>
            </w:tcBorders>
            <w:shd w:val="clear" w:color="auto" w:fill="auto"/>
          </w:tcPr>
          <w:p w14:paraId="2E2DC582" w14:textId="77777777" w:rsidR="000E10EE" w:rsidRPr="000A5C70" w:rsidRDefault="000E10EE" w:rsidP="000E10EE">
            <w:pPr>
              <w:pStyle w:val="naisc"/>
              <w:numPr>
                <w:ilvl w:val="0"/>
                <w:numId w:val="2"/>
              </w:numPr>
              <w:spacing w:before="0" w:after="0"/>
            </w:pPr>
          </w:p>
        </w:tc>
        <w:tc>
          <w:tcPr>
            <w:tcW w:w="1041" w:type="pct"/>
            <w:tcBorders>
              <w:top w:val="single" w:sz="6" w:space="0" w:color="000000"/>
              <w:left w:val="single" w:sz="6" w:space="0" w:color="000000"/>
              <w:bottom w:val="single" w:sz="6" w:space="0" w:color="000000"/>
              <w:right w:val="single" w:sz="6" w:space="0" w:color="000000"/>
            </w:tcBorders>
            <w:shd w:val="clear" w:color="auto" w:fill="auto"/>
          </w:tcPr>
          <w:p w14:paraId="2CFEDA61" w14:textId="77777777" w:rsidR="000E10EE" w:rsidRPr="000A5C70" w:rsidRDefault="000E10EE" w:rsidP="000E10EE">
            <w:pPr>
              <w:tabs>
                <w:tab w:val="left" w:pos="1134"/>
              </w:tabs>
              <w:jc w:val="both"/>
            </w:pPr>
            <w:r w:rsidRPr="000A5C70">
              <w:rPr>
                <w:bCs/>
                <w:shd w:val="clear" w:color="auto" w:fill="FFFFFF"/>
              </w:rPr>
              <w:t>5. Aizstāt 15.2. apakšpunktā skaitli "18 466 858" ar skaitli "12 794 161", skaitli "15 696 829" ar skaitli "10 875 037" un skaitli "2 770 029" ar skaitli "1 919 124".</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14:paraId="480C8006" w14:textId="77777777" w:rsidR="000E10EE" w:rsidRPr="000A5C70" w:rsidRDefault="000E10EE" w:rsidP="000E10EE">
            <w:pPr>
              <w:tabs>
                <w:tab w:val="left" w:pos="720"/>
                <w:tab w:val="left" w:pos="993"/>
              </w:tabs>
              <w:jc w:val="both"/>
            </w:pPr>
            <w:r w:rsidRPr="000A5C70">
              <w:rPr>
                <w:b/>
              </w:rPr>
              <w:t>Finanšu ministrija (14.02.2020. atzinums)</w:t>
            </w:r>
          </w:p>
          <w:p w14:paraId="22983648" w14:textId="77777777" w:rsidR="000E10EE" w:rsidRPr="000A5C70" w:rsidRDefault="000E10EE" w:rsidP="000E10EE">
            <w:pPr>
              <w:tabs>
                <w:tab w:val="left" w:pos="720"/>
                <w:tab w:val="left" w:pos="993"/>
              </w:tabs>
              <w:jc w:val="both"/>
            </w:pPr>
          </w:p>
          <w:p w14:paraId="4467224D" w14:textId="77777777" w:rsidR="000E10EE" w:rsidRPr="000A5C70" w:rsidRDefault="000E10EE" w:rsidP="000E10EE">
            <w:pPr>
              <w:tabs>
                <w:tab w:val="left" w:pos="720"/>
                <w:tab w:val="left" w:pos="993"/>
              </w:tabs>
              <w:jc w:val="both"/>
              <w:rPr>
                <w:b/>
              </w:rPr>
            </w:pPr>
            <w:r w:rsidRPr="000A5C70">
              <w:t>Lūdzam precizēt noteikumu projekta 5.punktu, palielinot nacionālo finansējumu par 1 </w:t>
            </w:r>
            <w:r w:rsidRPr="000A5C70">
              <w:rPr>
                <w:i/>
              </w:rPr>
              <w:t>euro</w:t>
            </w:r>
            <w:r w:rsidRPr="000A5C70">
              <w:t>, tādējādi nodrošinot korektu proporciju starp Eiropas Reģionālās attīstības fonda finansējumu un nacionālo līdzfinansējumu.</w:t>
            </w:r>
          </w:p>
        </w:tc>
        <w:tc>
          <w:tcPr>
            <w:tcW w:w="1121" w:type="pct"/>
            <w:tcBorders>
              <w:top w:val="single" w:sz="6" w:space="0" w:color="000000"/>
              <w:left w:val="single" w:sz="6" w:space="0" w:color="000000"/>
              <w:bottom w:val="single" w:sz="4" w:space="0" w:color="auto"/>
              <w:right w:val="single" w:sz="6" w:space="0" w:color="000000"/>
            </w:tcBorders>
            <w:shd w:val="clear" w:color="auto" w:fill="auto"/>
          </w:tcPr>
          <w:p w14:paraId="439BBC03" w14:textId="77777777" w:rsidR="000E10EE" w:rsidRPr="000A5C70" w:rsidRDefault="000E10EE" w:rsidP="000E10EE">
            <w:pPr>
              <w:jc w:val="both"/>
              <w:rPr>
                <w:b/>
                <w:lang w:eastAsia="en-US"/>
              </w:rPr>
            </w:pPr>
            <w:r w:rsidRPr="000A5C70">
              <w:rPr>
                <w:b/>
                <w:lang w:eastAsia="en-US"/>
              </w:rPr>
              <w:t>Ņemts vērā</w:t>
            </w:r>
          </w:p>
        </w:tc>
        <w:tc>
          <w:tcPr>
            <w:tcW w:w="1010" w:type="pct"/>
            <w:tcBorders>
              <w:top w:val="single" w:sz="4" w:space="0" w:color="auto"/>
              <w:left w:val="single" w:sz="4" w:space="0" w:color="auto"/>
              <w:bottom w:val="single" w:sz="4" w:space="0" w:color="auto"/>
            </w:tcBorders>
            <w:shd w:val="clear" w:color="auto" w:fill="auto"/>
          </w:tcPr>
          <w:p w14:paraId="406A5E3F" w14:textId="1910B6F4" w:rsidR="00170EC5" w:rsidRPr="00B1777C" w:rsidRDefault="000E10EE" w:rsidP="000E10EE">
            <w:pPr>
              <w:tabs>
                <w:tab w:val="left" w:pos="1134"/>
              </w:tabs>
              <w:jc w:val="both"/>
              <w:rPr>
                <w:bCs/>
                <w:shd w:val="clear" w:color="auto" w:fill="FFFFFF"/>
              </w:rPr>
            </w:pPr>
            <w:r w:rsidRPr="00B1777C">
              <w:rPr>
                <w:bCs/>
                <w:shd w:val="clear" w:color="auto" w:fill="FFFFFF"/>
              </w:rPr>
              <w:t xml:space="preserve">5. </w:t>
            </w:r>
            <w:r w:rsidR="00170EC5" w:rsidRPr="00B1777C">
              <w:rPr>
                <w:bCs/>
                <w:shd w:val="clear" w:color="auto" w:fill="FFFFFF"/>
              </w:rPr>
              <w:t>Aizstāt 14. punktā skaitli "55 289 876" ar skaitli "55 289 877" un skaitli "8 293 482" ar skaitli "8 293 483".</w:t>
            </w:r>
          </w:p>
          <w:p w14:paraId="7CAED22E" w14:textId="77777777" w:rsidR="00170EC5" w:rsidRPr="00B1777C" w:rsidRDefault="00170EC5" w:rsidP="000E10EE">
            <w:pPr>
              <w:tabs>
                <w:tab w:val="left" w:pos="1134"/>
              </w:tabs>
              <w:jc w:val="both"/>
              <w:rPr>
                <w:bCs/>
                <w:shd w:val="clear" w:color="auto" w:fill="FFFFFF"/>
              </w:rPr>
            </w:pPr>
          </w:p>
          <w:p w14:paraId="536E018A" w14:textId="77777777" w:rsidR="00703421" w:rsidRPr="00B1777C" w:rsidRDefault="00170EC5" w:rsidP="00703421">
            <w:pPr>
              <w:pStyle w:val="ListParagraph"/>
              <w:ind w:left="0"/>
              <w:jc w:val="both"/>
              <w:rPr>
                <w:rFonts w:ascii="Times New Roman" w:hAnsi="Times New Roman"/>
                <w:sz w:val="24"/>
                <w:szCs w:val="24"/>
              </w:rPr>
            </w:pPr>
            <w:r w:rsidRPr="00B1777C">
              <w:rPr>
                <w:rFonts w:ascii="Times New Roman" w:hAnsi="Times New Roman"/>
                <w:bCs/>
                <w:shd w:val="clear" w:color="auto" w:fill="FFFFFF"/>
              </w:rPr>
              <w:t xml:space="preserve">6. </w:t>
            </w:r>
            <w:r w:rsidR="00703421" w:rsidRPr="00B1777C">
              <w:rPr>
                <w:rFonts w:ascii="Times New Roman" w:hAnsi="Times New Roman"/>
                <w:sz w:val="24"/>
                <w:szCs w:val="24"/>
              </w:rPr>
              <w:t>Izteikt 15. punktu šādā redakcijā:</w:t>
            </w:r>
          </w:p>
          <w:p w14:paraId="1D7229F7" w14:textId="3E3DE07A" w:rsidR="00703421" w:rsidRPr="00B1777C" w:rsidRDefault="00703421" w:rsidP="00703421">
            <w:pPr>
              <w:pStyle w:val="ListParagraph"/>
              <w:ind w:left="0"/>
              <w:jc w:val="both"/>
              <w:rPr>
                <w:rFonts w:ascii="Times New Roman" w:hAnsi="Times New Roman"/>
                <w:sz w:val="24"/>
                <w:szCs w:val="24"/>
                <w:shd w:val="clear" w:color="auto" w:fill="FFFFFF"/>
              </w:rPr>
            </w:pPr>
            <w:r w:rsidRPr="00B1777C">
              <w:rPr>
                <w:rFonts w:ascii="Times New Roman" w:hAnsi="Times New Roman"/>
                <w:sz w:val="24"/>
                <w:szCs w:val="24"/>
                <w:shd w:val="clear" w:color="auto" w:fill="FFFFFF"/>
              </w:rPr>
              <w:t>"15. Finansējuma sadalījums pa atlases kārtām:</w:t>
            </w:r>
          </w:p>
          <w:p w14:paraId="54804572" w14:textId="77777777" w:rsidR="00703421" w:rsidRPr="00B1777C" w:rsidRDefault="00703421" w:rsidP="00703421">
            <w:pPr>
              <w:pStyle w:val="ListParagraph"/>
              <w:ind w:left="0" w:firstLine="709"/>
              <w:jc w:val="both"/>
              <w:rPr>
                <w:rFonts w:ascii="Times New Roman" w:hAnsi="Times New Roman"/>
                <w:sz w:val="24"/>
                <w:szCs w:val="24"/>
                <w:shd w:val="clear" w:color="auto" w:fill="FFFFFF"/>
              </w:rPr>
            </w:pPr>
            <w:r w:rsidRPr="00B1777C">
              <w:rPr>
                <w:rFonts w:ascii="Times New Roman" w:hAnsi="Times New Roman"/>
                <w:sz w:val="24"/>
                <w:szCs w:val="24"/>
                <w:shd w:val="clear" w:color="auto" w:fill="FFFFFF"/>
              </w:rPr>
              <w:t xml:space="preserve">15.1. pirmās atlases kārtas ietvaros plānotais finansējums ir ne vairāk kā 36 823 018 </w:t>
            </w:r>
            <w:r w:rsidRPr="00B1777C">
              <w:rPr>
                <w:rFonts w:ascii="Times New Roman" w:hAnsi="Times New Roman"/>
                <w:i/>
                <w:sz w:val="24"/>
                <w:szCs w:val="24"/>
                <w:shd w:val="clear" w:color="auto" w:fill="FFFFFF"/>
              </w:rPr>
              <w:t>euro</w:t>
            </w:r>
            <w:r w:rsidRPr="00B1777C">
              <w:rPr>
                <w:rFonts w:ascii="Times New Roman" w:hAnsi="Times New Roman"/>
                <w:sz w:val="24"/>
                <w:szCs w:val="24"/>
                <w:shd w:val="clear" w:color="auto" w:fill="FFFFFF"/>
              </w:rPr>
              <w:t xml:space="preserve">, tai skaitā Eiropas Reģionālās attīstības fonda finansējums – 31 299 565 </w:t>
            </w:r>
            <w:r w:rsidRPr="00B1777C">
              <w:rPr>
                <w:rFonts w:ascii="Times New Roman" w:hAnsi="Times New Roman"/>
                <w:i/>
                <w:sz w:val="24"/>
                <w:szCs w:val="24"/>
                <w:shd w:val="clear" w:color="auto" w:fill="FFFFFF"/>
              </w:rPr>
              <w:t>euro</w:t>
            </w:r>
            <w:r w:rsidRPr="00B1777C">
              <w:rPr>
                <w:rFonts w:ascii="Times New Roman" w:hAnsi="Times New Roman"/>
                <w:sz w:val="24"/>
                <w:szCs w:val="24"/>
                <w:shd w:val="clear" w:color="auto" w:fill="FFFFFF"/>
              </w:rPr>
              <w:t xml:space="preserve"> (tai skaitā virssaistību finansējums 15 602 736 </w:t>
            </w:r>
            <w:r w:rsidRPr="00B1777C">
              <w:rPr>
                <w:rFonts w:ascii="Times New Roman" w:hAnsi="Times New Roman"/>
                <w:i/>
                <w:sz w:val="24"/>
                <w:szCs w:val="24"/>
                <w:shd w:val="clear" w:color="auto" w:fill="FFFFFF"/>
              </w:rPr>
              <w:t>euro</w:t>
            </w:r>
            <w:r w:rsidRPr="00B1777C">
              <w:rPr>
                <w:rFonts w:ascii="Times New Roman" w:hAnsi="Times New Roman"/>
                <w:sz w:val="24"/>
                <w:szCs w:val="24"/>
                <w:shd w:val="clear" w:color="auto" w:fill="FFFFFF"/>
              </w:rPr>
              <w:t xml:space="preserve">) un nacionālais finansējums – ne vairāk kā 5 523 453 </w:t>
            </w:r>
            <w:r w:rsidRPr="00B1777C">
              <w:rPr>
                <w:rFonts w:ascii="Times New Roman" w:hAnsi="Times New Roman"/>
                <w:i/>
                <w:sz w:val="24"/>
                <w:szCs w:val="24"/>
                <w:shd w:val="clear" w:color="auto" w:fill="FFFFFF"/>
              </w:rPr>
              <w:t>euro</w:t>
            </w:r>
            <w:r w:rsidRPr="00B1777C">
              <w:rPr>
                <w:rFonts w:ascii="Times New Roman" w:hAnsi="Times New Roman"/>
                <w:sz w:val="24"/>
                <w:szCs w:val="24"/>
                <w:shd w:val="clear" w:color="auto" w:fill="FFFFFF"/>
              </w:rPr>
              <w:t>;</w:t>
            </w:r>
          </w:p>
          <w:p w14:paraId="6F503D34" w14:textId="77777777" w:rsidR="002B50C7" w:rsidRPr="00B1777C" w:rsidRDefault="00703421" w:rsidP="002B50C7">
            <w:pPr>
              <w:pStyle w:val="ListParagraph"/>
              <w:ind w:left="0" w:firstLine="709"/>
              <w:jc w:val="both"/>
              <w:rPr>
                <w:rFonts w:ascii="Times New Roman" w:hAnsi="Times New Roman"/>
                <w:sz w:val="24"/>
                <w:szCs w:val="24"/>
                <w:shd w:val="clear" w:color="auto" w:fill="FFFFFF"/>
              </w:rPr>
            </w:pPr>
            <w:r w:rsidRPr="00B1777C">
              <w:rPr>
                <w:rFonts w:ascii="Times New Roman" w:hAnsi="Times New Roman"/>
                <w:sz w:val="24"/>
                <w:szCs w:val="24"/>
                <w:shd w:val="clear" w:color="auto" w:fill="FFFFFF"/>
              </w:rPr>
              <w:t xml:space="preserve">15.2. otrās atlases kārtas ietvaros plānotais finansējums ir ne vairāk kā 12 794 162 </w:t>
            </w:r>
            <w:r w:rsidRPr="00B1777C">
              <w:rPr>
                <w:rFonts w:ascii="Times New Roman" w:hAnsi="Times New Roman"/>
                <w:i/>
                <w:sz w:val="24"/>
                <w:szCs w:val="24"/>
                <w:shd w:val="clear" w:color="auto" w:fill="FFFFFF"/>
              </w:rPr>
              <w:t>euro</w:t>
            </w:r>
            <w:r w:rsidRPr="00B1777C">
              <w:rPr>
                <w:rFonts w:ascii="Times New Roman" w:hAnsi="Times New Roman"/>
                <w:sz w:val="24"/>
                <w:szCs w:val="24"/>
                <w:shd w:val="clear" w:color="auto" w:fill="FFFFFF"/>
              </w:rPr>
              <w:t xml:space="preserve">, tai skaitā </w:t>
            </w:r>
            <w:r w:rsidRPr="00B1777C">
              <w:rPr>
                <w:rFonts w:ascii="Times New Roman" w:hAnsi="Times New Roman"/>
                <w:sz w:val="24"/>
                <w:szCs w:val="24"/>
                <w:shd w:val="clear" w:color="auto" w:fill="FFFFFF"/>
              </w:rPr>
              <w:lastRenderedPageBreak/>
              <w:t xml:space="preserve">Eiropas Reģionālās attīstības fonda finansējums – 10 875 037 </w:t>
            </w:r>
            <w:r w:rsidRPr="00B1777C">
              <w:rPr>
                <w:rFonts w:ascii="Times New Roman" w:hAnsi="Times New Roman"/>
                <w:i/>
                <w:sz w:val="24"/>
                <w:szCs w:val="24"/>
                <w:shd w:val="clear" w:color="auto" w:fill="FFFFFF"/>
              </w:rPr>
              <w:t>euro</w:t>
            </w:r>
            <w:r w:rsidRPr="00B1777C">
              <w:rPr>
                <w:rFonts w:ascii="Times New Roman" w:hAnsi="Times New Roman"/>
                <w:sz w:val="24"/>
                <w:szCs w:val="24"/>
                <w:shd w:val="clear" w:color="auto" w:fill="FFFFFF"/>
              </w:rPr>
              <w:t xml:space="preserve"> un nacionālais finansējums – ne vairāk kā 1 919 125 </w:t>
            </w:r>
            <w:r w:rsidRPr="00B1777C">
              <w:rPr>
                <w:rFonts w:ascii="Times New Roman" w:hAnsi="Times New Roman"/>
                <w:i/>
                <w:sz w:val="24"/>
                <w:szCs w:val="24"/>
                <w:shd w:val="clear" w:color="auto" w:fill="FFFFFF"/>
              </w:rPr>
              <w:t>euro</w:t>
            </w:r>
            <w:r w:rsidR="002B50C7" w:rsidRPr="00B1777C">
              <w:rPr>
                <w:rFonts w:ascii="Times New Roman" w:hAnsi="Times New Roman"/>
                <w:sz w:val="24"/>
                <w:szCs w:val="24"/>
                <w:shd w:val="clear" w:color="auto" w:fill="FFFFFF"/>
              </w:rPr>
              <w:t>;</w:t>
            </w:r>
          </w:p>
          <w:p w14:paraId="4888A957" w14:textId="2C1FA19B" w:rsidR="00170EC5" w:rsidRPr="00B1777C" w:rsidRDefault="002B50C7" w:rsidP="002B50C7">
            <w:pPr>
              <w:pStyle w:val="ListParagraph"/>
              <w:ind w:left="0" w:firstLine="709"/>
              <w:jc w:val="both"/>
              <w:rPr>
                <w:rFonts w:ascii="Times New Roman" w:hAnsi="Times New Roman"/>
              </w:rPr>
            </w:pPr>
            <w:r w:rsidRPr="00B1777C">
              <w:rPr>
                <w:rFonts w:ascii="Times New Roman" w:hAnsi="Times New Roman"/>
                <w:sz w:val="24"/>
                <w:szCs w:val="24"/>
                <w:shd w:val="clear" w:color="auto" w:fill="FFFFFF"/>
              </w:rPr>
              <w:t xml:space="preserve">15.3. trešās atlases kārtas ietvaros plānotais finansējums ir vismaz 5 672 697 </w:t>
            </w:r>
            <w:r w:rsidRPr="00B1777C">
              <w:rPr>
                <w:rFonts w:ascii="Times New Roman" w:hAnsi="Times New Roman"/>
                <w:i/>
                <w:sz w:val="24"/>
                <w:szCs w:val="24"/>
                <w:shd w:val="clear" w:color="auto" w:fill="FFFFFF"/>
              </w:rPr>
              <w:t>euro</w:t>
            </w:r>
            <w:r w:rsidRPr="00B1777C">
              <w:rPr>
                <w:rFonts w:ascii="Times New Roman" w:hAnsi="Times New Roman"/>
                <w:sz w:val="24"/>
                <w:szCs w:val="24"/>
                <w:shd w:val="clear" w:color="auto" w:fill="FFFFFF"/>
              </w:rPr>
              <w:t xml:space="preserve">, tai skaitā Eiropas Reģionālās attīstības fonda finansējums – vismaz 4 821 792 </w:t>
            </w:r>
            <w:r w:rsidRPr="00B1777C">
              <w:rPr>
                <w:rFonts w:ascii="Times New Roman" w:hAnsi="Times New Roman"/>
                <w:i/>
                <w:sz w:val="24"/>
                <w:szCs w:val="24"/>
                <w:shd w:val="clear" w:color="auto" w:fill="FFFFFF"/>
              </w:rPr>
              <w:t>euro</w:t>
            </w:r>
            <w:r w:rsidRPr="00B1777C">
              <w:rPr>
                <w:rFonts w:ascii="Times New Roman" w:hAnsi="Times New Roman"/>
                <w:sz w:val="24"/>
                <w:szCs w:val="24"/>
                <w:shd w:val="clear" w:color="auto" w:fill="FFFFFF"/>
              </w:rPr>
              <w:t xml:space="preserve"> un nacionālais finansējums – vismaz 850 905 </w:t>
            </w:r>
            <w:r w:rsidRPr="00B1777C">
              <w:rPr>
                <w:rFonts w:ascii="Times New Roman" w:hAnsi="Times New Roman"/>
                <w:i/>
                <w:sz w:val="24"/>
                <w:szCs w:val="24"/>
                <w:shd w:val="clear" w:color="auto" w:fill="FFFFFF"/>
              </w:rPr>
              <w:t>euro</w:t>
            </w:r>
            <w:r w:rsidR="00703421" w:rsidRPr="00B1777C">
              <w:rPr>
                <w:rFonts w:ascii="Times New Roman" w:hAnsi="Times New Roman"/>
                <w:sz w:val="24"/>
                <w:szCs w:val="24"/>
                <w:shd w:val="clear" w:color="auto" w:fill="FFFFFF"/>
              </w:rPr>
              <w:t>."</w:t>
            </w:r>
          </w:p>
        </w:tc>
      </w:tr>
      <w:tr w:rsidR="002A0317" w:rsidRPr="000A5C70" w14:paraId="0F4C444E" w14:textId="77777777" w:rsidTr="002A0317">
        <w:trPr>
          <w:trHeight w:val="1319"/>
        </w:trPr>
        <w:tc>
          <w:tcPr>
            <w:tcW w:w="170" w:type="pct"/>
            <w:tcBorders>
              <w:top w:val="single" w:sz="4" w:space="0" w:color="auto"/>
              <w:left w:val="single" w:sz="4" w:space="0" w:color="auto"/>
              <w:bottom w:val="single" w:sz="4" w:space="0" w:color="auto"/>
              <w:right w:val="single" w:sz="4" w:space="0" w:color="auto"/>
            </w:tcBorders>
            <w:shd w:val="clear" w:color="auto" w:fill="auto"/>
          </w:tcPr>
          <w:p w14:paraId="37CAEBCC" w14:textId="77777777" w:rsidR="002A0317" w:rsidRPr="000A5C70" w:rsidRDefault="002A0317" w:rsidP="0057781B">
            <w:pPr>
              <w:pStyle w:val="naisc"/>
              <w:numPr>
                <w:ilvl w:val="0"/>
                <w:numId w:val="2"/>
              </w:numPr>
              <w:spacing w:before="0" w:after="0"/>
            </w:pPr>
          </w:p>
        </w:tc>
        <w:tc>
          <w:tcPr>
            <w:tcW w:w="1041" w:type="pct"/>
            <w:vMerge w:val="restart"/>
            <w:tcBorders>
              <w:top w:val="single" w:sz="6" w:space="0" w:color="000000"/>
              <w:left w:val="single" w:sz="4" w:space="0" w:color="auto"/>
              <w:right w:val="single" w:sz="6" w:space="0" w:color="000000"/>
            </w:tcBorders>
            <w:shd w:val="clear" w:color="auto" w:fill="auto"/>
          </w:tcPr>
          <w:p w14:paraId="235F8E01" w14:textId="4FF30666" w:rsidR="002A0317" w:rsidRPr="000A5C70" w:rsidRDefault="002A0317" w:rsidP="00857BE3">
            <w:pPr>
              <w:jc w:val="both"/>
              <w:rPr>
                <w:b/>
                <w:lang w:eastAsia="en-US"/>
              </w:rPr>
            </w:pPr>
            <w:r w:rsidRPr="000A5C70">
              <w:rPr>
                <w:b/>
                <w:lang w:eastAsia="en-US"/>
              </w:rPr>
              <w:t>Noteikumu projekts</w:t>
            </w:r>
          </w:p>
        </w:tc>
        <w:tc>
          <w:tcPr>
            <w:tcW w:w="1658" w:type="pct"/>
            <w:tcBorders>
              <w:top w:val="single" w:sz="6" w:space="0" w:color="000000"/>
              <w:left w:val="single" w:sz="6" w:space="0" w:color="000000"/>
              <w:bottom w:val="single" w:sz="6" w:space="0" w:color="000000"/>
              <w:right w:val="single" w:sz="4" w:space="0" w:color="auto"/>
            </w:tcBorders>
            <w:shd w:val="clear" w:color="auto" w:fill="auto"/>
          </w:tcPr>
          <w:p w14:paraId="23D7790F" w14:textId="77777777" w:rsidR="002A0317" w:rsidRPr="000A5C70" w:rsidRDefault="002A0317" w:rsidP="0057781B">
            <w:pPr>
              <w:tabs>
                <w:tab w:val="left" w:pos="720"/>
                <w:tab w:val="left" w:pos="993"/>
              </w:tabs>
              <w:jc w:val="both"/>
              <w:rPr>
                <w:b/>
              </w:rPr>
            </w:pPr>
            <w:r w:rsidRPr="000A5C70">
              <w:rPr>
                <w:b/>
              </w:rPr>
              <w:t>Finanšu ministrija (14.02.2020. atzinums)</w:t>
            </w:r>
          </w:p>
          <w:p w14:paraId="1C4BECDF" w14:textId="77777777" w:rsidR="002A0317" w:rsidRPr="000A5C70" w:rsidRDefault="002A0317" w:rsidP="0057781B">
            <w:pPr>
              <w:tabs>
                <w:tab w:val="left" w:pos="720"/>
                <w:tab w:val="left" w:pos="993"/>
              </w:tabs>
              <w:jc w:val="both"/>
              <w:rPr>
                <w:b/>
              </w:rPr>
            </w:pPr>
          </w:p>
          <w:p w14:paraId="4EDD989C" w14:textId="5AEEE4F4" w:rsidR="002A0317" w:rsidRPr="000A5C70" w:rsidRDefault="002A0317" w:rsidP="0057781B">
            <w:pPr>
              <w:spacing w:after="120"/>
              <w:jc w:val="both"/>
              <w:rPr>
                <w:b/>
                <w:lang w:eastAsia="en-US"/>
              </w:rPr>
            </w:pPr>
            <w:r w:rsidRPr="000A5C70">
              <w:t xml:space="preserve">MK noteikumu Nr.152 </w:t>
            </w:r>
            <w:r w:rsidRPr="000A5C70">
              <w:rPr>
                <w:shd w:val="clear" w:color="auto" w:fill="FFFFFF"/>
              </w:rPr>
              <w:t>33.punkts nosaka, ka dokumentāciju, kas saistīta ar valsts atbalstu komercdarbībai, atbalsta sniedzējs un atbalsta saņēmējs glabā 10 gadus no atbalsta piešķiršanas dienas.</w:t>
            </w:r>
            <w:r w:rsidRPr="000A5C70">
              <w:t xml:space="preserve"> Gadījumos, kad atbalstu sniedz saskaņā ar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 (turpmāk – EK lēmums Nr.2012/21/ES), pilnvarojuma uzlicējam un </w:t>
            </w:r>
            <w:r w:rsidRPr="000A5C70">
              <w:rPr>
                <w:shd w:val="clear" w:color="auto" w:fill="FFFFFF"/>
              </w:rPr>
              <w:t xml:space="preserve">atbalsta saņēmējam ir pienākums </w:t>
            </w:r>
            <w:r w:rsidRPr="000A5C70">
              <w:t xml:space="preserve">dokumentāciju glabāt </w:t>
            </w:r>
            <w:r w:rsidRPr="000A5C70">
              <w:rPr>
                <w:shd w:val="clear" w:color="auto" w:fill="FFFFFF"/>
              </w:rPr>
              <w:t xml:space="preserve">10 gadus no pilnvarojuma termiņa beigām, attiecīgi lūdzam precizēt </w:t>
            </w:r>
            <w:r w:rsidRPr="000A5C70">
              <w:t>MK noteikumu Nr.152 33.punktu.</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548580D" w14:textId="77777777" w:rsidR="002A0317" w:rsidRPr="000A5C70" w:rsidRDefault="002A0317" w:rsidP="0057781B">
            <w:pPr>
              <w:spacing w:after="120"/>
              <w:jc w:val="both"/>
              <w:rPr>
                <w:b/>
                <w:lang w:eastAsia="en-US"/>
              </w:rPr>
            </w:pPr>
            <w:r w:rsidRPr="000A5C70">
              <w:rPr>
                <w:b/>
                <w:lang w:eastAsia="en-US"/>
              </w:rPr>
              <w:t>Ņemts vērā</w:t>
            </w:r>
          </w:p>
          <w:p w14:paraId="2366CC95" w14:textId="77777777" w:rsidR="002A0317" w:rsidRPr="000A5C70" w:rsidRDefault="002A0317" w:rsidP="0057781B">
            <w:pPr>
              <w:jc w:val="both"/>
              <w:rPr>
                <w:lang w:eastAsia="en-US"/>
              </w:rPr>
            </w:pPr>
          </w:p>
          <w:p w14:paraId="5E46EBC5" w14:textId="0F4FC8FF" w:rsidR="002A0317" w:rsidRPr="000A5C70" w:rsidRDefault="002A0317" w:rsidP="00921C8A">
            <w:pPr>
              <w:jc w:val="both"/>
              <w:rPr>
                <w:lang w:eastAsia="en-US"/>
              </w:rPr>
            </w:pPr>
            <w:r w:rsidRPr="000A5C70">
              <w:rPr>
                <w:lang w:eastAsia="en-US"/>
              </w:rPr>
              <w:t>Vienlaikus norādām</w:t>
            </w:r>
            <w:r w:rsidRPr="000A5C70">
              <w:t xml:space="preserve">, ka MK noteikumos Nr. 152 jau ir atsauce uz Eiropas Komisijas 2011. gada 20. decembra Lēmumu Nr. 2012/21/ES </w:t>
            </w:r>
            <w:r w:rsidRPr="000A5C70">
              <w:rPr>
                <w:i/>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0A5C70">
              <w:t xml:space="preserve">, kas arī ietver to, ka projekta iesniedzējam jānodrošina Eiropas Komisijas 2011. gada 20. decembra lēmuma </w:t>
            </w:r>
            <w:r w:rsidRPr="000A5C70">
              <w:lastRenderedPageBreak/>
              <w:t xml:space="preserve">Nr. 2012/21/ES  106. panta 2. punktā noteikto pilnvarojuma uzlicēja un atbalsta saņēmēja pienākumu dokumentāciju glabāt </w:t>
            </w:r>
            <w:r w:rsidRPr="000A5C70">
              <w:rPr>
                <w:shd w:val="clear" w:color="auto" w:fill="FFFFFF"/>
              </w:rPr>
              <w:t>10 gadus no pilnvarojuma termiņa beigām</w:t>
            </w:r>
            <w:r w:rsidRPr="000A5C70">
              <w:t>.</w:t>
            </w:r>
          </w:p>
        </w:tc>
        <w:tc>
          <w:tcPr>
            <w:tcW w:w="1010" w:type="pct"/>
            <w:vMerge w:val="restart"/>
            <w:tcBorders>
              <w:top w:val="single" w:sz="4" w:space="0" w:color="auto"/>
              <w:left w:val="single" w:sz="4" w:space="0" w:color="auto"/>
            </w:tcBorders>
            <w:shd w:val="clear" w:color="auto" w:fill="auto"/>
          </w:tcPr>
          <w:p w14:paraId="12F3EC8A" w14:textId="0C6D6CAB" w:rsidR="002A0317" w:rsidRPr="00B1777C" w:rsidRDefault="002A0317" w:rsidP="0057781B">
            <w:pPr>
              <w:tabs>
                <w:tab w:val="left" w:pos="1134"/>
              </w:tabs>
              <w:jc w:val="both"/>
            </w:pPr>
            <w:r w:rsidRPr="00B1777C">
              <w:lastRenderedPageBreak/>
              <w:t>1</w:t>
            </w:r>
            <w:r w:rsidR="00287B04" w:rsidRPr="00B1777C">
              <w:t>1</w:t>
            </w:r>
            <w:r w:rsidRPr="00B1777C">
              <w:t>. Izteikt noteikumu 33. punktu šādā redakcijā:</w:t>
            </w:r>
          </w:p>
          <w:p w14:paraId="32C6148B" w14:textId="77777777" w:rsidR="002A0317" w:rsidRPr="00B1777C" w:rsidRDefault="002A0317" w:rsidP="0057781B">
            <w:pPr>
              <w:tabs>
                <w:tab w:val="left" w:pos="1134"/>
              </w:tabs>
              <w:jc w:val="both"/>
              <w:rPr>
                <w:bCs/>
                <w:shd w:val="clear" w:color="auto" w:fill="FFFFFF"/>
              </w:rPr>
            </w:pPr>
          </w:p>
          <w:p w14:paraId="5CE3193E" w14:textId="62CDD4F1" w:rsidR="00337158" w:rsidRPr="00B1777C" w:rsidRDefault="002A0317" w:rsidP="002A0317">
            <w:pPr>
              <w:tabs>
                <w:tab w:val="left" w:pos="1134"/>
              </w:tabs>
              <w:jc w:val="both"/>
              <w:rPr>
                <w:rFonts w:eastAsia="Calibri"/>
                <w:bCs/>
                <w:shd w:val="clear" w:color="auto" w:fill="FFFFFF"/>
              </w:rPr>
            </w:pPr>
            <w:r w:rsidRPr="00B1777C">
              <w:rPr>
                <w:rFonts w:eastAsia="Calibri"/>
                <w:bCs/>
                <w:shd w:val="clear" w:color="auto" w:fill="FFFFFF"/>
              </w:rPr>
              <w:t>"</w:t>
            </w:r>
            <w:r w:rsidRPr="00B1777C">
              <w:rPr>
                <w:bCs/>
              </w:rPr>
              <w:t xml:space="preserve">33. </w:t>
            </w:r>
            <w:r w:rsidR="00170EC5" w:rsidRPr="00B1777C">
              <w:rPr>
                <w:bCs/>
              </w:rPr>
              <w:t xml:space="preserve">Dokumentāciju, kas saistīta ar valsts atbalstu komercdarbībai, atbalsta sniedzējs un atbalsta saņēmējs glabā 10 gadus no atbalsta piešķiršanas dienas. Dokumentāciju, kas saistīta ar valsts atbalstu sabiedriskajiem pakalpojumiem ar vispārēju tautsaimniecisku nozīmi, atbalsta saņēmējs un vispārējas tautsaimnieciskas nozīmes pakalpojuma pilnvarojuma uzlicējs glabā 10 gadus no </w:t>
            </w:r>
            <w:r w:rsidR="00170EC5" w:rsidRPr="00B1777C">
              <w:rPr>
                <w:bCs/>
              </w:rPr>
              <w:lastRenderedPageBreak/>
              <w:t>uzliktā pilnvarojuma termiņa beigām.</w:t>
            </w:r>
            <w:r w:rsidRPr="00B1777C">
              <w:rPr>
                <w:rFonts w:eastAsia="Calibri"/>
                <w:bCs/>
                <w:shd w:val="clear" w:color="auto" w:fill="FFFFFF"/>
              </w:rPr>
              <w:t>"</w:t>
            </w:r>
          </w:p>
        </w:tc>
      </w:tr>
      <w:tr w:rsidR="002A0317" w:rsidRPr="000A5C70" w14:paraId="5E7F44C2" w14:textId="77777777" w:rsidTr="002A0317">
        <w:trPr>
          <w:trHeight w:val="547"/>
        </w:trPr>
        <w:tc>
          <w:tcPr>
            <w:tcW w:w="170" w:type="pct"/>
            <w:tcBorders>
              <w:top w:val="single" w:sz="4" w:space="0" w:color="auto"/>
              <w:left w:val="single" w:sz="6" w:space="0" w:color="000000"/>
              <w:bottom w:val="single" w:sz="6" w:space="0" w:color="000000"/>
              <w:right w:val="single" w:sz="6" w:space="0" w:color="000000"/>
            </w:tcBorders>
            <w:shd w:val="clear" w:color="auto" w:fill="auto"/>
          </w:tcPr>
          <w:p w14:paraId="02CB7788" w14:textId="77777777" w:rsidR="002A0317" w:rsidRPr="000A5C70" w:rsidRDefault="002A0317" w:rsidP="0057781B">
            <w:pPr>
              <w:pStyle w:val="naisc"/>
              <w:numPr>
                <w:ilvl w:val="0"/>
                <w:numId w:val="2"/>
              </w:numPr>
              <w:spacing w:before="0" w:after="0"/>
            </w:pPr>
          </w:p>
        </w:tc>
        <w:tc>
          <w:tcPr>
            <w:tcW w:w="1041" w:type="pct"/>
            <w:vMerge/>
            <w:tcBorders>
              <w:left w:val="single" w:sz="6" w:space="0" w:color="000000"/>
              <w:bottom w:val="single" w:sz="6" w:space="0" w:color="000000"/>
              <w:right w:val="single" w:sz="6" w:space="0" w:color="000000"/>
            </w:tcBorders>
            <w:shd w:val="clear" w:color="auto" w:fill="auto"/>
          </w:tcPr>
          <w:p w14:paraId="52B55F8B" w14:textId="77777777" w:rsidR="002A0317" w:rsidRPr="000A5C70" w:rsidRDefault="002A0317" w:rsidP="0057781B">
            <w:pPr>
              <w:jc w:val="both"/>
              <w:rPr>
                <w:b/>
                <w:lang w:eastAsia="en-US"/>
              </w:rPr>
            </w:pPr>
          </w:p>
        </w:tc>
        <w:tc>
          <w:tcPr>
            <w:tcW w:w="1658" w:type="pct"/>
            <w:tcBorders>
              <w:top w:val="single" w:sz="6" w:space="0" w:color="000000"/>
              <w:left w:val="single" w:sz="6" w:space="0" w:color="000000"/>
              <w:bottom w:val="single" w:sz="6" w:space="0" w:color="000000"/>
              <w:right w:val="single" w:sz="4" w:space="0" w:color="auto"/>
            </w:tcBorders>
            <w:shd w:val="clear" w:color="auto" w:fill="auto"/>
          </w:tcPr>
          <w:p w14:paraId="63F9D094" w14:textId="1FE5D528" w:rsidR="002A0317" w:rsidRPr="000A5C70" w:rsidRDefault="002A0317" w:rsidP="0057781B">
            <w:pPr>
              <w:tabs>
                <w:tab w:val="left" w:pos="720"/>
                <w:tab w:val="left" w:pos="993"/>
              </w:tabs>
              <w:jc w:val="both"/>
              <w:rPr>
                <w:b/>
              </w:rPr>
            </w:pPr>
            <w:r w:rsidRPr="000A5C70">
              <w:rPr>
                <w:b/>
              </w:rPr>
              <w:t>Tieslietu ministr</w:t>
            </w:r>
            <w:r w:rsidR="000C7D3F" w:rsidRPr="000A5C70">
              <w:rPr>
                <w:b/>
              </w:rPr>
              <w:t>ij</w:t>
            </w:r>
            <w:r w:rsidRPr="000A5C70">
              <w:rPr>
                <w:b/>
              </w:rPr>
              <w:t>a (11.03.2020. atzinums)</w:t>
            </w:r>
          </w:p>
          <w:p w14:paraId="498490FF" w14:textId="77777777" w:rsidR="002A0317" w:rsidRPr="000A5C70" w:rsidRDefault="002A0317" w:rsidP="0057781B">
            <w:pPr>
              <w:tabs>
                <w:tab w:val="left" w:pos="720"/>
                <w:tab w:val="left" w:pos="993"/>
              </w:tabs>
              <w:jc w:val="both"/>
              <w:rPr>
                <w:b/>
              </w:rPr>
            </w:pPr>
          </w:p>
          <w:p w14:paraId="64E64E8B" w14:textId="27E25106" w:rsidR="002A0317" w:rsidRPr="000A5C70" w:rsidRDefault="002A0317" w:rsidP="00857BE3">
            <w:pPr>
              <w:pStyle w:val="xmsonormal"/>
              <w:jc w:val="both"/>
              <w:rPr>
                <w:rFonts w:ascii="Times New Roman" w:hAnsi="Times New Roman" w:cs="Times New Roman"/>
                <w:sz w:val="24"/>
                <w:szCs w:val="24"/>
              </w:rPr>
            </w:pPr>
            <w:r w:rsidRPr="000A5C70">
              <w:rPr>
                <w:rFonts w:ascii="Times New Roman" w:hAnsi="Times New Roman" w:cs="Times New Roman"/>
                <w:sz w:val="24"/>
                <w:szCs w:val="24"/>
              </w:rPr>
              <w:t>Atbilstoši Ministru kabineta 2009. gada 3. februāra noteikumu Nr. 108 "Normatīvo aktu projektu sagatavošanas noteikumi" (turpmāk – noteikumi Nr. 108) 131. punktam noteikumu projektā ietver atsauces tikai un vienīgi uz normatīvajiem aktiem. Norādām, ka noteikumu projekta 10. punktā un 11. punktā norādītais Komisijas Lēmums Nr. 2012/21/ES nav normatīvais akts. Ievērojot minēto, lūdzam noteikumu projekta 10. un 11. punktā svītrot atsauci uz Komisijas Lēmuma Nr. 2012/21/ES 6. pantu un 8. pantu un nepieciešamības gadījumā šī lēmuma normas, kuras nepieciešams padarīt saistošas privātpersonām, pārņemt (iestrādāt) noteikumu projektā.</w:t>
            </w:r>
          </w:p>
          <w:p w14:paraId="726019C3" w14:textId="77777777" w:rsidR="002A0317" w:rsidRPr="000A5C70" w:rsidRDefault="002A0317" w:rsidP="00857BE3">
            <w:pPr>
              <w:pStyle w:val="xmsonormal"/>
              <w:jc w:val="both"/>
              <w:rPr>
                <w:rFonts w:ascii="Times New Roman" w:hAnsi="Times New Roman" w:cs="Times New Roman"/>
                <w:sz w:val="24"/>
                <w:szCs w:val="24"/>
              </w:rPr>
            </w:pPr>
            <w:r w:rsidRPr="000A5C70">
              <w:rPr>
                <w:rFonts w:ascii="Times New Roman" w:hAnsi="Times New Roman" w:cs="Times New Roman"/>
                <w:sz w:val="24"/>
                <w:szCs w:val="24"/>
              </w:rPr>
              <w:t>Skaidrojam, ka lēmumi ir individuāli tiesību akti, kas rada tiesības un uzliek pienākumus to adresātam. Lēmumi ir tieši piemērojami tiesību akti. Tomēr ne vienmēr lēmumi attiecas tikai uz privātpersonām.</w:t>
            </w:r>
          </w:p>
          <w:p w14:paraId="6BC943ED" w14:textId="77777777" w:rsidR="002A0317" w:rsidRPr="000A5C70" w:rsidRDefault="002A0317" w:rsidP="00857BE3">
            <w:pPr>
              <w:pStyle w:val="xmsonormal"/>
              <w:jc w:val="both"/>
              <w:rPr>
                <w:rFonts w:ascii="Times New Roman" w:hAnsi="Times New Roman" w:cs="Times New Roman"/>
                <w:sz w:val="24"/>
                <w:szCs w:val="24"/>
              </w:rPr>
            </w:pPr>
            <w:r w:rsidRPr="000A5C70">
              <w:rPr>
                <w:rFonts w:ascii="Times New Roman" w:hAnsi="Times New Roman" w:cs="Times New Roman"/>
                <w:sz w:val="24"/>
                <w:szCs w:val="24"/>
              </w:rPr>
              <w:t>Norādām, ka Komisijas 2011. gada 20. decembra Lēmuma Nr. 2012/21/ES par Līguma par Eiropas Savienības darbību 106. panta 2. punkta piemērošanu valsts atbalstam attiecībā uz kompensāciju par sabiedriskajiem pakalpojumiem dažiem uzņēmumiem, kuriem uzticēts sniegt pakalpojumus ar vispārēju tautsaimniecisku nozīmi (turpmāk - Lēmums) 13. pants nosaka, ka šis lēmums ir adresēts dalībvalstīm. Šādā gadījumā</w:t>
            </w:r>
            <w:r w:rsidRPr="000A5C70">
              <w:rPr>
                <w:rFonts w:ascii="Times New Roman" w:hAnsi="Times New Roman" w:cs="Times New Roman"/>
                <w:sz w:val="24"/>
                <w:szCs w:val="24"/>
                <w:u w:val="single"/>
              </w:rPr>
              <w:t xml:space="preserve"> dalībvalstīm </w:t>
            </w:r>
            <w:r w:rsidRPr="000A5C70">
              <w:rPr>
                <w:rFonts w:ascii="Times New Roman" w:hAnsi="Times New Roman" w:cs="Times New Roman"/>
                <w:sz w:val="24"/>
                <w:szCs w:val="24"/>
                <w:u w:val="single"/>
              </w:rPr>
              <w:lastRenderedPageBreak/>
              <w:t>ir jāvērtē, vai lēmums satur tādas normas, kas attiecas arī uz privātpersonām.</w:t>
            </w:r>
            <w:r w:rsidRPr="000A5C70">
              <w:rPr>
                <w:rFonts w:ascii="Times New Roman" w:hAnsi="Times New Roman" w:cs="Times New Roman"/>
                <w:sz w:val="24"/>
                <w:szCs w:val="24"/>
              </w:rPr>
              <w:t xml:space="preserve"> Ja lēmums šādas normas satur, tad </w:t>
            </w:r>
            <w:r w:rsidRPr="000A5C70">
              <w:rPr>
                <w:rFonts w:ascii="Times New Roman" w:hAnsi="Times New Roman" w:cs="Times New Roman"/>
                <w:sz w:val="24"/>
                <w:szCs w:val="24"/>
                <w:u w:val="single"/>
              </w:rPr>
              <w:t>dalībvalstīm, līdzīgi kā saistībā ar direktīvu pārņemšanu, ir savlaicīgi jāsasniedz lēmumā noteiktais mērķis, lēmumā iekļautos nosacījumus iestrādājot nacionālajos tiesību aktos.</w:t>
            </w:r>
            <w:r w:rsidRPr="000A5C70">
              <w:rPr>
                <w:rFonts w:ascii="Times New Roman" w:hAnsi="Times New Roman" w:cs="Times New Roman"/>
                <w:sz w:val="24"/>
                <w:szCs w:val="24"/>
              </w:rPr>
              <w:t xml:space="preserve"> </w:t>
            </w:r>
          </w:p>
          <w:p w14:paraId="233FBF21" w14:textId="77777777" w:rsidR="002A0317" w:rsidRPr="000A5C70" w:rsidRDefault="002A0317" w:rsidP="00857BE3">
            <w:pPr>
              <w:pStyle w:val="xmsonormal"/>
              <w:ind w:firstLine="720"/>
              <w:jc w:val="both"/>
              <w:rPr>
                <w:rFonts w:ascii="Times New Roman" w:hAnsi="Times New Roman" w:cs="Times New Roman"/>
                <w:sz w:val="24"/>
                <w:szCs w:val="24"/>
              </w:rPr>
            </w:pPr>
            <w:r w:rsidRPr="000A5C70">
              <w:rPr>
                <w:rFonts w:ascii="Times New Roman" w:hAnsi="Times New Roman" w:cs="Times New Roman"/>
                <w:sz w:val="24"/>
                <w:szCs w:val="24"/>
              </w:rPr>
              <w:t xml:space="preserve">Lēmuma 2. pants nosaka, ka šo lēmumu piemēro valsts atbalstam attiecībā uz kompensāciju par sabiedrisko pakalpojumu sniegšanu, kas piešķirta </w:t>
            </w:r>
            <w:r w:rsidRPr="000A5C70">
              <w:rPr>
                <w:rFonts w:ascii="Times New Roman" w:hAnsi="Times New Roman" w:cs="Times New Roman"/>
                <w:sz w:val="24"/>
                <w:szCs w:val="24"/>
                <w:u w:val="single"/>
              </w:rPr>
              <w:t>uzņēmumiem, kuriem uzticēts sniegt pakalpojumus ar vispārēju tautsaimniecisku nozīmi</w:t>
            </w:r>
            <w:r w:rsidRPr="000A5C70">
              <w:rPr>
                <w:rFonts w:ascii="Times New Roman" w:hAnsi="Times New Roman" w:cs="Times New Roman"/>
                <w:sz w:val="24"/>
                <w:szCs w:val="24"/>
              </w:rPr>
              <w:t xml:space="preserve">. </w:t>
            </w:r>
          </w:p>
          <w:p w14:paraId="131F27C0" w14:textId="5F941B58" w:rsidR="002A0317" w:rsidRPr="000A5C70" w:rsidRDefault="002A0317" w:rsidP="00857BE3">
            <w:pPr>
              <w:tabs>
                <w:tab w:val="left" w:pos="720"/>
                <w:tab w:val="left" w:pos="993"/>
              </w:tabs>
              <w:jc w:val="both"/>
              <w:rPr>
                <w:b/>
              </w:rPr>
            </w:pPr>
            <w:r w:rsidRPr="000A5C70">
              <w:t>Vērtējot noteikumu projekta 10. punktu secināms, ka noteikumu projektā noteikts, ka finansējuma saņēmējam ir jāiesniedz sadarbības iestādei vispārējas tautsaimnieciskas nozīmes pakalpojuma pilnvarojuma uzlicēja/u apliecinājumus, kurā noteikts, ka vispārējas tautsaimnieciskas nozīmes pakalpojuma pilnvarojuma uzlicējiem ir jānodrošina Lēmuma 6. pantā noteikto pārmērīgas kompensācijas kontroli. Noteikumu projekta 8. punktā norādīts, ka finansējuma saņēmēji ir arī pašvaldību kapitālsabiedrības. Norādām, ka iepriekš minētie finansējuma saņēmēji ir juridiskas personas, attiecīgi šajā gadījumā Lēmums ir adresēts dalībvalstīm, bet dalībvalstij adresētajā lēmumā</w:t>
            </w:r>
            <w:r w:rsidRPr="000A5C70">
              <w:rPr>
                <w:u w:val="single"/>
              </w:rPr>
              <w:t>, iespējams</w:t>
            </w:r>
            <w:r w:rsidRPr="000A5C70">
              <w:t xml:space="preserve">, ir ietvertas normas, kas noteikumu projektā tiek attiecināmas arī uz juridiskajām personām. Lai tikai dalībvalstij saistošā lēmumā ietvertos nosacījumus piemērotu attiecībās ar privātpersonām, t.sk. juridiskajām personām, tie jāpārņem privātpersonām saistošos nacionālajos normatīvajos aktos. </w:t>
            </w:r>
            <w:r w:rsidRPr="000A5C70">
              <w:rPr>
                <w:u w:val="single"/>
              </w:rPr>
              <w:t xml:space="preserve">Attiecīgi lūdzam izvērtēt, vai tiešām noteikumu projekta 10. punktā uzliktais pienākums juridiskām personām ievērot Lēmuma 6. punktā noteiktos un noteikumu projekta 11. punktā </w:t>
            </w:r>
            <w:r w:rsidRPr="000A5C70">
              <w:rPr>
                <w:u w:val="single"/>
              </w:rPr>
              <w:lastRenderedPageBreak/>
              <w:t>uzliktais pienākums juridiskām personām ievērot Lēmuma 8. punktā noteiktos nosacījumus ir pamatots. Ja noteikumu projekta 10. un 11. punktā uzliktais pienākums juridiskām personām ievērot Lēmuma 6. un 8. punktā noteikto ir pamatots un nepieciešamas, tad Lēmuma 6. un 8. punkts jāpārņem noteikumu projektā.</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9DCCF7B" w14:textId="77777777" w:rsidR="002A0317" w:rsidRPr="000A5C70" w:rsidRDefault="002A0317" w:rsidP="0057781B">
            <w:pPr>
              <w:spacing w:after="120"/>
              <w:jc w:val="both"/>
              <w:rPr>
                <w:b/>
                <w:lang w:eastAsia="en-US"/>
              </w:rPr>
            </w:pPr>
            <w:r w:rsidRPr="000A5C70">
              <w:rPr>
                <w:b/>
                <w:lang w:eastAsia="en-US"/>
              </w:rPr>
              <w:lastRenderedPageBreak/>
              <w:t>Ņemts vērā</w:t>
            </w:r>
          </w:p>
          <w:p w14:paraId="7EE98EBD" w14:textId="05B056FB" w:rsidR="00044C8E" w:rsidRPr="000A5C70" w:rsidRDefault="00337158" w:rsidP="00044C8E">
            <w:pPr>
              <w:spacing w:after="120"/>
              <w:jc w:val="both"/>
              <w:rPr>
                <w:b/>
                <w:lang w:eastAsia="en-US"/>
              </w:rPr>
            </w:pPr>
            <w:r w:rsidRPr="000A5C70">
              <w:rPr>
                <w:lang w:eastAsia="en-US"/>
              </w:rPr>
              <w:t xml:space="preserve">Saskaņā ar MK noteikumu Nr. 152 31. punktu 4.2.2. SAM projekta iesniedzējs var būt valsts vai pašvaldības apmaksāto veselības aprūpes pakalpojumu sniedzējs vai sabiedrisko pakalpojumu sniedzējs, kam ar pašvaldību noslēgts pakalpojumu līgums par veselības aprūpes pakalpojumu sniegšanu, ūdenssaimniecības vai siltumapgādes sabiedrisko pakalpojumu sniegšanu. Attiecīgi šiem atbalsta saņēmējiem ir saistošs  </w:t>
            </w:r>
            <w:r w:rsidRPr="000A5C70">
              <w:t>Eiropas Komisijas 2011. gada 20. decembra Lēmuma</w:t>
            </w:r>
            <w:r w:rsidR="00044C8E" w:rsidRPr="000A5C70">
              <w:t xml:space="preserve"> 8. pantā ietvertais nosacījums. Noteikumu projekta 1</w:t>
            </w:r>
            <w:r w:rsidR="008C45A3" w:rsidRPr="000A5C70">
              <w:t>2</w:t>
            </w:r>
            <w:r w:rsidR="00044C8E" w:rsidRPr="000A5C70">
              <w:t>. punktā precizēta redakcija, svītrojot atsauci uz Eiropas Komisijas lēmumu un iekļaujot konkrēto normu.</w:t>
            </w:r>
          </w:p>
          <w:p w14:paraId="2D44A979" w14:textId="1A3A8002" w:rsidR="00337158" w:rsidRPr="000A5C70" w:rsidRDefault="00337158" w:rsidP="0057781B">
            <w:pPr>
              <w:spacing w:after="120"/>
              <w:jc w:val="both"/>
              <w:rPr>
                <w:b/>
                <w:lang w:eastAsia="en-US"/>
              </w:rPr>
            </w:pPr>
          </w:p>
        </w:tc>
        <w:tc>
          <w:tcPr>
            <w:tcW w:w="1010" w:type="pct"/>
            <w:vMerge/>
            <w:tcBorders>
              <w:left w:val="single" w:sz="4" w:space="0" w:color="auto"/>
              <w:bottom w:val="single" w:sz="4" w:space="0" w:color="auto"/>
            </w:tcBorders>
            <w:shd w:val="clear" w:color="auto" w:fill="auto"/>
          </w:tcPr>
          <w:p w14:paraId="3E264DB1" w14:textId="77777777" w:rsidR="002A0317" w:rsidRPr="000A5C70" w:rsidRDefault="002A0317" w:rsidP="0057781B">
            <w:pPr>
              <w:tabs>
                <w:tab w:val="left" w:pos="1134"/>
              </w:tabs>
              <w:jc w:val="both"/>
              <w:rPr>
                <w:b/>
              </w:rPr>
            </w:pPr>
          </w:p>
        </w:tc>
      </w:tr>
      <w:tr w:rsidR="0057781B" w:rsidRPr="000A5C70" w14:paraId="198EFAEA" w14:textId="77777777" w:rsidTr="002A0317">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7BE52392" w14:textId="01C3A459" w:rsidR="0057781B" w:rsidRPr="000A5C70" w:rsidRDefault="0057781B" w:rsidP="0057781B">
            <w:pPr>
              <w:pStyle w:val="naisc"/>
              <w:numPr>
                <w:ilvl w:val="0"/>
                <w:numId w:val="2"/>
              </w:numPr>
              <w:spacing w:before="0" w:after="0"/>
            </w:pPr>
          </w:p>
        </w:tc>
        <w:tc>
          <w:tcPr>
            <w:tcW w:w="1041" w:type="pct"/>
            <w:tcBorders>
              <w:top w:val="single" w:sz="6" w:space="0" w:color="000000"/>
              <w:left w:val="single" w:sz="6" w:space="0" w:color="000000"/>
              <w:bottom w:val="single" w:sz="6" w:space="0" w:color="000000"/>
              <w:right w:val="single" w:sz="6" w:space="0" w:color="000000"/>
            </w:tcBorders>
            <w:shd w:val="clear" w:color="auto" w:fill="auto"/>
          </w:tcPr>
          <w:p w14:paraId="2092A3EF" w14:textId="3694CE94" w:rsidR="0057781B" w:rsidRPr="000A5C70" w:rsidRDefault="0057781B" w:rsidP="0057781B">
            <w:pPr>
              <w:spacing w:after="120"/>
              <w:jc w:val="both"/>
              <w:rPr>
                <w:b/>
                <w:lang w:eastAsia="en-US"/>
              </w:rPr>
            </w:pPr>
            <w:r w:rsidRPr="000A5C70">
              <w:rPr>
                <w:b/>
                <w:lang w:eastAsia="en-US"/>
              </w:rPr>
              <w:t>Noteikumu projekts</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14:paraId="34A7C019" w14:textId="77777777" w:rsidR="0057781B" w:rsidRPr="000A5C70" w:rsidRDefault="0057781B" w:rsidP="0057781B">
            <w:pPr>
              <w:tabs>
                <w:tab w:val="left" w:pos="720"/>
                <w:tab w:val="left" w:pos="993"/>
              </w:tabs>
              <w:jc w:val="both"/>
              <w:rPr>
                <w:b/>
              </w:rPr>
            </w:pPr>
            <w:r w:rsidRPr="000A5C70">
              <w:rPr>
                <w:b/>
              </w:rPr>
              <w:t>Finanšu ministrija (14.02.2020. atzinums)</w:t>
            </w:r>
          </w:p>
          <w:p w14:paraId="2281425F" w14:textId="77777777" w:rsidR="0057781B" w:rsidRPr="000A5C70" w:rsidRDefault="0057781B" w:rsidP="0057781B">
            <w:pPr>
              <w:jc w:val="both"/>
            </w:pPr>
          </w:p>
          <w:p w14:paraId="53DBEE55" w14:textId="77777777" w:rsidR="0057781B" w:rsidRPr="000A5C70" w:rsidRDefault="0057781B" w:rsidP="0057781B">
            <w:pPr>
              <w:jc w:val="both"/>
            </w:pPr>
            <w:r w:rsidRPr="000A5C70">
              <w:t>Skaidrojam, ka atbalsta sniedzējam jānodrošina individuālā atbalsta projektu uzraudzība to ieviešanas laikā un pēcuzraudzība pēc to īstenošanas, pārliecinoties par komercdarbības atbalsta nosacījumu ievērošanu visā projekta dzīves ciklā, proti, infrastruktūras amortizācijas laikā. Līdz ar to, lūdzam precizēt MK noteikumu Nr.152 34.punktu šādā redakcijā:</w:t>
            </w:r>
          </w:p>
          <w:p w14:paraId="37531915" w14:textId="77777777" w:rsidR="0057781B" w:rsidRPr="000A5C70" w:rsidRDefault="0057781B" w:rsidP="0057781B">
            <w:pPr>
              <w:jc w:val="both"/>
              <w:rPr>
                <w:b/>
              </w:rPr>
            </w:pPr>
            <w:r w:rsidRPr="000A5C70">
              <w:rPr>
                <w:iCs/>
              </w:rPr>
              <w:t xml:space="preserve">“Ja ar saimniecisku darbību nesaistīts projekts vai projekts, kas saistīts ar tādu saimniecisko darbību, kura nav kvalificējama kā komercdarbības atbalsts, ieviešanas gaitā vai </w:t>
            </w:r>
            <w:r w:rsidRPr="000A5C70">
              <w:rPr>
                <w:b/>
                <w:bCs/>
                <w:iCs/>
                <w:u w:val="single"/>
              </w:rPr>
              <w:t>projekta dzīves ciklā (infrastruktūras amortizācijas periodā)</w:t>
            </w:r>
            <w:r w:rsidRPr="000A5C70">
              <w:rPr>
                <w:iCs/>
              </w:rPr>
              <w:t xml:space="preserve"> kļūst par projektu, kas saistīts ar saimniecisku darbību, kura kvalificējama kā komercdarbības atbalsts, </w:t>
            </w:r>
            <w:r w:rsidRPr="000A5C70">
              <w:rPr>
                <w:iCs/>
                <w:shd w:val="clear" w:color="auto" w:fill="FFFFFF"/>
              </w:rPr>
              <w:t>finansējuma saņēmējs no finansējuma, kura avots nav publiskie līdzekļi, atmaksā sadarbības iestādei visu saņemto publisko finansējumu</w:t>
            </w:r>
            <w:r w:rsidRPr="000A5C70">
              <w:rPr>
                <w:iCs/>
              </w:rPr>
              <w:t xml:space="preserve">. </w:t>
            </w:r>
            <w:r w:rsidRPr="000A5C70">
              <w:rPr>
                <w:b/>
                <w:bCs/>
                <w:iCs/>
                <w:u w:val="single"/>
              </w:rPr>
              <w:t>Sadarbības iestāde nodrošina veikto investīciju atbilstības uzraudzību reizi gadā visā projekta dzīves ciklā atbilstoši šo 48.punktā noteiktajam nosacījumam.</w:t>
            </w:r>
            <w:r w:rsidRPr="000A5C70">
              <w:rPr>
                <w:iCs/>
              </w:rPr>
              <w:t>”.</w:t>
            </w:r>
          </w:p>
        </w:tc>
        <w:tc>
          <w:tcPr>
            <w:tcW w:w="1121" w:type="pct"/>
            <w:tcBorders>
              <w:top w:val="single" w:sz="4" w:space="0" w:color="auto"/>
              <w:left w:val="single" w:sz="6" w:space="0" w:color="000000"/>
              <w:bottom w:val="single" w:sz="6" w:space="0" w:color="000000"/>
              <w:right w:val="single" w:sz="6" w:space="0" w:color="000000"/>
            </w:tcBorders>
            <w:shd w:val="clear" w:color="auto" w:fill="auto"/>
          </w:tcPr>
          <w:p w14:paraId="09F60B2E" w14:textId="77777777" w:rsidR="0057781B" w:rsidRPr="000A5C70" w:rsidRDefault="0057781B" w:rsidP="0057781B">
            <w:pPr>
              <w:spacing w:after="120"/>
              <w:jc w:val="both"/>
              <w:rPr>
                <w:b/>
                <w:lang w:eastAsia="en-US"/>
              </w:rPr>
            </w:pPr>
            <w:r w:rsidRPr="000A5C70">
              <w:rPr>
                <w:b/>
                <w:lang w:eastAsia="en-US"/>
              </w:rPr>
              <w:t>Ņemts vērā</w:t>
            </w:r>
          </w:p>
        </w:tc>
        <w:tc>
          <w:tcPr>
            <w:tcW w:w="1010" w:type="pct"/>
            <w:tcBorders>
              <w:top w:val="single" w:sz="4" w:space="0" w:color="auto"/>
              <w:left w:val="single" w:sz="4" w:space="0" w:color="auto"/>
              <w:bottom w:val="single" w:sz="4" w:space="0" w:color="auto"/>
            </w:tcBorders>
            <w:shd w:val="clear" w:color="auto" w:fill="auto"/>
          </w:tcPr>
          <w:p w14:paraId="505283CC" w14:textId="49047B5D" w:rsidR="00C334FB" w:rsidRPr="00B1777C" w:rsidRDefault="006F456D" w:rsidP="00921C8A">
            <w:pPr>
              <w:tabs>
                <w:tab w:val="left" w:pos="1134"/>
              </w:tabs>
              <w:jc w:val="both"/>
            </w:pPr>
            <w:r w:rsidRPr="00B1777C">
              <w:t>1</w:t>
            </w:r>
            <w:r w:rsidR="00287B04" w:rsidRPr="00B1777C">
              <w:t>2</w:t>
            </w:r>
            <w:r w:rsidR="0057781B" w:rsidRPr="00B1777C">
              <w:t xml:space="preserve">. </w:t>
            </w:r>
            <w:r w:rsidR="00E12209" w:rsidRPr="00B1777C">
              <w:t>Aizstāt 34. punktā vārdus "uzraudzības periodā pēc tā pabeigšanas" ar vārdiem "projekta dzīves ciklā (infrastruktūras amortizācijas periodā)".</w:t>
            </w:r>
          </w:p>
          <w:p w14:paraId="3B71DE1E" w14:textId="77777777" w:rsidR="00E12209" w:rsidRPr="00B1777C" w:rsidRDefault="00E12209" w:rsidP="00921C8A">
            <w:pPr>
              <w:tabs>
                <w:tab w:val="left" w:pos="1134"/>
              </w:tabs>
              <w:jc w:val="both"/>
            </w:pPr>
          </w:p>
          <w:p w14:paraId="089701FA" w14:textId="55E4057A" w:rsidR="00C334FB" w:rsidRPr="00B1777C" w:rsidRDefault="00C334FB" w:rsidP="00490CF1">
            <w:pPr>
              <w:tabs>
                <w:tab w:val="left" w:pos="1134"/>
              </w:tabs>
              <w:jc w:val="both"/>
            </w:pPr>
            <w:r w:rsidRPr="00B1777C">
              <w:rPr>
                <w:bCs/>
                <w:shd w:val="clear" w:color="auto" w:fill="FFFFFF"/>
              </w:rPr>
              <w:t>1</w:t>
            </w:r>
            <w:r w:rsidR="00287B04" w:rsidRPr="00B1777C">
              <w:rPr>
                <w:bCs/>
                <w:shd w:val="clear" w:color="auto" w:fill="FFFFFF"/>
              </w:rPr>
              <w:t>4</w:t>
            </w:r>
            <w:r w:rsidRPr="00B1777C">
              <w:rPr>
                <w:bCs/>
                <w:shd w:val="clear" w:color="auto" w:fill="FFFFFF"/>
              </w:rPr>
              <w:t>. Papildināt noteikumus ar 34.</w:t>
            </w:r>
            <w:r w:rsidRPr="00B1777C">
              <w:rPr>
                <w:bCs/>
                <w:shd w:val="clear" w:color="auto" w:fill="FFFFFF"/>
                <w:vertAlign w:val="superscript"/>
              </w:rPr>
              <w:t>2</w:t>
            </w:r>
            <w:r w:rsidRPr="00B1777C">
              <w:rPr>
                <w:bCs/>
                <w:shd w:val="clear" w:color="auto" w:fill="FFFFFF"/>
              </w:rPr>
              <w:t xml:space="preserve"> punktu šādā redakcijā:</w:t>
            </w:r>
          </w:p>
          <w:p w14:paraId="243397A2" w14:textId="77777777" w:rsidR="00C334FB" w:rsidRPr="00B1777C" w:rsidRDefault="00C334FB" w:rsidP="00490CF1">
            <w:pPr>
              <w:tabs>
                <w:tab w:val="left" w:pos="1134"/>
              </w:tabs>
              <w:jc w:val="both"/>
              <w:rPr>
                <w:bCs/>
                <w:shd w:val="clear" w:color="auto" w:fill="FFFFFF"/>
              </w:rPr>
            </w:pPr>
            <w:r w:rsidRPr="00B1777C">
              <w:rPr>
                <w:bCs/>
                <w:shd w:val="clear" w:color="auto" w:fill="FFFFFF"/>
              </w:rPr>
              <w:t>"34.</w:t>
            </w:r>
            <w:r w:rsidRPr="00B1777C">
              <w:rPr>
                <w:bCs/>
                <w:shd w:val="clear" w:color="auto" w:fill="FFFFFF"/>
                <w:vertAlign w:val="superscript"/>
              </w:rPr>
              <w:t>2</w:t>
            </w:r>
            <w:r w:rsidRPr="00B1777C">
              <w:rPr>
                <w:bCs/>
                <w:shd w:val="clear" w:color="auto" w:fill="FFFFFF"/>
              </w:rPr>
              <w:t xml:space="preserve"> Sadarbības iestāde nodrošina veikto investīciju atbilstības uzraudzību reizi gadā visā projekta dzīves ciklā atbilstoši šo noteikumu 48. punktā noteiktajam nosacījumam."</w:t>
            </w:r>
          </w:p>
          <w:p w14:paraId="2DEA88CD" w14:textId="1B7C97CA" w:rsidR="00C334FB" w:rsidRPr="00B1777C" w:rsidRDefault="00C334FB" w:rsidP="00921C8A">
            <w:pPr>
              <w:tabs>
                <w:tab w:val="left" w:pos="1134"/>
              </w:tabs>
              <w:jc w:val="both"/>
            </w:pPr>
          </w:p>
        </w:tc>
      </w:tr>
      <w:tr w:rsidR="0057781B" w:rsidRPr="000A5C70" w14:paraId="18FCADB3" w14:textId="77777777" w:rsidTr="00860CB0">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1D3C9FB4" w14:textId="77777777" w:rsidR="0057781B" w:rsidRPr="000A5C70" w:rsidRDefault="0057781B" w:rsidP="0057781B">
            <w:pPr>
              <w:pStyle w:val="naisc"/>
              <w:numPr>
                <w:ilvl w:val="0"/>
                <w:numId w:val="2"/>
              </w:numPr>
              <w:spacing w:before="0" w:after="0"/>
            </w:pPr>
          </w:p>
        </w:tc>
        <w:tc>
          <w:tcPr>
            <w:tcW w:w="1041" w:type="pct"/>
            <w:tcBorders>
              <w:top w:val="single" w:sz="6" w:space="0" w:color="000000"/>
              <w:left w:val="single" w:sz="6" w:space="0" w:color="000000"/>
              <w:bottom w:val="single" w:sz="6" w:space="0" w:color="000000"/>
              <w:right w:val="single" w:sz="6" w:space="0" w:color="000000"/>
            </w:tcBorders>
            <w:shd w:val="clear" w:color="auto" w:fill="auto"/>
          </w:tcPr>
          <w:p w14:paraId="39C774D0" w14:textId="072DF1BB" w:rsidR="00792F57" w:rsidRPr="000A5C70" w:rsidRDefault="0057781B" w:rsidP="000A5C70">
            <w:pPr>
              <w:spacing w:after="120"/>
              <w:jc w:val="both"/>
              <w:rPr>
                <w:b/>
                <w:lang w:eastAsia="en-US"/>
              </w:rPr>
            </w:pPr>
            <w:r w:rsidRPr="000A5C70">
              <w:rPr>
                <w:b/>
                <w:lang w:eastAsia="en-US"/>
              </w:rPr>
              <w:t>Noteikumu projekts</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14:paraId="33D920C9" w14:textId="77777777" w:rsidR="0057781B" w:rsidRPr="000A5C70" w:rsidRDefault="0057781B" w:rsidP="0057781B">
            <w:pPr>
              <w:tabs>
                <w:tab w:val="left" w:pos="720"/>
                <w:tab w:val="left" w:pos="993"/>
              </w:tabs>
              <w:jc w:val="both"/>
              <w:rPr>
                <w:b/>
              </w:rPr>
            </w:pPr>
            <w:r w:rsidRPr="000A5C70">
              <w:rPr>
                <w:b/>
              </w:rPr>
              <w:t>Finanšu ministrija (14.02.2020. atzinums)</w:t>
            </w:r>
          </w:p>
          <w:p w14:paraId="2BCB94F7" w14:textId="77777777" w:rsidR="0057781B" w:rsidRPr="000A5C70" w:rsidRDefault="0057781B" w:rsidP="0057781B">
            <w:pPr>
              <w:jc w:val="both"/>
            </w:pPr>
          </w:p>
          <w:p w14:paraId="3C1E8852" w14:textId="7DEEECCE" w:rsidR="0057781B" w:rsidRPr="000A5C70" w:rsidRDefault="0057781B" w:rsidP="0057781B">
            <w:pPr>
              <w:jc w:val="both"/>
            </w:pPr>
            <w:r w:rsidRPr="000A5C70">
              <w:t xml:space="preserve">Vienlaikus norādām, ka atbalsta sniedzējam ir pienākums nodrošināt nelikumīga atbalsta atgūšanu, </w:t>
            </w:r>
            <w:r w:rsidRPr="000A5C70">
              <w:lastRenderedPageBreak/>
              <w:t xml:space="preserve">kas atbalsta saņēmējam piešķirts, neievērojot Līguma par Eiropas Savienības darbību 108.panta 3.punktu un Padomes regulas Nr.2015/1589 2. un 3.pantu, kā arī uz Padomes 1998.gada 7.maija regulas (EK) Nr.994/98 </w:t>
            </w:r>
            <w:r w:rsidRPr="000A5C70">
              <w:rPr>
                <w:iCs/>
              </w:rPr>
              <w:t>par to, kā piemērot Līguma par Eiropas Savienības darbību 107. un 108.pantu attiecībā uz dažu kategoriju valsts horizontālo atbalstu</w:t>
            </w:r>
            <w:r w:rsidRPr="000A5C70">
              <w:t xml:space="preserve"> pamata izdoto Komisijas regulu nosacījumus. Attiecīgi aicinām izvērtēt, vai šobrīd nebūtu jāprecizē MK noteikumu Nr.152 34.punktā iekļautā norma, jo tā ir stingrāka, nekā to nosaka komercdarbības atbalsta nosacījumi. Proti, </w:t>
            </w:r>
            <w:bookmarkStart w:id="7" w:name="_Hlk33797527"/>
            <w:r w:rsidRPr="000A5C70">
              <w:t xml:space="preserve">ja tiek pārsniegts MK noteikumu Nr.152 48.punktā noteiktais 15 procentu apjoms no ēkas kopējās platības (ar saimniecisku darbību nesaistīts projekts, ieviešanas gaitā vai </w:t>
            </w:r>
            <w:r w:rsidRPr="000A5C70">
              <w:rPr>
                <w:b/>
                <w:bCs/>
                <w:u w:val="single"/>
              </w:rPr>
              <w:t>projekta dzīves ciklā (infrastruktūras amortizācijas periodā)</w:t>
            </w:r>
            <w:r w:rsidRPr="000A5C70">
              <w:t xml:space="preserve"> attiecīgajā gadā kļūst par projektu, kas saistīts ar saimniecisku darbību), finansējuma saņēmējam ir pienākums atmaksāt Sadarbības iestādei visu </w:t>
            </w:r>
            <w:bookmarkStart w:id="8" w:name="_Hlk33793737"/>
            <w:r w:rsidRPr="000A5C70">
              <w:t xml:space="preserve">projekta ietvaros </w:t>
            </w:r>
            <w:bookmarkStart w:id="9" w:name="_Hlk33793780"/>
            <w:bookmarkEnd w:id="8"/>
            <w:r w:rsidRPr="000A5C70">
              <w:rPr>
                <w:b/>
                <w:bCs/>
                <w:u w:val="single"/>
              </w:rPr>
              <w:t>saņemto komercdarbības atbalstu kopā ar procentiem</w:t>
            </w:r>
            <w:bookmarkEnd w:id="9"/>
            <w:r w:rsidRPr="000A5C70">
              <w:rPr>
                <w:b/>
                <w:bCs/>
                <w:u w:val="single"/>
              </w:rPr>
              <w:t xml:space="preserve"> </w:t>
            </w:r>
            <w:bookmarkStart w:id="10" w:name="_Hlk33793838"/>
            <w:r w:rsidRPr="000A5C70">
              <w:rPr>
                <w:b/>
                <w:bCs/>
                <w:u w:val="single"/>
              </w:rPr>
              <w:t>par attiecīgo gadu</w:t>
            </w:r>
            <w:bookmarkEnd w:id="10"/>
            <w:r w:rsidRPr="000A5C70">
              <w:rPr>
                <w:b/>
                <w:bCs/>
                <w:u w:val="single"/>
              </w:rPr>
              <w:t>, kurā pārsniegts 48.</w:t>
            </w:r>
            <w:r w:rsidR="006D0814" w:rsidRPr="000A5C70">
              <w:rPr>
                <w:b/>
                <w:bCs/>
                <w:u w:val="single"/>
              </w:rPr>
              <w:t xml:space="preserve"> </w:t>
            </w:r>
            <w:r w:rsidRPr="000A5C70">
              <w:rPr>
                <w:b/>
                <w:bCs/>
                <w:u w:val="single"/>
              </w:rPr>
              <w:t>apakšpunktā noteiktais 15 procentu apjoms no ēkas kopējās platības</w:t>
            </w:r>
            <w:bookmarkEnd w:id="7"/>
            <w:r w:rsidRPr="000A5C70">
              <w:rPr>
                <w:b/>
                <w:bCs/>
                <w:u w:val="single"/>
              </w:rPr>
              <w:t xml:space="preserve">, </w:t>
            </w:r>
            <w:r w:rsidRPr="000A5C70">
              <w:t>ko publicē Eiropas Komisija saskaņā ar Komisijas 2004.gada 21.aprīļa regulas (EK) Nr.794/2004</w:t>
            </w:r>
            <w:r w:rsidRPr="000A5C70">
              <w:rPr>
                <w:i/>
                <w:iCs/>
              </w:rPr>
              <w:t xml:space="preserve">, </w:t>
            </w:r>
            <w:r w:rsidRPr="000A5C70">
              <w:rPr>
                <w:iCs/>
              </w:rPr>
              <w:t>ar ko īsteno Padomes Regulu (ES) 2015/1589, ar ko nosaka sīki izstrādātus noteikumus Līguma par Eiropas Savienības darbību 108. panta piemērošanai</w:t>
            </w:r>
            <w:r w:rsidRPr="000A5C70">
              <w:t xml:space="preserve">, 10.pantu, tiem pieskaitot 100 bāzes punktus, no dienas, kad valsts atbalsts tika izmaksāts finansējuma saņēmējam līdz tā atgūšanas dienai, ievērojot Komisijas 2004.gada 21.aprīļa regulas (EK) Nr.794/2004, </w:t>
            </w:r>
            <w:r w:rsidRPr="000A5C70">
              <w:rPr>
                <w:iCs/>
              </w:rPr>
              <w:t xml:space="preserve">ar ko īsteno Padomes Regulu (ES) 2015/1589, ar ko nosaka sīki izstrādātus </w:t>
            </w:r>
            <w:r w:rsidRPr="000A5C70">
              <w:rPr>
                <w:iCs/>
              </w:rPr>
              <w:lastRenderedPageBreak/>
              <w:t>noteikumus Līguma par Eiropas Savienības darbību 108.panta piemērošanai</w:t>
            </w:r>
            <w:r w:rsidRPr="000A5C70">
              <w:t xml:space="preserve"> 11.pantā noteikto procentu likmes piemērošanas metodi.</w:t>
            </w:r>
          </w:p>
        </w:tc>
        <w:tc>
          <w:tcPr>
            <w:tcW w:w="1121" w:type="pct"/>
            <w:tcBorders>
              <w:top w:val="single" w:sz="6" w:space="0" w:color="000000"/>
              <w:left w:val="single" w:sz="6" w:space="0" w:color="000000"/>
              <w:bottom w:val="single" w:sz="6" w:space="0" w:color="000000"/>
              <w:right w:val="single" w:sz="6" w:space="0" w:color="000000"/>
            </w:tcBorders>
            <w:shd w:val="clear" w:color="auto" w:fill="auto"/>
          </w:tcPr>
          <w:p w14:paraId="1CE0DF1F" w14:textId="11E1F516" w:rsidR="0057781B" w:rsidRPr="000A5C70" w:rsidRDefault="0057781B" w:rsidP="0057781B">
            <w:pPr>
              <w:spacing w:after="120"/>
              <w:jc w:val="both"/>
              <w:rPr>
                <w:b/>
                <w:lang w:eastAsia="en-US"/>
              </w:rPr>
            </w:pPr>
            <w:r w:rsidRPr="000A5C70">
              <w:rPr>
                <w:b/>
                <w:lang w:eastAsia="en-US"/>
              </w:rPr>
              <w:lastRenderedPageBreak/>
              <w:t>Ņemts vērā</w:t>
            </w:r>
          </w:p>
        </w:tc>
        <w:tc>
          <w:tcPr>
            <w:tcW w:w="1010" w:type="pct"/>
            <w:tcBorders>
              <w:top w:val="single" w:sz="4" w:space="0" w:color="auto"/>
              <w:left w:val="single" w:sz="4" w:space="0" w:color="auto"/>
              <w:bottom w:val="single" w:sz="4" w:space="0" w:color="auto"/>
            </w:tcBorders>
            <w:shd w:val="clear" w:color="auto" w:fill="auto"/>
          </w:tcPr>
          <w:p w14:paraId="03BF3A0F" w14:textId="0276EC4B" w:rsidR="00337579" w:rsidRPr="00B1777C" w:rsidRDefault="00337579" w:rsidP="00337579">
            <w:pPr>
              <w:tabs>
                <w:tab w:val="left" w:pos="1134"/>
              </w:tabs>
              <w:jc w:val="both"/>
            </w:pPr>
            <w:r w:rsidRPr="00B1777C">
              <w:t>MK noteikumu projekts papildināts ar diviem jauniem punktiem:</w:t>
            </w:r>
          </w:p>
          <w:p w14:paraId="2753B005" w14:textId="77777777" w:rsidR="00337579" w:rsidRPr="00B1777C" w:rsidRDefault="00337579" w:rsidP="00337579">
            <w:pPr>
              <w:tabs>
                <w:tab w:val="left" w:pos="1134"/>
              </w:tabs>
              <w:jc w:val="both"/>
            </w:pPr>
          </w:p>
          <w:p w14:paraId="23C67497" w14:textId="195D8418" w:rsidR="00337579" w:rsidRPr="00B1777C" w:rsidRDefault="00337579" w:rsidP="00337579">
            <w:pPr>
              <w:tabs>
                <w:tab w:val="left" w:pos="1134"/>
              </w:tabs>
              <w:jc w:val="both"/>
              <w:rPr>
                <w:shd w:val="clear" w:color="auto" w:fill="FFFFFF"/>
              </w:rPr>
            </w:pPr>
            <w:r w:rsidRPr="00B1777C">
              <w:rPr>
                <w:shd w:val="clear" w:color="auto" w:fill="FFFFFF"/>
              </w:rPr>
              <w:lastRenderedPageBreak/>
              <w:t>1</w:t>
            </w:r>
            <w:r w:rsidR="00287B04" w:rsidRPr="00B1777C">
              <w:rPr>
                <w:shd w:val="clear" w:color="auto" w:fill="FFFFFF"/>
              </w:rPr>
              <w:t>3</w:t>
            </w:r>
            <w:r w:rsidRPr="00B1777C">
              <w:rPr>
                <w:shd w:val="clear" w:color="auto" w:fill="FFFFFF"/>
              </w:rPr>
              <w:t>. Papildināt noteikumus ar 34.</w:t>
            </w:r>
            <w:r w:rsidRPr="00B1777C">
              <w:rPr>
                <w:shd w:val="clear" w:color="auto" w:fill="FFFFFF"/>
                <w:vertAlign w:val="superscript"/>
              </w:rPr>
              <w:t>1</w:t>
            </w:r>
            <w:r w:rsidRPr="00B1777C">
              <w:rPr>
                <w:shd w:val="clear" w:color="auto" w:fill="FFFFFF"/>
              </w:rPr>
              <w:t xml:space="preserve"> punktu šādā redakcijā:</w:t>
            </w:r>
          </w:p>
          <w:p w14:paraId="76F121F7" w14:textId="42E35985" w:rsidR="00337579" w:rsidRPr="00B1777C" w:rsidRDefault="00337579" w:rsidP="00337579">
            <w:pPr>
              <w:tabs>
                <w:tab w:val="left" w:pos="1134"/>
              </w:tabs>
              <w:jc w:val="both"/>
              <w:rPr>
                <w:shd w:val="clear" w:color="auto" w:fill="FFFFFF"/>
              </w:rPr>
            </w:pPr>
            <w:r w:rsidRPr="00B1777C">
              <w:rPr>
                <w:shd w:val="clear" w:color="auto" w:fill="FFFFFF"/>
              </w:rPr>
              <w:t>"34.</w:t>
            </w:r>
            <w:r w:rsidRPr="00B1777C">
              <w:rPr>
                <w:shd w:val="clear" w:color="auto" w:fill="FFFFFF"/>
                <w:vertAlign w:val="superscript"/>
              </w:rPr>
              <w:t>1</w:t>
            </w:r>
            <w:r w:rsidRPr="00B1777C">
              <w:rPr>
                <w:shd w:val="clear" w:color="auto" w:fill="FFFFFF"/>
              </w:rPr>
              <w:t xml:space="preserve"> </w:t>
            </w:r>
            <w:r w:rsidR="00911D45" w:rsidRPr="00B1777C">
              <w:rPr>
                <w:shd w:val="clear" w:color="auto" w:fill="FFFFFF"/>
              </w:rPr>
              <w:t>Ja tiek pārkāptas šajos noteikumos noteiktās komercdarbības atbalsta piešķiršanas prasības vispārējas tautsaimnieciskas nozīmes pakalpojuma sniegšanai, atbalsta saņēmējam ir pienākums atmaksāt Sadarbības iestādei visu projekta ietvaros saņemto nelikumīgo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nelikumīgais komercdarbības atbalsts izmaksāts finansējuma saņēmējam līdz tā atgūšanas dienai, ievērojot šajā punktā minētās Komisijas regulas 11. pantā noteikto procentu likmes piemērošanas metodi.</w:t>
            </w:r>
            <w:r w:rsidRPr="00B1777C">
              <w:rPr>
                <w:shd w:val="clear" w:color="auto" w:fill="FFFFFF"/>
              </w:rPr>
              <w:t>"</w:t>
            </w:r>
          </w:p>
          <w:p w14:paraId="20EDF86F" w14:textId="77777777" w:rsidR="00337579" w:rsidRPr="00B1777C" w:rsidRDefault="00337579" w:rsidP="00337579">
            <w:pPr>
              <w:tabs>
                <w:tab w:val="left" w:pos="1134"/>
              </w:tabs>
              <w:jc w:val="both"/>
            </w:pPr>
          </w:p>
          <w:p w14:paraId="7EFA8DC8" w14:textId="4B28BB58" w:rsidR="00D17476" w:rsidRPr="00B1777C" w:rsidRDefault="00D17476" w:rsidP="00337579">
            <w:pPr>
              <w:tabs>
                <w:tab w:val="left" w:pos="1134"/>
              </w:tabs>
              <w:jc w:val="both"/>
              <w:rPr>
                <w:shd w:val="clear" w:color="auto" w:fill="FFFFFF"/>
              </w:rPr>
            </w:pPr>
            <w:r w:rsidRPr="00B1777C">
              <w:t>1</w:t>
            </w:r>
            <w:r w:rsidR="00287B04" w:rsidRPr="00B1777C">
              <w:t>7</w:t>
            </w:r>
            <w:r w:rsidR="0057781B" w:rsidRPr="00B1777C">
              <w:t xml:space="preserve">. </w:t>
            </w:r>
            <w:r w:rsidRPr="00B1777C">
              <w:rPr>
                <w:shd w:val="clear" w:color="auto" w:fill="FFFFFF"/>
              </w:rPr>
              <w:t>Papildināt noteikumus ar 48.</w:t>
            </w:r>
            <w:r w:rsidRPr="00B1777C">
              <w:rPr>
                <w:shd w:val="clear" w:color="auto" w:fill="FFFFFF"/>
                <w:vertAlign w:val="superscript"/>
              </w:rPr>
              <w:t>1</w:t>
            </w:r>
            <w:r w:rsidRPr="00B1777C">
              <w:rPr>
                <w:shd w:val="clear" w:color="auto" w:fill="FFFFFF"/>
              </w:rPr>
              <w:t xml:space="preserve"> punktu šādā redakcijā:</w:t>
            </w:r>
          </w:p>
          <w:p w14:paraId="3CC17CF7" w14:textId="556EE469" w:rsidR="00921C8A" w:rsidRPr="00B1777C" w:rsidRDefault="00D17476" w:rsidP="00921C8A">
            <w:pPr>
              <w:tabs>
                <w:tab w:val="left" w:pos="1134"/>
              </w:tabs>
              <w:jc w:val="both"/>
            </w:pPr>
            <w:r w:rsidRPr="00B1777C">
              <w:rPr>
                <w:shd w:val="clear" w:color="auto" w:fill="FFFFFF"/>
              </w:rPr>
              <w:t>"48.</w:t>
            </w:r>
            <w:r w:rsidRPr="00B1777C">
              <w:rPr>
                <w:shd w:val="clear" w:color="auto" w:fill="FFFFFF"/>
                <w:vertAlign w:val="superscript"/>
              </w:rPr>
              <w:t>1</w:t>
            </w:r>
            <w:r w:rsidRPr="00B1777C">
              <w:rPr>
                <w:shd w:val="clear" w:color="auto" w:fill="FFFFFF"/>
              </w:rPr>
              <w:t xml:space="preserve"> </w:t>
            </w:r>
            <w:r w:rsidR="008A7386" w:rsidRPr="00B1777C">
              <w:rPr>
                <w:shd w:val="clear" w:color="auto" w:fill="FFFFFF"/>
              </w:rPr>
              <w:t>Ja tiek pārsniegts šo noteikumu 48. punktā noteiktais 15 procentu apjoms no ēkas kopējās platības, finansējuma saņēmējam atbilstoši šo noteikumu 34.1 punktam ir pienākums atmaksāt sadarbības iestādei visu projekta ietvaros saņemto komercdarbības atbalstu kopā ar procentiem par attiecīgo gadu, kurā pārsniegts šo noteikumu 48. punktā noteiktais 15 procentu apjoms no ēkas kopējās platības. Nelikumīgais valsts atbalsts ir atgūstams kopā ar procentiem, ko publicē Eiropas Komisija saskaņā ar Komisijas regulas Nr. 794/2004 10. pantu, tiem pieskaitot 100 bāzes punktus, no dienas, kad nelikumīgais valsts atbalsts izmaksāts finansējuma saņēmējam līdz tā atgūšanas dienai, ievērojot šajā punktā minētās Komisijas regulas 11. pantā noteikto procentu likmes piemērošanas metodi.</w:t>
            </w:r>
            <w:r w:rsidRPr="00B1777C">
              <w:rPr>
                <w:shd w:val="clear" w:color="auto" w:fill="FFFFFF"/>
              </w:rPr>
              <w:t>"</w:t>
            </w:r>
          </w:p>
          <w:p w14:paraId="79DC718A" w14:textId="7D749951" w:rsidR="0057781B" w:rsidRPr="00B1777C" w:rsidRDefault="0057781B" w:rsidP="00337579">
            <w:pPr>
              <w:tabs>
                <w:tab w:val="left" w:pos="1134"/>
              </w:tabs>
              <w:jc w:val="both"/>
            </w:pPr>
          </w:p>
        </w:tc>
      </w:tr>
      <w:tr w:rsidR="0057781B" w:rsidRPr="000A5C70" w14:paraId="180ADA71" w14:textId="77777777" w:rsidTr="00860CB0">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30A07B87" w14:textId="77777777" w:rsidR="0057781B" w:rsidRPr="000A5C70" w:rsidRDefault="0057781B" w:rsidP="0057781B">
            <w:pPr>
              <w:pStyle w:val="naisc"/>
              <w:numPr>
                <w:ilvl w:val="0"/>
                <w:numId w:val="2"/>
              </w:numPr>
              <w:spacing w:before="0" w:after="0"/>
            </w:pPr>
          </w:p>
        </w:tc>
        <w:tc>
          <w:tcPr>
            <w:tcW w:w="1041" w:type="pct"/>
            <w:tcBorders>
              <w:top w:val="single" w:sz="6" w:space="0" w:color="000000"/>
              <w:left w:val="single" w:sz="6" w:space="0" w:color="000000"/>
              <w:bottom w:val="single" w:sz="6" w:space="0" w:color="000000"/>
              <w:right w:val="single" w:sz="6" w:space="0" w:color="000000"/>
            </w:tcBorders>
            <w:shd w:val="clear" w:color="auto" w:fill="auto"/>
          </w:tcPr>
          <w:p w14:paraId="17AFB92C" w14:textId="67490BD1" w:rsidR="00A877B8" w:rsidRPr="000A5C70" w:rsidRDefault="0057781B" w:rsidP="00A877B8">
            <w:pPr>
              <w:spacing w:after="120"/>
              <w:jc w:val="both"/>
              <w:rPr>
                <w:b/>
                <w:lang w:eastAsia="en-US"/>
              </w:rPr>
            </w:pPr>
            <w:r w:rsidRPr="000A5C70">
              <w:rPr>
                <w:b/>
                <w:lang w:eastAsia="en-US"/>
              </w:rPr>
              <w:t>Noteikumu projekts</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14:paraId="10BDB64B" w14:textId="77777777" w:rsidR="0057781B" w:rsidRPr="000A5C70" w:rsidRDefault="0057781B" w:rsidP="0057781B">
            <w:pPr>
              <w:tabs>
                <w:tab w:val="left" w:pos="720"/>
                <w:tab w:val="left" w:pos="993"/>
              </w:tabs>
              <w:jc w:val="both"/>
              <w:rPr>
                <w:b/>
              </w:rPr>
            </w:pPr>
            <w:r w:rsidRPr="000A5C70">
              <w:rPr>
                <w:b/>
              </w:rPr>
              <w:t>Finanšu ministrija (14.02.2020. atzinums)</w:t>
            </w:r>
          </w:p>
          <w:p w14:paraId="59071B02" w14:textId="77777777" w:rsidR="0057781B" w:rsidRPr="000A5C70" w:rsidRDefault="0057781B" w:rsidP="0057781B">
            <w:pPr>
              <w:jc w:val="both"/>
            </w:pPr>
          </w:p>
          <w:p w14:paraId="4B5F7944" w14:textId="5A5F2FE8" w:rsidR="0057781B" w:rsidRPr="000A5C70" w:rsidRDefault="0057781B" w:rsidP="0057781B">
            <w:pPr>
              <w:jc w:val="both"/>
            </w:pPr>
            <w:r w:rsidRPr="000A5C70">
              <w:lastRenderedPageBreak/>
              <w:t>Aicinām precizēt MK noteikumu Nr.152 48.punktu, ņemot vērā, ka, lai infrastruktūru kopumā uzskatītu par nesaimniecisku, tajā ir pieļaujama nevis jebkāda saimnieciska darbība, bet gan tāda, kas “tieši saistīta ar infrastruktūras ekspluatāciju un tai nepieciešama vai nesaraujami saistīta ar tās galveno nesaimniecisko izmantojumu” kā to paredz Komisijas paziņojuma par Līguma par Eiropas Savienības darbību 107.panta 1.punktā minēto valsts atbalsta jēdzienu (2016/C 262/01), kas ir aktuālākās Eiropas Savienības tiesas spriedumu un Eiropas Komisijas lēmumu prakses apkopojums, 207.punkts.</w:t>
            </w:r>
          </w:p>
        </w:tc>
        <w:tc>
          <w:tcPr>
            <w:tcW w:w="1121" w:type="pct"/>
            <w:tcBorders>
              <w:top w:val="single" w:sz="6" w:space="0" w:color="000000"/>
              <w:left w:val="single" w:sz="6" w:space="0" w:color="000000"/>
              <w:bottom w:val="single" w:sz="6" w:space="0" w:color="000000"/>
              <w:right w:val="single" w:sz="6" w:space="0" w:color="000000"/>
            </w:tcBorders>
            <w:shd w:val="clear" w:color="auto" w:fill="auto"/>
          </w:tcPr>
          <w:p w14:paraId="28BC0CF5" w14:textId="0D3AF502" w:rsidR="0057781B" w:rsidRPr="000A5C70" w:rsidRDefault="0057781B" w:rsidP="0057781B">
            <w:pPr>
              <w:spacing w:after="120"/>
              <w:jc w:val="both"/>
              <w:rPr>
                <w:b/>
                <w:lang w:eastAsia="en-US"/>
              </w:rPr>
            </w:pPr>
            <w:r w:rsidRPr="000A5C70">
              <w:rPr>
                <w:b/>
                <w:lang w:eastAsia="en-US"/>
              </w:rPr>
              <w:lastRenderedPageBreak/>
              <w:t>Ņemts vērā</w:t>
            </w:r>
          </w:p>
        </w:tc>
        <w:tc>
          <w:tcPr>
            <w:tcW w:w="1010" w:type="pct"/>
            <w:tcBorders>
              <w:top w:val="single" w:sz="4" w:space="0" w:color="auto"/>
              <w:left w:val="single" w:sz="4" w:space="0" w:color="auto"/>
              <w:bottom w:val="single" w:sz="4" w:space="0" w:color="auto"/>
            </w:tcBorders>
            <w:shd w:val="clear" w:color="auto" w:fill="auto"/>
          </w:tcPr>
          <w:p w14:paraId="5931EB17" w14:textId="6E28AA87" w:rsidR="00ED1163" w:rsidRPr="00B1777C" w:rsidRDefault="00921C8A" w:rsidP="00ED1163">
            <w:pPr>
              <w:tabs>
                <w:tab w:val="left" w:pos="1134"/>
              </w:tabs>
              <w:jc w:val="both"/>
            </w:pPr>
            <w:r w:rsidRPr="00B1777C">
              <w:t>1</w:t>
            </w:r>
            <w:r w:rsidR="00287B04" w:rsidRPr="00B1777C">
              <w:t>6</w:t>
            </w:r>
            <w:r w:rsidRPr="00B1777C">
              <w:t xml:space="preserve">. </w:t>
            </w:r>
            <w:r w:rsidR="00ED1163" w:rsidRPr="00B1777C">
              <w:t>Izteikt 48. punktu šādā redakcijā:</w:t>
            </w:r>
          </w:p>
          <w:p w14:paraId="5149D205" w14:textId="21FFA795" w:rsidR="0057781B" w:rsidRPr="00B1777C" w:rsidRDefault="00ED1163" w:rsidP="00AC18CB">
            <w:pPr>
              <w:tabs>
                <w:tab w:val="left" w:pos="1134"/>
              </w:tabs>
              <w:jc w:val="both"/>
            </w:pPr>
            <w:r w:rsidRPr="00B1777C">
              <w:lastRenderedPageBreak/>
              <w:t>“</w:t>
            </w:r>
            <w:r w:rsidR="00AB5D79" w:rsidRPr="00B1777C">
              <w:t xml:space="preserve">48. </w:t>
            </w:r>
            <w:r w:rsidR="00AC18CB" w:rsidRPr="00B1777C">
              <w:t>Šo noteikumu 43., 44., 45. un 46. punktā minētās izmaksas ir attiecināmas, ja ar saimniecisko darbību nesaistītā projektā ēkas daļā, kas nepārsniedz 15 procentus no ēkas kopējās platības, tiek veikta ar infrastruktūras ekspluatāciju tieši saistīta un tai nepieciešama saimnieciska darbība vai ar ēkas galveno nesaimniecisko izmantojumu saistīta saimnieciska darbība, radot ieņēmumus</w:t>
            </w:r>
            <w:r w:rsidRPr="00B1777C">
              <w:t>."</w:t>
            </w:r>
          </w:p>
        </w:tc>
      </w:tr>
      <w:tr w:rsidR="002A0317" w:rsidRPr="000A5C70" w14:paraId="67C41122" w14:textId="77777777" w:rsidTr="00FE5446">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736AE59B" w14:textId="21A0440F" w:rsidR="002A0317" w:rsidRPr="000A5C70" w:rsidRDefault="002A0317" w:rsidP="0057781B">
            <w:pPr>
              <w:pStyle w:val="naisc"/>
              <w:numPr>
                <w:ilvl w:val="0"/>
                <w:numId w:val="2"/>
              </w:numPr>
              <w:spacing w:before="0" w:after="0"/>
            </w:pPr>
          </w:p>
        </w:tc>
        <w:tc>
          <w:tcPr>
            <w:tcW w:w="1041" w:type="pct"/>
            <w:vMerge w:val="restart"/>
            <w:tcBorders>
              <w:top w:val="single" w:sz="6" w:space="0" w:color="000000"/>
              <w:left w:val="single" w:sz="6" w:space="0" w:color="000000"/>
              <w:right w:val="single" w:sz="6" w:space="0" w:color="000000"/>
            </w:tcBorders>
            <w:shd w:val="clear" w:color="auto" w:fill="auto"/>
          </w:tcPr>
          <w:p w14:paraId="66F7733A" w14:textId="78572E35" w:rsidR="002A0317" w:rsidRPr="000A5C70" w:rsidRDefault="002A0317" w:rsidP="005006BA">
            <w:pPr>
              <w:spacing w:after="120"/>
              <w:jc w:val="both"/>
              <w:rPr>
                <w:b/>
                <w:lang w:eastAsia="en-US"/>
              </w:rPr>
            </w:pPr>
            <w:r w:rsidRPr="000A5C70">
              <w:rPr>
                <w:b/>
                <w:lang w:eastAsia="en-US"/>
              </w:rPr>
              <w:t>Noteikumu projekts</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14:paraId="3AB6E5B0" w14:textId="77777777" w:rsidR="002A0317" w:rsidRPr="000A5C70" w:rsidRDefault="002A0317" w:rsidP="0057781B">
            <w:pPr>
              <w:tabs>
                <w:tab w:val="left" w:pos="720"/>
                <w:tab w:val="left" w:pos="993"/>
              </w:tabs>
              <w:jc w:val="both"/>
              <w:rPr>
                <w:b/>
              </w:rPr>
            </w:pPr>
            <w:r w:rsidRPr="000A5C70">
              <w:rPr>
                <w:b/>
              </w:rPr>
              <w:t>Finanšu ministrija (14.02.2020. atzinums)</w:t>
            </w:r>
          </w:p>
          <w:p w14:paraId="1546C941" w14:textId="77777777" w:rsidR="005A4D01" w:rsidRPr="000A5C70" w:rsidRDefault="005A4D01" w:rsidP="0057781B">
            <w:pPr>
              <w:tabs>
                <w:tab w:val="left" w:pos="720"/>
                <w:tab w:val="left" w:pos="993"/>
              </w:tabs>
              <w:jc w:val="both"/>
              <w:rPr>
                <w:b/>
              </w:rPr>
            </w:pPr>
          </w:p>
          <w:p w14:paraId="3E0C6517" w14:textId="76F1A099" w:rsidR="002A0317" w:rsidRPr="000A5C70" w:rsidRDefault="002A0317" w:rsidP="0057781B">
            <w:pPr>
              <w:jc w:val="both"/>
            </w:pPr>
            <w:r w:rsidRPr="000A5C70">
              <w:t>MK noteikumu Nr.152 paredz, j</w:t>
            </w:r>
            <w:r w:rsidRPr="000A5C70">
              <w:rPr>
                <w:shd w:val="clear" w:color="auto" w:fill="FFFFFF"/>
              </w:rPr>
              <w:t xml:space="preserve">a projekta iesniedzējs ir valsts vai pašvaldības apmaksāto veselības aprūpes pakalpojumu sniedzējs vai sabiedrisko pakalpojumu sniedzējs, tas ar pašvaldību noslēdz pakalpojumu līgumu par veselības aprūpes pakalpojumu sniegšanu, ūdenssaimniecības vai siltumapgādes sabiedrisko pakalpojumu sniegšanu. Pakalpojumu līgumā norāda informāciju par iespēju saņemt atlīdzības (kompensācijas) maksājumus – investīcijas sabiedrisko ūdenssaimniecības vai siltumapgādes pakalpojumu vai valsts vai pašvaldības apmaksātu veselības aprūpes pakalpojumu sniegšanas infrastruktūrā – un nosacījumus atlīdzības (kompensācijas) maksājumu aprēķināšanai, kontrolei un pārskatīšanai, kā arī atlīdzības (kompensācijas) maksājumu pārmaksas novēršanai un atmaksāšanai. </w:t>
            </w:r>
            <w:r w:rsidRPr="000A5C70">
              <w:t xml:space="preserve">Ievērojot to, ka komercdarbības atbalsts MK noteikumu Nr.152 ietvaros tiek sniegts vispārējas tautsaimnieciskas </w:t>
            </w:r>
            <w:r w:rsidRPr="000A5C70">
              <w:lastRenderedPageBreak/>
              <w:t>nozīmes pakalpojumu sniedzējiem, ievērojot EK lēmuma Nr.2012/21/ES</w:t>
            </w:r>
            <w:r w:rsidRPr="000A5C70" w:rsidDel="007D478B">
              <w:t xml:space="preserve"> </w:t>
            </w:r>
            <w:r w:rsidRPr="000A5C70">
              <w:t>nosacījumus un pamatojoties uz noslēgtu pilnvarojuma aktu (vai aktiem) par vispārējas tautsaimnieciskas nozīmes pakalpojumu sniegšanu, lūdzam noteikumu projektu papildināt ar normu par finansējuma saņēmēja pienākumu iesniegt Sadarbības iestādei vispārējas tautsaimnieciskas nozīmes pakalpojuma pilnvarojuma uzlicēja/u apliecinājumu/s, ka tas nodrošina EK lēmuma Nr.2012/21/ES 6.pantā noteikto pārmērīgas kompensācijas kontroli, kā arī papildināt anotāciju ar skaidrojumu par to, ka finansējuma saņēmējs sadarbībā ar vispārējas tautsaimnieciskas nozīmes pakalpojuma pilnvarojuma uzlicēju nodrošina VTNP lēmuma 6.pantā noteiktās uzraudzības veikšanas faktu apliecinošas dokumentācijas saglabāšanu un pieejamību saskaņā ar VTNP lēmuma 8.pantā noteikto, tostarp pieejamību Eiropas Savienības struktūrfondu un Kohēzijas fonda vadības kontroles sistēmā iesaistītajām iestādēm.</w:t>
            </w:r>
          </w:p>
        </w:tc>
        <w:tc>
          <w:tcPr>
            <w:tcW w:w="1121" w:type="pct"/>
            <w:tcBorders>
              <w:top w:val="single" w:sz="6" w:space="0" w:color="000000"/>
              <w:left w:val="single" w:sz="6" w:space="0" w:color="000000"/>
              <w:bottom w:val="single" w:sz="6" w:space="0" w:color="000000"/>
              <w:right w:val="single" w:sz="6" w:space="0" w:color="000000"/>
            </w:tcBorders>
            <w:shd w:val="clear" w:color="auto" w:fill="auto"/>
          </w:tcPr>
          <w:p w14:paraId="2E75D881" w14:textId="77777777" w:rsidR="002A0317" w:rsidRPr="000A5C70" w:rsidRDefault="002A0317" w:rsidP="0057781B">
            <w:pPr>
              <w:spacing w:after="120"/>
              <w:jc w:val="both"/>
              <w:rPr>
                <w:b/>
                <w:lang w:eastAsia="en-US"/>
              </w:rPr>
            </w:pPr>
            <w:r w:rsidRPr="000A5C70">
              <w:rPr>
                <w:b/>
                <w:lang w:eastAsia="en-US"/>
              </w:rPr>
              <w:lastRenderedPageBreak/>
              <w:t>Ņemts vērā</w:t>
            </w:r>
          </w:p>
          <w:p w14:paraId="79FF8F79" w14:textId="77777777" w:rsidR="002A0317" w:rsidRPr="000A5C70" w:rsidRDefault="002A0317" w:rsidP="0057781B">
            <w:pPr>
              <w:jc w:val="both"/>
              <w:rPr>
                <w:lang w:eastAsia="en-US"/>
              </w:rPr>
            </w:pPr>
          </w:p>
          <w:p w14:paraId="5C300127" w14:textId="0F47E8F8" w:rsidR="002A0317" w:rsidRPr="000A5C70" w:rsidRDefault="002A0317" w:rsidP="0057781B">
            <w:pPr>
              <w:jc w:val="both"/>
            </w:pPr>
            <w:r w:rsidRPr="000A5C70">
              <w:rPr>
                <w:lang w:eastAsia="en-US"/>
              </w:rPr>
              <w:t>Vienlaikus norādām</w:t>
            </w:r>
            <w:r w:rsidRPr="000A5C70">
              <w:t xml:space="preserve">, ka MK noteikumos Nr. 152 jau ir atsauce uz Eiropas Komisijas 2011. gada 20. decembra Lēmumu Nr. 2012/21/ES </w:t>
            </w:r>
            <w:r w:rsidRPr="000A5C70">
              <w:rPr>
                <w:i/>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0A5C70">
              <w:t>, kas arī ietver to, ka projekta iesniedzējam jānodrošina Eiropas Komisijas 2011. gada 20. decembra lēmuma Nr. 2012/21/ES  6. pantā noteikto pārmērīgas kompensācijas kontroli.</w:t>
            </w:r>
          </w:p>
          <w:p w14:paraId="7C8F0835" w14:textId="77777777" w:rsidR="002A0317" w:rsidRPr="000A5C70" w:rsidRDefault="002A0317" w:rsidP="0057781B">
            <w:pPr>
              <w:spacing w:after="120"/>
              <w:jc w:val="both"/>
              <w:rPr>
                <w:b/>
                <w:lang w:eastAsia="en-US"/>
              </w:rPr>
            </w:pPr>
          </w:p>
        </w:tc>
        <w:tc>
          <w:tcPr>
            <w:tcW w:w="1010" w:type="pct"/>
            <w:vMerge w:val="restart"/>
            <w:tcBorders>
              <w:top w:val="single" w:sz="4" w:space="0" w:color="auto"/>
              <w:left w:val="single" w:sz="4" w:space="0" w:color="auto"/>
            </w:tcBorders>
            <w:shd w:val="clear" w:color="auto" w:fill="auto"/>
          </w:tcPr>
          <w:p w14:paraId="38A91A19" w14:textId="3D3AB891" w:rsidR="002A0317" w:rsidRPr="00B1777C" w:rsidRDefault="002A0317" w:rsidP="0057781B">
            <w:pPr>
              <w:tabs>
                <w:tab w:val="left" w:pos="1134"/>
              </w:tabs>
              <w:jc w:val="both"/>
            </w:pPr>
            <w:r w:rsidRPr="00B1777C">
              <w:lastRenderedPageBreak/>
              <w:t>1</w:t>
            </w:r>
            <w:r w:rsidR="00287B04" w:rsidRPr="00B1777C">
              <w:t>0</w:t>
            </w:r>
            <w:r w:rsidRPr="00B1777C">
              <w:t>. Papildināt noteikumus ar 31.</w:t>
            </w:r>
            <w:r w:rsidRPr="00B1777C">
              <w:rPr>
                <w:vertAlign w:val="superscript"/>
              </w:rPr>
              <w:t>1</w:t>
            </w:r>
            <w:r w:rsidRPr="00B1777C">
              <w:t> punktu šādā redakcijā:</w:t>
            </w:r>
          </w:p>
          <w:p w14:paraId="1FD90744" w14:textId="0582EF4A" w:rsidR="002A0317" w:rsidRPr="00B1777C" w:rsidRDefault="002A0317" w:rsidP="00921C8A">
            <w:pPr>
              <w:tabs>
                <w:tab w:val="left" w:pos="1134"/>
              </w:tabs>
              <w:jc w:val="both"/>
              <w:rPr>
                <w:bCs/>
                <w:shd w:val="clear" w:color="auto" w:fill="FFFFFF"/>
              </w:rPr>
            </w:pPr>
            <w:r w:rsidRPr="00B1777C">
              <w:rPr>
                <w:rFonts w:eastAsia="Calibri"/>
                <w:bCs/>
                <w:shd w:val="clear" w:color="auto" w:fill="FFFFFF"/>
              </w:rPr>
              <w:t>"</w:t>
            </w:r>
            <w:r w:rsidRPr="00B1777C">
              <w:t>31.</w:t>
            </w:r>
            <w:r w:rsidRPr="00B1777C">
              <w:rPr>
                <w:vertAlign w:val="superscript"/>
              </w:rPr>
              <w:t>1</w:t>
            </w:r>
            <w:r w:rsidRPr="00B1777C">
              <w:t> </w:t>
            </w:r>
            <w:r w:rsidR="00AB5D79" w:rsidRPr="00B1777C">
              <w:rPr>
                <w:bCs/>
                <w:shd w:val="clear" w:color="auto" w:fill="FFFFFF"/>
              </w:rPr>
              <w:t xml:space="preserve">Ja projektu īsteno atbilstoši šo noteikumu 31. punktam, projekta iesniedzējs iesniedz sadarbības iestādei vispārējas tautsaimnieciskas nozīmes pakalpojuma pilnvarojuma uzlicēja apliecinājumu, ka </w:t>
            </w:r>
            <w:r w:rsidR="00AB5D79" w:rsidRPr="00B1777C">
              <w:rPr>
                <w:shd w:val="clear" w:color="auto" w:fill="FFFFFF"/>
              </w:rPr>
              <w:t>atbilstoši šo noteikumu 31.6. apakšpunktam pilnvarojuma uzlicējs nodrošina atlīdzības (kompensācijas) maksājumu aprēķinu, kontroli un pārskatīšanu, kā arī atlīdzības (kompensācijas) maksājumu pārmaksas novēršanu un atmaksāšanu.</w:t>
            </w:r>
            <w:r w:rsidR="005006BA" w:rsidRPr="00B1777C">
              <w:rPr>
                <w:rFonts w:eastAsia="Calibri"/>
                <w:bCs/>
                <w:shd w:val="clear" w:color="auto" w:fill="FFFFFF"/>
              </w:rPr>
              <w:t>"</w:t>
            </w:r>
          </w:p>
          <w:p w14:paraId="63F874A6" w14:textId="77777777" w:rsidR="002A0317" w:rsidRPr="00B1777C" w:rsidRDefault="002A0317" w:rsidP="0057781B">
            <w:pPr>
              <w:tabs>
                <w:tab w:val="left" w:pos="1134"/>
              </w:tabs>
              <w:jc w:val="both"/>
              <w:rPr>
                <w:bCs/>
                <w:shd w:val="clear" w:color="auto" w:fill="FFFFFF"/>
              </w:rPr>
            </w:pPr>
          </w:p>
          <w:p w14:paraId="163AC5D4" w14:textId="77777777" w:rsidR="002A0317" w:rsidRPr="00B1777C" w:rsidRDefault="002A0317" w:rsidP="0057781B">
            <w:pPr>
              <w:tabs>
                <w:tab w:val="left" w:pos="1134"/>
              </w:tabs>
              <w:jc w:val="both"/>
            </w:pPr>
          </w:p>
        </w:tc>
      </w:tr>
      <w:tr w:rsidR="002A0317" w:rsidRPr="000A5C70" w14:paraId="6C7A2542" w14:textId="77777777" w:rsidTr="00FE5446">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11368018" w14:textId="77777777" w:rsidR="002A0317" w:rsidRPr="000A5C70" w:rsidRDefault="002A0317" w:rsidP="002A0317">
            <w:pPr>
              <w:pStyle w:val="naisc"/>
              <w:numPr>
                <w:ilvl w:val="0"/>
                <w:numId w:val="2"/>
              </w:numPr>
              <w:spacing w:before="0" w:after="0"/>
            </w:pPr>
          </w:p>
        </w:tc>
        <w:tc>
          <w:tcPr>
            <w:tcW w:w="1041" w:type="pct"/>
            <w:vMerge/>
            <w:tcBorders>
              <w:left w:val="single" w:sz="6" w:space="0" w:color="000000"/>
              <w:bottom w:val="single" w:sz="6" w:space="0" w:color="000000"/>
              <w:right w:val="single" w:sz="6" w:space="0" w:color="000000"/>
            </w:tcBorders>
            <w:shd w:val="clear" w:color="auto" w:fill="auto"/>
          </w:tcPr>
          <w:p w14:paraId="72DCC60C" w14:textId="77777777" w:rsidR="002A0317" w:rsidRPr="000A5C70" w:rsidRDefault="002A0317" w:rsidP="002A0317">
            <w:pPr>
              <w:spacing w:after="120"/>
              <w:jc w:val="both"/>
              <w:rPr>
                <w:b/>
                <w:lang w:eastAsia="en-US"/>
              </w:rPr>
            </w:pP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14:paraId="4D0FECAB" w14:textId="4CCAECA8" w:rsidR="002A0317" w:rsidRPr="000A5C70" w:rsidRDefault="000C7D3F" w:rsidP="002A0317">
            <w:pPr>
              <w:tabs>
                <w:tab w:val="left" w:pos="720"/>
                <w:tab w:val="left" w:pos="993"/>
              </w:tabs>
              <w:jc w:val="both"/>
              <w:rPr>
                <w:b/>
              </w:rPr>
            </w:pPr>
            <w:r w:rsidRPr="000A5C70">
              <w:rPr>
                <w:b/>
              </w:rPr>
              <w:t>Tieslietu ministrija</w:t>
            </w:r>
            <w:r w:rsidR="002A0317" w:rsidRPr="000A5C70">
              <w:rPr>
                <w:b/>
              </w:rPr>
              <w:t xml:space="preserve"> (11.03.2020. atzinums)</w:t>
            </w:r>
          </w:p>
          <w:p w14:paraId="76F72A1E" w14:textId="77777777" w:rsidR="002A0317" w:rsidRPr="000A5C70" w:rsidRDefault="002A0317" w:rsidP="002A0317">
            <w:pPr>
              <w:tabs>
                <w:tab w:val="left" w:pos="720"/>
                <w:tab w:val="left" w:pos="993"/>
              </w:tabs>
              <w:jc w:val="both"/>
              <w:rPr>
                <w:b/>
              </w:rPr>
            </w:pPr>
          </w:p>
          <w:p w14:paraId="1AA6B671" w14:textId="67B5F8FB" w:rsidR="002A0317" w:rsidRPr="000A5C70" w:rsidRDefault="002A0317" w:rsidP="002A0317">
            <w:pPr>
              <w:tabs>
                <w:tab w:val="left" w:pos="720"/>
                <w:tab w:val="left" w:pos="993"/>
              </w:tabs>
              <w:jc w:val="both"/>
              <w:rPr>
                <w:b/>
              </w:rPr>
            </w:pPr>
            <w:r w:rsidRPr="000A5C70">
              <w:t xml:space="preserve">[..] </w:t>
            </w:r>
            <w:r w:rsidRPr="000A5C70">
              <w:rPr>
                <w:u w:val="single"/>
              </w:rPr>
              <w:t>Attiecīgi lūdzam izvērtēt, vai tiešām noteikumu projekta 10. punktā uzliktais pienākums juridiskām personām ievērot Lēmuma 6. punktā noteiktos un noteikumu projekta 11. punktā uzliktais pienākums juridiskām personām ievērot Lēmuma 8. punktā noteiktos nosacījumus ir pamatots. Ja noteikumu projekta 10. un 11. punktā uzliktais pienākums juridiskām personām ievērot Lēmuma 6. un 8. punktā noteikto ir pamatots un nepieciešamas, tad Lēmuma 6. un 8. punkts jāpārņem noteikumu projektā.</w:t>
            </w:r>
          </w:p>
        </w:tc>
        <w:tc>
          <w:tcPr>
            <w:tcW w:w="1121" w:type="pct"/>
            <w:tcBorders>
              <w:top w:val="single" w:sz="6" w:space="0" w:color="000000"/>
              <w:left w:val="single" w:sz="6" w:space="0" w:color="000000"/>
              <w:bottom w:val="single" w:sz="6" w:space="0" w:color="000000"/>
              <w:right w:val="single" w:sz="6" w:space="0" w:color="000000"/>
            </w:tcBorders>
            <w:shd w:val="clear" w:color="auto" w:fill="auto"/>
          </w:tcPr>
          <w:p w14:paraId="101F519C" w14:textId="77777777" w:rsidR="0021786E" w:rsidRPr="000A5C70" w:rsidRDefault="0021786E" w:rsidP="0021786E">
            <w:pPr>
              <w:spacing w:after="120"/>
              <w:jc w:val="both"/>
              <w:rPr>
                <w:b/>
                <w:lang w:eastAsia="en-US"/>
              </w:rPr>
            </w:pPr>
            <w:r w:rsidRPr="000A5C70">
              <w:rPr>
                <w:b/>
                <w:lang w:eastAsia="en-US"/>
              </w:rPr>
              <w:t>Ņemts vērā</w:t>
            </w:r>
          </w:p>
          <w:p w14:paraId="08B1DF1A" w14:textId="1DD6B509" w:rsidR="002A0317" w:rsidRPr="000A5C70" w:rsidRDefault="0021786E" w:rsidP="008C45A3">
            <w:pPr>
              <w:spacing w:after="120"/>
              <w:jc w:val="both"/>
              <w:rPr>
                <w:b/>
                <w:lang w:eastAsia="en-US"/>
              </w:rPr>
            </w:pPr>
            <w:r w:rsidRPr="000A5C70">
              <w:rPr>
                <w:lang w:eastAsia="en-US"/>
              </w:rPr>
              <w:t xml:space="preserve">Saskaņā ar MK noteikumu Nr. 152 31. punktu 4.2.2. SAM projekta iesniedzējs var būt valsts vai pašvaldības apmaksāto veselības aprūpes pakalpojumu sniedzējs vai sabiedrisko pakalpojumu sniedzējs, kam ar pašvaldību noslēgts pakalpojumu līgums par veselības aprūpes pakalpojumu sniegšanu, ūdenssaimniecības vai siltumapgādes sabiedrisko pakalpojumu sniegšanu. Attiecīgi šiem atbalsta saņēmējiem ir </w:t>
            </w:r>
            <w:r w:rsidRPr="000A5C70">
              <w:rPr>
                <w:lang w:eastAsia="en-US"/>
              </w:rPr>
              <w:lastRenderedPageBreak/>
              <w:t xml:space="preserve">saistošs  </w:t>
            </w:r>
            <w:r w:rsidRPr="000A5C70">
              <w:t xml:space="preserve">Eiropas Komisijas 2011. gada 20. decembra Lēmuma </w:t>
            </w:r>
            <w:r w:rsidR="008C45A3" w:rsidRPr="000A5C70">
              <w:t>6</w:t>
            </w:r>
            <w:r w:rsidRPr="000A5C70">
              <w:t>. pantā ietvertais nosacījums. Noteikumu projekta 11. punktā precizēta redakcija, svītrojot atsauci uz Eiropas Komisijas lēmumu un iekļaujot konkrēto normu.</w:t>
            </w:r>
          </w:p>
        </w:tc>
        <w:tc>
          <w:tcPr>
            <w:tcW w:w="1010" w:type="pct"/>
            <w:vMerge/>
            <w:tcBorders>
              <w:left w:val="single" w:sz="4" w:space="0" w:color="auto"/>
              <w:bottom w:val="single" w:sz="4" w:space="0" w:color="auto"/>
            </w:tcBorders>
            <w:shd w:val="clear" w:color="auto" w:fill="auto"/>
          </w:tcPr>
          <w:p w14:paraId="2AC897F4" w14:textId="77777777" w:rsidR="002A0317" w:rsidRPr="00B1777C" w:rsidRDefault="002A0317" w:rsidP="002A0317">
            <w:pPr>
              <w:tabs>
                <w:tab w:val="left" w:pos="1134"/>
              </w:tabs>
              <w:jc w:val="both"/>
            </w:pPr>
          </w:p>
        </w:tc>
      </w:tr>
      <w:tr w:rsidR="002A0317" w:rsidRPr="000A5C70" w14:paraId="7668E54D" w14:textId="77777777" w:rsidTr="00860CB0">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67D22B40" w14:textId="77777777" w:rsidR="002A0317" w:rsidRPr="000A5C70" w:rsidRDefault="002A0317" w:rsidP="002A0317">
            <w:pPr>
              <w:pStyle w:val="naisc"/>
              <w:numPr>
                <w:ilvl w:val="0"/>
                <w:numId w:val="2"/>
              </w:numPr>
              <w:spacing w:before="0" w:after="0"/>
            </w:pPr>
          </w:p>
        </w:tc>
        <w:tc>
          <w:tcPr>
            <w:tcW w:w="1041" w:type="pct"/>
            <w:tcBorders>
              <w:top w:val="single" w:sz="6" w:space="0" w:color="000000"/>
              <w:left w:val="single" w:sz="6" w:space="0" w:color="000000"/>
              <w:bottom w:val="single" w:sz="6" w:space="0" w:color="000000"/>
              <w:right w:val="single" w:sz="6" w:space="0" w:color="000000"/>
            </w:tcBorders>
            <w:shd w:val="clear" w:color="auto" w:fill="auto"/>
          </w:tcPr>
          <w:p w14:paraId="04D237A8" w14:textId="69A6809D" w:rsidR="002A0317" w:rsidRPr="000A5C70" w:rsidRDefault="002A0317" w:rsidP="002A0317">
            <w:pPr>
              <w:spacing w:after="120"/>
              <w:jc w:val="both"/>
              <w:rPr>
                <w:b/>
                <w:lang w:eastAsia="en-US"/>
              </w:rPr>
            </w:pPr>
            <w:r w:rsidRPr="000A5C70">
              <w:rPr>
                <w:b/>
                <w:lang w:eastAsia="en-US"/>
              </w:rPr>
              <w:t>Noteikumu projekts</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14:paraId="0D76856D" w14:textId="77777777" w:rsidR="002A0317" w:rsidRPr="000A5C70" w:rsidRDefault="002A0317" w:rsidP="002A0317">
            <w:pPr>
              <w:tabs>
                <w:tab w:val="left" w:pos="720"/>
                <w:tab w:val="left" w:pos="993"/>
              </w:tabs>
              <w:jc w:val="both"/>
              <w:rPr>
                <w:b/>
              </w:rPr>
            </w:pPr>
            <w:r w:rsidRPr="000A5C70">
              <w:rPr>
                <w:b/>
              </w:rPr>
              <w:t>Finanšu ministrija (14.02.2020. atzinums)</w:t>
            </w:r>
          </w:p>
          <w:p w14:paraId="16E95DBF" w14:textId="77777777" w:rsidR="002A0317" w:rsidRPr="000A5C70" w:rsidRDefault="002A0317" w:rsidP="002A0317">
            <w:pPr>
              <w:tabs>
                <w:tab w:val="left" w:pos="720"/>
                <w:tab w:val="left" w:pos="993"/>
              </w:tabs>
              <w:jc w:val="both"/>
            </w:pPr>
          </w:p>
          <w:p w14:paraId="0FADCFBF" w14:textId="09188A19" w:rsidR="002A0317" w:rsidRPr="000A5C70" w:rsidRDefault="002A0317" w:rsidP="002A0317">
            <w:pPr>
              <w:tabs>
                <w:tab w:val="left" w:pos="720"/>
                <w:tab w:val="left" w:pos="993"/>
              </w:tabs>
              <w:jc w:val="both"/>
              <w:rPr>
                <w:b/>
              </w:rPr>
            </w:pPr>
            <w:r w:rsidRPr="000A5C70">
              <w:t>Lūdzam pārskatīt un izvērtēt iespēju svītrot MK noteikumu Nr.152 49.punktu, kas nosaka projekta neattiecināmās izmaksas, ar mērķi samazināt negatīvo ietekmi uz vispārējās valdības budžetu, ņemot vērā ierobežotās finansējuma iespējas neattiecināmo izmaksu segšanai, kā arī līdz šim FM pausto viedokli neattiecināmo izmaksu ierobežošanai un FM 2019.gada 19.jūnija vēstulē</w:t>
            </w:r>
            <w:r w:rsidRPr="000A5C70">
              <w:rPr>
                <w:rStyle w:val="FootnoteReference"/>
              </w:rPr>
              <w:footnoteReference w:id="2"/>
            </w:r>
            <w:r w:rsidRPr="000A5C70">
              <w:t xml:space="preserve"> norādīto, ka neattiecināmo izmaksu nepieļaušanas/ierobežošanas princips attiecas arī uz turpmākiem investīciju plāniem. Atbilstoši lūdzam precizēt arī anotāciju</w:t>
            </w:r>
          </w:p>
        </w:tc>
        <w:tc>
          <w:tcPr>
            <w:tcW w:w="1121" w:type="pct"/>
            <w:tcBorders>
              <w:top w:val="single" w:sz="6" w:space="0" w:color="000000"/>
              <w:left w:val="single" w:sz="6" w:space="0" w:color="000000"/>
              <w:bottom w:val="single" w:sz="6" w:space="0" w:color="000000"/>
              <w:right w:val="single" w:sz="6" w:space="0" w:color="000000"/>
            </w:tcBorders>
            <w:shd w:val="clear" w:color="auto" w:fill="auto"/>
          </w:tcPr>
          <w:p w14:paraId="14A95B74" w14:textId="2E24890F" w:rsidR="002A0317" w:rsidRPr="000A5C70" w:rsidRDefault="002A0317" w:rsidP="002A0317">
            <w:pPr>
              <w:spacing w:after="120"/>
              <w:jc w:val="both"/>
              <w:rPr>
                <w:b/>
                <w:lang w:eastAsia="en-US"/>
              </w:rPr>
            </w:pPr>
            <w:r w:rsidRPr="000A5C70">
              <w:rPr>
                <w:b/>
                <w:lang w:eastAsia="en-US"/>
              </w:rPr>
              <w:t xml:space="preserve">Ņemts vērā </w:t>
            </w:r>
          </w:p>
          <w:p w14:paraId="40262EBC" w14:textId="61321C0E" w:rsidR="002A0317" w:rsidRPr="000A5C70" w:rsidRDefault="002A0317" w:rsidP="002A0317">
            <w:pPr>
              <w:tabs>
                <w:tab w:val="left" w:pos="567"/>
              </w:tabs>
              <w:spacing w:after="120"/>
              <w:jc w:val="both"/>
            </w:pPr>
            <w:r w:rsidRPr="000A5C70">
              <w:rPr>
                <w:bCs/>
                <w:lang w:eastAsia="en-US"/>
              </w:rPr>
              <w:t>Punkts pārskatīts. Vēršam</w:t>
            </w:r>
            <w:r w:rsidRPr="000A5C70">
              <w:rPr>
                <w:lang w:eastAsia="en-US"/>
              </w:rPr>
              <w:t xml:space="preserve"> uzmanību, ka VARAM savas kompetences ietvaros atbilstoši Finanšu ministrijas aicinājumam jau 2019. gada vasarā izskatīja un izvērtēja neattiecināmās izmaksas specifisko atbalsta mērķos, tai skaitā 4.2.2. SAM, un pauda viedokli</w:t>
            </w:r>
            <w:r w:rsidRPr="000A5C70">
              <w:rPr>
                <w:rStyle w:val="FootnoteReference"/>
                <w:lang w:eastAsia="en-US"/>
              </w:rPr>
              <w:footnoteReference w:id="3"/>
            </w:r>
            <w:r w:rsidRPr="000A5C70">
              <w:rPr>
                <w:lang w:eastAsia="en-US"/>
              </w:rPr>
              <w:t xml:space="preserve">, ka neattiecināmo izmaksu izslēgšana no projektiem nav pieļaujama tajos specifiskajos atbalsta mērķos, kuros neattiecināmās izmaksas ir tieši saistītas ar projektu un ir nepieciešamas mērķa sasniegšanai. VARAM pauda viedokli, ka </w:t>
            </w:r>
            <w:r w:rsidRPr="000A5C70">
              <w:t xml:space="preserve">liela daļa projektu neattiecināmās izmaksas VARAM specifisko atbalsta mērķu ietvaros, tai skaitā 4.2.2. SAM pēc būtības ir </w:t>
            </w:r>
            <w:r w:rsidRPr="000A5C70">
              <w:lastRenderedPageBreak/>
              <w:t>uzskatāmas par projektu attiecināmajām izmaksām un tās ir nepieciešamas projektu mērķu sasniegšanai un objektu nodošanai ekspluatācijā. Piemēram:</w:t>
            </w:r>
          </w:p>
          <w:p w14:paraId="13DBAD1E" w14:textId="77777777" w:rsidR="002A0317" w:rsidRPr="000A5C70" w:rsidRDefault="002A0317" w:rsidP="002A0317">
            <w:pPr>
              <w:pStyle w:val="ListParagraph"/>
              <w:widowControl w:val="0"/>
              <w:numPr>
                <w:ilvl w:val="0"/>
                <w:numId w:val="5"/>
              </w:numPr>
              <w:spacing w:after="120" w:line="240" w:lineRule="auto"/>
              <w:ind w:left="352"/>
              <w:jc w:val="both"/>
              <w:rPr>
                <w:rFonts w:ascii="Times New Roman" w:hAnsi="Times New Roman"/>
                <w:sz w:val="24"/>
                <w:szCs w:val="24"/>
              </w:rPr>
            </w:pPr>
            <w:r w:rsidRPr="000A5C70">
              <w:rPr>
                <w:rFonts w:ascii="Times New Roman" w:hAnsi="Times New Roman"/>
                <w:sz w:val="24"/>
                <w:szCs w:val="24"/>
              </w:rPr>
              <w:t>neattiecināmās izmaksas veidojas, attiecināmajām izmaksām pārsniedzot attiecināmo izmaksu apmēru ierobežojumus, kas noteikti attiecīgajos Ministru kabineta noteikumos par specifiskā atbalsta mērķa īstenošanu un Finanšu ministrijas izstrādātajās vadlīnijās par attiecināmo un neattiecināmo izmaksu noteikšanu 2014.-2020. gada plānošanas periodā;</w:t>
            </w:r>
          </w:p>
          <w:p w14:paraId="6D8D065A" w14:textId="306F3459" w:rsidR="002A0317" w:rsidRPr="000A5C70" w:rsidRDefault="002A0317" w:rsidP="002A0317">
            <w:pPr>
              <w:pStyle w:val="ListParagraph"/>
              <w:widowControl w:val="0"/>
              <w:numPr>
                <w:ilvl w:val="0"/>
                <w:numId w:val="5"/>
              </w:numPr>
              <w:spacing w:after="120" w:line="240" w:lineRule="auto"/>
              <w:ind w:left="352"/>
              <w:jc w:val="both"/>
              <w:rPr>
                <w:rFonts w:ascii="Times New Roman" w:hAnsi="Times New Roman"/>
                <w:sz w:val="24"/>
                <w:szCs w:val="24"/>
              </w:rPr>
            </w:pPr>
            <w:r w:rsidRPr="000A5C70">
              <w:rPr>
                <w:rFonts w:ascii="Times New Roman" w:hAnsi="Times New Roman"/>
                <w:sz w:val="24"/>
                <w:szCs w:val="24"/>
              </w:rPr>
              <w:t>neattiecināmās izmaksas veidojas, rodoties attiecināmo izmaksu sadārdzinājumam.</w:t>
            </w:r>
          </w:p>
          <w:p w14:paraId="3FF0DCAF" w14:textId="5A6D4861" w:rsidR="002A0317" w:rsidRPr="000A5C70" w:rsidRDefault="002A0317" w:rsidP="002A0317">
            <w:pPr>
              <w:widowControl w:val="0"/>
              <w:spacing w:after="120"/>
              <w:jc w:val="both"/>
            </w:pPr>
            <w:r w:rsidRPr="000A5C70">
              <w:t xml:space="preserve">Vienlaikus VARAM pauda viedokli, ka neattiecināmo izmaksu apjoma samazināšana 4.2.2. SAM ietvaros iespējama, veicot grozījumus MK noteikumos Nr. 152, nosakot, ka turpmākajos projektos var tikt paredzētas tikai tādas neattiecināmās izmaksas, kas nav noteiktas 4.2.2. SAM īstenošanas noteikumos kā attiecināmas, bet ir tieši saistītas ar projektu un ir nepieciešamas </w:t>
            </w:r>
            <w:r w:rsidRPr="000A5C70">
              <w:lastRenderedPageBreak/>
              <w:t>projekta mērķa un iznākumu rādītāju sasniegšanai.</w:t>
            </w:r>
          </w:p>
          <w:p w14:paraId="1A079035" w14:textId="767EF28D" w:rsidR="002A0317" w:rsidRPr="000A5C70" w:rsidRDefault="002A0317" w:rsidP="002A0317">
            <w:pPr>
              <w:spacing w:after="120"/>
              <w:jc w:val="both"/>
              <w:rPr>
                <w:b/>
                <w:lang w:eastAsia="en-US"/>
              </w:rPr>
            </w:pPr>
            <w:r w:rsidRPr="000A5C70">
              <w:t xml:space="preserve">Noteikumu projektā iekļauts attiecīgs MK noteikumu Nr. 152 49.3. apakšpunkts. Izmaiņas neattiecināmo izmaksu nosacījumos tiks piemērotas trešajai atlases kārtai, kuras ietvaros plānoti projektu uzsaukumi. Pirmajai kārtai projektu iesniegumu atlase noslēdzās 2020.gada 1.martā, bet otrajai kārtai 2017.gada 29.novembrī. Attiecīgi, pirmajai un otrajai atlases kārtai, kur jauni uzsaukumi netiek plānoti, būtiski saglabāt tiesisko paļāvību īstenot projektus, ņemot vērā tos īstenošanas nosacījumus, kas ir bijuši spēkā projektu iesniegšanas laikā. </w:t>
            </w:r>
          </w:p>
        </w:tc>
        <w:tc>
          <w:tcPr>
            <w:tcW w:w="1010" w:type="pct"/>
            <w:tcBorders>
              <w:top w:val="single" w:sz="4" w:space="0" w:color="auto"/>
              <w:left w:val="single" w:sz="4" w:space="0" w:color="auto"/>
              <w:bottom w:val="single" w:sz="4" w:space="0" w:color="auto"/>
            </w:tcBorders>
            <w:shd w:val="clear" w:color="auto" w:fill="auto"/>
          </w:tcPr>
          <w:p w14:paraId="6DD4C9CF" w14:textId="4D197B72" w:rsidR="00170EC5" w:rsidRPr="00B1777C" w:rsidRDefault="00703421" w:rsidP="00170EC5">
            <w:pPr>
              <w:tabs>
                <w:tab w:val="left" w:pos="1134"/>
              </w:tabs>
              <w:jc w:val="both"/>
            </w:pPr>
            <w:r w:rsidRPr="00B1777C">
              <w:lastRenderedPageBreak/>
              <w:t>1</w:t>
            </w:r>
            <w:r w:rsidR="00287B04" w:rsidRPr="00B1777C">
              <w:t>8</w:t>
            </w:r>
            <w:r w:rsidR="00170EC5" w:rsidRPr="00B1777C">
              <w:t>. Izteikt noteikumu 49.2. apakšpunktu šādā redakcijā:</w:t>
            </w:r>
          </w:p>
          <w:p w14:paraId="718405C8" w14:textId="174EEF6E" w:rsidR="002A0317" w:rsidRPr="00B1777C" w:rsidRDefault="00170EC5" w:rsidP="00170EC5">
            <w:pPr>
              <w:tabs>
                <w:tab w:val="left" w:pos="1134"/>
              </w:tabs>
              <w:jc w:val="both"/>
            </w:pPr>
            <w:r w:rsidRPr="00B1777C">
              <w:t>"49.2. nav noteiktas šo noteikumu 43., 44., 45. un 46. punktā, bet ir norādītas tehniskajā projektā, un trešajā atlases kārtā ir tieši saistītas ar projektu un ir nepieciešamas projekta mērķa sasniegšanai."</w:t>
            </w:r>
          </w:p>
          <w:p w14:paraId="2F33EF1D" w14:textId="21ED3433" w:rsidR="002A0317" w:rsidRPr="00B1777C" w:rsidRDefault="002A0317" w:rsidP="002A0317">
            <w:pPr>
              <w:tabs>
                <w:tab w:val="left" w:pos="1134"/>
              </w:tabs>
              <w:jc w:val="both"/>
            </w:pPr>
          </w:p>
        </w:tc>
      </w:tr>
      <w:tr w:rsidR="002A0317" w:rsidRPr="000A5C70" w14:paraId="21E2FB41" w14:textId="77777777" w:rsidTr="00860CB0">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3131BCE6" w14:textId="28F61423" w:rsidR="002A0317" w:rsidRPr="000A5C70" w:rsidRDefault="002A0317" w:rsidP="002A0317">
            <w:pPr>
              <w:pStyle w:val="naisc"/>
              <w:numPr>
                <w:ilvl w:val="0"/>
                <w:numId w:val="2"/>
              </w:numPr>
              <w:spacing w:before="0" w:after="0"/>
            </w:pPr>
          </w:p>
        </w:tc>
        <w:tc>
          <w:tcPr>
            <w:tcW w:w="1041" w:type="pct"/>
            <w:tcBorders>
              <w:top w:val="single" w:sz="6" w:space="0" w:color="000000"/>
              <w:left w:val="single" w:sz="6" w:space="0" w:color="000000"/>
              <w:bottom w:val="single" w:sz="6" w:space="0" w:color="000000"/>
              <w:right w:val="single" w:sz="6" w:space="0" w:color="000000"/>
            </w:tcBorders>
            <w:shd w:val="clear" w:color="auto" w:fill="auto"/>
          </w:tcPr>
          <w:p w14:paraId="5C289C32" w14:textId="513F7F75" w:rsidR="002A0317" w:rsidRPr="000A5C70" w:rsidRDefault="002A0317" w:rsidP="002A0317">
            <w:pPr>
              <w:spacing w:after="120"/>
              <w:jc w:val="both"/>
              <w:rPr>
                <w:b/>
                <w:lang w:eastAsia="en-US"/>
              </w:rPr>
            </w:pPr>
            <w:r w:rsidRPr="000A5C70">
              <w:rPr>
                <w:b/>
                <w:lang w:eastAsia="en-US"/>
              </w:rPr>
              <w:t>Anotācija</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14:paraId="0E376E02" w14:textId="77777777" w:rsidR="000C7D3F" w:rsidRPr="000A5C70" w:rsidRDefault="000C7D3F" w:rsidP="000C7D3F">
            <w:pPr>
              <w:tabs>
                <w:tab w:val="left" w:pos="720"/>
                <w:tab w:val="left" w:pos="993"/>
              </w:tabs>
              <w:jc w:val="both"/>
              <w:rPr>
                <w:b/>
              </w:rPr>
            </w:pPr>
            <w:r w:rsidRPr="000A5C70">
              <w:rPr>
                <w:b/>
              </w:rPr>
              <w:t>Finanšu ministrija (14.02.2020. atzinums)</w:t>
            </w:r>
          </w:p>
          <w:p w14:paraId="7F83E9D6" w14:textId="77777777" w:rsidR="000C7D3F" w:rsidRPr="000A5C70" w:rsidRDefault="000C7D3F" w:rsidP="002A0317">
            <w:pPr>
              <w:tabs>
                <w:tab w:val="left" w:pos="720"/>
                <w:tab w:val="left" w:pos="993"/>
              </w:tabs>
              <w:jc w:val="both"/>
            </w:pPr>
          </w:p>
          <w:p w14:paraId="1CFCFF6F" w14:textId="77777777" w:rsidR="002A0317" w:rsidRPr="000A5C70" w:rsidRDefault="002A0317" w:rsidP="002A0317">
            <w:pPr>
              <w:tabs>
                <w:tab w:val="left" w:pos="720"/>
                <w:tab w:val="left" w:pos="993"/>
              </w:tabs>
              <w:jc w:val="both"/>
            </w:pPr>
            <w:r w:rsidRPr="000A5C70">
              <w:t>Lūdzam precizēt anotācijas I sadaļas “Tiesību akta projekta izstrādes nepieciešamība” 2.punktā “Pašreizējā situācija un problēmas, kuru risināšanai tiesību akta projekts izstrādāts, tiesiskā regulējuma mērķis un būtība” (turpmāk – I sadaļas 2.punkts) sniegto informāciju par neatbilstoši veiktajiem izdevumiem. Norādām, ka neatbilstoši veiktie izdevumi ir konstatēti sešos projektos un norādītā summa no līgumu attiecināmajām izmaksām ir atbrīvota.</w:t>
            </w:r>
          </w:p>
        </w:tc>
        <w:tc>
          <w:tcPr>
            <w:tcW w:w="1121" w:type="pct"/>
            <w:tcBorders>
              <w:top w:val="single" w:sz="6" w:space="0" w:color="000000"/>
              <w:left w:val="single" w:sz="6" w:space="0" w:color="000000"/>
              <w:bottom w:val="single" w:sz="6" w:space="0" w:color="000000"/>
              <w:right w:val="single" w:sz="6" w:space="0" w:color="000000"/>
            </w:tcBorders>
            <w:shd w:val="clear" w:color="auto" w:fill="auto"/>
          </w:tcPr>
          <w:p w14:paraId="30E013ED" w14:textId="3ABF35B4" w:rsidR="002A0317" w:rsidRPr="000A5C70" w:rsidRDefault="002A0317" w:rsidP="002A0317">
            <w:pPr>
              <w:spacing w:after="120"/>
              <w:jc w:val="both"/>
              <w:rPr>
                <w:color w:val="FF0000"/>
              </w:rPr>
            </w:pPr>
            <w:r w:rsidRPr="000A5C70">
              <w:rPr>
                <w:b/>
                <w:lang w:eastAsia="en-US"/>
              </w:rPr>
              <w:t>Ņemts vērā</w:t>
            </w:r>
          </w:p>
        </w:tc>
        <w:tc>
          <w:tcPr>
            <w:tcW w:w="1010" w:type="pct"/>
            <w:tcBorders>
              <w:top w:val="single" w:sz="4" w:space="0" w:color="auto"/>
              <w:left w:val="single" w:sz="4" w:space="0" w:color="auto"/>
              <w:bottom w:val="single" w:sz="4" w:space="0" w:color="auto"/>
            </w:tcBorders>
            <w:shd w:val="clear" w:color="auto" w:fill="auto"/>
          </w:tcPr>
          <w:p w14:paraId="1F693355" w14:textId="47F331DA" w:rsidR="002A0317" w:rsidRPr="00B1777C" w:rsidRDefault="002A0317" w:rsidP="002A0317">
            <w:pPr>
              <w:tabs>
                <w:tab w:val="left" w:pos="1134"/>
              </w:tabs>
              <w:jc w:val="both"/>
            </w:pPr>
            <w:r w:rsidRPr="00B1777C">
              <w:t>Skat. papildināto anotāciju</w:t>
            </w:r>
          </w:p>
        </w:tc>
      </w:tr>
      <w:tr w:rsidR="002A0317" w:rsidRPr="000A5C70" w14:paraId="6A752829" w14:textId="77777777" w:rsidTr="00860CB0">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1BCDA902" w14:textId="77777777" w:rsidR="002A0317" w:rsidRPr="000A5C70" w:rsidRDefault="002A0317" w:rsidP="002A0317">
            <w:pPr>
              <w:pStyle w:val="naisc"/>
              <w:numPr>
                <w:ilvl w:val="0"/>
                <w:numId w:val="2"/>
              </w:numPr>
              <w:spacing w:before="0" w:after="0"/>
            </w:pPr>
          </w:p>
        </w:tc>
        <w:tc>
          <w:tcPr>
            <w:tcW w:w="1041" w:type="pct"/>
            <w:tcBorders>
              <w:top w:val="single" w:sz="6" w:space="0" w:color="000000"/>
              <w:left w:val="single" w:sz="6" w:space="0" w:color="000000"/>
              <w:bottom w:val="single" w:sz="6" w:space="0" w:color="000000"/>
              <w:right w:val="single" w:sz="6" w:space="0" w:color="000000"/>
            </w:tcBorders>
            <w:shd w:val="clear" w:color="auto" w:fill="auto"/>
          </w:tcPr>
          <w:p w14:paraId="3BD974A3" w14:textId="657E04EE" w:rsidR="002A0317" w:rsidRPr="000A5C70" w:rsidRDefault="002A0317" w:rsidP="002A0317">
            <w:pPr>
              <w:tabs>
                <w:tab w:val="left" w:pos="1134"/>
              </w:tabs>
              <w:jc w:val="both"/>
              <w:rPr>
                <w:bCs/>
                <w:shd w:val="clear" w:color="auto" w:fill="FFFFFF"/>
              </w:rPr>
            </w:pPr>
            <w:r w:rsidRPr="000A5C70">
              <w:rPr>
                <w:b/>
                <w:lang w:eastAsia="en-US"/>
              </w:rPr>
              <w:t>Anotācija</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14:paraId="1A915D0D" w14:textId="77777777" w:rsidR="000C7D3F" w:rsidRPr="000A5C70" w:rsidRDefault="000C7D3F" w:rsidP="000C7D3F">
            <w:pPr>
              <w:tabs>
                <w:tab w:val="left" w:pos="720"/>
                <w:tab w:val="left" w:pos="993"/>
              </w:tabs>
              <w:jc w:val="both"/>
              <w:rPr>
                <w:b/>
              </w:rPr>
            </w:pPr>
            <w:r w:rsidRPr="000A5C70">
              <w:rPr>
                <w:b/>
              </w:rPr>
              <w:t>Finanšu ministrija (14.02.2020. atzinums)</w:t>
            </w:r>
          </w:p>
          <w:p w14:paraId="02AEAFE8" w14:textId="77777777" w:rsidR="000C7D3F" w:rsidRPr="000A5C70" w:rsidRDefault="000C7D3F" w:rsidP="002A0317">
            <w:pPr>
              <w:jc w:val="both"/>
            </w:pPr>
          </w:p>
          <w:p w14:paraId="205C72EC" w14:textId="77777777" w:rsidR="002A0317" w:rsidRPr="000A5C70" w:rsidRDefault="002A0317" w:rsidP="002A0317">
            <w:pPr>
              <w:jc w:val="both"/>
            </w:pPr>
            <w:r w:rsidRPr="000A5C70">
              <w:t>Lūdzam papildināt anotāciju ar informāciju, kā noteikumu projektā paredzētie grozījumi ietekmē līdz šim atlašu ietvaros iesniegtos, vērtēšanā un īstenošanā esošos projektus, t.sk. skaidrot, kā īstenošanā esošos projektus ietekmēs noteikumu projekta 3.punktā ietvertie grozījumi attiecībā uz rādītāja vērtības samazināšanu no 1,8 MW uz 1,6 MW.</w:t>
            </w:r>
          </w:p>
        </w:tc>
        <w:tc>
          <w:tcPr>
            <w:tcW w:w="1121" w:type="pct"/>
            <w:tcBorders>
              <w:top w:val="single" w:sz="6" w:space="0" w:color="000000"/>
              <w:left w:val="single" w:sz="6" w:space="0" w:color="000000"/>
              <w:bottom w:val="single" w:sz="6" w:space="0" w:color="000000"/>
              <w:right w:val="single" w:sz="6" w:space="0" w:color="000000"/>
            </w:tcBorders>
            <w:shd w:val="clear" w:color="auto" w:fill="auto"/>
          </w:tcPr>
          <w:p w14:paraId="15B19C2E" w14:textId="10AE03DF" w:rsidR="002A0317" w:rsidRPr="000A5C70" w:rsidRDefault="002A0317" w:rsidP="002A0317">
            <w:pPr>
              <w:spacing w:after="120"/>
              <w:jc w:val="both"/>
              <w:rPr>
                <w:b/>
                <w:lang w:eastAsia="en-US"/>
              </w:rPr>
            </w:pPr>
            <w:r w:rsidRPr="000A5C70">
              <w:rPr>
                <w:b/>
                <w:lang w:eastAsia="en-US"/>
              </w:rPr>
              <w:t>Ņemts vērā</w:t>
            </w:r>
          </w:p>
        </w:tc>
        <w:tc>
          <w:tcPr>
            <w:tcW w:w="1010" w:type="pct"/>
            <w:tcBorders>
              <w:top w:val="single" w:sz="4" w:space="0" w:color="auto"/>
              <w:left w:val="single" w:sz="4" w:space="0" w:color="auto"/>
              <w:bottom w:val="single" w:sz="4" w:space="0" w:color="auto"/>
            </w:tcBorders>
            <w:shd w:val="clear" w:color="auto" w:fill="auto"/>
          </w:tcPr>
          <w:p w14:paraId="59C15F62" w14:textId="72288C14" w:rsidR="002A0317" w:rsidRPr="00B1777C" w:rsidRDefault="002A0317" w:rsidP="002A0317">
            <w:pPr>
              <w:tabs>
                <w:tab w:val="left" w:pos="1134"/>
              </w:tabs>
              <w:jc w:val="both"/>
            </w:pPr>
            <w:r w:rsidRPr="00B1777C">
              <w:t>Skat. papildināto anotāciju</w:t>
            </w:r>
          </w:p>
        </w:tc>
      </w:tr>
      <w:tr w:rsidR="002A0317" w:rsidRPr="000A5C70" w14:paraId="120FC86F" w14:textId="77777777" w:rsidTr="00860CB0">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2B92ACE0" w14:textId="77777777" w:rsidR="002A0317" w:rsidRPr="000A5C70" w:rsidRDefault="002A0317" w:rsidP="002A0317">
            <w:pPr>
              <w:pStyle w:val="naisc"/>
              <w:numPr>
                <w:ilvl w:val="0"/>
                <w:numId w:val="2"/>
              </w:numPr>
              <w:spacing w:before="0" w:after="0"/>
            </w:pPr>
          </w:p>
        </w:tc>
        <w:tc>
          <w:tcPr>
            <w:tcW w:w="1041" w:type="pct"/>
            <w:tcBorders>
              <w:top w:val="single" w:sz="6" w:space="0" w:color="000000"/>
              <w:left w:val="single" w:sz="6" w:space="0" w:color="000000"/>
              <w:bottom w:val="single" w:sz="6" w:space="0" w:color="000000"/>
              <w:right w:val="single" w:sz="6" w:space="0" w:color="000000"/>
            </w:tcBorders>
            <w:shd w:val="clear" w:color="auto" w:fill="auto"/>
          </w:tcPr>
          <w:p w14:paraId="34FECA25" w14:textId="2E900F61" w:rsidR="002A0317" w:rsidRPr="000A5C70" w:rsidRDefault="002A0317" w:rsidP="002A0317">
            <w:pPr>
              <w:tabs>
                <w:tab w:val="left" w:pos="1134"/>
              </w:tabs>
              <w:jc w:val="both"/>
              <w:rPr>
                <w:bCs/>
                <w:shd w:val="clear" w:color="auto" w:fill="FFFFFF"/>
              </w:rPr>
            </w:pPr>
            <w:r w:rsidRPr="000A5C70">
              <w:rPr>
                <w:b/>
                <w:lang w:eastAsia="en-US"/>
              </w:rPr>
              <w:t>Anotācija</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14:paraId="55AB6FA6" w14:textId="77777777" w:rsidR="000C7D3F" w:rsidRPr="000A5C70" w:rsidRDefault="000C7D3F" w:rsidP="000C7D3F">
            <w:pPr>
              <w:tabs>
                <w:tab w:val="left" w:pos="720"/>
                <w:tab w:val="left" w:pos="993"/>
              </w:tabs>
              <w:jc w:val="both"/>
              <w:rPr>
                <w:b/>
              </w:rPr>
            </w:pPr>
            <w:r w:rsidRPr="000A5C70">
              <w:rPr>
                <w:b/>
              </w:rPr>
              <w:t>Finanšu ministrija (14.02.2020. atzinums)</w:t>
            </w:r>
          </w:p>
          <w:p w14:paraId="2CE7086D" w14:textId="77777777" w:rsidR="000C7D3F" w:rsidRPr="000A5C70" w:rsidRDefault="000C7D3F" w:rsidP="002A0317">
            <w:pPr>
              <w:jc w:val="both"/>
            </w:pPr>
          </w:p>
          <w:p w14:paraId="2D9DACD5" w14:textId="77777777" w:rsidR="002A0317" w:rsidRPr="000A5C70" w:rsidRDefault="002A0317" w:rsidP="002A0317">
            <w:pPr>
              <w:jc w:val="both"/>
            </w:pPr>
            <w:r w:rsidRPr="000A5C70">
              <w:t>Lūdzam papildināt anotāciju ar informāciju, vai būs nepieciešami grozījumi 4.2.2.SAM</w:t>
            </w:r>
            <w:r w:rsidRPr="000A5C70">
              <w:rPr>
                <w:rStyle w:val="FootnoteReference"/>
              </w:rPr>
              <w:footnoteReference w:id="4"/>
            </w:r>
            <w:r w:rsidRPr="000A5C70">
              <w:t xml:space="preserve"> projektu iesniegumu vērtēšanas kritērijos, ņemot vērā, ka noteikumu projekts paredz, ka trešā kārta sniegs ievērojamu ieguldījumu ar atjaunojamiem energoresursiem ražotās papildjaudas rādītāja sasniegšanā, bet šobrīd spēkā esošie kritēriji minētajam rādītājam paredz sniegt papildus punktus un tas nav izslēdzošs.</w:t>
            </w:r>
          </w:p>
        </w:tc>
        <w:tc>
          <w:tcPr>
            <w:tcW w:w="1121" w:type="pct"/>
            <w:tcBorders>
              <w:top w:val="single" w:sz="6" w:space="0" w:color="000000"/>
              <w:left w:val="single" w:sz="6" w:space="0" w:color="000000"/>
              <w:bottom w:val="single" w:sz="6" w:space="0" w:color="000000"/>
              <w:right w:val="single" w:sz="6" w:space="0" w:color="000000"/>
            </w:tcBorders>
            <w:shd w:val="clear" w:color="auto" w:fill="auto"/>
          </w:tcPr>
          <w:p w14:paraId="4B026F29" w14:textId="77777777" w:rsidR="002A0317" w:rsidRPr="000A5C70" w:rsidRDefault="002A0317" w:rsidP="002A0317">
            <w:pPr>
              <w:spacing w:after="120"/>
              <w:jc w:val="both"/>
              <w:rPr>
                <w:b/>
                <w:lang w:eastAsia="en-US"/>
              </w:rPr>
            </w:pPr>
            <w:r w:rsidRPr="000A5C70">
              <w:rPr>
                <w:b/>
                <w:lang w:eastAsia="en-US"/>
              </w:rPr>
              <w:t>Ņemts vērā</w:t>
            </w:r>
          </w:p>
          <w:p w14:paraId="14FC347C" w14:textId="10538C0C" w:rsidR="002A0317" w:rsidRPr="000A5C70" w:rsidRDefault="002A0317" w:rsidP="002A0317">
            <w:pPr>
              <w:spacing w:after="120"/>
              <w:jc w:val="both"/>
              <w:rPr>
                <w:bCs/>
                <w:lang w:eastAsia="en-US"/>
              </w:rPr>
            </w:pPr>
            <w:r w:rsidRPr="000A5C70">
              <w:rPr>
                <w:bCs/>
                <w:lang w:eastAsia="en-US"/>
              </w:rPr>
              <w:t xml:space="preserve">Skaidrojam, ka MK noteikumi ir papildināti ar AER kā obligātas komponentes nodrošināšanu trešās kārtas projektos. Precīzas vērtības tiks noteiktas, ņemot vērā ēkās plānotās darbības un attiecīgus energosertifikātos norādītos aprēķinus, kas tiks apstiprināti arī projektu ideju līmenī Reģionālās attīstības koordinācijas padomē. </w:t>
            </w:r>
          </w:p>
        </w:tc>
        <w:tc>
          <w:tcPr>
            <w:tcW w:w="1010" w:type="pct"/>
            <w:tcBorders>
              <w:top w:val="single" w:sz="4" w:space="0" w:color="auto"/>
              <w:left w:val="single" w:sz="4" w:space="0" w:color="auto"/>
              <w:bottom w:val="single" w:sz="4" w:space="0" w:color="auto"/>
            </w:tcBorders>
            <w:shd w:val="clear" w:color="auto" w:fill="auto"/>
          </w:tcPr>
          <w:p w14:paraId="2A762901" w14:textId="60FF9267" w:rsidR="002A0317" w:rsidRPr="00B1777C" w:rsidRDefault="002A0317" w:rsidP="002A0317">
            <w:pPr>
              <w:tabs>
                <w:tab w:val="left" w:pos="1134"/>
              </w:tabs>
              <w:jc w:val="both"/>
            </w:pPr>
            <w:r w:rsidRPr="00B1777C">
              <w:t>Skat. papildināto anotāciju</w:t>
            </w:r>
          </w:p>
        </w:tc>
      </w:tr>
      <w:tr w:rsidR="002A0317" w:rsidRPr="000A5C70" w14:paraId="7CEF8272" w14:textId="77777777" w:rsidTr="00860CB0">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0288FF3A" w14:textId="77777777" w:rsidR="002A0317" w:rsidRPr="000A5C70" w:rsidRDefault="002A0317" w:rsidP="002A0317">
            <w:pPr>
              <w:pStyle w:val="naisc"/>
              <w:numPr>
                <w:ilvl w:val="0"/>
                <w:numId w:val="2"/>
              </w:numPr>
              <w:spacing w:before="0" w:after="0"/>
            </w:pPr>
          </w:p>
        </w:tc>
        <w:tc>
          <w:tcPr>
            <w:tcW w:w="1041" w:type="pct"/>
            <w:tcBorders>
              <w:top w:val="single" w:sz="6" w:space="0" w:color="000000"/>
              <w:left w:val="single" w:sz="6" w:space="0" w:color="000000"/>
              <w:bottom w:val="single" w:sz="6" w:space="0" w:color="000000"/>
              <w:right w:val="single" w:sz="6" w:space="0" w:color="000000"/>
            </w:tcBorders>
            <w:shd w:val="clear" w:color="auto" w:fill="auto"/>
          </w:tcPr>
          <w:p w14:paraId="5CB410B0" w14:textId="67AACBCF" w:rsidR="002A0317" w:rsidRPr="000A5C70" w:rsidRDefault="002A0317" w:rsidP="002A0317">
            <w:pPr>
              <w:tabs>
                <w:tab w:val="left" w:pos="1134"/>
              </w:tabs>
              <w:jc w:val="both"/>
              <w:rPr>
                <w:bCs/>
                <w:shd w:val="clear" w:color="auto" w:fill="FFFFFF"/>
              </w:rPr>
            </w:pPr>
            <w:r w:rsidRPr="000A5C70">
              <w:rPr>
                <w:b/>
                <w:lang w:eastAsia="en-US"/>
              </w:rPr>
              <w:t>Anotācija</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14:paraId="363AFE43" w14:textId="77777777" w:rsidR="000C7D3F" w:rsidRPr="000A5C70" w:rsidRDefault="000C7D3F" w:rsidP="000C7D3F">
            <w:pPr>
              <w:tabs>
                <w:tab w:val="left" w:pos="720"/>
                <w:tab w:val="left" w:pos="993"/>
              </w:tabs>
              <w:jc w:val="both"/>
              <w:rPr>
                <w:b/>
              </w:rPr>
            </w:pPr>
            <w:r w:rsidRPr="000A5C70">
              <w:rPr>
                <w:b/>
              </w:rPr>
              <w:t>Finanšu ministrija (14.02.2020. atzinums)</w:t>
            </w:r>
          </w:p>
          <w:p w14:paraId="103920D1" w14:textId="77777777" w:rsidR="000C7D3F" w:rsidRPr="000A5C70" w:rsidRDefault="000C7D3F" w:rsidP="002A0317">
            <w:pPr>
              <w:jc w:val="both"/>
            </w:pPr>
          </w:p>
          <w:p w14:paraId="02F107C3" w14:textId="77777777" w:rsidR="002A0317" w:rsidRPr="000A5C70" w:rsidRDefault="002A0317" w:rsidP="002A0317">
            <w:pPr>
              <w:jc w:val="both"/>
            </w:pPr>
            <w:r w:rsidRPr="000A5C70">
              <w:t>Lūdzam papildināt anotāciju ar VARAM vērtējumu par reģionālās nozīmes attīstības centru pašvaldību pausto gatavību nodrošināt rādītāja no atjaunojamiem energoresursiem ražotā papildjauda vērtību 0,74 MW apmērā sasniegšanu.</w:t>
            </w:r>
          </w:p>
        </w:tc>
        <w:tc>
          <w:tcPr>
            <w:tcW w:w="1121" w:type="pct"/>
            <w:tcBorders>
              <w:top w:val="single" w:sz="6" w:space="0" w:color="000000"/>
              <w:left w:val="single" w:sz="6" w:space="0" w:color="000000"/>
              <w:bottom w:val="single" w:sz="6" w:space="0" w:color="000000"/>
              <w:right w:val="single" w:sz="6" w:space="0" w:color="000000"/>
            </w:tcBorders>
            <w:shd w:val="clear" w:color="auto" w:fill="auto"/>
          </w:tcPr>
          <w:p w14:paraId="73C36375" w14:textId="4A78A01C" w:rsidR="002A0317" w:rsidRPr="000A5C70" w:rsidRDefault="002A0317" w:rsidP="002A0317">
            <w:pPr>
              <w:spacing w:after="120"/>
              <w:jc w:val="both"/>
              <w:rPr>
                <w:b/>
                <w:lang w:eastAsia="en-US"/>
              </w:rPr>
            </w:pPr>
            <w:r w:rsidRPr="000A5C70">
              <w:rPr>
                <w:b/>
                <w:lang w:eastAsia="en-US"/>
              </w:rPr>
              <w:t>Ņemts vērā</w:t>
            </w:r>
          </w:p>
        </w:tc>
        <w:tc>
          <w:tcPr>
            <w:tcW w:w="1010" w:type="pct"/>
            <w:tcBorders>
              <w:top w:val="single" w:sz="4" w:space="0" w:color="auto"/>
              <w:left w:val="single" w:sz="4" w:space="0" w:color="auto"/>
              <w:bottom w:val="single" w:sz="4" w:space="0" w:color="auto"/>
            </w:tcBorders>
            <w:shd w:val="clear" w:color="auto" w:fill="auto"/>
          </w:tcPr>
          <w:p w14:paraId="29CB725F" w14:textId="0B78DA69" w:rsidR="002A0317" w:rsidRPr="00B1777C" w:rsidRDefault="002A0317" w:rsidP="002A0317">
            <w:pPr>
              <w:tabs>
                <w:tab w:val="left" w:pos="1134"/>
              </w:tabs>
              <w:jc w:val="both"/>
            </w:pPr>
            <w:r w:rsidRPr="00B1777C">
              <w:t>Skat. papildināto anotāciju</w:t>
            </w:r>
          </w:p>
        </w:tc>
      </w:tr>
      <w:tr w:rsidR="000C7D3F" w:rsidRPr="000A5C70" w14:paraId="0E33BEF9" w14:textId="77777777" w:rsidTr="00860CB0">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55499730" w14:textId="77777777" w:rsidR="000C7D3F" w:rsidRPr="000A5C70" w:rsidRDefault="000C7D3F" w:rsidP="000C7D3F">
            <w:pPr>
              <w:pStyle w:val="naisc"/>
              <w:numPr>
                <w:ilvl w:val="0"/>
                <w:numId w:val="2"/>
              </w:numPr>
              <w:spacing w:before="0" w:after="0"/>
            </w:pPr>
          </w:p>
        </w:tc>
        <w:tc>
          <w:tcPr>
            <w:tcW w:w="1041" w:type="pct"/>
            <w:tcBorders>
              <w:top w:val="single" w:sz="6" w:space="0" w:color="000000"/>
              <w:left w:val="single" w:sz="6" w:space="0" w:color="000000"/>
              <w:bottom w:val="single" w:sz="6" w:space="0" w:color="000000"/>
              <w:right w:val="single" w:sz="6" w:space="0" w:color="000000"/>
            </w:tcBorders>
            <w:shd w:val="clear" w:color="auto" w:fill="auto"/>
          </w:tcPr>
          <w:p w14:paraId="033A000E" w14:textId="686EAACE" w:rsidR="000C7D3F" w:rsidRPr="000A5C70" w:rsidRDefault="000C7D3F" w:rsidP="000C7D3F">
            <w:pPr>
              <w:tabs>
                <w:tab w:val="left" w:pos="1134"/>
              </w:tabs>
              <w:jc w:val="both"/>
              <w:rPr>
                <w:b/>
                <w:lang w:eastAsia="en-US"/>
              </w:rPr>
            </w:pPr>
            <w:r w:rsidRPr="000A5C70">
              <w:rPr>
                <w:b/>
                <w:lang w:eastAsia="en-US"/>
              </w:rPr>
              <w:t>Anotācija</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14:paraId="2C71B36F" w14:textId="77777777" w:rsidR="000C7D3F" w:rsidRPr="000A5C70" w:rsidRDefault="000C7D3F" w:rsidP="000C7D3F">
            <w:pPr>
              <w:jc w:val="both"/>
              <w:rPr>
                <w:b/>
              </w:rPr>
            </w:pPr>
            <w:r w:rsidRPr="000A5C70">
              <w:rPr>
                <w:b/>
              </w:rPr>
              <w:t>Tieslietu ministrija (11.03.2020. atzinums)</w:t>
            </w:r>
          </w:p>
          <w:p w14:paraId="3436E6A0" w14:textId="77777777" w:rsidR="000C7D3F" w:rsidRPr="000A5C70" w:rsidRDefault="000C7D3F" w:rsidP="000C7D3F">
            <w:pPr>
              <w:jc w:val="both"/>
              <w:rPr>
                <w:b/>
              </w:rPr>
            </w:pPr>
          </w:p>
          <w:p w14:paraId="6320D6FA" w14:textId="20FD65CB" w:rsidR="000C7D3F" w:rsidRPr="000A5C70" w:rsidRDefault="000C7D3F" w:rsidP="000C7D3F">
            <w:pPr>
              <w:jc w:val="both"/>
            </w:pPr>
            <w:r w:rsidRPr="000A5C70">
              <w:t xml:space="preserve">Vēršam uzmanību, ka noteikumu projekta anotāciju nepieciešams aizpildīt atbilstoši Ministru kabineta </w:t>
            </w:r>
            <w:r w:rsidRPr="000A5C70">
              <w:lastRenderedPageBreak/>
              <w:t>2009. gada 7. aprīļa noteikumu Nr. 300 ''Ministru kabineta kārtības rullis'' 3. punktam, kas noteic, ka Ministru kabineta tiesību akta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kuras noteikumu projekta normas ir ieviestas atbilstoši noteikumu projektā norādītajam Eiropas Savienības tiesību normām (noteikumu projekta 13. punkts). Ņemot vērā minēto, lūdzam precizēt noteikumu projektu un tā anotāciju, jo Tieslietu ministrija varēs sniegt precīzu izvērtējumu par noteikumu projekta atbilstību minētajām Eiropas Savienības tiesību normām pēc anotācijas V sadaļas, jo īpaši 1. tabulas, aizpildīšanas.</w:t>
            </w:r>
          </w:p>
        </w:tc>
        <w:tc>
          <w:tcPr>
            <w:tcW w:w="1121" w:type="pct"/>
            <w:tcBorders>
              <w:top w:val="single" w:sz="6" w:space="0" w:color="000000"/>
              <w:left w:val="single" w:sz="6" w:space="0" w:color="000000"/>
              <w:bottom w:val="single" w:sz="6" w:space="0" w:color="000000"/>
              <w:right w:val="single" w:sz="6" w:space="0" w:color="000000"/>
            </w:tcBorders>
            <w:shd w:val="clear" w:color="auto" w:fill="auto"/>
          </w:tcPr>
          <w:p w14:paraId="7DE41002" w14:textId="72EDB68D" w:rsidR="000C7D3F" w:rsidRPr="000A5C70" w:rsidRDefault="00A94A7A" w:rsidP="000C7D3F">
            <w:pPr>
              <w:spacing w:after="120"/>
              <w:jc w:val="both"/>
              <w:rPr>
                <w:b/>
                <w:lang w:eastAsia="en-US"/>
              </w:rPr>
            </w:pPr>
            <w:r w:rsidRPr="000A5C70">
              <w:rPr>
                <w:b/>
                <w:lang w:eastAsia="en-US"/>
              </w:rPr>
              <w:lastRenderedPageBreak/>
              <w:t>Ņemts vērā</w:t>
            </w:r>
          </w:p>
        </w:tc>
        <w:tc>
          <w:tcPr>
            <w:tcW w:w="1010" w:type="pct"/>
            <w:tcBorders>
              <w:top w:val="single" w:sz="4" w:space="0" w:color="auto"/>
              <w:left w:val="single" w:sz="4" w:space="0" w:color="auto"/>
              <w:bottom w:val="single" w:sz="4" w:space="0" w:color="auto"/>
            </w:tcBorders>
            <w:shd w:val="clear" w:color="auto" w:fill="auto"/>
          </w:tcPr>
          <w:p w14:paraId="31470FBE" w14:textId="1BFE936D" w:rsidR="000C7D3F" w:rsidRPr="00B1777C" w:rsidRDefault="00A94A7A" w:rsidP="000C7D3F">
            <w:pPr>
              <w:tabs>
                <w:tab w:val="left" w:pos="1134"/>
              </w:tabs>
              <w:jc w:val="both"/>
            </w:pPr>
            <w:r w:rsidRPr="00B1777C">
              <w:t>Skat. papildināto anotāciju</w:t>
            </w:r>
          </w:p>
        </w:tc>
      </w:tr>
    </w:tbl>
    <w:p w14:paraId="6DE048AB" w14:textId="77777777" w:rsidR="000A5C70" w:rsidRPr="000A5C70" w:rsidRDefault="000A5C70" w:rsidP="00134959">
      <w:pPr>
        <w:pStyle w:val="naisf"/>
        <w:spacing w:before="0" w:after="0"/>
        <w:ind w:firstLine="0"/>
        <w:rPr>
          <w:sz w:val="22"/>
          <w:szCs w:val="22"/>
        </w:rPr>
      </w:pPr>
    </w:p>
    <w:p w14:paraId="30BCABBB" w14:textId="77777777" w:rsidR="00134959" w:rsidRPr="000A5C70" w:rsidRDefault="00134959" w:rsidP="00134959">
      <w:pPr>
        <w:pStyle w:val="naisf"/>
        <w:spacing w:before="0" w:after="0"/>
        <w:ind w:firstLine="0"/>
        <w:rPr>
          <w:sz w:val="22"/>
          <w:szCs w:val="22"/>
        </w:rPr>
      </w:pPr>
      <w:r w:rsidRPr="000A5C70">
        <w:rPr>
          <w:sz w:val="22"/>
          <w:szCs w:val="22"/>
        </w:rPr>
        <w:t>Atbildīgā amatpersona</w:t>
      </w:r>
    </w:p>
    <w:p w14:paraId="5114E2D3" w14:textId="77777777" w:rsidR="00134959" w:rsidRPr="000A5C70" w:rsidRDefault="00134959" w:rsidP="00134959">
      <w:pPr>
        <w:pStyle w:val="naisf"/>
        <w:spacing w:before="0" w:after="0"/>
        <w:ind w:firstLine="0"/>
        <w:rPr>
          <w:sz w:val="22"/>
          <w:szCs w:val="22"/>
        </w:rPr>
      </w:pPr>
    </w:p>
    <w:p w14:paraId="294E93D7" w14:textId="66AAE151" w:rsidR="00134959" w:rsidRPr="000A5C70" w:rsidRDefault="005A1511" w:rsidP="00134959">
      <w:pPr>
        <w:pStyle w:val="naisf"/>
        <w:pBdr>
          <w:bottom w:val="single" w:sz="4" w:space="0" w:color="auto"/>
        </w:pBdr>
        <w:spacing w:before="0" w:after="60"/>
        <w:ind w:right="4647" w:firstLine="0"/>
        <w:rPr>
          <w:sz w:val="22"/>
          <w:szCs w:val="22"/>
        </w:rPr>
      </w:pPr>
      <w:r w:rsidRPr="000A5C70">
        <w:rPr>
          <w:sz w:val="22"/>
          <w:szCs w:val="22"/>
        </w:rPr>
        <w:t>Ritvars Timermanis</w:t>
      </w:r>
    </w:p>
    <w:tbl>
      <w:tblPr>
        <w:tblW w:w="0" w:type="auto"/>
        <w:tblBorders>
          <w:bottom w:val="single" w:sz="4" w:space="0" w:color="auto"/>
        </w:tblBorders>
        <w:tblLook w:val="00A0" w:firstRow="1" w:lastRow="0" w:firstColumn="1" w:lastColumn="0" w:noHBand="0" w:noVBand="0"/>
      </w:tblPr>
      <w:tblGrid>
        <w:gridCol w:w="9461"/>
      </w:tblGrid>
      <w:tr w:rsidR="00134959" w:rsidRPr="000A5C70" w14:paraId="49A209D6" w14:textId="77777777" w:rsidTr="00D0778C">
        <w:trPr>
          <w:trHeight w:val="274"/>
        </w:trPr>
        <w:tc>
          <w:tcPr>
            <w:tcW w:w="9461" w:type="dxa"/>
            <w:tcBorders>
              <w:bottom w:val="single" w:sz="4" w:space="0" w:color="auto"/>
            </w:tcBorders>
          </w:tcPr>
          <w:p w14:paraId="468A7B1E" w14:textId="77777777" w:rsidR="00134959" w:rsidRPr="000A5C70" w:rsidRDefault="00134959" w:rsidP="00D0778C">
            <w:pPr>
              <w:spacing w:after="60"/>
              <w:jc w:val="center"/>
            </w:pPr>
            <w:r w:rsidRPr="000A5C70">
              <w:rPr>
                <w:sz w:val="22"/>
                <w:szCs w:val="22"/>
              </w:rPr>
              <w:t>(par projektu atbildīgās amatpersonas vārds un uzvārds)</w:t>
            </w:r>
          </w:p>
        </w:tc>
      </w:tr>
      <w:tr w:rsidR="00134959" w:rsidRPr="000A5C70" w14:paraId="4C79BE35" w14:textId="77777777" w:rsidTr="00D0778C">
        <w:trPr>
          <w:trHeight w:val="260"/>
        </w:trPr>
        <w:tc>
          <w:tcPr>
            <w:tcW w:w="9461" w:type="dxa"/>
            <w:tcBorders>
              <w:top w:val="single" w:sz="4" w:space="0" w:color="auto"/>
              <w:bottom w:val="single" w:sz="4" w:space="0" w:color="auto"/>
            </w:tcBorders>
          </w:tcPr>
          <w:p w14:paraId="68602BB5" w14:textId="6B10F93B" w:rsidR="005A1511" w:rsidRPr="000A5C70" w:rsidRDefault="00134959" w:rsidP="005A1511">
            <w:pPr>
              <w:spacing w:after="60"/>
              <w:rPr>
                <w:sz w:val="22"/>
                <w:szCs w:val="22"/>
              </w:rPr>
            </w:pPr>
            <w:r w:rsidRPr="000A5C70">
              <w:rPr>
                <w:sz w:val="22"/>
                <w:szCs w:val="22"/>
              </w:rPr>
              <w:t xml:space="preserve">Vides aizsardzības un reģionālās attīstības ministrijas </w:t>
            </w:r>
            <w:r w:rsidR="005A1511" w:rsidRPr="000A5C70">
              <w:rPr>
                <w:sz w:val="22"/>
                <w:szCs w:val="22"/>
              </w:rPr>
              <w:t>Reģionālo un informācijas un komunikācijas tehnoloģiju investīciju nodaļas vadītājs</w:t>
            </w:r>
          </w:p>
        </w:tc>
      </w:tr>
      <w:tr w:rsidR="00134959" w:rsidRPr="000A5C70" w14:paraId="36713955" w14:textId="77777777" w:rsidTr="00D0778C">
        <w:trPr>
          <w:trHeight w:val="260"/>
        </w:trPr>
        <w:tc>
          <w:tcPr>
            <w:tcW w:w="9461" w:type="dxa"/>
            <w:tcBorders>
              <w:top w:val="single" w:sz="4" w:space="0" w:color="auto"/>
              <w:bottom w:val="nil"/>
            </w:tcBorders>
          </w:tcPr>
          <w:p w14:paraId="7582CFF7" w14:textId="77777777" w:rsidR="00134959" w:rsidRPr="000A5C70" w:rsidRDefault="00134959" w:rsidP="00D0778C">
            <w:pPr>
              <w:spacing w:after="60"/>
              <w:jc w:val="center"/>
            </w:pPr>
            <w:r w:rsidRPr="000A5C70">
              <w:rPr>
                <w:sz w:val="22"/>
                <w:szCs w:val="22"/>
              </w:rPr>
              <w:t>(amats)</w:t>
            </w:r>
          </w:p>
        </w:tc>
      </w:tr>
      <w:tr w:rsidR="00134959" w:rsidRPr="000A5C70" w14:paraId="1A683DE7" w14:textId="77777777" w:rsidTr="00D0778C">
        <w:trPr>
          <w:trHeight w:val="274"/>
        </w:trPr>
        <w:tc>
          <w:tcPr>
            <w:tcW w:w="9461" w:type="dxa"/>
            <w:tcBorders>
              <w:bottom w:val="single" w:sz="4" w:space="0" w:color="auto"/>
            </w:tcBorders>
          </w:tcPr>
          <w:p w14:paraId="30B13C6F" w14:textId="43269011" w:rsidR="00134959" w:rsidRPr="000A5C70" w:rsidRDefault="00134959" w:rsidP="00D0778C">
            <w:pPr>
              <w:spacing w:after="60"/>
            </w:pPr>
            <w:r w:rsidRPr="000A5C70">
              <w:rPr>
                <w:sz w:val="22"/>
                <w:szCs w:val="22"/>
              </w:rPr>
              <w:t>tālr., fakss: 660167</w:t>
            </w:r>
            <w:r w:rsidR="005A1511" w:rsidRPr="000A5C70">
              <w:rPr>
                <w:sz w:val="22"/>
                <w:szCs w:val="22"/>
              </w:rPr>
              <w:t>09</w:t>
            </w:r>
          </w:p>
        </w:tc>
      </w:tr>
      <w:tr w:rsidR="00134959" w:rsidRPr="000A5C70" w14:paraId="34A38CD5" w14:textId="77777777" w:rsidTr="00D0778C">
        <w:trPr>
          <w:trHeight w:val="260"/>
        </w:trPr>
        <w:tc>
          <w:tcPr>
            <w:tcW w:w="9461" w:type="dxa"/>
            <w:tcBorders>
              <w:top w:val="single" w:sz="4" w:space="0" w:color="auto"/>
              <w:bottom w:val="nil"/>
            </w:tcBorders>
          </w:tcPr>
          <w:p w14:paraId="2C1B76A6" w14:textId="77777777" w:rsidR="00134959" w:rsidRPr="000A5C70" w:rsidRDefault="00134959" w:rsidP="00D0778C">
            <w:pPr>
              <w:spacing w:after="60"/>
              <w:jc w:val="center"/>
            </w:pPr>
            <w:r w:rsidRPr="000A5C70">
              <w:rPr>
                <w:sz w:val="22"/>
                <w:szCs w:val="22"/>
              </w:rPr>
              <w:t>(tālruņa un faksa numurs)</w:t>
            </w:r>
          </w:p>
        </w:tc>
      </w:tr>
      <w:tr w:rsidR="00134959" w:rsidRPr="000A5C70" w14:paraId="22ACDD70" w14:textId="77777777" w:rsidTr="00D0778C">
        <w:trPr>
          <w:trHeight w:val="260"/>
        </w:trPr>
        <w:tc>
          <w:tcPr>
            <w:tcW w:w="9461" w:type="dxa"/>
            <w:tcBorders>
              <w:bottom w:val="single" w:sz="4" w:space="0" w:color="auto"/>
            </w:tcBorders>
          </w:tcPr>
          <w:p w14:paraId="015E88A5" w14:textId="58A6F42A" w:rsidR="00134959" w:rsidRPr="000A5C70" w:rsidRDefault="00FE5446" w:rsidP="00D0778C">
            <w:pPr>
              <w:spacing w:after="60"/>
            </w:pPr>
            <w:hyperlink r:id="rId11" w:history="1">
              <w:r w:rsidR="005A1511" w:rsidRPr="000A5C70">
                <w:rPr>
                  <w:rStyle w:val="Hyperlink"/>
                </w:rPr>
                <w:t>Ritvars.Timermanis@varam.gov.lv</w:t>
              </w:r>
            </w:hyperlink>
            <w:r w:rsidR="005A1511" w:rsidRPr="000A5C70">
              <w:t xml:space="preserve"> </w:t>
            </w:r>
          </w:p>
        </w:tc>
      </w:tr>
      <w:tr w:rsidR="00134959" w:rsidRPr="000A5C70" w14:paraId="125B6AB1" w14:textId="77777777" w:rsidTr="00D0778C">
        <w:trPr>
          <w:trHeight w:val="119"/>
        </w:trPr>
        <w:tc>
          <w:tcPr>
            <w:tcW w:w="9461" w:type="dxa"/>
            <w:tcBorders>
              <w:top w:val="single" w:sz="4" w:space="0" w:color="auto"/>
              <w:bottom w:val="nil"/>
            </w:tcBorders>
          </w:tcPr>
          <w:p w14:paraId="5CB7CDB4" w14:textId="77777777" w:rsidR="00134959" w:rsidRPr="000A5C70" w:rsidRDefault="00134959" w:rsidP="00D0778C">
            <w:pPr>
              <w:spacing w:after="60"/>
              <w:jc w:val="center"/>
            </w:pPr>
            <w:r w:rsidRPr="000A5C70">
              <w:rPr>
                <w:sz w:val="22"/>
                <w:szCs w:val="22"/>
              </w:rPr>
              <w:t>(e-pasta adrese)</w:t>
            </w:r>
          </w:p>
        </w:tc>
      </w:tr>
    </w:tbl>
    <w:p w14:paraId="5818C07F" w14:textId="77777777" w:rsidR="00134959" w:rsidRPr="000A5C70" w:rsidRDefault="00134959" w:rsidP="00134959">
      <w:pPr>
        <w:tabs>
          <w:tab w:val="left" w:pos="2490"/>
        </w:tabs>
        <w:jc w:val="both"/>
        <w:rPr>
          <w:sz w:val="22"/>
          <w:szCs w:val="22"/>
        </w:rPr>
      </w:pPr>
      <w:r w:rsidRPr="000A5C70">
        <w:rPr>
          <w:sz w:val="22"/>
          <w:szCs w:val="22"/>
        </w:rPr>
        <w:tab/>
      </w:r>
    </w:p>
    <w:p w14:paraId="489DAAD1" w14:textId="3BE8769F" w:rsidR="00134959" w:rsidRPr="000A5C70" w:rsidRDefault="00B1777C" w:rsidP="00134959">
      <w:pPr>
        <w:jc w:val="both"/>
        <w:rPr>
          <w:sz w:val="20"/>
          <w:szCs w:val="20"/>
        </w:rPr>
      </w:pPr>
      <w:r>
        <w:rPr>
          <w:sz w:val="20"/>
          <w:szCs w:val="20"/>
        </w:rPr>
        <w:t>30</w:t>
      </w:r>
      <w:r w:rsidR="00C63CA6" w:rsidRPr="000A5C70">
        <w:rPr>
          <w:sz w:val="20"/>
          <w:szCs w:val="20"/>
        </w:rPr>
        <w:t>.0</w:t>
      </w:r>
      <w:r w:rsidR="00CA10F3" w:rsidRPr="000A5C70">
        <w:rPr>
          <w:sz w:val="20"/>
          <w:szCs w:val="20"/>
        </w:rPr>
        <w:t>3</w:t>
      </w:r>
      <w:r w:rsidR="00D60DF4">
        <w:rPr>
          <w:sz w:val="20"/>
          <w:szCs w:val="20"/>
        </w:rPr>
        <w:t xml:space="preserve">.2020 </w:t>
      </w:r>
      <w:r>
        <w:rPr>
          <w:sz w:val="20"/>
          <w:szCs w:val="20"/>
        </w:rPr>
        <w:t>14:2</w:t>
      </w:r>
      <w:r w:rsidR="00112CBF">
        <w:rPr>
          <w:sz w:val="20"/>
          <w:szCs w:val="20"/>
        </w:rPr>
        <w:t>0</w:t>
      </w:r>
    </w:p>
    <w:p w14:paraId="63AEF63B" w14:textId="2E55BACA" w:rsidR="00134959" w:rsidRPr="000A5C70" w:rsidRDefault="00112CBF" w:rsidP="00134959">
      <w:pPr>
        <w:jc w:val="both"/>
        <w:rPr>
          <w:sz w:val="20"/>
          <w:szCs w:val="20"/>
        </w:rPr>
      </w:pPr>
      <w:r>
        <w:rPr>
          <w:sz w:val="20"/>
          <w:szCs w:val="20"/>
        </w:rPr>
        <w:t>3692</w:t>
      </w:r>
    </w:p>
    <w:p w14:paraId="4A291B43" w14:textId="7D5D1D71" w:rsidR="00134959" w:rsidRPr="000A5C70" w:rsidRDefault="00860CB0" w:rsidP="00134959">
      <w:pPr>
        <w:jc w:val="both"/>
        <w:rPr>
          <w:sz w:val="20"/>
          <w:szCs w:val="20"/>
        </w:rPr>
      </w:pPr>
      <w:r w:rsidRPr="000A5C70">
        <w:rPr>
          <w:sz w:val="20"/>
          <w:szCs w:val="20"/>
        </w:rPr>
        <w:t>K.Raubiškis 66016717</w:t>
      </w:r>
    </w:p>
    <w:p w14:paraId="0F946758" w14:textId="0AAFC19F" w:rsidR="0057685B" w:rsidRDefault="00FE5446" w:rsidP="0055027E">
      <w:pPr>
        <w:jc w:val="both"/>
      </w:pPr>
      <w:hyperlink r:id="rId12" w:history="1">
        <w:r w:rsidR="00860CB0" w:rsidRPr="000A5C70">
          <w:rPr>
            <w:rStyle w:val="Hyperlink"/>
            <w:sz w:val="20"/>
            <w:szCs w:val="20"/>
          </w:rPr>
          <w:t>Kaspars.Raubiskis@varam.gov.lv</w:t>
        </w:r>
      </w:hyperlink>
    </w:p>
    <w:sectPr w:rsidR="0057685B" w:rsidSect="00D0778C">
      <w:headerReference w:type="even" r:id="rId13"/>
      <w:headerReference w:type="default" r:id="rId14"/>
      <w:footerReference w:type="default" r:id="rId15"/>
      <w:footerReference w:type="first" r:id="rId16"/>
      <w:pgSz w:w="16838" w:h="11906" w:orient="landscape" w:code="9"/>
      <w:pgMar w:top="851" w:right="1134" w:bottom="993" w:left="1701" w:header="709" w:footer="44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39D11" w16cex:dateUtc="2020-02-28T12:07:00Z"/>
  <w16cex:commentExtensible w16cex:durableId="22039CEB" w16cex:dateUtc="2020-02-28T12:06:00Z"/>
  <w16cex:commentExtensible w16cex:durableId="22073C90" w16cex:dateUtc="2020-03-02T06:04:00Z"/>
  <w16cex:commentExtensible w16cex:durableId="220741B0" w16cex:dateUtc="2020-03-02T06:26:00Z"/>
  <w16cex:commentExtensible w16cex:durableId="22074300" w16cex:dateUtc="2020-03-02T06:32:00Z"/>
  <w16cex:commentExtensible w16cex:durableId="2207440D" w16cex:dateUtc="2020-03-02T06:36:00Z"/>
  <w16cex:commentExtensible w16cex:durableId="2207446C" w16cex:dateUtc="2020-03-02T06:3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5BC5D" w14:textId="77777777" w:rsidR="00FE5446" w:rsidRDefault="00FE5446" w:rsidP="00134959">
      <w:r>
        <w:separator/>
      </w:r>
    </w:p>
  </w:endnote>
  <w:endnote w:type="continuationSeparator" w:id="0">
    <w:p w14:paraId="0CCC8DDA" w14:textId="77777777" w:rsidR="00FE5446" w:rsidRDefault="00FE5446" w:rsidP="00134959">
      <w:r>
        <w:continuationSeparator/>
      </w:r>
    </w:p>
  </w:endnote>
  <w:endnote w:type="continuationNotice" w:id="1">
    <w:p w14:paraId="46BE2B2C" w14:textId="77777777" w:rsidR="006B2186" w:rsidRDefault="006B2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32E0" w14:textId="253DFEE5" w:rsidR="00FE5446" w:rsidRPr="00134959" w:rsidRDefault="00FE5446" w:rsidP="00134959">
    <w:pPr>
      <w:jc w:val="both"/>
    </w:pPr>
    <w:r w:rsidRPr="00C6256C">
      <w:rPr>
        <w:sz w:val="20"/>
        <w:szCs w:val="20"/>
      </w:rPr>
      <w:t>VARAMIzz_</w:t>
    </w:r>
    <w:r>
      <w:rPr>
        <w:sz w:val="20"/>
        <w:szCs w:val="20"/>
      </w:rPr>
      <w:t>300320_groz152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55E6" w14:textId="1907874A" w:rsidR="00FE5446" w:rsidRPr="004C0906" w:rsidRDefault="00FE5446" w:rsidP="00D0778C">
    <w:pPr>
      <w:jc w:val="both"/>
      <w:rPr>
        <w:sz w:val="20"/>
        <w:szCs w:val="20"/>
      </w:rPr>
    </w:pPr>
    <w:r w:rsidRPr="00C6256C">
      <w:rPr>
        <w:sz w:val="20"/>
        <w:szCs w:val="20"/>
      </w:rPr>
      <w:t>VARAMIzz_</w:t>
    </w:r>
    <w:r>
      <w:rPr>
        <w:sz w:val="20"/>
        <w:szCs w:val="20"/>
      </w:rPr>
      <w:t>300320_groz152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5B81D" w14:textId="77777777" w:rsidR="00FE5446" w:rsidRDefault="00FE5446" w:rsidP="00134959">
      <w:r>
        <w:separator/>
      </w:r>
    </w:p>
  </w:footnote>
  <w:footnote w:type="continuationSeparator" w:id="0">
    <w:p w14:paraId="44D4615B" w14:textId="77777777" w:rsidR="00FE5446" w:rsidRDefault="00FE5446" w:rsidP="00134959">
      <w:r>
        <w:continuationSeparator/>
      </w:r>
    </w:p>
  </w:footnote>
  <w:footnote w:type="continuationNotice" w:id="1">
    <w:p w14:paraId="46751D44" w14:textId="77777777" w:rsidR="006B2186" w:rsidRDefault="006B2186"/>
  </w:footnote>
  <w:footnote w:id="2">
    <w:p w14:paraId="70FBF878" w14:textId="77777777" w:rsidR="00FE5446" w:rsidRDefault="00FE5446" w:rsidP="008A5472">
      <w:pPr>
        <w:pStyle w:val="FootnoteText"/>
      </w:pPr>
      <w:r>
        <w:rPr>
          <w:rStyle w:val="FootnoteReference"/>
        </w:rPr>
        <w:footnoteRef/>
      </w:r>
      <w:r>
        <w:t xml:space="preserve"> FM 2019.gada 19.jūnija vēstule Nr.5.1-24/21/2846 “</w:t>
      </w:r>
      <w:r w:rsidRPr="00FE449F">
        <w:t>Par turpmāko rīcību ar neattiecināmajām izmaksām Eiropas Savienības struktūrfondu un Kohēzijas fonda 2014.–2020.gada plānošanas perioda īstenošanā</w:t>
      </w:r>
      <w:r>
        <w:t>”.</w:t>
      </w:r>
    </w:p>
  </w:footnote>
  <w:footnote w:id="3">
    <w:p w14:paraId="0D77F7B4" w14:textId="77777777" w:rsidR="00FE5446" w:rsidRPr="00E57A9B" w:rsidRDefault="00FE5446" w:rsidP="00B1716D">
      <w:pPr>
        <w:pStyle w:val="Atklasts"/>
        <w:rPr>
          <w:b w:val="0"/>
          <w:bCs w:val="0"/>
          <w:sz w:val="20"/>
          <w:szCs w:val="20"/>
          <w:lang w:eastAsia="lv-LV"/>
        </w:rPr>
      </w:pPr>
      <w:r w:rsidRPr="00E57A9B">
        <w:rPr>
          <w:b w:val="0"/>
          <w:bCs w:val="0"/>
          <w:sz w:val="20"/>
          <w:szCs w:val="20"/>
          <w:vertAlign w:val="superscript"/>
          <w:lang w:eastAsia="lv-LV"/>
        </w:rPr>
        <w:footnoteRef/>
      </w:r>
      <w:r w:rsidRPr="00E57A9B">
        <w:rPr>
          <w:b w:val="0"/>
          <w:bCs w:val="0"/>
          <w:sz w:val="20"/>
          <w:szCs w:val="20"/>
          <w:vertAlign w:val="superscript"/>
          <w:lang w:eastAsia="lv-LV"/>
        </w:rPr>
        <w:t xml:space="preserve"> </w:t>
      </w:r>
      <w:r>
        <w:rPr>
          <w:b w:val="0"/>
          <w:bCs w:val="0"/>
          <w:sz w:val="20"/>
          <w:szCs w:val="20"/>
          <w:lang w:eastAsia="lv-LV"/>
        </w:rPr>
        <w:t xml:space="preserve">VARAM </w:t>
      </w:r>
      <w:r w:rsidRPr="00E57A9B">
        <w:rPr>
          <w:b w:val="0"/>
          <w:bCs w:val="0"/>
          <w:sz w:val="20"/>
          <w:szCs w:val="20"/>
          <w:lang w:eastAsia="lv-LV"/>
        </w:rPr>
        <w:t xml:space="preserve">2019. gada 28. jūnija vēstule Nr. 4-4/6228 </w:t>
      </w:r>
      <w:r>
        <w:rPr>
          <w:b w:val="0"/>
          <w:bCs w:val="0"/>
          <w:sz w:val="20"/>
          <w:szCs w:val="20"/>
          <w:lang w:eastAsia="lv-LV"/>
        </w:rPr>
        <w:t>“</w:t>
      </w:r>
      <w:r w:rsidRPr="00E57A9B">
        <w:rPr>
          <w:b w:val="0"/>
          <w:bCs w:val="0"/>
          <w:sz w:val="20"/>
          <w:szCs w:val="20"/>
          <w:lang w:eastAsia="lv-LV"/>
        </w:rPr>
        <w:t>Par turpmāko rīcību ar neattiecināmajām izmaksām Eiropas Savienības struktūrfondu un Kohēzijas fonda 2014.-2020. gada plānošanas perioda īstenošanā</w:t>
      </w:r>
      <w:r>
        <w:rPr>
          <w:b w:val="0"/>
          <w:bCs w:val="0"/>
          <w:sz w:val="20"/>
          <w:szCs w:val="20"/>
          <w:lang w:eastAsia="lv-LV"/>
        </w:rPr>
        <w:t>” un VARAM 2019. gada 15. augusta vēstule Nr. 4-4/7795 “</w:t>
      </w:r>
      <w:r w:rsidRPr="00E57A9B">
        <w:rPr>
          <w:b w:val="0"/>
          <w:bCs w:val="0"/>
          <w:sz w:val="20"/>
          <w:szCs w:val="20"/>
          <w:lang w:eastAsia="lv-LV"/>
        </w:rPr>
        <w:t>Par turpmāko rīcību ar neattiecināmajām izmaksām Eiropas Savienības struktūrfondu un Kohēzijas fonda 2014.-2020. gada plānošanas perioda īstenošanā</w:t>
      </w:r>
      <w:r>
        <w:rPr>
          <w:b w:val="0"/>
          <w:bCs w:val="0"/>
          <w:sz w:val="20"/>
          <w:szCs w:val="20"/>
          <w:lang w:eastAsia="lv-LV"/>
        </w:rPr>
        <w:t>”.</w:t>
      </w:r>
    </w:p>
  </w:footnote>
  <w:footnote w:id="4">
    <w:p w14:paraId="4E665B47" w14:textId="77777777" w:rsidR="00FE5446" w:rsidRDefault="00FE5446" w:rsidP="002057F9">
      <w:pPr>
        <w:pStyle w:val="FootnoteText"/>
      </w:pPr>
      <w:r>
        <w:rPr>
          <w:rStyle w:val="FootnoteReference"/>
        </w:rPr>
        <w:footnoteRef/>
      </w:r>
      <w:r>
        <w:t xml:space="preserve"> 4.2.2.specifiskais atbalsta mērķis</w:t>
      </w:r>
      <w:r w:rsidRPr="007D478B">
        <w:t xml:space="preserve"> “Atbilstoši pašvaldības integrētajām attīstības programmām sekmēt energoefektivitātes paaugstināšanu un atjaunojamo energoresursu izmantošanu pašvaldību ēkās”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D4FC9" w14:textId="77777777" w:rsidR="00FE5446" w:rsidRDefault="00FE5446" w:rsidP="00D077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ACBEE" w14:textId="77777777" w:rsidR="00FE5446" w:rsidRDefault="00FE5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D1AE" w14:textId="77777777" w:rsidR="00FE5446" w:rsidRDefault="00FE5446" w:rsidP="00D077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186">
      <w:rPr>
        <w:rStyle w:val="PageNumber"/>
        <w:noProof/>
      </w:rPr>
      <w:t>2</w:t>
    </w:r>
    <w:r>
      <w:rPr>
        <w:rStyle w:val="PageNumber"/>
      </w:rPr>
      <w:fldChar w:fldCharType="end"/>
    </w:r>
  </w:p>
  <w:p w14:paraId="0FC6F793" w14:textId="77777777" w:rsidR="00FE5446" w:rsidRDefault="00FE5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13C7"/>
    <w:multiLevelType w:val="multilevel"/>
    <w:tmpl w:val="4760B2A8"/>
    <w:lvl w:ilvl="0">
      <w:start w:val="1"/>
      <w:numFmt w:val="upperRoman"/>
      <w:lvlText w:val="%1."/>
      <w:lvlJc w:val="left"/>
      <w:pPr>
        <w:ind w:left="1080" w:hanging="72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F846152"/>
    <w:multiLevelType w:val="hybridMultilevel"/>
    <w:tmpl w:val="C6DA2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E0560A"/>
    <w:multiLevelType w:val="hybridMultilevel"/>
    <w:tmpl w:val="1688C9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4F5F3262"/>
    <w:multiLevelType w:val="hybridMultilevel"/>
    <w:tmpl w:val="B47C870E"/>
    <w:lvl w:ilvl="0" w:tplc="2B14015C">
      <w:start w:val="1"/>
      <w:numFmt w:val="decimal"/>
      <w:lvlText w:val="%1."/>
      <w:lvlJc w:val="left"/>
      <w:pPr>
        <w:ind w:left="360" w:hanging="360"/>
      </w:pPr>
      <w:rPr>
        <w:sz w:val="24"/>
        <w:szCs w:val="24"/>
      </w:rPr>
    </w:lvl>
    <w:lvl w:ilvl="1" w:tplc="7DD86F34">
      <w:start w:val="1"/>
      <w:numFmt w:val="lowerLetter"/>
      <w:lvlText w:val="%2."/>
      <w:lvlJc w:val="left"/>
      <w:pPr>
        <w:ind w:left="1080" w:hanging="360"/>
      </w:pPr>
    </w:lvl>
    <w:lvl w:ilvl="2" w:tplc="757C801A">
      <w:start w:val="1"/>
      <w:numFmt w:val="lowerRoman"/>
      <w:lvlText w:val="%3."/>
      <w:lvlJc w:val="right"/>
      <w:pPr>
        <w:ind w:left="1800" w:hanging="180"/>
      </w:pPr>
    </w:lvl>
    <w:lvl w:ilvl="3" w:tplc="0CDE0C0C" w:tentative="1">
      <w:start w:val="1"/>
      <w:numFmt w:val="decimal"/>
      <w:lvlText w:val="%4."/>
      <w:lvlJc w:val="left"/>
      <w:pPr>
        <w:ind w:left="2520" w:hanging="360"/>
      </w:pPr>
    </w:lvl>
    <w:lvl w:ilvl="4" w:tplc="A96405AE" w:tentative="1">
      <w:start w:val="1"/>
      <w:numFmt w:val="lowerLetter"/>
      <w:lvlText w:val="%5."/>
      <w:lvlJc w:val="left"/>
      <w:pPr>
        <w:ind w:left="3240" w:hanging="360"/>
      </w:pPr>
    </w:lvl>
    <w:lvl w:ilvl="5" w:tplc="66007710" w:tentative="1">
      <w:start w:val="1"/>
      <w:numFmt w:val="lowerRoman"/>
      <w:lvlText w:val="%6."/>
      <w:lvlJc w:val="right"/>
      <w:pPr>
        <w:ind w:left="3960" w:hanging="180"/>
      </w:pPr>
    </w:lvl>
    <w:lvl w:ilvl="6" w:tplc="08B0B118" w:tentative="1">
      <w:start w:val="1"/>
      <w:numFmt w:val="decimal"/>
      <w:lvlText w:val="%7."/>
      <w:lvlJc w:val="left"/>
      <w:pPr>
        <w:ind w:left="4680" w:hanging="360"/>
      </w:pPr>
    </w:lvl>
    <w:lvl w:ilvl="7" w:tplc="73E6B7F0" w:tentative="1">
      <w:start w:val="1"/>
      <w:numFmt w:val="lowerLetter"/>
      <w:lvlText w:val="%8."/>
      <w:lvlJc w:val="left"/>
      <w:pPr>
        <w:ind w:left="5400" w:hanging="360"/>
      </w:pPr>
    </w:lvl>
    <w:lvl w:ilvl="8" w:tplc="F35215C6" w:tentative="1">
      <w:start w:val="1"/>
      <w:numFmt w:val="lowerRoman"/>
      <w:lvlText w:val="%9."/>
      <w:lvlJc w:val="right"/>
      <w:pPr>
        <w:ind w:left="6120" w:hanging="180"/>
      </w:pPr>
    </w:lvl>
  </w:abstractNum>
  <w:abstractNum w:abstractNumId="4" w15:restartNumberingAfterBreak="0">
    <w:nsid w:val="56012661"/>
    <w:multiLevelType w:val="hybridMultilevel"/>
    <w:tmpl w:val="C4A69656"/>
    <w:lvl w:ilvl="0" w:tplc="10224A5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15C341D"/>
    <w:multiLevelType w:val="hybridMultilevel"/>
    <w:tmpl w:val="39CA5DE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15:restartNumberingAfterBreak="0">
    <w:nsid w:val="7A613DA5"/>
    <w:multiLevelType w:val="hybridMultilevel"/>
    <w:tmpl w:val="55506F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59"/>
    <w:rsid w:val="00020427"/>
    <w:rsid w:val="00033107"/>
    <w:rsid w:val="00044C8E"/>
    <w:rsid w:val="00047EF9"/>
    <w:rsid w:val="000515BC"/>
    <w:rsid w:val="00087E8C"/>
    <w:rsid w:val="000A5C70"/>
    <w:rsid w:val="000C7AE3"/>
    <w:rsid w:val="000C7D3F"/>
    <w:rsid w:val="000D5CB3"/>
    <w:rsid w:val="000E10EE"/>
    <w:rsid w:val="000F69F7"/>
    <w:rsid w:val="00112CBF"/>
    <w:rsid w:val="00123E2B"/>
    <w:rsid w:val="00134959"/>
    <w:rsid w:val="001360D2"/>
    <w:rsid w:val="0014225B"/>
    <w:rsid w:val="00164D58"/>
    <w:rsid w:val="00170EC5"/>
    <w:rsid w:val="001F5F8B"/>
    <w:rsid w:val="00200860"/>
    <w:rsid w:val="002057F9"/>
    <w:rsid w:val="0021786E"/>
    <w:rsid w:val="002500C0"/>
    <w:rsid w:val="00274772"/>
    <w:rsid w:val="00287B04"/>
    <w:rsid w:val="00295B06"/>
    <w:rsid w:val="002A0317"/>
    <w:rsid w:val="002A2847"/>
    <w:rsid w:val="002A7F5B"/>
    <w:rsid w:val="002B50C7"/>
    <w:rsid w:val="002B6D21"/>
    <w:rsid w:val="002C09FA"/>
    <w:rsid w:val="002C42E5"/>
    <w:rsid w:val="002D41E2"/>
    <w:rsid w:val="002F51BC"/>
    <w:rsid w:val="00314C82"/>
    <w:rsid w:val="00337158"/>
    <w:rsid w:val="00337579"/>
    <w:rsid w:val="00347122"/>
    <w:rsid w:val="003561E9"/>
    <w:rsid w:val="00357873"/>
    <w:rsid w:val="00365CCE"/>
    <w:rsid w:val="00370E20"/>
    <w:rsid w:val="0038330F"/>
    <w:rsid w:val="003A41A3"/>
    <w:rsid w:val="003C0828"/>
    <w:rsid w:val="003C0A24"/>
    <w:rsid w:val="003F641B"/>
    <w:rsid w:val="00441592"/>
    <w:rsid w:val="00490CF1"/>
    <w:rsid w:val="004A63E5"/>
    <w:rsid w:val="004B6370"/>
    <w:rsid w:val="004F0D1F"/>
    <w:rsid w:val="004F3454"/>
    <w:rsid w:val="005006BA"/>
    <w:rsid w:val="005159FE"/>
    <w:rsid w:val="0055027E"/>
    <w:rsid w:val="0057685B"/>
    <w:rsid w:val="0057781B"/>
    <w:rsid w:val="005A1511"/>
    <w:rsid w:val="005A4D01"/>
    <w:rsid w:val="00657C78"/>
    <w:rsid w:val="00666B23"/>
    <w:rsid w:val="006A6270"/>
    <w:rsid w:val="006B2186"/>
    <w:rsid w:val="006D0814"/>
    <w:rsid w:val="006E277C"/>
    <w:rsid w:val="006E4DF7"/>
    <w:rsid w:val="006F06B5"/>
    <w:rsid w:val="006F456D"/>
    <w:rsid w:val="00703421"/>
    <w:rsid w:val="00763A2B"/>
    <w:rsid w:val="00773F69"/>
    <w:rsid w:val="00791B2B"/>
    <w:rsid w:val="00792F57"/>
    <w:rsid w:val="007D40CE"/>
    <w:rsid w:val="007F49EC"/>
    <w:rsid w:val="00804AF0"/>
    <w:rsid w:val="00811F75"/>
    <w:rsid w:val="00820C09"/>
    <w:rsid w:val="008243AF"/>
    <w:rsid w:val="00845EB8"/>
    <w:rsid w:val="00854930"/>
    <w:rsid w:val="00857BE3"/>
    <w:rsid w:val="00860CB0"/>
    <w:rsid w:val="00863264"/>
    <w:rsid w:val="0086598B"/>
    <w:rsid w:val="00867119"/>
    <w:rsid w:val="00881913"/>
    <w:rsid w:val="008901B9"/>
    <w:rsid w:val="008A5472"/>
    <w:rsid w:val="008A7386"/>
    <w:rsid w:val="008B7329"/>
    <w:rsid w:val="008C45A3"/>
    <w:rsid w:val="008D4AA7"/>
    <w:rsid w:val="008F562B"/>
    <w:rsid w:val="00901987"/>
    <w:rsid w:val="00911D45"/>
    <w:rsid w:val="00913688"/>
    <w:rsid w:val="00921C8A"/>
    <w:rsid w:val="00933D08"/>
    <w:rsid w:val="00943968"/>
    <w:rsid w:val="009700A1"/>
    <w:rsid w:val="009717FC"/>
    <w:rsid w:val="00987E7D"/>
    <w:rsid w:val="00994985"/>
    <w:rsid w:val="009F2C6E"/>
    <w:rsid w:val="00A000EB"/>
    <w:rsid w:val="00A20E37"/>
    <w:rsid w:val="00A245BB"/>
    <w:rsid w:val="00A877B8"/>
    <w:rsid w:val="00A94209"/>
    <w:rsid w:val="00A94A7A"/>
    <w:rsid w:val="00AB5D79"/>
    <w:rsid w:val="00AB7707"/>
    <w:rsid w:val="00AC18CB"/>
    <w:rsid w:val="00AE5E11"/>
    <w:rsid w:val="00B1716D"/>
    <w:rsid w:val="00B1777C"/>
    <w:rsid w:val="00B37215"/>
    <w:rsid w:val="00B54CE8"/>
    <w:rsid w:val="00B54DCE"/>
    <w:rsid w:val="00B807DC"/>
    <w:rsid w:val="00BB0332"/>
    <w:rsid w:val="00BD3C02"/>
    <w:rsid w:val="00BD64C8"/>
    <w:rsid w:val="00BF332C"/>
    <w:rsid w:val="00C0252B"/>
    <w:rsid w:val="00C21D2B"/>
    <w:rsid w:val="00C334FB"/>
    <w:rsid w:val="00C63CA6"/>
    <w:rsid w:val="00C7507C"/>
    <w:rsid w:val="00C75259"/>
    <w:rsid w:val="00C81FD9"/>
    <w:rsid w:val="00C8695D"/>
    <w:rsid w:val="00CA10F3"/>
    <w:rsid w:val="00D0778C"/>
    <w:rsid w:val="00D17476"/>
    <w:rsid w:val="00D31031"/>
    <w:rsid w:val="00D40B93"/>
    <w:rsid w:val="00D60DF4"/>
    <w:rsid w:val="00D63197"/>
    <w:rsid w:val="00D66549"/>
    <w:rsid w:val="00D86E4A"/>
    <w:rsid w:val="00DC5F92"/>
    <w:rsid w:val="00DD0DC4"/>
    <w:rsid w:val="00E04C39"/>
    <w:rsid w:val="00E12209"/>
    <w:rsid w:val="00E24F88"/>
    <w:rsid w:val="00E302BF"/>
    <w:rsid w:val="00E52E64"/>
    <w:rsid w:val="00E57D86"/>
    <w:rsid w:val="00E83767"/>
    <w:rsid w:val="00ED1163"/>
    <w:rsid w:val="00F00BD1"/>
    <w:rsid w:val="00F12E13"/>
    <w:rsid w:val="00F13B77"/>
    <w:rsid w:val="00F43AE9"/>
    <w:rsid w:val="00F54820"/>
    <w:rsid w:val="00F701CD"/>
    <w:rsid w:val="00F7677E"/>
    <w:rsid w:val="00FB5519"/>
    <w:rsid w:val="00FC1B13"/>
    <w:rsid w:val="00FE5446"/>
    <w:rsid w:val="00FE5C4F"/>
    <w:rsid w:val="00FE7AEB"/>
    <w:rsid w:val="00FF2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257C"/>
  <w15:chartTrackingRefBased/>
  <w15:docId w15:val="{A4DCFCA8-7F5F-47AD-8C31-1EC01A40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5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134959"/>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34959"/>
    <w:rPr>
      <w:rFonts w:ascii="Cambria" w:eastAsia="Times New Roman" w:hAnsi="Cambria" w:cs="Times New Roman"/>
      <w:color w:val="243F60"/>
      <w:sz w:val="24"/>
      <w:szCs w:val="24"/>
      <w:lang w:eastAsia="lv-LV"/>
    </w:rPr>
  </w:style>
  <w:style w:type="character" w:styleId="Hyperlink">
    <w:name w:val="Hyperlink"/>
    <w:basedOn w:val="DefaultParagraphFont"/>
    <w:uiPriority w:val="99"/>
    <w:rsid w:val="00134959"/>
    <w:rPr>
      <w:rFonts w:cs="Times New Roman"/>
      <w:color w:val="0000FF"/>
      <w:u w:val="single"/>
    </w:rPr>
  </w:style>
  <w:style w:type="paragraph" w:customStyle="1" w:styleId="naisf">
    <w:name w:val="naisf"/>
    <w:basedOn w:val="Normal"/>
    <w:uiPriority w:val="99"/>
    <w:rsid w:val="00134959"/>
    <w:pPr>
      <w:spacing w:before="75" w:after="75"/>
      <w:ind w:firstLine="375"/>
      <w:jc w:val="both"/>
    </w:pPr>
  </w:style>
  <w:style w:type="paragraph" w:customStyle="1" w:styleId="naisnod">
    <w:name w:val="naisnod"/>
    <w:basedOn w:val="Normal"/>
    <w:rsid w:val="00134959"/>
    <w:pPr>
      <w:spacing w:before="150" w:after="150"/>
      <w:jc w:val="center"/>
    </w:pPr>
    <w:rPr>
      <w:b/>
      <w:bCs/>
    </w:rPr>
  </w:style>
  <w:style w:type="paragraph" w:customStyle="1" w:styleId="naiskr">
    <w:name w:val="naiskr"/>
    <w:basedOn w:val="Normal"/>
    <w:rsid w:val="00134959"/>
    <w:pPr>
      <w:spacing w:before="75" w:after="75"/>
    </w:pPr>
  </w:style>
  <w:style w:type="paragraph" w:customStyle="1" w:styleId="naisc">
    <w:name w:val="naisc"/>
    <w:basedOn w:val="Normal"/>
    <w:rsid w:val="00134959"/>
    <w:pPr>
      <w:spacing w:before="75" w:after="75"/>
      <w:jc w:val="center"/>
    </w:pPr>
  </w:style>
  <w:style w:type="table" w:styleId="TableGrid">
    <w:name w:val="Table Grid"/>
    <w:basedOn w:val="TableNormal"/>
    <w:uiPriority w:val="99"/>
    <w:rsid w:val="001349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4959"/>
    <w:pPr>
      <w:tabs>
        <w:tab w:val="center" w:pos="4153"/>
        <w:tab w:val="right" w:pos="8306"/>
      </w:tabs>
    </w:pPr>
  </w:style>
  <w:style w:type="character" w:customStyle="1" w:styleId="HeaderChar">
    <w:name w:val="Header Char"/>
    <w:basedOn w:val="DefaultParagraphFont"/>
    <w:link w:val="Header"/>
    <w:uiPriority w:val="99"/>
    <w:rsid w:val="00134959"/>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134959"/>
    <w:rPr>
      <w:rFonts w:cs="Times New Roman"/>
    </w:rPr>
  </w:style>
  <w:style w:type="paragraph" w:styleId="Footer">
    <w:name w:val="footer"/>
    <w:basedOn w:val="Normal"/>
    <w:link w:val="FooterChar"/>
    <w:uiPriority w:val="99"/>
    <w:rsid w:val="00134959"/>
    <w:pPr>
      <w:tabs>
        <w:tab w:val="center" w:pos="4153"/>
        <w:tab w:val="right" w:pos="8306"/>
      </w:tabs>
    </w:pPr>
  </w:style>
  <w:style w:type="character" w:customStyle="1" w:styleId="FooterChar">
    <w:name w:val="Footer Char"/>
    <w:basedOn w:val="DefaultParagraphFont"/>
    <w:link w:val="Footer"/>
    <w:uiPriority w:val="99"/>
    <w:rsid w:val="00134959"/>
    <w:rPr>
      <w:rFonts w:ascii="Times New Roman" w:eastAsia="Times New Roman" w:hAnsi="Times New Roman" w:cs="Times New Roman"/>
      <w:sz w:val="24"/>
      <w:szCs w:val="24"/>
      <w:lang w:eastAsia="lv-LV"/>
    </w:rPr>
  </w:style>
  <w:style w:type="paragraph" w:styleId="ListParagraph">
    <w:name w:val="List Paragraph"/>
    <w:aliases w:val="2,H&amp;P List Paragraph,List Paragraph1,Strip,Saraksta rindkopa1,Normal bullet 2,Bullet list,Colorful List - Accent 12,Bullet 1,Bullet Points,Colorful List - Accent 11,Dot pt,F5 List Paragraph,Indicator Text,List Paragraph11"/>
    <w:basedOn w:val="Normal"/>
    <w:link w:val="ListParagraphChar"/>
    <w:uiPriority w:val="34"/>
    <w:qFormat/>
    <w:rsid w:val="00134959"/>
    <w:pPr>
      <w:spacing w:after="200" w:line="276" w:lineRule="auto"/>
      <w:ind w:left="720"/>
      <w:contextualSpacing/>
    </w:pPr>
    <w:rPr>
      <w:rFonts w:ascii="Calibri" w:hAnsi="Calibri"/>
      <w:sz w:val="22"/>
      <w:szCs w:val="22"/>
      <w:lang w:eastAsia="en-US"/>
    </w:rPr>
  </w:style>
  <w:style w:type="paragraph" w:styleId="CommentText">
    <w:name w:val="annotation text"/>
    <w:basedOn w:val="Normal"/>
    <w:link w:val="CommentTextChar"/>
    <w:rsid w:val="00134959"/>
    <w:rPr>
      <w:sz w:val="20"/>
      <w:szCs w:val="20"/>
    </w:rPr>
  </w:style>
  <w:style w:type="character" w:customStyle="1" w:styleId="CommentTextChar">
    <w:name w:val="Comment Text Char"/>
    <w:basedOn w:val="DefaultParagraphFont"/>
    <w:link w:val="CommentText"/>
    <w:rsid w:val="00134959"/>
    <w:rPr>
      <w:rFonts w:ascii="Times New Roman" w:eastAsia="Times New Roman" w:hAnsi="Times New Roman" w:cs="Times New Roman"/>
      <w:sz w:val="20"/>
      <w:szCs w:val="20"/>
      <w:lang w:eastAsia="lv-LV"/>
    </w:rPr>
  </w:style>
  <w:style w:type="paragraph" w:customStyle="1" w:styleId="Default">
    <w:name w:val="Default"/>
    <w:rsid w:val="0013495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ListParagraphChar">
    <w:name w:val="List Paragraph Char"/>
    <w:aliases w:val="2 Char,H&amp;P List Paragraph Char,List Paragraph1 Char,Strip Char,Saraksta rindkopa1 Char,Normal bullet 2 Char,Bullet list Char,Colorful List - Accent 12 Char,Bullet 1 Char,Bullet Points Char,Colorful List - Accent 11 Char,Dot pt Char"/>
    <w:link w:val="ListParagraph"/>
    <w:uiPriority w:val="34"/>
    <w:qFormat/>
    <w:locked/>
    <w:rsid w:val="00134959"/>
    <w:rPr>
      <w:rFonts w:ascii="Calibri" w:eastAsia="Times New Roman" w:hAnsi="Calibri" w:cs="Times New Roman"/>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2"/>
    <w:rsid w:val="00134959"/>
    <w:rPr>
      <w:sz w:val="20"/>
      <w:szCs w:val="20"/>
    </w:rPr>
  </w:style>
  <w:style w:type="character" w:customStyle="1" w:styleId="FootnoteTextChar">
    <w:name w:val="Footnote Text Char"/>
    <w:basedOn w:val="DefaultParagraphFont"/>
    <w:semiHidden/>
    <w:rsid w:val="00134959"/>
    <w:rPr>
      <w:rFonts w:ascii="Times New Roman" w:eastAsia="Times New Roman" w:hAnsi="Times New Roman" w:cs="Times New Roman"/>
      <w:sz w:val="20"/>
      <w:szCs w:val="20"/>
      <w:lang w:eastAsia="lv-LV"/>
    </w:rPr>
  </w:style>
  <w:style w:type="character" w:customStyle="1" w:styleId="FootnoteTextChar2">
    <w:name w:val="Footnote Text Char2"/>
    <w:aliases w:val="Footnote Char,Footnote Text Char Char Char,Footnote Text Char Char Char Char Char,Footnote Text Char Char Char Char Char Char Char,Footnote Text Char1 Char,Footnote Text Char1 Char Char Char,Footnote Text Char1 Char Char1 Char Char1"/>
    <w:link w:val="FootnoteText"/>
    <w:locked/>
    <w:rsid w:val="00134959"/>
    <w:rPr>
      <w:rFonts w:ascii="Times New Roman" w:eastAsia="Times New Roman" w:hAnsi="Times New Roman" w:cs="Times New Roman"/>
      <w:sz w:val="20"/>
      <w:szCs w:val="20"/>
      <w:lang w:eastAsia="lv-LV"/>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rsid w:val="00134959"/>
    <w:rPr>
      <w:rFonts w:cs="Times New Roman"/>
      <w:vertAlign w:val="superscript"/>
    </w:rPr>
  </w:style>
  <w:style w:type="paragraph" w:customStyle="1" w:styleId="tv213">
    <w:name w:val="tv213"/>
    <w:basedOn w:val="Normal"/>
    <w:rsid w:val="00134959"/>
    <w:pPr>
      <w:spacing w:before="100" w:beforeAutospacing="1" w:after="100" w:afterAutospacing="1"/>
    </w:pPr>
  </w:style>
  <w:style w:type="paragraph" w:customStyle="1" w:styleId="CharCharCharChar">
    <w:name w:val="Char Char Char Char"/>
    <w:aliases w:val="Char2"/>
    <w:basedOn w:val="Normal"/>
    <w:next w:val="Normal"/>
    <w:link w:val="FootnoteReference"/>
    <w:rsid w:val="00134959"/>
    <w:pPr>
      <w:spacing w:after="160" w:line="240" w:lineRule="exact"/>
      <w:jc w:val="both"/>
      <w:textAlignment w:val="baseline"/>
    </w:pPr>
    <w:rPr>
      <w:rFonts w:asciiTheme="minorHAnsi" w:eastAsiaTheme="minorHAnsi" w:hAnsiTheme="minorHAnsi"/>
      <w:sz w:val="22"/>
      <w:szCs w:val="22"/>
      <w:vertAlign w:val="superscript"/>
      <w:lang w:eastAsia="en-US"/>
    </w:rPr>
  </w:style>
  <w:style w:type="paragraph" w:customStyle="1" w:styleId="Atklasts">
    <w:name w:val="Atklasts"/>
    <w:basedOn w:val="Normal"/>
    <w:rsid w:val="00134959"/>
    <w:pPr>
      <w:jc w:val="both"/>
    </w:pPr>
    <w:rPr>
      <w:b/>
      <w:bCs/>
      <w:lang w:eastAsia="en-US"/>
    </w:rPr>
  </w:style>
  <w:style w:type="character" w:styleId="CommentReference">
    <w:name w:val="annotation reference"/>
    <w:basedOn w:val="DefaultParagraphFont"/>
    <w:uiPriority w:val="99"/>
    <w:semiHidden/>
    <w:unhideWhenUsed/>
    <w:rsid w:val="008A5472"/>
    <w:rPr>
      <w:sz w:val="16"/>
      <w:szCs w:val="16"/>
    </w:rPr>
  </w:style>
  <w:style w:type="paragraph" w:styleId="CommentSubject">
    <w:name w:val="annotation subject"/>
    <w:basedOn w:val="CommentText"/>
    <w:next w:val="CommentText"/>
    <w:link w:val="CommentSubjectChar"/>
    <w:uiPriority w:val="99"/>
    <w:semiHidden/>
    <w:unhideWhenUsed/>
    <w:rsid w:val="008A5472"/>
    <w:rPr>
      <w:b/>
      <w:bCs/>
    </w:rPr>
  </w:style>
  <w:style w:type="character" w:customStyle="1" w:styleId="CommentSubjectChar">
    <w:name w:val="Comment Subject Char"/>
    <w:basedOn w:val="CommentTextChar"/>
    <w:link w:val="CommentSubject"/>
    <w:uiPriority w:val="99"/>
    <w:semiHidden/>
    <w:rsid w:val="008A5472"/>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A5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72"/>
    <w:rPr>
      <w:rFonts w:ascii="Segoe UI" w:eastAsia="Times New Roman" w:hAnsi="Segoe UI" w:cs="Segoe UI"/>
      <w:sz w:val="18"/>
      <w:szCs w:val="18"/>
      <w:lang w:eastAsia="lv-LV"/>
    </w:rPr>
  </w:style>
  <w:style w:type="paragraph" w:styleId="Revision">
    <w:name w:val="Revision"/>
    <w:hidden/>
    <w:uiPriority w:val="99"/>
    <w:semiHidden/>
    <w:rsid w:val="00337579"/>
    <w:pPr>
      <w:spacing w:after="0"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5A1511"/>
    <w:rPr>
      <w:color w:val="605E5C"/>
      <w:shd w:val="clear" w:color="auto" w:fill="E1DFDD"/>
    </w:rPr>
  </w:style>
  <w:style w:type="paragraph" w:customStyle="1" w:styleId="xmsonormal">
    <w:name w:val="x_msonormal"/>
    <w:basedOn w:val="Normal"/>
    <w:rsid w:val="00857BE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3543">
      <w:bodyDiv w:val="1"/>
      <w:marLeft w:val="0"/>
      <w:marRight w:val="0"/>
      <w:marTop w:val="0"/>
      <w:marBottom w:val="0"/>
      <w:divBdr>
        <w:top w:val="none" w:sz="0" w:space="0" w:color="auto"/>
        <w:left w:val="none" w:sz="0" w:space="0" w:color="auto"/>
        <w:bottom w:val="none" w:sz="0" w:space="0" w:color="auto"/>
        <w:right w:val="none" w:sz="0" w:space="0" w:color="auto"/>
      </w:divBdr>
    </w:div>
    <w:div w:id="617028163">
      <w:bodyDiv w:val="1"/>
      <w:marLeft w:val="0"/>
      <w:marRight w:val="0"/>
      <w:marTop w:val="0"/>
      <w:marBottom w:val="0"/>
      <w:divBdr>
        <w:top w:val="none" w:sz="0" w:space="0" w:color="auto"/>
        <w:left w:val="none" w:sz="0" w:space="0" w:color="auto"/>
        <w:bottom w:val="none" w:sz="0" w:space="0" w:color="auto"/>
        <w:right w:val="none" w:sz="0" w:space="0" w:color="auto"/>
      </w:divBdr>
    </w:div>
    <w:div w:id="1041174840">
      <w:bodyDiv w:val="1"/>
      <w:marLeft w:val="0"/>
      <w:marRight w:val="0"/>
      <w:marTop w:val="0"/>
      <w:marBottom w:val="0"/>
      <w:divBdr>
        <w:top w:val="none" w:sz="0" w:space="0" w:color="auto"/>
        <w:left w:val="none" w:sz="0" w:space="0" w:color="auto"/>
        <w:bottom w:val="none" w:sz="0" w:space="0" w:color="auto"/>
        <w:right w:val="none" w:sz="0" w:space="0" w:color="auto"/>
      </w:divBdr>
    </w:div>
    <w:div w:id="1982028667">
      <w:bodyDiv w:val="1"/>
      <w:marLeft w:val="0"/>
      <w:marRight w:val="0"/>
      <w:marTop w:val="0"/>
      <w:marBottom w:val="0"/>
      <w:divBdr>
        <w:top w:val="none" w:sz="0" w:space="0" w:color="auto"/>
        <w:left w:val="none" w:sz="0" w:space="0" w:color="auto"/>
        <w:bottom w:val="none" w:sz="0" w:space="0" w:color="auto"/>
        <w:right w:val="none" w:sz="0" w:space="0" w:color="auto"/>
      </w:divBdr>
    </w:div>
    <w:div w:id="21437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spars.Raubiskis@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tvars.Timermanis@vara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4bfe3b1389813132bb47b4dd854e0e0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78b55437f4fccbbdb866fb52be508121"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45C5-F65C-42DA-93EF-7AF1C062FA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35C8E7-34F0-4739-8C88-8D1B93B5A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DC2BA-6CEF-4A34-B8CB-640DEFB3A7FC}">
  <ds:schemaRefs>
    <ds:schemaRef ds:uri="http://schemas.microsoft.com/sharepoint/v3/contenttype/forms"/>
  </ds:schemaRefs>
</ds:datastoreItem>
</file>

<file path=customXml/itemProps4.xml><?xml version="1.0" encoding="utf-8"?>
<ds:datastoreItem xmlns:ds="http://schemas.openxmlformats.org/officeDocument/2006/customXml" ds:itemID="{E4E99F90-A628-4918-AA22-D6EC354D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18663</Words>
  <Characters>10638</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
    </vt:vector>
  </TitlesOfParts>
  <Company/>
  <LinksUpToDate>false</LinksUpToDate>
  <CharactersWithSpaces>29243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Kaspars Raubiškis</dc:creator>
  <cp:keywords/>
  <dc:description/>
  <cp:lastModifiedBy>Sergejs Puhovs</cp:lastModifiedBy>
  <cp:revision>6</cp:revision>
  <dcterms:created xsi:type="dcterms:W3CDTF">2020-03-24T12:05:00Z</dcterms:created>
  <dcterms:modified xsi:type="dcterms:W3CDTF">2020-03-31T09:23:00Z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