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19A5" w14:textId="77777777" w:rsidR="00DB7FF4" w:rsidRPr="009A68F3" w:rsidRDefault="00DB7FF4" w:rsidP="00DB7FF4">
      <w:pPr>
        <w:jc w:val="center"/>
        <w:rPr>
          <w:sz w:val="22"/>
        </w:rPr>
      </w:pPr>
      <w:r w:rsidRPr="009A68F3">
        <w:rPr>
          <w:sz w:val="22"/>
        </w:rPr>
        <w:t>Izziņa par atzinumos sniegtajiem iebildumiem par</w:t>
      </w:r>
    </w:p>
    <w:tbl>
      <w:tblPr>
        <w:tblW w:w="0" w:type="auto"/>
        <w:jc w:val="center"/>
        <w:tblLook w:val="00A0" w:firstRow="1" w:lastRow="0" w:firstColumn="1" w:lastColumn="0" w:noHBand="0" w:noVBand="0"/>
      </w:tblPr>
      <w:tblGrid>
        <w:gridCol w:w="10188"/>
      </w:tblGrid>
      <w:tr w:rsidR="00DB7FF4" w:rsidRPr="009A68F3" w14:paraId="50791499" w14:textId="77777777" w:rsidTr="00104F07">
        <w:trPr>
          <w:jc w:val="center"/>
        </w:trPr>
        <w:tc>
          <w:tcPr>
            <w:tcW w:w="10188" w:type="dxa"/>
            <w:tcBorders>
              <w:bottom w:val="single" w:sz="6" w:space="0" w:color="000000"/>
            </w:tcBorders>
          </w:tcPr>
          <w:p w14:paraId="32CB7B42" w14:textId="664F443E" w:rsidR="006A1EA8" w:rsidRPr="009A68F3" w:rsidRDefault="004F3927" w:rsidP="00104F07">
            <w:pPr>
              <w:pStyle w:val="Body1"/>
              <w:spacing w:after="0" w:line="240" w:lineRule="auto"/>
              <w:jc w:val="center"/>
              <w:rPr>
                <w:rFonts w:ascii="Times New Roman" w:hAnsi="Times New Roman"/>
                <w:b/>
                <w:color w:val="auto"/>
                <w:szCs w:val="22"/>
              </w:rPr>
            </w:pPr>
            <w:r w:rsidRPr="009A68F3">
              <w:rPr>
                <w:rFonts w:ascii="Times New Roman" w:hAnsi="Times New Roman"/>
                <w:b/>
                <w:color w:val="auto"/>
                <w:szCs w:val="22"/>
              </w:rPr>
              <w:t xml:space="preserve">grozījumiem </w:t>
            </w:r>
            <w:r w:rsidR="006D79D9" w:rsidRPr="009A68F3">
              <w:rPr>
                <w:rFonts w:ascii="Times New Roman" w:hAnsi="Times New Roman"/>
                <w:b/>
                <w:color w:val="auto"/>
                <w:szCs w:val="22"/>
              </w:rPr>
              <w:t xml:space="preserve">Ministru kabineta 2011. gada 6. septembra noteikumos Nr. 698 "Noteikumi par </w:t>
            </w:r>
            <w:proofErr w:type="spellStart"/>
            <w:r w:rsidR="006D79D9" w:rsidRPr="009A68F3">
              <w:rPr>
                <w:rFonts w:ascii="Times New Roman" w:hAnsi="Times New Roman"/>
                <w:b/>
                <w:color w:val="auto"/>
                <w:szCs w:val="22"/>
              </w:rPr>
              <w:t>mikroaizdevumiem</w:t>
            </w:r>
            <w:proofErr w:type="spellEnd"/>
            <w:r w:rsidR="006D79D9" w:rsidRPr="009A68F3">
              <w:rPr>
                <w:rFonts w:ascii="Times New Roman" w:hAnsi="Times New Roman"/>
                <w:b/>
                <w:color w:val="auto"/>
                <w:szCs w:val="22"/>
              </w:rPr>
              <w:t xml:space="preserve"> un </w:t>
            </w:r>
            <w:proofErr w:type="spellStart"/>
            <w:r w:rsidR="006D79D9" w:rsidRPr="009A68F3">
              <w:rPr>
                <w:rFonts w:ascii="Times New Roman" w:hAnsi="Times New Roman"/>
                <w:b/>
                <w:color w:val="auto"/>
                <w:szCs w:val="22"/>
              </w:rPr>
              <w:t>grantiem</w:t>
            </w:r>
            <w:proofErr w:type="spellEnd"/>
            <w:r w:rsidR="006D79D9" w:rsidRPr="009A68F3">
              <w:rPr>
                <w:rFonts w:ascii="Times New Roman" w:hAnsi="Times New Roman"/>
                <w:b/>
                <w:color w:val="auto"/>
                <w:szCs w:val="22"/>
              </w:rPr>
              <w:t xml:space="preserve"> Latvijas un Šveices sadarbības programmas individuālā projekta "</w:t>
            </w:r>
            <w:proofErr w:type="spellStart"/>
            <w:r w:rsidR="006D79D9" w:rsidRPr="009A68F3">
              <w:rPr>
                <w:rFonts w:ascii="Times New Roman" w:hAnsi="Times New Roman"/>
                <w:b/>
                <w:color w:val="auto"/>
                <w:szCs w:val="22"/>
              </w:rPr>
              <w:t>Mikrokreditēšanas</w:t>
            </w:r>
            <w:proofErr w:type="spellEnd"/>
            <w:r w:rsidR="006D79D9" w:rsidRPr="009A68F3">
              <w:rPr>
                <w:rFonts w:ascii="Times New Roman" w:hAnsi="Times New Roman"/>
                <w:b/>
                <w:color w:val="auto"/>
                <w:szCs w:val="22"/>
              </w:rPr>
              <w:t xml:space="preserve"> programma" ietvaros"</w:t>
            </w:r>
          </w:p>
          <w:p w14:paraId="13D794ED" w14:textId="463F7D15" w:rsidR="00DB7FF4" w:rsidRPr="009A68F3" w:rsidRDefault="006A1EA8" w:rsidP="00104F07">
            <w:pPr>
              <w:pStyle w:val="Body1"/>
              <w:spacing w:after="0" w:line="240" w:lineRule="auto"/>
              <w:jc w:val="center"/>
              <w:rPr>
                <w:rFonts w:ascii="Times New Roman" w:hAnsi="Times New Roman"/>
                <w:b/>
                <w:color w:val="auto"/>
                <w:szCs w:val="22"/>
              </w:rPr>
            </w:pPr>
            <w:r w:rsidRPr="009A68F3">
              <w:rPr>
                <w:rFonts w:ascii="Times New Roman" w:hAnsi="Times New Roman"/>
                <w:b/>
                <w:color w:val="auto"/>
                <w:szCs w:val="22"/>
              </w:rPr>
              <w:t>(turpmāk – MK noteikumi Nr.</w:t>
            </w:r>
            <w:r w:rsidR="006D79D9" w:rsidRPr="009A68F3">
              <w:rPr>
                <w:rFonts w:ascii="Times New Roman" w:hAnsi="Times New Roman"/>
                <w:b/>
                <w:color w:val="auto"/>
                <w:szCs w:val="22"/>
              </w:rPr>
              <w:t>698</w:t>
            </w:r>
            <w:r w:rsidRPr="009A68F3">
              <w:rPr>
                <w:rFonts w:ascii="Times New Roman" w:hAnsi="Times New Roman"/>
                <w:b/>
                <w:color w:val="auto"/>
                <w:szCs w:val="22"/>
              </w:rPr>
              <w:t>)</w:t>
            </w:r>
          </w:p>
        </w:tc>
      </w:tr>
    </w:tbl>
    <w:p w14:paraId="50181CE1" w14:textId="77777777" w:rsidR="00DB7FF4" w:rsidRPr="009A68F3" w:rsidRDefault="00DB7FF4" w:rsidP="00DB7FF4">
      <w:pPr>
        <w:pStyle w:val="naisc"/>
        <w:spacing w:before="0" w:after="0"/>
        <w:ind w:firstLine="1080"/>
        <w:rPr>
          <w:sz w:val="22"/>
          <w:szCs w:val="22"/>
        </w:rPr>
      </w:pPr>
      <w:r w:rsidRPr="009A68F3">
        <w:rPr>
          <w:sz w:val="22"/>
          <w:szCs w:val="22"/>
        </w:rPr>
        <w:t>(dokumenta veids un nosaukums)</w:t>
      </w:r>
    </w:p>
    <w:p w14:paraId="4818C1C6" w14:textId="77777777" w:rsidR="00DB7FF4" w:rsidRPr="009A68F3" w:rsidRDefault="00DB7FF4" w:rsidP="00DB7FF4">
      <w:pPr>
        <w:pStyle w:val="naisf"/>
        <w:spacing w:before="0" w:after="0"/>
        <w:ind w:firstLine="0"/>
        <w:rPr>
          <w:sz w:val="22"/>
          <w:szCs w:val="22"/>
        </w:rPr>
      </w:pPr>
    </w:p>
    <w:p w14:paraId="710C82F2" w14:textId="77777777" w:rsidR="00DB7FF4" w:rsidRPr="009A68F3" w:rsidRDefault="00DB7FF4" w:rsidP="00DB7FF4">
      <w:pPr>
        <w:pStyle w:val="naisf"/>
        <w:spacing w:before="0" w:after="0"/>
        <w:ind w:firstLine="0"/>
        <w:rPr>
          <w:b/>
          <w:sz w:val="22"/>
          <w:szCs w:val="22"/>
        </w:rPr>
      </w:pPr>
      <w:r w:rsidRPr="009A68F3">
        <w:rPr>
          <w:b/>
          <w:sz w:val="22"/>
          <w:szCs w:val="22"/>
        </w:rPr>
        <w:t xml:space="preserve">Informācija par </w:t>
      </w:r>
      <w:proofErr w:type="spellStart"/>
      <w:r w:rsidRPr="009A68F3">
        <w:rPr>
          <w:b/>
          <w:sz w:val="22"/>
          <w:szCs w:val="22"/>
        </w:rPr>
        <w:t>starpministriju</w:t>
      </w:r>
      <w:proofErr w:type="spellEnd"/>
      <w:r w:rsidRPr="009A68F3">
        <w:rPr>
          <w:b/>
          <w:sz w:val="22"/>
          <w:szCs w:val="22"/>
        </w:rPr>
        <w:t xml:space="preserve"> (starpinstitūciju) sanāksmi vai elektronisko saskaņošanu</w:t>
      </w:r>
    </w:p>
    <w:p w14:paraId="08086BC3" w14:textId="77777777" w:rsidR="00DB7FF4" w:rsidRPr="009A68F3" w:rsidRDefault="00DB7FF4" w:rsidP="00DB7FF4">
      <w:pPr>
        <w:pStyle w:val="naisf"/>
        <w:spacing w:before="0" w:after="0"/>
        <w:ind w:firstLine="0"/>
        <w:rPr>
          <w:b/>
          <w:sz w:val="22"/>
          <w:szCs w:val="22"/>
        </w:rPr>
      </w:pPr>
    </w:p>
    <w:tbl>
      <w:tblPr>
        <w:tblW w:w="5163" w:type="pct"/>
        <w:tblLook w:val="00A0" w:firstRow="1" w:lastRow="0" w:firstColumn="1" w:lastColumn="0" w:noHBand="0" w:noVBand="0"/>
      </w:tblPr>
      <w:tblGrid>
        <w:gridCol w:w="8649"/>
        <w:gridCol w:w="5810"/>
      </w:tblGrid>
      <w:tr w:rsidR="00DB7FF4" w:rsidRPr="009A68F3" w14:paraId="301D344A" w14:textId="77777777" w:rsidTr="009A68F3">
        <w:tc>
          <w:tcPr>
            <w:tcW w:w="2991" w:type="pct"/>
          </w:tcPr>
          <w:p w14:paraId="461AD668" w14:textId="77777777" w:rsidR="00DB7FF4" w:rsidRPr="009A68F3" w:rsidRDefault="00DB7FF4" w:rsidP="00104F07">
            <w:pPr>
              <w:pStyle w:val="naisf"/>
              <w:spacing w:before="0" w:after="0"/>
              <w:ind w:firstLine="0"/>
              <w:rPr>
                <w:sz w:val="22"/>
                <w:szCs w:val="22"/>
              </w:rPr>
            </w:pPr>
            <w:r w:rsidRPr="009A68F3">
              <w:rPr>
                <w:sz w:val="22"/>
                <w:szCs w:val="22"/>
              </w:rPr>
              <w:t>Datums</w:t>
            </w:r>
          </w:p>
        </w:tc>
        <w:tc>
          <w:tcPr>
            <w:tcW w:w="2009" w:type="pct"/>
            <w:tcBorders>
              <w:bottom w:val="single" w:sz="4" w:space="0" w:color="auto"/>
            </w:tcBorders>
          </w:tcPr>
          <w:p w14:paraId="0EA020F6" w14:textId="2F460470" w:rsidR="00DB7FF4" w:rsidRPr="009A68F3" w:rsidRDefault="0039482E" w:rsidP="00104F07">
            <w:pPr>
              <w:pStyle w:val="NormalWeb"/>
              <w:spacing w:before="0" w:beforeAutospacing="0" w:after="0" w:afterAutospacing="0"/>
              <w:jc w:val="both"/>
              <w:rPr>
                <w:sz w:val="22"/>
                <w:szCs w:val="22"/>
              </w:rPr>
            </w:pPr>
            <w:r w:rsidRPr="009A68F3">
              <w:rPr>
                <w:sz w:val="22"/>
                <w:szCs w:val="22"/>
              </w:rPr>
              <w:t>15</w:t>
            </w:r>
            <w:r w:rsidR="00524967" w:rsidRPr="009A68F3">
              <w:rPr>
                <w:sz w:val="22"/>
                <w:szCs w:val="22"/>
              </w:rPr>
              <w:t>.04.2020.</w:t>
            </w:r>
            <w:r w:rsidR="00E5143A">
              <w:rPr>
                <w:sz w:val="22"/>
                <w:szCs w:val="22"/>
              </w:rPr>
              <w:t>, 20.04.2020. atkārtota saskaņošana</w:t>
            </w:r>
          </w:p>
        </w:tc>
      </w:tr>
      <w:tr w:rsidR="00DB7FF4" w:rsidRPr="009A68F3" w14:paraId="1EB9A9E3" w14:textId="77777777" w:rsidTr="00AD776D">
        <w:tc>
          <w:tcPr>
            <w:tcW w:w="2991" w:type="pct"/>
          </w:tcPr>
          <w:p w14:paraId="6B6BDA30" w14:textId="77777777" w:rsidR="00DB7FF4" w:rsidRPr="009A68F3" w:rsidRDefault="00DB7FF4" w:rsidP="00104F07">
            <w:pPr>
              <w:pStyle w:val="naisf"/>
              <w:spacing w:before="0" w:after="0"/>
              <w:ind w:firstLine="0"/>
              <w:rPr>
                <w:sz w:val="22"/>
                <w:szCs w:val="22"/>
              </w:rPr>
            </w:pPr>
          </w:p>
        </w:tc>
        <w:tc>
          <w:tcPr>
            <w:tcW w:w="2009" w:type="pct"/>
            <w:tcBorders>
              <w:top w:val="single" w:sz="4" w:space="0" w:color="auto"/>
            </w:tcBorders>
          </w:tcPr>
          <w:p w14:paraId="239E6571" w14:textId="77777777" w:rsidR="00DB7FF4" w:rsidRPr="009A68F3" w:rsidRDefault="00DB7FF4" w:rsidP="00104F07">
            <w:pPr>
              <w:pStyle w:val="NormalWeb"/>
              <w:spacing w:before="0" w:beforeAutospacing="0" w:after="0" w:afterAutospacing="0"/>
              <w:jc w:val="both"/>
              <w:rPr>
                <w:sz w:val="22"/>
                <w:szCs w:val="22"/>
              </w:rPr>
            </w:pPr>
          </w:p>
          <w:p w14:paraId="0EA65939" w14:textId="77777777" w:rsidR="00DB7FF4" w:rsidRPr="009A68F3" w:rsidRDefault="00DB7FF4" w:rsidP="00104F07">
            <w:pPr>
              <w:pStyle w:val="NormalWeb"/>
              <w:spacing w:before="0" w:beforeAutospacing="0" w:after="0" w:afterAutospacing="0"/>
              <w:jc w:val="both"/>
              <w:rPr>
                <w:sz w:val="22"/>
                <w:szCs w:val="22"/>
              </w:rPr>
            </w:pPr>
          </w:p>
        </w:tc>
      </w:tr>
      <w:tr w:rsidR="00DB7FF4" w:rsidRPr="009A68F3" w14:paraId="0C8306A4" w14:textId="77777777" w:rsidTr="00AD776D">
        <w:trPr>
          <w:trHeight w:val="490"/>
        </w:trPr>
        <w:tc>
          <w:tcPr>
            <w:tcW w:w="2991" w:type="pct"/>
          </w:tcPr>
          <w:p w14:paraId="53B73C8F" w14:textId="77777777" w:rsidR="004D2F03" w:rsidRPr="009A68F3" w:rsidRDefault="00DB7FF4" w:rsidP="00104F07">
            <w:pPr>
              <w:pStyle w:val="naiskr"/>
              <w:spacing w:before="0" w:after="0"/>
              <w:jc w:val="both"/>
              <w:rPr>
                <w:sz w:val="22"/>
                <w:szCs w:val="22"/>
              </w:rPr>
            </w:pPr>
            <w:r w:rsidRPr="009A68F3">
              <w:rPr>
                <w:sz w:val="22"/>
                <w:szCs w:val="22"/>
              </w:rPr>
              <w:t>Saskaņošanas dalībnieki</w:t>
            </w:r>
          </w:p>
          <w:p w14:paraId="379B24A6" w14:textId="77777777" w:rsidR="004D2F03" w:rsidRPr="009A68F3" w:rsidRDefault="004D2F03" w:rsidP="004D2F03">
            <w:pPr>
              <w:rPr>
                <w:sz w:val="22"/>
                <w:lang w:eastAsia="lv-LV"/>
              </w:rPr>
            </w:pPr>
          </w:p>
          <w:p w14:paraId="55D9C0F5" w14:textId="77777777" w:rsidR="00DB7FF4" w:rsidRPr="009A68F3" w:rsidRDefault="004D2F03" w:rsidP="004D2F03">
            <w:pPr>
              <w:tabs>
                <w:tab w:val="left" w:pos="1980"/>
              </w:tabs>
              <w:rPr>
                <w:sz w:val="22"/>
                <w:lang w:eastAsia="lv-LV"/>
              </w:rPr>
            </w:pPr>
            <w:r w:rsidRPr="009A68F3">
              <w:rPr>
                <w:sz w:val="22"/>
                <w:lang w:eastAsia="lv-LV"/>
              </w:rPr>
              <w:tab/>
            </w:r>
          </w:p>
        </w:tc>
        <w:tc>
          <w:tcPr>
            <w:tcW w:w="2009" w:type="pct"/>
            <w:tcBorders>
              <w:bottom w:val="single" w:sz="4" w:space="0" w:color="auto"/>
            </w:tcBorders>
          </w:tcPr>
          <w:p w14:paraId="413AEC2B" w14:textId="5ABE986F" w:rsidR="0039482E" w:rsidRPr="009A68F3" w:rsidRDefault="0069584F" w:rsidP="00AD776D">
            <w:pPr>
              <w:pStyle w:val="naiskr"/>
              <w:spacing w:before="0" w:after="0"/>
              <w:jc w:val="both"/>
              <w:rPr>
                <w:sz w:val="22"/>
                <w:szCs w:val="22"/>
              </w:rPr>
            </w:pPr>
            <w:r w:rsidRPr="009A68F3">
              <w:rPr>
                <w:sz w:val="22"/>
                <w:szCs w:val="22"/>
              </w:rPr>
              <w:t>Finanšu ministrija</w:t>
            </w:r>
            <w:r w:rsidR="00547F25">
              <w:rPr>
                <w:sz w:val="22"/>
                <w:szCs w:val="22"/>
              </w:rPr>
              <w:t xml:space="preserve">, </w:t>
            </w:r>
            <w:r w:rsidR="00C46344" w:rsidRPr="009A68F3">
              <w:rPr>
                <w:sz w:val="22"/>
                <w:szCs w:val="22"/>
              </w:rPr>
              <w:t>Tieslietu ministrija</w:t>
            </w:r>
            <w:r w:rsidR="00547F25">
              <w:rPr>
                <w:sz w:val="22"/>
                <w:szCs w:val="22"/>
              </w:rPr>
              <w:t xml:space="preserve">, </w:t>
            </w:r>
            <w:r w:rsidR="0039482E" w:rsidRPr="009A68F3">
              <w:rPr>
                <w:sz w:val="22"/>
                <w:szCs w:val="22"/>
              </w:rPr>
              <w:t>Zemkopības ministrija</w:t>
            </w:r>
          </w:p>
        </w:tc>
      </w:tr>
      <w:tr w:rsidR="0069584F" w:rsidRPr="009A68F3" w14:paraId="32ED5515" w14:textId="77777777" w:rsidTr="00AD776D">
        <w:trPr>
          <w:trHeight w:val="798"/>
        </w:trPr>
        <w:tc>
          <w:tcPr>
            <w:tcW w:w="2991" w:type="pct"/>
          </w:tcPr>
          <w:p w14:paraId="17F3A547" w14:textId="77777777" w:rsidR="0069584F" w:rsidRPr="009A68F3" w:rsidRDefault="0069584F" w:rsidP="0069584F">
            <w:pPr>
              <w:pStyle w:val="naiskr"/>
              <w:spacing w:before="0" w:after="0"/>
              <w:jc w:val="both"/>
              <w:rPr>
                <w:sz w:val="22"/>
                <w:szCs w:val="22"/>
              </w:rPr>
            </w:pPr>
            <w:r w:rsidRPr="009A68F3">
              <w:rPr>
                <w:sz w:val="22"/>
                <w:szCs w:val="22"/>
              </w:rPr>
              <w:t>Ministrijas (citas institūcijas), kuras nav ieradušās uz sanāksmi vai kuras nav atbildējušas uz uzaicinājumu piedalīties elektroniskajā saskaņošanā</w:t>
            </w:r>
          </w:p>
        </w:tc>
        <w:tc>
          <w:tcPr>
            <w:tcW w:w="2009" w:type="pct"/>
            <w:tcBorders>
              <w:top w:val="single" w:sz="4" w:space="0" w:color="auto"/>
              <w:bottom w:val="single" w:sz="4" w:space="0" w:color="auto"/>
            </w:tcBorders>
          </w:tcPr>
          <w:p w14:paraId="79186111" w14:textId="77777777" w:rsidR="0069584F" w:rsidRPr="009A68F3" w:rsidRDefault="0069584F" w:rsidP="0069584F">
            <w:pPr>
              <w:jc w:val="both"/>
              <w:rPr>
                <w:sz w:val="22"/>
              </w:rPr>
            </w:pPr>
          </w:p>
          <w:p w14:paraId="3750D44D" w14:textId="77777777" w:rsidR="00242600" w:rsidRPr="009A68F3" w:rsidRDefault="00DF196F" w:rsidP="0069584F">
            <w:pPr>
              <w:jc w:val="both"/>
              <w:rPr>
                <w:sz w:val="22"/>
              </w:rPr>
            </w:pPr>
            <w:r w:rsidRPr="009A68F3">
              <w:rPr>
                <w:sz w:val="22"/>
              </w:rPr>
              <w:t>Nav attiecināms</w:t>
            </w:r>
          </w:p>
        </w:tc>
      </w:tr>
    </w:tbl>
    <w:p w14:paraId="6B4C3685" w14:textId="77777777" w:rsidR="00DB7FF4" w:rsidRPr="009A68F3" w:rsidRDefault="00DB7FF4" w:rsidP="00242600">
      <w:pPr>
        <w:pStyle w:val="naisf"/>
        <w:spacing w:before="0" w:after="0"/>
        <w:ind w:firstLine="0"/>
        <w:rPr>
          <w:sz w:val="22"/>
          <w:szCs w:val="22"/>
        </w:rPr>
      </w:pPr>
    </w:p>
    <w:p w14:paraId="21D86D6A" w14:textId="3ABB4EF7" w:rsidR="00DB7FF4" w:rsidRPr="009A68F3" w:rsidRDefault="00DB7FF4" w:rsidP="009A68F3">
      <w:pPr>
        <w:pStyle w:val="naisf"/>
        <w:spacing w:before="0" w:after="0"/>
        <w:ind w:firstLine="0"/>
        <w:jc w:val="center"/>
        <w:rPr>
          <w:b/>
          <w:sz w:val="22"/>
          <w:szCs w:val="22"/>
        </w:rPr>
      </w:pPr>
      <w:r w:rsidRPr="009A68F3">
        <w:rPr>
          <w:b/>
          <w:sz w:val="22"/>
          <w:szCs w:val="22"/>
        </w:rPr>
        <w:t>II. Jautājumi, par kuriem saskaņošanā vienošanās ir panākta</w:t>
      </w: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286"/>
        <w:gridCol w:w="4820"/>
        <w:gridCol w:w="3213"/>
        <w:gridCol w:w="47"/>
        <w:gridCol w:w="2977"/>
      </w:tblGrid>
      <w:tr w:rsidR="00DB7FF4" w:rsidRPr="009A68F3" w14:paraId="1B11E3ED" w14:textId="77777777" w:rsidTr="00490BB2">
        <w:tc>
          <w:tcPr>
            <w:tcW w:w="675" w:type="dxa"/>
            <w:tcBorders>
              <w:top w:val="single" w:sz="6" w:space="0" w:color="000000"/>
              <w:left w:val="single" w:sz="6" w:space="0" w:color="000000"/>
              <w:bottom w:val="single" w:sz="6" w:space="0" w:color="000000"/>
              <w:right w:val="single" w:sz="6" w:space="0" w:color="000000"/>
            </w:tcBorders>
            <w:vAlign w:val="center"/>
          </w:tcPr>
          <w:p w14:paraId="06EA39B4" w14:textId="77777777" w:rsidR="00DB7FF4" w:rsidRPr="009A68F3" w:rsidRDefault="00DB7FF4" w:rsidP="00104F07">
            <w:pPr>
              <w:pStyle w:val="naisc"/>
              <w:spacing w:before="0" w:after="0"/>
              <w:jc w:val="both"/>
              <w:rPr>
                <w:sz w:val="22"/>
                <w:szCs w:val="22"/>
              </w:rPr>
            </w:pPr>
            <w:r w:rsidRPr="009A68F3">
              <w:rPr>
                <w:sz w:val="22"/>
                <w:szCs w:val="22"/>
              </w:rPr>
              <w:t>Nr. p. k.</w:t>
            </w:r>
          </w:p>
        </w:tc>
        <w:tc>
          <w:tcPr>
            <w:tcW w:w="2719" w:type="dxa"/>
            <w:gridSpan w:val="2"/>
            <w:tcBorders>
              <w:top w:val="single" w:sz="6" w:space="0" w:color="000000"/>
              <w:left w:val="single" w:sz="6" w:space="0" w:color="000000"/>
              <w:bottom w:val="single" w:sz="6" w:space="0" w:color="000000"/>
              <w:right w:val="single" w:sz="6" w:space="0" w:color="000000"/>
            </w:tcBorders>
            <w:vAlign w:val="center"/>
          </w:tcPr>
          <w:p w14:paraId="62B458B9" w14:textId="77777777" w:rsidR="00DB7FF4" w:rsidRPr="009A68F3" w:rsidRDefault="00DB7FF4" w:rsidP="00104F07">
            <w:pPr>
              <w:pStyle w:val="naisc"/>
              <w:spacing w:before="0" w:after="0"/>
              <w:ind w:firstLine="12"/>
              <w:jc w:val="both"/>
              <w:rPr>
                <w:sz w:val="22"/>
                <w:szCs w:val="22"/>
              </w:rPr>
            </w:pPr>
            <w:r w:rsidRPr="009A68F3">
              <w:rPr>
                <w:sz w:val="22"/>
                <w:szCs w:val="22"/>
              </w:rPr>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14:paraId="3BBCA319" w14:textId="77777777" w:rsidR="00DB7FF4" w:rsidRPr="009A68F3" w:rsidRDefault="00DB7FF4" w:rsidP="00104F07">
            <w:pPr>
              <w:pStyle w:val="naisc"/>
              <w:spacing w:before="0" w:after="0"/>
              <w:ind w:right="3"/>
              <w:jc w:val="both"/>
              <w:rPr>
                <w:sz w:val="22"/>
                <w:szCs w:val="22"/>
              </w:rPr>
            </w:pPr>
            <w:r w:rsidRPr="009A68F3">
              <w:rPr>
                <w:sz w:val="22"/>
                <w:szCs w:val="22"/>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4EC9D384" w14:textId="77777777" w:rsidR="00DB7FF4" w:rsidRPr="009A68F3" w:rsidRDefault="00DB7FF4" w:rsidP="00104F07">
            <w:pPr>
              <w:pStyle w:val="naisc"/>
              <w:spacing w:before="0" w:after="0"/>
              <w:ind w:firstLine="21"/>
              <w:jc w:val="both"/>
              <w:rPr>
                <w:sz w:val="22"/>
                <w:szCs w:val="22"/>
              </w:rPr>
            </w:pPr>
            <w:r w:rsidRPr="009A68F3">
              <w:rPr>
                <w:sz w:val="22"/>
                <w:szCs w:val="22"/>
              </w:rPr>
              <w:t>Atbildīgās ministrijas norāde par to, ka iebildums ir ņemts vērā, vai informācija par saskaņošanā panākto alternatīvo risinājumu</w:t>
            </w:r>
          </w:p>
        </w:tc>
        <w:tc>
          <w:tcPr>
            <w:tcW w:w="2977" w:type="dxa"/>
            <w:tcBorders>
              <w:top w:val="single" w:sz="4" w:space="0" w:color="auto"/>
              <w:left w:val="single" w:sz="4" w:space="0" w:color="auto"/>
              <w:bottom w:val="single" w:sz="4" w:space="0" w:color="auto"/>
            </w:tcBorders>
            <w:vAlign w:val="center"/>
          </w:tcPr>
          <w:p w14:paraId="2FC45C33" w14:textId="77777777" w:rsidR="00DB7FF4" w:rsidRPr="009A68F3" w:rsidRDefault="00DB7FF4" w:rsidP="00104F07">
            <w:pPr>
              <w:jc w:val="both"/>
              <w:rPr>
                <w:sz w:val="22"/>
              </w:rPr>
            </w:pPr>
            <w:r w:rsidRPr="009A68F3">
              <w:rPr>
                <w:sz w:val="22"/>
              </w:rPr>
              <w:t>Projekta attiecīgā punkta (panta) galīgā redakcija</w:t>
            </w:r>
          </w:p>
        </w:tc>
      </w:tr>
      <w:tr w:rsidR="00DB7FF4" w:rsidRPr="009A68F3" w14:paraId="0D699214" w14:textId="77777777" w:rsidTr="00490BB2">
        <w:tc>
          <w:tcPr>
            <w:tcW w:w="675" w:type="dxa"/>
            <w:tcBorders>
              <w:top w:val="single" w:sz="6" w:space="0" w:color="000000"/>
              <w:left w:val="single" w:sz="6" w:space="0" w:color="000000"/>
              <w:bottom w:val="single" w:sz="6" w:space="0" w:color="000000"/>
              <w:right w:val="single" w:sz="6" w:space="0" w:color="000000"/>
            </w:tcBorders>
          </w:tcPr>
          <w:p w14:paraId="1861B4F2" w14:textId="77777777" w:rsidR="00DB7FF4" w:rsidRPr="009A68F3" w:rsidRDefault="00DB7FF4" w:rsidP="00104F07">
            <w:pPr>
              <w:pStyle w:val="naisc"/>
              <w:spacing w:before="0" w:after="0"/>
              <w:jc w:val="both"/>
              <w:rPr>
                <w:sz w:val="22"/>
                <w:szCs w:val="22"/>
              </w:rPr>
            </w:pPr>
            <w:r w:rsidRPr="009A68F3">
              <w:rPr>
                <w:sz w:val="22"/>
                <w:szCs w:val="22"/>
              </w:rPr>
              <w:t>1</w:t>
            </w:r>
          </w:p>
        </w:tc>
        <w:tc>
          <w:tcPr>
            <w:tcW w:w="2719" w:type="dxa"/>
            <w:gridSpan w:val="2"/>
            <w:tcBorders>
              <w:top w:val="single" w:sz="6" w:space="0" w:color="000000"/>
              <w:left w:val="single" w:sz="6" w:space="0" w:color="000000"/>
              <w:bottom w:val="single" w:sz="6" w:space="0" w:color="000000"/>
              <w:right w:val="single" w:sz="6" w:space="0" w:color="000000"/>
            </w:tcBorders>
          </w:tcPr>
          <w:p w14:paraId="77676414" w14:textId="77777777" w:rsidR="00DB7FF4" w:rsidRPr="009A68F3" w:rsidRDefault="00DB7FF4" w:rsidP="00104F07">
            <w:pPr>
              <w:pStyle w:val="naisc"/>
              <w:spacing w:before="0" w:after="0"/>
              <w:ind w:firstLine="720"/>
              <w:jc w:val="both"/>
              <w:rPr>
                <w:sz w:val="22"/>
                <w:szCs w:val="22"/>
              </w:rPr>
            </w:pPr>
            <w:r w:rsidRPr="009A68F3">
              <w:rPr>
                <w:sz w:val="22"/>
                <w:szCs w:val="22"/>
              </w:rPr>
              <w:t>2</w:t>
            </w:r>
          </w:p>
        </w:tc>
        <w:tc>
          <w:tcPr>
            <w:tcW w:w="4820" w:type="dxa"/>
            <w:tcBorders>
              <w:top w:val="single" w:sz="6" w:space="0" w:color="000000"/>
              <w:left w:val="single" w:sz="6" w:space="0" w:color="000000"/>
              <w:bottom w:val="single" w:sz="6" w:space="0" w:color="000000"/>
              <w:right w:val="single" w:sz="6" w:space="0" w:color="000000"/>
            </w:tcBorders>
          </w:tcPr>
          <w:p w14:paraId="54774DFF" w14:textId="77777777" w:rsidR="00DB7FF4" w:rsidRPr="009A68F3" w:rsidRDefault="00DB7FF4" w:rsidP="00104F07">
            <w:pPr>
              <w:pStyle w:val="naisc"/>
              <w:spacing w:before="0" w:after="0"/>
              <w:ind w:firstLine="720"/>
              <w:jc w:val="both"/>
              <w:rPr>
                <w:sz w:val="22"/>
                <w:szCs w:val="22"/>
              </w:rPr>
            </w:pPr>
            <w:r w:rsidRPr="009A68F3">
              <w:rPr>
                <w:sz w:val="22"/>
                <w:szCs w:val="22"/>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7FF81DDA" w14:textId="77777777" w:rsidR="00DB7FF4" w:rsidRPr="009A68F3" w:rsidRDefault="00DB7FF4" w:rsidP="00104F07">
            <w:pPr>
              <w:pStyle w:val="naisc"/>
              <w:spacing w:before="0" w:after="0"/>
              <w:ind w:firstLine="720"/>
              <w:jc w:val="both"/>
              <w:rPr>
                <w:sz w:val="22"/>
                <w:szCs w:val="22"/>
              </w:rPr>
            </w:pPr>
            <w:r w:rsidRPr="009A68F3">
              <w:rPr>
                <w:sz w:val="22"/>
                <w:szCs w:val="22"/>
              </w:rPr>
              <w:t>4</w:t>
            </w:r>
          </w:p>
        </w:tc>
        <w:tc>
          <w:tcPr>
            <w:tcW w:w="2977" w:type="dxa"/>
            <w:tcBorders>
              <w:top w:val="single" w:sz="4" w:space="0" w:color="auto"/>
              <w:left w:val="single" w:sz="4" w:space="0" w:color="auto"/>
              <w:bottom w:val="single" w:sz="4" w:space="0" w:color="auto"/>
            </w:tcBorders>
          </w:tcPr>
          <w:p w14:paraId="6C9E3BD0" w14:textId="77777777" w:rsidR="00DB7FF4" w:rsidRPr="009A68F3" w:rsidRDefault="00DB7FF4" w:rsidP="00104F07">
            <w:pPr>
              <w:jc w:val="both"/>
              <w:rPr>
                <w:sz w:val="22"/>
              </w:rPr>
            </w:pPr>
            <w:r w:rsidRPr="009A68F3">
              <w:rPr>
                <w:sz w:val="22"/>
              </w:rPr>
              <w:t>5</w:t>
            </w:r>
          </w:p>
        </w:tc>
      </w:tr>
      <w:tr w:rsidR="0069584F" w:rsidRPr="009A68F3" w14:paraId="6831DD68" w14:textId="77777777" w:rsidTr="00490BB2">
        <w:tc>
          <w:tcPr>
            <w:tcW w:w="675" w:type="dxa"/>
            <w:tcBorders>
              <w:top w:val="single" w:sz="6" w:space="0" w:color="000000"/>
              <w:left w:val="single" w:sz="6" w:space="0" w:color="000000"/>
              <w:bottom w:val="single" w:sz="6" w:space="0" w:color="000000"/>
              <w:right w:val="single" w:sz="6" w:space="0" w:color="000000"/>
            </w:tcBorders>
          </w:tcPr>
          <w:p w14:paraId="2615B1F4" w14:textId="77777777" w:rsidR="0069584F" w:rsidRPr="009A68F3" w:rsidRDefault="0069584F" w:rsidP="0069584F">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496473CC" w14:textId="67D5C0E1" w:rsidR="000E7FE3" w:rsidRPr="009A68F3" w:rsidRDefault="00B87E68" w:rsidP="000E7FE3">
            <w:pPr>
              <w:rPr>
                <w:sz w:val="22"/>
                <w:lang w:eastAsia="lv-LV"/>
              </w:rPr>
            </w:pPr>
            <w:r w:rsidRPr="009A68F3">
              <w:rPr>
                <w:b/>
                <w:sz w:val="22"/>
              </w:rPr>
              <w:t>Noteikumu projekts</w:t>
            </w:r>
          </w:p>
        </w:tc>
        <w:tc>
          <w:tcPr>
            <w:tcW w:w="4820" w:type="dxa"/>
            <w:tcBorders>
              <w:top w:val="single" w:sz="6" w:space="0" w:color="000000"/>
              <w:left w:val="single" w:sz="6" w:space="0" w:color="000000"/>
              <w:bottom w:val="single" w:sz="6" w:space="0" w:color="000000"/>
              <w:right w:val="single" w:sz="6" w:space="0" w:color="000000"/>
            </w:tcBorders>
          </w:tcPr>
          <w:p w14:paraId="467BB371" w14:textId="1412C7DE" w:rsidR="00B87E68" w:rsidRPr="009A68F3" w:rsidRDefault="00B87E68" w:rsidP="00B87E68">
            <w:pPr>
              <w:pStyle w:val="naisc"/>
              <w:spacing w:before="0" w:after="0"/>
              <w:jc w:val="both"/>
              <w:rPr>
                <w:b/>
                <w:sz w:val="22"/>
                <w:szCs w:val="22"/>
              </w:rPr>
            </w:pPr>
            <w:r w:rsidRPr="009A68F3">
              <w:rPr>
                <w:b/>
                <w:sz w:val="22"/>
                <w:szCs w:val="22"/>
              </w:rPr>
              <w:t>Finanšu ministrijas 15.04.2020. atzinums</w:t>
            </w:r>
            <w:r w:rsidR="0039482E" w:rsidRPr="009A68F3">
              <w:rPr>
                <w:b/>
                <w:sz w:val="22"/>
                <w:szCs w:val="22"/>
              </w:rPr>
              <w:t xml:space="preserve"> </w:t>
            </w:r>
            <w:bookmarkStart w:id="0" w:name="lietas_nr"/>
            <w:r w:rsidR="0039482E" w:rsidRPr="009A68F3">
              <w:rPr>
                <w:b/>
                <w:sz w:val="22"/>
                <w:szCs w:val="22"/>
              </w:rPr>
              <w:t>Nr.12/A-7/1940</w:t>
            </w:r>
            <w:bookmarkEnd w:id="0"/>
          </w:p>
          <w:p w14:paraId="5FF8E0CE" w14:textId="5F818E25" w:rsidR="00B87E68" w:rsidRPr="009A68F3" w:rsidRDefault="00B87E68" w:rsidP="00B87E68">
            <w:pPr>
              <w:numPr>
                <w:ilvl w:val="0"/>
                <w:numId w:val="9"/>
              </w:numPr>
              <w:shd w:val="clear" w:color="auto" w:fill="FFFFFF"/>
              <w:jc w:val="both"/>
              <w:rPr>
                <w:rFonts w:eastAsia="Times New Roman"/>
                <w:sz w:val="22"/>
                <w:lang w:eastAsia="lv-LV"/>
              </w:rPr>
            </w:pPr>
            <w:r w:rsidRPr="009A68F3">
              <w:rPr>
                <w:rFonts w:eastAsia="Times New Roman"/>
                <w:sz w:val="22"/>
                <w:bdr w:val="none" w:sz="0" w:space="0" w:color="auto" w:frame="1"/>
                <w:lang w:eastAsia="lv-LV"/>
              </w:rPr>
              <w:t xml:space="preserve">Ņemot vērā, ka Ministru kabineta 2011. gada 6. septembra noteikumos Nr. 698 "Noteikumi par </w:t>
            </w:r>
            <w:proofErr w:type="spellStart"/>
            <w:r w:rsidRPr="009A68F3">
              <w:rPr>
                <w:rFonts w:eastAsia="Times New Roman"/>
                <w:sz w:val="22"/>
                <w:bdr w:val="none" w:sz="0" w:space="0" w:color="auto" w:frame="1"/>
                <w:lang w:eastAsia="lv-LV"/>
              </w:rPr>
              <w:t>mikroaizdevumiem</w:t>
            </w:r>
            <w:proofErr w:type="spellEnd"/>
            <w:r w:rsidRPr="009A68F3">
              <w:rPr>
                <w:rFonts w:eastAsia="Times New Roman"/>
                <w:sz w:val="22"/>
                <w:bdr w:val="none" w:sz="0" w:space="0" w:color="auto" w:frame="1"/>
                <w:lang w:eastAsia="lv-LV"/>
              </w:rPr>
              <w:t xml:space="preserve"> un </w:t>
            </w:r>
            <w:proofErr w:type="spellStart"/>
            <w:r w:rsidRPr="009A68F3">
              <w:rPr>
                <w:rFonts w:eastAsia="Times New Roman"/>
                <w:sz w:val="22"/>
                <w:bdr w:val="none" w:sz="0" w:space="0" w:color="auto" w:frame="1"/>
                <w:lang w:eastAsia="lv-LV"/>
              </w:rPr>
              <w:t>grantiem</w:t>
            </w:r>
            <w:proofErr w:type="spellEnd"/>
            <w:r w:rsidRPr="009A68F3">
              <w:rPr>
                <w:rFonts w:eastAsia="Times New Roman"/>
                <w:sz w:val="22"/>
                <w:bdr w:val="none" w:sz="0" w:space="0" w:color="auto" w:frame="1"/>
                <w:lang w:eastAsia="lv-LV"/>
              </w:rPr>
              <w:t xml:space="preserve"> Latvijas un Šveices sadarbības programmas individuālā projekta "</w:t>
            </w:r>
            <w:proofErr w:type="spellStart"/>
            <w:r w:rsidRPr="009A68F3">
              <w:rPr>
                <w:rFonts w:eastAsia="Times New Roman"/>
                <w:sz w:val="22"/>
                <w:bdr w:val="none" w:sz="0" w:space="0" w:color="auto" w:frame="1"/>
                <w:lang w:eastAsia="lv-LV"/>
              </w:rPr>
              <w:t>Mikrokreditēšanas</w:t>
            </w:r>
            <w:proofErr w:type="spellEnd"/>
            <w:r w:rsidRPr="009A68F3">
              <w:rPr>
                <w:rFonts w:eastAsia="Times New Roman"/>
                <w:sz w:val="22"/>
                <w:bdr w:val="none" w:sz="0" w:space="0" w:color="auto" w:frame="1"/>
                <w:lang w:eastAsia="lv-LV"/>
              </w:rPr>
              <w:t xml:space="preserve"> programma" ietvaros" (turpmāk – MK noteikumi Nr.689) atbalstu aizdevumu veidā piešķir saskaņā ar Komisijas 2013. gada 18. decembra Regulu (ES) </w:t>
            </w:r>
            <w:r w:rsidRPr="009A68F3">
              <w:rPr>
                <w:rFonts w:eastAsia="Times New Roman"/>
                <w:sz w:val="22"/>
                <w:bdr w:val="none" w:sz="0" w:space="0" w:color="auto" w:frame="1"/>
                <w:lang w:eastAsia="lv-LV"/>
              </w:rPr>
              <w:lastRenderedPageBreak/>
              <w:t>Nr. 1407/2013 par Līguma par Eiropas Savienības darbību 107. un 108. panta piemērošanu </w:t>
            </w:r>
            <w:proofErr w:type="spellStart"/>
            <w:r w:rsidRPr="009A68F3">
              <w:rPr>
                <w:rFonts w:eastAsia="Times New Roman"/>
                <w:sz w:val="22"/>
                <w:bdr w:val="none" w:sz="0" w:space="0" w:color="auto" w:frame="1"/>
                <w:lang w:eastAsia="lv-LV"/>
              </w:rPr>
              <w:t>de</w:t>
            </w:r>
            <w:proofErr w:type="spellEnd"/>
            <w:r w:rsidRPr="009A68F3">
              <w:rPr>
                <w:rFonts w:eastAsia="Times New Roman"/>
                <w:sz w:val="22"/>
                <w:bdr w:val="none" w:sz="0" w:space="0" w:color="auto" w:frame="1"/>
                <w:lang w:eastAsia="lv-LV"/>
              </w:rPr>
              <w:t xml:space="preserve"> </w:t>
            </w:r>
            <w:proofErr w:type="spellStart"/>
            <w:r w:rsidRPr="009A68F3">
              <w:rPr>
                <w:rFonts w:eastAsia="Times New Roman"/>
                <w:sz w:val="22"/>
                <w:bdr w:val="none" w:sz="0" w:space="0" w:color="auto" w:frame="1"/>
                <w:lang w:eastAsia="lv-LV"/>
              </w:rPr>
              <w:t>minimis</w:t>
            </w:r>
            <w:proofErr w:type="spellEnd"/>
            <w:r w:rsidRPr="009A68F3">
              <w:rPr>
                <w:rFonts w:eastAsia="Times New Roman"/>
                <w:sz w:val="22"/>
                <w:bdr w:val="none" w:sz="0" w:space="0" w:color="auto" w:frame="1"/>
                <w:lang w:eastAsia="lv-LV"/>
              </w:rPr>
              <w:t> atbalstam (Eiropas Savienības Oficiālais Vēstnesis, 2013. gada 24. decembris, Nr. L 352) (turpmāk – Komisijas Regula Nr. 1407/2013), lai nodrošinātu, ka komercdarbības atbalsts tiek piešķirts atbilstoši komercdarbības atbalsta normām, lūdzam noteikumu projektu papildināt sekojoši:</w:t>
            </w:r>
          </w:p>
          <w:p w14:paraId="69D521E4" w14:textId="77777777" w:rsidR="00B87E68" w:rsidRPr="009A68F3" w:rsidRDefault="00B87E68" w:rsidP="00B87E68">
            <w:pPr>
              <w:shd w:val="clear" w:color="auto" w:fill="FFFFFF"/>
              <w:ind w:left="720" w:hanging="360"/>
              <w:jc w:val="both"/>
              <w:rPr>
                <w:rFonts w:eastAsia="Times New Roman"/>
                <w:sz w:val="22"/>
                <w:lang w:eastAsia="lv-LV"/>
              </w:rPr>
            </w:pPr>
            <w:r w:rsidRPr="009A68F3">
              <w:rPr>
                <w:rFonts w:eastAsia="Times New Roman"/>
                <w:sz w:val="22"/>
                <w:bdr w:val="none" w:sz="0" w:space="0" w:color="auto" w:frame="1"/>
                <w:lang w:eastAsia="lv-LV"/>
              </w:rPr>
              <w:t>1.1. MK noteikumu Nr.689 10.</w:t>
            </w:r>
            <w:r w:rsidRPr="009A68F3">
              <w:rPr>
                <w:rFonts w:eastAsia="Times New Roman"/>
                <w:sz w:val="22"/>
                <w:bdr w:val="none" w:sz="0" w:space="0" w:color="auto" w:frame="1"/>
                <w:vertAlign w:val="superscript"/>
                <w:lang w:eastAsia="lv-LV"/>
              </w:rPr>
              <w:t>1</w:t>
            </w:r>
            <w:r w:rsidRPr="009A68F3">
              <w:rPr>
                <w:rFonts w:eastAsia="Times New Roman"/>
                <w:sz w:val="22"/>
                <w:bdr w:val="none" w:sz="0" w:space="0" w:color="auto" w:frame="1"/>
                <w:lang w:eastAsia="lv-LV"/>
              </w:rPr>
              <w:t> punktu papildināt ar vārdiem “vai tas atbilst normatīvajos aktos noteiktiem kritērijiem, lai tam pēc kreditoru pieprasījuma piemērotu maksātnespējas procedūru.”;</w:t>
            </w:r>
          </w:p>
          <w:p w14:paraId="3082069D" w14:textId="77777777" w:rsidR="00B87E68" w:rsidRPr="009A68F3" w:rsidRDefault="00B87E68" w:rsidP="00B87E68">
            <w:pPr>
              <w:shd w:val="clear" w:color="auto" w:fill="FFFFFF"/>
              <w:ind w:left="720" w:hanging="360"/>
              <w:jc w:val="both"/>
              <w:rPr>
                <w:rFonts w:eastAsia="Times New Roman"/>
                <w:sz w:val="22"/>
                <w:lang w:eastAsia="lv-LV"/>
              </w:rPr>
            </w:pPr>
            <w:r w:rsidRPr="009A68F3">
              <w:rPr>
                <w:rFonts w:eastAsia="Times New Roman"/>
                <w:sz w:val="22"/>
                <w:bdr w:val="none" w:sz="0" w:space="0" w:color="auto" w:frame="1"/>
                <w:lang w:eastAsia="lv-LV"/>
              </w:rPr>
              <w:t>1.2. Attiecībā uz atbalstu aizdevumu veidā MK noteikumos Nr.689 noteikt, kādā veidā tiek noteikts atbalsta bruto dotācijas ekvivalents, proti, saskaņā ar Komisijas Regulas Nr. 1407/2013 4.panta 3.b) un/vai 3.c) apakšpunktu un /vai bruto dotācijas ekvivalents būs visa aizdevuma summa. Vēršam uzmanību, ka gadījumā, ka bruto dotācijas ekvivalents tiek aprēķināts saskaņā ar Komisijas Regulas Nr. 1407/2013 4.panta 3.b) apakšpunktu, MK noteikumus Nr.689 ir nepieciešams papildināt ar nosacījumu par nepieciešamību nodrošināt aizdevuma nodrošinājumu vismaz 50% apmērā no aizdevuma</w:t>
            </w:r>
          </w:p>
          <w:p w14:paraId="07448643" w14:textId="77777777" w:rsidR="00B87E68" w:rsidRPr="009A68F3" w:rsidRDefault="00B87E68" w:rsidP="00B87E68">
            <w:pPr>
              <w:shd w:val="clear" w:color="auto" w:fill="FFFFFF"/>
              <w:ind w:left="720" w:hanging="360"/>
              <w:jc w:val="both"/>
              <w:rPr>
                <w:rFonts w:eastAsia="Times New Roman"/>
                <w:sz w:val="22"/>
                <w:lang w:eastAsia="lv-LV"/>
              </w:rPr>
            </w:pPr>
            <w:r w:rsidRPr="009A68F3">
              <w:rPr>
                <w:rFonts w:eastAsia="Times New Roman"/>
                <w:sz w:val="22"/>
                <w:bdr w:val="none" w:sz="0" w:space="0" w:color="auto" w:frame="1"/>
                <w:lang w:eastAsia="lv-LV"/>
              </w:rPr>
              <w:t xml:space="preserve">1.3. MK noteikumos Nr.689 noteikt, kurš brīdis tiks uzskatīts par juridiski saistošu, kad atbalsta saņēmējam radīsies likumīgas tiesības saņemt </w:t>
            </w:r>
            <w:proofErr w:type="spellStart"/>
            <w:r w:rsidRPr="009A68F3">
              <w:rPr>
                <w:rFonts w:eastAsia="Times New Roman"/>
                <w:sz w:val="22"/>
                <w:bdr w:val="none" w:sz="0" w:space="0" w:color="auto" w:frame="1"/>
                <w:lang w:eastAsia="lv-LV"/>
              </w:rPr>
              <w:t>de</w:t>
            </w:r>
            <w:proofErr w:type="spellEnd"/>
            <w:r w:rsidRPr="009A68F3">
              <w:rPr>
                <w:rFonts w:eastAsia="Times New Roman"/>
                <w:sz w:val="22"/>
                <w:bdr w:val="none" w:sz="0" w:space="0" w:color="auto" w:frame="1"/>
                <w:lang w:eastAsia="lv-LV"/>
              </w:rPr>
              <w:t xml:space="preserve"> </w:t>
            </w:r>
            <w:proofErr w:type="spellStart"/>
            <w:r w:rsidRPr="009A68F3">
              <w:rPr>
                <w:rFonts w:eastAsia="Times New Roman"/>
                <w:sz w:val="22"/>
                <w:bdr w:val="none" w:sz="0" w:space="0" w:color="auto" w:frame="1"/>
                <w:lang w:eastAsia="lv-LV"/>
              </w:rPr>
              <w:t>minimis</w:t>
            </w:r>
            <w:proofErr w:type="spellEnd"/>
            <w:r w:rsidRPr="009A68F3">
              <w:rPr>
                <w:rFonts w:eastAsia="Times New Roman"/>
                <w:sz w:val="22"/>
                <w:bdr w:val="none" w:sz="0" w:space="0" w:color="auto" w:frame="1"/>
                <w:lang w:eastAsia="lv-LV"/>
              </w:rPr>
              <w:t xml:space="preserve"> atbalstu (piemēram, lēmums par atbalsta piešķiršanu vai līguma parakstīšanas datums). </w:t>
            </w:r>
            <w:r w:rsidRPr="009A68F3">
              <w:rPr>
                <w:rFonts w:eastAsia="Times New Roman"/>
                <w:sz w:val="22"/>
                <w:bdr w:val="none" w:sz="0" w:space="0" w:color="auto" w:frame="1"/>
                <w:lang w:eastAsia="lv-LV"/>
              </w:rPr>
              <w:lastRenderedPageBreak/>
              <w:t xml:space="preserve">Skaidrojam, ka atbalsta piešķiršanas brīža identificēšana ir būtisks priekšnosacījums korektai interpretācijai par datumu, kurā uzskatāms, ka saskaņā ar Komisijas regulu Nr. 1407/2013, atbalsts piešķirts tā saņēmējam. Skaidrojam, ka Komisijas regulas (ES) Nr. 1407/2013 3. panta 4. punkts nosaka, ka </w:t>
            </w:r>
            <w:proofErr w:type="spellStart"/>
            <w:r w:rsidRPr="009A68F3">
              <w:rPr>
                <w:rFonts w:eastAsia="Times New Roman"/>
                <w:sz w:val="22"/>
                <w:bdr w:val="none" w:sz="0" w:space="0" w:color="auto" w:frame="1"/>
                <w:lang w:eastAsia="lv-LV"/>
              </w:rPr>
              <w:t>de</w:t>
            </w:r>
            <w:proofErr w:type="spellEnd"/>
            <w:r w:rsidRPr="009A68F3">
              <w:rPr>
                <w:rFonts w:eastAsia="Times New Roman"/>
                <w:sz w:val="22"/>
                <w:bdr w:val="none" w:sz="0" w:space="0" w:color="auto" w:frame="1"/>
                <w:lang w:eastAsia="lv-LV"/>
              </w:rPr>
              <w:t xml:space="preserve"> </w:t>
            </w:r>
            <w:proofErr w:type="spellStart"/>
            <w:r w:rsidRPr="009A68F3">
              <w:rPr>
                <w:rFonts w:eastAsia="Times New Roman"/>
                <w:sz w:val="22"/>
                <w:bdr w:val="none" w:sz="0" w:space="0" w:color="auto" w:frame="1"/>
                <w:lang w:eastAsia="lv-LV"/>
              </w:rPr>
              <w:t>minimis</w:t>
            </w:r>
            <w:proofErr w:type="spellEnd"/>
            <w:r w:rsidRPr="009A68F3">
              <w:rPr>
                <w:rFonts w:eastAsia="Times New Roman"/>
                <w:sz w:val="22"/>
                <w:bdr w:val="none" w:sz="0" w:space="0" w:color="auto" w:frame="1"/>
                <w:lang w:eastAsia="lv-LV"/>
              </w:rPr>
              <w:t xml:space="preserve"> atbalstu uzskata par piešķirtu brīdī, kad uzņēmumam saskaņā ar piemērojamo valsts tiesisko regulējumu ir piešķirtas likumīgās tiesības saņemt atbalstu, neatkarīgi no datuma, kurā </w:t>
            </w:r>
            <w:proofErr w:type="spellStart"/>
            <w:r w:rsidRPr="009A68F3">
              <w:rPr>
                <w:rFonts w:eastAsia="Times New Roman"/>
                <w:sz w:val="22"/>
                <w:bdr w:val="none" w:sz="0" w:space="0" w:color="auto" w:frame="1"/>
                <w:lang w:eastAsia="lv-LV"/>
              </w:rPr>
              <w:t>de</w:t>
            </w:r>
            <w:proofErr w:type="spellEnd"/>
            <w:r w:rsidRPr="009A68F3">
              <w:rPr>
                <w:rFonts w:eastAsia="Times New Roman"/>
                <w:sz w:val="22"/>
                <w:bdr w:val="none" w:sz="0" w:space="0" w:color="auto" w:frame="1"/>
                <w:lang w:eastAsia="lv-LV"/>
              </w:rPr>
              <w:t xml:space="preserve"> </w:t>
            </w:r>
            <w:proofErr w:type="spellStart"/>
            <w:r w:rsidRPr="009A68F3">
              <w:rPr>
                <w:rFonts w:eastAsia="Times New Roman"/>
                <w:sz w:val="22"/>
                <w:bdr w:val="none" w:sz="0" w:space="0" w:color="auto" w:frame="1"/>
                <w:lang w:eastAsia="lv-LV"/>
              </w:rPr>
              <w:t>minimis</w:t>
            </w:r>
            <w:proofErr w:type="spellEnd"/>
            <w:r w:rsidRPr="009A68F3">
              <w:rPr>
                <w:rFonts w:eastAsia="Times New Roman"/>
                <w:sz w:val="22"/>
                <w:bdr w:val="none" w:sz="0" w:space="0" w:color="auto" w:frame="1"/>
                <w:lang w:eastAsia="lv-LV"/>
              </w:rPr>
              <w:t xml:space="preserve"> atbalsts uzņēmumam izmaksāts;</w:t>
            </w:r>
          </w:p>
          <w:p w14:paraId="6ADF67EB" w14:textId="77777777" w:rsidR="00B87E68" w:rsidRPr="009A68F3" w:rsidRDefault="00B87E68" w:rsidP="00B87E68">
            <w:pPr>
              <w:shd w:val="clear" w:color="auto" w:fill="FFFFFF"/>
              <w:ind w:left="720" w:hanging="360"/>
              <w:jc w:val="both"/>
              <w:rPr>
                <w:rFonts w:eastAsia="Times New Roman"/>
                <w:sz w:val="22"/>
                <w:lang w:eastAsia="lv-LV"/>
              </w:rPr>
            </w:pPr>
            <w:r w:rsidRPr="009A68F3">
              <w:rPr>
                <w:rFonts w:eastAsia="Times New Roman"/>
                <w:sz w:val="22"/>
                <w:bdr w:val="none" w:sz="0" w:space="0" w:color="auto" w:frame="1"/>
                <w:lang w:eastAsia="lv-LV"/>
              </w:rPr>
              <w:t xml:space="preserve">1.4. MK noteikumos Nr.689 </w:t>
            </w:r>
            <w:bookmarkStart w:id="1" w:name="_Hlk37851871"/>
            <w:r w:rsidRPr="009A68F3">
              <w:rPr>
                <w:rFonts w:eastAsia="Times New Roman"/>
                <w:sz w:val="22"/>
                <w:bdr w:val="none" w:sz="0" w:space="0" w:color="auto" w:frame="1"/>
                <w:lang w:eastAsia="lv-LV"/>
              </w:rPr>
              <w:t xml:space="preserve">noteikt termiņu, kādā ir pieņemams lēmums par </w:t>
            </w:r>
            <w:proofErr w:type="spellStart"/>
            <w:r w:rsidRPr="009A68F3">
              <w:rPr>
                <w:rFonts w:eastAsia="Times New Roman"/>
                <w:sz w:val="22"/>
                <w:bdr w:val="none" w:sz="0" w:space="0" w:color="auto" w:frame="1"/>
                <w:lang w:eastAsia="lv-LV"/>
              </w:rPr>
              <w:t>de</w:t>
            </w:r>
            <w:proofErr w:type="spellEnd"/>
            <w:r w:rsidRPr="009A68F3">
              <w:rPr>
                <w:rFonts w:eastAsia="Times New Roman"/>
                <w:sz w:val="22"/>
                <w:bdr w:val="none" w:sz="0" w:space="0" w:color="auto" w:frame="1"/>
                <w:lang w:eastAsia="lv-LV"/>
              </w:rPr>
              <w:t xml:space="preserve"> </w:t>
            </w:r>
            <w:proofErr w:type="spellStart"/>
            <w:r w:rsidRPr="009A68F3">
              <w:rPr>
                <w:rFonts w:eastAsia="Times New Roman"/>
                <w:sz w:val="22"/>
                <w:bdr w:val="none" w:sz="0" w:space="0" w:color="auto" w:frame="1"/>
                <w:lang w:eastAsia="lv-LV"/>
              </w:rPr>
              <w:t>minimis</w:t>
            </w:r>
            <w:proofErr w:type="spellEnd"/>
            <w:r w:rsidRPr="009A68F3">
              <w:rPr>
                <w:rFonts w:eastAsia="Times New Roman"/>
                <w:sz w:val="22"/>
                <w:bdr w:val="none" w:sz="0" w:space="0" w:color="auto" w:frame="1"/>
                <w:lang w:eastAsia="lv-LV"/>
              </w:rPr>
              <w:t xml:space="preserve"> atbalsta piešķiršanu, ievērojot Komisijas Regulas Nr.1407/2013 7.panta 4.punktu un 8.pantu;</w:t>
            </w:r>
          </w:p>
          <w:bookmarkEnd w:id="1"/>
          <w:p w14:paraId="034AB2AF" w14:textId="773921CD" w:rsidR="001C6772" w:rsidRPr="009A68F3" w:rsidRDefault="00B87E68" w:rsidP="009A68F3">
            <w:pPr>
              <w:shd w:val="clear" w:color="auto" w:fill="FFFFFF"/>
              <w:ind w:left="720" w:hanging="360"/>
              <w:jc w:val="both"/>
              <w:rPr>
                <w:rFonts w:eastAsia="Times New Roman"/>
                <w:sz w:val="22"/>
                <w:lang w:eastAsia="lv-LV"/>
              </w:rPr>
            </w:pPr>
            <w:r w:rsidRPr="009A68F3">
              <w:rPr>
                <w:rFonts w:eastAsia="Times New Roman"/>
                <w:sz w:val="22"/>
                <w:bdr w:val="none" w:sz="0" w:space="0" w:color="auto" w:frame="1"/>
                <w:lang w:eastAsia="lv-LV"/>
              </w:rPr>
              <w:t>1.5. MK noteikumus Nr.689 papildināt ar punktu, kas paredz komercdarbības atbalsta atgūšanu kopā ar procentiem, ja komercdarbības atbalsta saņēmējs ir pārkāpis Komisijas regulas Nr. 1407/2013 prasības, piemēram, šādā redakcijā: </w:t>
            </w:r>
            <w:r w:rsidRPr="009A68F3">
              <w:rPr>
                <w:rFonts w:eastAsia="Times New Roman"/>
                <w:i/>
                <w:iCs/>
                <w:sz w:val="22"/>
                <w:bdr w:val="none" w:sz="0" w:space="0" w:color="auto" w:frame="1"/>
                <w:lang w:eastAsia="lv-LV"/>
              </w:rPr>
              <w:t>“</w:t>
            </w:r>
            <w:bookmarkStart w:id="2" w:name="_Hlk37852084"/>
            <w:r w:rsidRPr="009A68F3">
              <w:rPr>
                <w:rFonts w:eastAsia="Times New Roman"/>
                <w:i/>
                <w:iCs/>
                <w:sz w:val="22"/>
                <w:bdr w:val="none" w:sz="0" w:space="0" w:color="auto" w:frame="1"/>
                <w:lang w:eastAsia="lv-LV"/>
              </w:rPr>
              <w:t xml:space="preserve">Ja atbalsta saņēmējs ir pārkāpis Komisijas regulas Nr. 1407/2013 prasības, atbalsta saņēmējam ir pienākums atmaksāt atbalsta sniedzējam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w:t>
            </w:r>
            <w:r w:rsidRPr="009A68F3">
              <w:rPr>
                <w:rFonts w:eastAsia="Times New Roman"/>
                <w:i/>
                <w:iCs/>
                <w:sz w:val="22"/>
                <w:bdr w:val="none" w:sz="0" w:space="0" w:color="auto" w:frame="1"/>
                <w:lang w:eastAsia="lv-LV"/>
              </w:rPr>
              <w:lastRenderedPageBreak/>
              <w:t>Nr. 794/2004), 10. pantu, tiem pieskaitot 100 bāzes punktus, no dienas, kad valsts atbalsts tika izmaksāts finansējuma saņēmējam līdz tā atgūšanas dienai, ievērojot Komisijas regulas Nr. 794/2004 11. pantā noteikto procentu likmes piemērošanas metodi</w:t>
            </w:r>
            <w:r w:rsidRPr="009A68F3">
              <w:rPr>
                <w:rFonts w:eastAsia="Times New Roman"/>
                <w:sz w:val="22"/>
                <w:bdr w:val="none" w:sz="0" w:space="0" w:color="auto" w:frame="1"/>
                <w:lang w:eastAsia="lv-LV"/>
              </w:rPr>
              <w:t>.”, ņemot vērā aktuālāko Eiropas Savienības tiesas judikatūru (sk. Eiropas Savienības Tiesas 2019.gada 5.marta spriedumu lietā Nr.C-349/17 (ECLI:EU:C:2019:172))</w:t>
            </w:r>
            <w:bookmarkEnd w:id="2"/>
            <w:r w:rsidRPr="009A68F3">
              <w:rPr>
                <w:rFonts w:eastAsia="Times New Roman"/>
                <w:sz w:val="22"/>
                <w:bdr w:val="none" w:sz="0" w:space="0" w:color="auto" w:frame="1"/>
                <w:lang w:eastAsia="lv-LV"/>
              </w:rPr>
              <w:t>;</w:t>
            </w:r>
          </w:p>
        </w:tc>
        <w:tc>
          <w:tcPr>
            <w:tcW w:w="3260" w:type="dxa"/>
            <w:gridSpan w:val="2"/>
            <w:tcBorders>
              <w:top w:val="single" w:sz="6" w:space="0" w:color="000000"/>
              <w:left w:val="single" w:sz="6" w:space="0" w:color="000000"/>
              <w:bottom w:val="single" w:sz="6" w:space="0" w:color="000000"/>
              <w:right w:val="single" w:sz="6" w:space="0" w:color="000000"/>
            </w:tcBorders>
          </w:tcPr>
          <w:p w14:paraId="3A44456D" w14:textId="143C9937" w:rsidR="000F5A3C" w:rsidRPr="009A68F3" w:rsidRDefault="008B296D" w:rsidP="008B296D">
            <w:pPr>
              <w:pStyle w:val="naisc"/>
              <w:spacing w:before="0" w:after="0"/>
              <w:rPr>
                <w:sz w:val="22"/>
                <w:szCs w:val="22"/>
              </w:rPr>
            </w:pPr>
            <w:r w:rsidRPr="009A68F3">
              <w:rPr>
                <w:b/>
                <w:sz w:val="22"/>
                <w:szCs w:val="22"/>
              </w:rPr>
              <w:lastRenderedPageBreak/>
              <w:t>Ņemts vērā</w:t>
            </w:r>
          </w:p>
        </w:tc>
        <w:tc>
          <w:tcPr>
            <w:tcW w:w="2977" w:type="dxa"/>
            <w:tcBorders>
              <w:top w:val="single" w:sz="4" w:space="0" w:color="auto"/>
              <w:left w:val="single" w:sz="4" w:space="0" w:color="auto"/>
              <w:bottom w:val="single" w:sz="4" w:space="0" w:color="auto"/>
            </w:tcBorders>
          </w:tcPr>
          <w:p w14:paraId="75CC4AAE" w14:textId="77777777" w:rsidR="0069584F" w:rsidRPr="009A68F3" w:rsidRDefault="009A68F3" w:rsidP="00104F07">
            <w:pPr>
              <w:jc w:val="both"/>
              <w:rPr>
                <w:b/>
                <w:bCs/>
                <w:sz w:val="22"/>
              </w:rPr>
            </w:pPr>
            <w:r w:rsidRPr="009A68F3">
              <w:rPr>
                <w:b/>
                <w:bCs/>
                <w:sz w:val="22"/>
              </w:rPr>
              <w:t>N</w:t>
            </w:r>
            <w:r w:rsidR="008B296D" w:rsidRPr="009A68F3">
              <w:rPr>
                <w:b/>
                <w:bCs/>
                <w:sz w:val="22"/>
              </w:rPr>
              <w:t xml:space="preserve">oteikumu projekts papildināts </w:t>
            </w:r>
            <w:r w:rsidRPr="009A68F3">
              <w:rPr>
                <w:b/>
                <w:bCs/>
                <w:sz w:val="22"/>
              </w:rPr>
              <w:t>ar 4.punktu šādā redakcijā:</w:t>
            </w:r>
          </w:p>
          <w:p w14:paraId="419B5F4D" w14:textId="77777777" w:rsidR="009A68F3" w:rsidRPr="009A68F3" w:rsidRDefault="009A68F3" w:rsidP="009A68F3">
            <w:pPr>
              <w:jc w:val="both"/>
              <w:rPr>
                <w:sz w:val="22"/>
              </w:rPr>
            </w:pPr>
            <w:r w:rsidRPr="009A68F3">
              <w:rPr>
                <w:sz w:val="22"/>
              </w:rPr>
              <w:t>“4.</w:t>
            </w:r>
            <w:r w:rsidRPr="009A68F3">
              <w:rPr>
                <w:sz w:val="22"/>
              </w:rPr>
              <w:tab/>
              <w:t>Papildināt noteikumus ar 20.</w:t>
            </w:r>
            <w:r w:rsidRPr="009A68F3">
              <w:rPr>
                <w:sz w:val="22"/>
                <w:vertAlign w:val="superscript"/>
              </w:rPr>
              <w:t>5</w:t>
            </w:r>
            <w:r w:rsidRPr="009A68F3">
              <w:rPr>
                <w:sz w:val="22"/>
              </w:rPr>
              <w:t xml:space="preserve"> līdz 20.</w:t>
            </w:r>
            <w:r w:rsidRPr="009A68F3">
              <w:rPr>
                <w:sz w:val="22"/>
                <w:vertAlign w:val="superscript"/>
              </w:rPr>
              <w:t>8</w:t>
            </w:r>
            <w:r w:rsidRPr="009A68F3">
              <w:rPr>
                <w:sz w:val="22"/>
              </w:rPr>
              <w:t xml:space="preserve"> punktu šādā redakcijā:</w:t>
            </w:r>
          </w:p>
          <w:p w14:paraId="00A3F5E0" w14:textId="77777777" w:rsidR="009A68F3" w:rsidRPr="009A68F3" w:rsidRDefault="009A68F3" w:rsidP="009A68F3">
            <w:pPr>
              <w:jc w:val="both"/>
              <w:rPr>
                <w:sz w:val="22"/>
              </w:rPr>
            </w:pPr>
          </w:p>
          <w:p w14:paraId="32657A36" w14:textId="0B25036D" w:rsidR="009A68F3" w:rsidRPr="009A68F3" w:rsidRDefault="009A68F3" w:rsidP="009A68F3">
            <w:pPr>
              <w:jc w:val="both"/>
              <w:rPr>
                <w:sz w:val="22"/>
              </w:rPr>
            </w:pPr>
            <w:r w:rsidRPr="009A68F3">
              <w:rPr>
                <w:sz w:val="22"/>
              </w:rPr>
              <w:t>"20.</w:t>
            </w:r>
            <w:r w:rsidRPr="009A68F3">
              <w:rPr>
                <w:sz w:val="22"/>
                <w:vertAlign w:val="superscript"/>
              </w:rPr>
              <w:t>5</w:t>
            </w:r>
            <w:r w:rsidRPr="009A68F3">
              <w:rPr>
                <w:sz w:val="22"/>
              </w:rPr>
              <w:t xml:space="preserve"> Sabiedrība "</w:t>
            </w:r>
            <w:proofErr w:type="spellStart"/>
            <w:r w:rsidRPr="009A68F3">
              <w:rPr>
                <w:sz w:val="22"/>
              </w:rPr>
              <w:t>Altum</w:t>
            </w:r>
            <w:proofErr w:type="spellEnd"/>
            <w:r w:rsidRPr="009A68F3">
              <w:rPr>
                <w:sz w:val="22"/>
              </w:rPr>
              <w:t xml:space="preserve">" saimnieciskās darbības uzsācējam vai </w:t>
            </w:r>
            <w:proofErr w:type="spellStart"/>
            <w:r w:rsidRPr="009A68F3">
              <w:rPr>
                <w:sz w:val="22"/>
              </w:rPr>
              <w:lastRenderedPageBreak/>
              <w:t>mikrouzņēmumam</w:t>
            </w:r>
            <w:proofErr w:type="spellEnd"/>
            <w:r w:rsidRPr="009A68F3">
              <w:rPr>
                <w:sz w:val="22"/>
              </w:rPr>
              <w:t xml:space="preserve"> </w:t>
            </w:r>
            <w:proofErr w:type="spellStart"/>
            <w:r w:rsidRPr="009A68F3">
              <w:rPr>
                <w:sz w:val="22"/>
              </w:rPr>
              <w:t>de</w:t>
            </w:r>
            <w:proofErr w:type="spellEnd"/>
            <w:r w:rsidRPr="009A68F3">
              <w:rPr>
                <w:sz w:val="22"/>
              </w:rPr>
              <w:t xml:space="preserve"> </w:t>
            </w:r>
            <w:proofErr w:type="spellStart"/>
            <w:r w:rsidRPr="009A68F3">
              <w:rPr>
                <w:sz w:val="22"/>
              </w:rPr>
              <w:t>minimis</w:t>
            </w:r>
            <w:proofErr w:type="spellEnd"/>
            <w:r w:rsidRPr="009A68F3">
              <w:rPr>
                <w:sz w:val="22"/>
              </w:rPr>
              <w:t xml:space="preserve"> atbalstu piešķir, pieņemot lēmumu par aizdevuma piešķiršanu.</w:t>
            </w:r>
          </w:p>
          <w:p w14:paraId="1003C3D5" w14:textId="1DF99710" w:rsidR="009A68F3" w:rsidRPr="009A68F3" w:rsidRDefault="009A68F3" w:rsidP="009A68F3">
            <w:pPr>
              <w:jc w:val="both"/>
              <w:rPr>
                <w:sz w:val="22"/>
              </w:rPr>
            </w:pPr>
            <w:r w:rsidRPr="009A68F3">
              <w:rPr>
                <w:sz w:val="22"/>
              </w:rPr>
              <w:t>20.</w:t>
            </w:r>
            <w:r w:rsidRPr="009A68F3">
              <w:rPr>
                <w:sz w:val="22"/>
                <w:vertAlign w:val="superscript"/>
              </w:rPr>
              <w:t>6</w:t>
            </w:r>
            <w:r w:rsidRPr="009A68F3">
              <w:rPr>
                <w:sz w:val="22"/>
              </w:rPr>
              <w:t xml:space="preserve"> Lēmums par </w:t>
            </w:r>
            <w:proofErr w:type="spellStart"/>
            <w:r w:rsidRPr="009A68F3">
              <w:rPr>
                <w:sz w:val="22"/>
              </w:rPr>
              <w:t>de</w:t>
            </w:r>
            <w:proofErr w:type="spellEnd"/>
            <w:r w:rsidRPr="009A68F3">
              <w:rPr>
                <w:sz w:val="22"/>
              </w:rPr>
              <w:t xml:space="preserve"> </w:t>
            </w:r>
            <w:proofErr w:type="spellStart"/>
            <w:r w:rsidRPr="009A68F3">
              <w:rPr>
                <w:sz w:val="22"/>
              </w:rPr>
              <w:t>minimis</w:t>
            </w:r>
            <w:proofErr w:type="spellEnd"/>
            <w:r w:rsidRPr="009A68F3">
              <w:rPr>
                <w:sz w:val="22"/>
              </w:rPr>
              <w:t xml:space="preserve"> atbalsta piešķiršanu tiek pieņemts, ievērojot Komisijas Regulas Nr. 1407/2013 7. panta 4. punktu un 8. pantu.</w:t>
            </w:r>
          </w:p>
          <w:p w14:paraId="6EFBF8A9" w14:textId="5A1620EA" w:rsidR="009A68F3" w:rsidRPr="009A68F3" w:rsidRDefault="009A68F3" w:rsidP="009A68F3">
            <w:pPr>
              <w:jc w:val="both"/>
              <w:rPr>
                <w:sz w:val="22"/>
              </w:rPr>
            </w:pPr>
            <w:r w:rsidRPr="009A68F3">
              <w:rPr>
                <w:sz w:val="22"/>
              </w:rPr>
              <w:t>20.</w:t>
            </w:r>
            <w:r w:rsidRPr="009A68F3">
              <w:rPr>
                <w:sz w:val="22"/>
                <w:vertAlign w:val="superscript"/>
              </w:rPr>
              <w:t>7</w:t>
            </w:r>
            <w:r w:rsidRPr="009A68F3">
              <w:rPr>
                <w:sz w:val="22"/>
              </w:rPr>
              <w:t xml:space="preserve"> Subsīdijas ekvivalentu saimnieciskās darbības veicējam vai </w:t>
            </w:r>
            <w:proofErr w:type="spellStart"/>
            <w:r w:rsidRPr="009A68F3">
              <w:rPr>
                <w:sz w:val="22"/>
              </w:rPr>
              <w:t>mikrouzņēmumam</w:t>
            </w:r>
            <w:proofErr w:type="spellEnd"/>
            <w:r w:rsidRPr="009A68F3">
              <w:rPr>
                <w:sz w:val="22"/>
              </w:rPr>
              <w:t xml:space="preserve"> aprēķina kā starpību starp procentu maksājumu summu, kura būtu jāmaksā, piemērojot atsauces likmi, kas aprēķināma saskaņā ar Eiropas Komisijas Latvijai apstiprināto atsauces likmi, ko nosaka atbilstoši Komisijas paziņojumam par atsauces likmes un diskonta likmes noteikšanas metodes pārskatīšanu (Eiropas Savienības Oficiālais Vēstnesis, 2008. gada 19. janvāris, Nr. C 014), un saimnieciskās darbības veicēja faktiski samaksāto procentu maksājumu summu. Ja saimnieciskās darbības veicējam vai </w:t>
            </w:r>
            <w:proofErr w:type="spellStart"/>
            <w:r w:rsidRPr="009A68F3">
              <w:rPr>
                <w:sz w:val="22"/>
              </w:rPr>
              <w:t>mikrouzņēmumam</w:t>
            </w:r>
            <w:proofErr w:type="spellEnd"/>
            <w:r w:rsidRPr="009A68F3">
              <w:rPr>
                <w:sz w:val="22"/>
              </w:rPr>
              <w:t xml:space="preserve"> saskaņā ar šo noteikumu 12.</w:t>
            </w:r>
            <w:r w:rsidRPr="009A68F3">
              <w:rPr>
                <w:sz w:val="22"/>
                <w:vertAlign w:val="superscript"/>
              </w:rPr>
              <w:t>1</w:t>
            </w:r>
            <w:r w:rsidRPr="009A68F3">
              <w:rPr>
                <w:sz w:val="22"/>
              </w:rPr>
              <w:t xml:space="preserve"> punktu tiek pagarināts aizdevuma termiņš, tad tiek veikts arī papildus </w:t>
            </w:r>
            <w:r w:rsidRPr="009A68F3">
              <w:rPr>
                <w:sz w:val="22"/>
              </w:rPr>
              <w:lastRenderedPageBreak/>
              <w:t xml:space="preserve">saņemtās subsīdijas ekvivalenta aprēķins. </w:t>
            </w:r>
          </w:p>
          <w:p w14:paraId="68282C21" w14:textId="537F6A19" w:rsidR="009A68F3" w:rsidRPr="009A68F3" w:rsidRDefault="009A68F3" w:rsidP="009A68F3">
            <w:pPr>
              <w:jc w:val="both"/>
              <w:rPr>
                <w:sz w:val="22"/>
              </w:rPr>
            </w:pPr>
            <w:r w:rsidRPr="009A68F3">
              <w:rPr>
                <w:sz w:val="22"/>
              </w:rPr>
              <w:t>20.</w:t>
            </w:r>
            <w:r w:rsidRPr="009A68F3">
              <w:rPr>
                <w:sz w:val="22"/>
                <w:vertAlign w:val="superscript"/>
              </w:rPr>
              <w:t>8</w:t>
            </w:r>
            <w:r w:rsidRPr="009A68F3">
              <w:rPr>
                <w:sz w:val="22"/>
              </w:rPr>
              <w:t xml:space="preserve"> Ja atbalsta saņēmējs ir pārkāpis Komisijas regulas Nr. 1407/2013 prasības, atbalsta saņēmējam ir pienākums atmaksāt atbalsta sniedzējam visu projekta ietvaros saņemto komercdarbības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 ņemot vērā aktuālāko Eiropas Savienības tiesas judikatūru (sk. Eiropas Savienības Tiesas 2019. gada 5. marta spriedumu lietā Nr. C-349/17 (ECLI:EU:C:2019:172))."”</w:t>
            </w:r>
          </w:p>
        </w:tc>
      </w:tr>
      <w:tr w:rsidR="00654A41" w:rsidRPr="009A68F3" w14:paraId="73E47686" w14:textId="77777777" w:rsidTr="00490BB2">
        <w:tc>
          <w:tcPr>
            <w:tcW w:w="675" w:type="dxa"/>
            <w:tcBorders>
              <w:top w:val="single" w:sz="6" w:space="0" w:color="000000"/>
              <w:left w:val="single" w:sz="6" w:space="0" w:color="000000"/>
              <w:bottom w:val="single" w:sz="6" w:space="0" w:color="000000"/>
              <w:right w:val="single" w:sz="6" w:space="0" w:color="000000"/>
            </w:tcBorders>
          </w:tcPr>
          <w:p w14:paraId="5C07BC71" w14:textId="77777777" w:rsidR="00654A41" w:rsidRPr="009A68F3" w:rsidRDefault="00654A41" w:rsidP="0069584F">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2FD516D7" w14:textId="04499987" w:rsidR="00654A41" w:rsidRPr="009A68F3" w:rsidRDefault="00BA6EDB" w:rsidP="002B345C">
            <w:pPr>
              <w:pStyle w:val="naisc"/>
              <w:spacing w:before="0" w:after="0"/>
              <w:jc w:val="both"/>
              <w:rPr>
                <w:sz w:val="22"/>
                <w:szCs w:val="22"/>
              </w:rPr>
            </w:pPr>
            <w:r w:rsidRPr="009A68F3">
              <w:rPr>
                <w:b/>
                <w:sz w:val="22"/>
                <w:szCs w:val="22"/>
              </w:rPr>
              <w:t>Anotācija</w:t>
            </w:r>
          </w:p>
        </w:tc>
        <w:tc>
          <w:tcPr>
            <w:tcW w:w="4820" w:type="dxa"/>
            <w:tcBorders>
              <w:top w:val="single" w:sz="6" w:space="0" w:color="000000"/>
              <w:left w:val="single" w:sz="6" w:space="0" w:color="000000"/>
              <w:bottom w:val="single" w:sz="6" w:space="0" w:color="000000"/>
              <w:right w:val="single" w:sz="6" w:space="0" w:color="000000"/>
            </w:tcBorders>
          </w:tcPr>
          <w:p w14:paraId="75808C04" w14:textId="77777777" w:rsidR="0039482E" w:rsidRPr="009A68F3" w:rsidRDefault="0039482E" w:rsidP="0039482E">
            <w:pPr>
              <w:pStyle w:val="naisc"/>
              <w:spacing w:before="0" w:after="0"/>
              <w:jc w:val="both"/>
              <w:rPr>
                <w:b/>
                <w:sz w:val="22"/>
                <w:szCs w:val="22"/>
              </w:rPr>
            </w:pPr>
            <w:r w:rsidRPr="009A68F3">
              <w:rPr>
                <w:b/>
                <w:sz w:val="22"/>
                <w:szCs w:val="22"/>
              </w:rPr>
              <w:t>Finanšu ministrijas 15.04.2020. atzinums Nr.12/A-7/1940</w:t>
            </w:r>
          </w:p>
          <w:p w14:paraId="71D1090B" w14:textId="0F0761A4" w:rsidR="00654A41" w:rsidRPr="009A68F3" w:rsidRDefault="00BA6EDB" w:rsidP="00524967">
            <w:pPr>
              <w:pStyle w:val="naisc"/>
              <w:jc w:val="both"/>
              <w:rPr>
                <w:sz w:val="22"/>
                <w:szCs w:val="22"/>
              </w:rPr>
            </w:pPr>
            <w:r w:rsidRPr="009A68F3">
              <w:rPr>
                <w:sz w:val="22"/>
                <w:szCs w:val="22"/>
                <w:bdr w:val="none" w:sz="0" w:space="0" w:color="auto" w:frame="1"/>
              </w:rPr>
              <w:t xml:space="preserve">Papildināt anotācijas V sadaļas 1.tabulu ar attiecīgo noteikumu projektu punktu </w:t>
            </w:r>
            <w:proofErr w:type="spellStart"/>
            <w:r w:rsidRPr="009A68F3">
              <w:rPr>
                <w:sz w:val="22"/>
                <w:szCs w:val="22"/>
                <w:bdr w:val="none" w:sz="0" w:space="0" w:color="auto" w:frame="1"/>
              </w:rPr>
              <w:t>izvērtējumu</w:t>
            </w:r>
            <w:proofErr w:type="spellEnd"/>
            <w:r w:rsidRPr="009A68F3">
              <w:rPr>
                <w:sz w:val="22"/>
                <w:szCs w:val="22"/>
                <w:bdr w:val="none" w:sz="0" w:space="0" w:color="auto" w:frame="1"/>
              </w:rPr>
              <w:t xml:space="preserve"> pret attiecīgajām Komisijas Regulas Nr.1407/2013 normām.</w:t>
            </w:r>
          </w:p>
        </w:tc>
        <w:tc>
          <w:tcPr>
            <w:tcW w:w="3260" w:type="dxa"/>
            <w:gridSpan w:val="2"/>
            <w:tcBorders>
              <w:top w:val="single" w:sz="6" w:space="0" w:color="000000"/>
              <w:left w:val="single" w:sz="6" w:space="0" w:color="000000"/>
              <w:bottom w:val="single" w:sz="6" w:space="0" w:color="000000"/>
              <w:right w:val="single" w:sz="6" w:space="0" w:color="000000"/>
            </w:tcBorders>
          </w:tcPr>
          <w:p w14:paraId="40241E86" w14:textId="77777777" w:rsidR="00BA6EDB" w:rsidRPr="009A68F3" w:rsidRDefault="00BA6EDB" w:rsidP="00BA6EDB">
            <w:pPr>
              <w:pStyle w:val="naisc"/>
              <w:spacing w:before="0" w:after="0"/>
              <w:rPr>
                <w:b/>
                <w:sz w:val="22"/>
                <w:szCs w:val="22"/>
              </w:rPr>
            </w:pPr>
            <w:r w:rsidRPr="009A68F3">
              <w:rPr>
                <w:b/>
                <w:sz w:val="22"/>
                <w:szCs w:val="22"/>
              </w:rPr>
              <w:t>Ņemts vērā</w:t>
            </w:r>
          </w:p>
          <w:p w14:paraId="1253DA69" w14:textId="77777777" w:rsidR="002252BA" w:rsidRPr="009A68F3" w:rsidRDefault="002252BA" w:rsidP="00963514">
            <w:pPr>
              <w:pStyle w:val="naisc"/>
              <w:spacing w:before="0" w:after="0"/>
              <w:jc w:val="both"/>
              <w:rPr>
                <w:b/>
                <w:i/>
                <w:sz w:val="22"/>
                <w:szCs w:val="22"/>
                <w:u w:val="single"/>
              </w:rPr>
            </w:pPr>
          </w:p>
        </w:tc>
        <w:tc>
          <w:tcPr>
            <w:tcW w:w="2977" w:type="dxa"/>
            <w:tcBorders>
              <w:top w:val="single" w:sz="4" w:space="0" w:color="auto"/>
              <w:left w:val="single" w:sz="4" w:space="0" w:color="auto"/>
              <w:bottom w:val="single" w:sz="4" w:space="0" w:color="auto"/>
            </w:tcBorders>
          </w:tcPr>
          <w:p w14:paraId="5910C863" w14:textId="1F4B765C" w:rsidR="000F5A3C" w:rsidRPr="009A68F3" w:rsidRDefault="00BA6EDB" w:rsidP="0013339E">
            <w:pPr>
              <w:spacing w:before="100" w:beforeAutospacing="1" w:after="100" w:afterAutospacing="1"/>
              <w:jc w:val="both"/>
              <w:rPr>
                <w:sz w:val="22"/>
              </w:rPr>
            </w:pPr>
            <w:r w:rsidRPr="009A68F3">
              <w:rPr>
                <w:sz w:val="22"/>
                <w:bdr w:val="none" w:sz="0" w:space="0" w:color="auto" w:frame="1"/>
              </w:rPr>
              <w:t>Papildināta anotācijas V sadaļas 1.tabula</w:t>
            </w:r>
          </w:p>
        </w:tc>
      </w:tr>
      <w:tr w:rsidR="0032636E" w:rsidRPr="009A68F3" w14:paraId="7821D616" w14:textId="77777777" w:rsidTr="00490BB2">
        <w:tc>
          <w:tcPr>
            <w:tcW w:w="675" w:type="dxa"/>
            <w:tcBorders>
              <w:top w:val="single" w:sz="6" w:space="0" w:color="000000"/>
              <w:left w:val="single" w:sz="6" w:space="0" w:color="000000"/>
              <w:bottom w:val="single" w:sz="6" w:space="0" w:color="000000"/>
              <w:right w:val="single" w:sz="6" w:space="0" w:color="000000"/>
            </w:tcBorders>
          </w:tcPr>
          <w:p w14:paraId="1EA3D67D" w14:textId="77777777" w:rsidR="0032636E" w:rsidRPr="009A68F3" w:rsidRDefault="0032636E" w:rsidP="0032636E">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0E682ACB" w14:textId="14146EF0" w:rsidR="0032636E" w:rsidRPr="009A68F3" w:rsidRDefault="00D2687A" w:rsidP="0032636E">
            <w:pPr>
              <w:pStyle w:val="naisc"/>
              <w:jc w:val="both"/>
              <w:rPr>
                <w:sz w:val="22"/>
                <w:szCs w:val="22"/>
              </w:rPr>
            </w:pPr>
            <w:r w:rsidRPr="009A68F3">
              <w:rPr>
                <w:b/>
                <w:sz w:val="22"/>
                <w:szCs w:val="22"/>
              </w:rPr>
              <w:t>Noteikumu projekts</w:t>
            </w:r>
          </w:p>
        </w:tc>
        <w:tc>
          <w:tcPr>
            <w:tcW w:w="4820" w:type="dxa"/>
            <w:tcBorders>
              <w:top w:val="single" w:sz="6" w:space="0" w:color="000000"/>
              <w:left w:val="single" w:sz="6" w:space="0" w:color="000000"/>
              <w:bottom w:val="single" w:sz="6" w:space="0" w:color="000000"/>
              <w:right w:val="single" w:sz="6" w:space="0" w:color="000000"/>
            </w:tcBorders>
          </w:tcPr>
          <w:p w14:paraId="5F887701" w14:textId="77777777" w:rsidR="0039482E" w:rsidRPr="009A68F3" w:rsidRDefault="0039482E" w:rsidP="0039482E">
            <w:pPr>
              <w:pStyle w:val="naisc"/>
              <w:spacing w:before="0" w:after="0"/>
              <w:jc w:val="both"/>
              <w:rPr>
                <w:b/>
                <w:sz w:val="22"/>
                <w:szCs w:val="22"/>
              </w:rPr>
            </w:pPr>
            <w:r w:rsidRPr="009A68F3">
              <w:rPr>
                <w:b/>
                <w:sz w:val="22"/>
                <w:szCs w:val="22"/>
              </w:rPr>
              <w:t>Finanšu ministrijas 15.04.2020. atzinums Nr.12/A-7/1940</w:t>
            </w:r>
          </w:p>
          <w:p w14:paraId="6B6CCD2A" w14:textId="51938195" w:rsidR="0032636E" w:rsidRPr="009A68F3" w:rsidRDefault="00D2687A" w:rsidP="0032636E">
            <w:pPr>
              <w:contextualSpacing/>
              <w:jc w:val="both"/>
              <w:rPr>
                <w:rFonts w:eastAsia="Times New Roman"/>
                <w:sz w:val="22"/>
                <w:bdr w:val="none" w:sz="0" w:space="0" w:color="auto" w:frame="1"/>
                <w:lang w:eastAsia="lv-LV"/>
              </w:rPr>
            </w:pPr>
            <w:r w:rsidRPr="009A68F3">
              <w:rPr>
                <w:rFonts w:eastAsia="Times New Roman"/>
                <w:sz w:val="22"/>
                <w:bdr w:val="none" w:sz="0" w:space="0" w:color="auto" w:frame="1"/>
                <w:lang w:eastAsia="lv-LV"/>
              </w:rPr>
              <w:t xml:space="preserve">Ņemot vērā, ka gadījumos, ja tiek pagarināts iepriekš noteiktais aizdevuma atmaksas termiņš, minētais pagarinājums ir kvalificējas kā jauns valsts atbalsts un tā sniegšanai ir nepieciešams veikt </w:t>
            </w:r>
            <w:proofErr w:type="spellStart"/>
            <w:r w:rsidRPr="009A68F3">
              <w:rPr>
                <w:rFonts w:eastAsia="Times New Roman"/>
                <w:sz w:val="22"/>
                <w:bdr w:val="none" w:sz="0" w:space="0" w:color="auto" w:frame="1"/>
                <w:lang w:eastAsia="lv-LV"/>
              </w:rPr>
              <w:t>izvērtējumu</w:t>
            </w:r>
            <w:proofErr w:type="spellEnd"/>
            <w:r w:rsidRPr="009A68F3">
              <w:rPr>
                <w:rFonts w:eastAsia="Times New Roman"/>
                <w:sz w:val="22"/>
                <w:bdr w:val="none" w:sz="0" w:space="0" w:color="auto" w:frame="1"/>
                <w:lang w:eastAsia="lv-LV"/>
              </w:rPr>
              <w:t xml:space="preserve"> atbilstoši visiem piemērojamā valsts atbalsta regulējuma nosacījumiem, kā arī ir jāveic bruto subsīdijas ekvivalenta pārrēķins, lai darījumā precīzi atspoguļotu papildus piešķirto valsts atbalsta elementu, lūdzam noteikumu projektu papildināt ar nosacījumu, ka, pagarinot iepriekš izsniegtā aizdevuma termiņu, atbalsta </w:t>
            </w:r>
            <w:proofErr w:type="spellStart"/>
            <w:r w:rsidRPr="009A68F3">
              <w:rPr>
                <w:rFonts w:eastAsia="Times New Roman"/>
                <w:sz w:val="22"/>
                <w:bdr w:val="none" w:sz="0" w:space="0" w:color="auto" w:frame="1"/>
                <w:lang w:eastAsia="lv-LV"/>
              </w:rPr>
              <w:t>piešķīrējiestādei</w:t>
            </w:r>
            <w:proofErr w:type="spellEnd"/>
            <w:r w:rsidRPr="009A68F3">
              <w:rPr>
                <w:rFonts w:eastAsia="Times New Roman"/>
                <w:sz w:val="22"/>
                <w:bdr w:val="none" w:sz="0" w:space="0" w:color="auto" w:frame="1"/>
                <w:lang w:eastAsia="lv-LV"/>
              </w:rPr>
              <w:t xml:space="preserve"> ir jāveic atkārtots </w:t>
            </w:r>
            <w:proofErr w:type="spellStart"/>
            <w:r w:rsidRPr="009A68F3">
              <w:rPr>
                <w:rFonts w:eastAsia="Times New Roman"/>
                <w:sz w:val="22"/>
                <w:bdr w:val="none" w:sz="0" w:space="0" w:color="auto" w:frame="1"/>
                <w:lang w:eastAsia="lv-LV"/>
              </w:rPr>
              <w:t>izvērtējums</w:t>
            </w:r>
            <w:proofErr w:type="spellEnd"/>
            <w:r w:rsidRPr="009A68F3">
              <w:rPr>
                <w:rFonts w:eastAsia="Times New Roman"/>
                <w:sz w:val="22"/>
                <w:bdr w:val="none" w:sz="0" w:space="0" w:color="auto" w:frame="1"/>
                <w:lang w:eastAsia="lv-LV"/>
              </w:rPr>
              <w:t xml:space="preserve"> atbilstoši visiem piemērojamā valsts atbalsta regulējuma nosacījumiem un jāveic bruto subsīdijas ekvivalenta pārrēķins, ņemot vērā pagarināto aizdevuma atmaksas termiņu, t.sk., paredzot nosacījumu </w:t>
            </w:r>
            <w:proofErr w:type="spellStart"/>
            <w:r w:rsidRPr="009A68F3">
              <w:rPr>
                <w:rFonts w:eastAsia="Times New Roman"/>
                <w:sz w:val="22"/>
                <w:bdr w:val="none" w:sz="0" w:space="0" w:color="auto" w:frame="1"/>
                <w:lang w:eastAsia="lv-LV"/>
              </w:rPr>
              <w:t>de</w:t>
            </w:r>
            <w:proofErr w:type="spellEnd"/>
            <w:r w:rsidRPr="009A68F3">
              <w:rPr>
                <w:rFonts w:eastAsia="Times New Roman"/>
                <w:sz w:val="22"/>
                <w:bdr w:val="none" w:sz="0" w:space="0" w:color="auto" w:frame="1"/>
                <w:lang w:eastAsia="lv-LV"/>
              </w:rPr>
              <w:t xml:space="preserve"> </w:t>
            </w:r>
            <w:proofErr w:type="spellStart"/>
            <w:r w:rsidRPr="009A68F3">
              <w:rPr>
                <w:rFonts w:eastAsia="Times New Roman"/>
                <w:sz w:val="22"/>
                <w:bdr w:val="none" w:sz="0" w:space="0" w:color="auto" w:frame="1"/>
                <w:lang w:eastAsia="lv-LV"/>
              </w:rPr>
              <w:lastRenderedPageBreak/>
              <w:t>minimis</w:t>
            </w:r>
            <w:proofErr w:type="spellEnd"/>
            <w:r w:rsidRPr="009A68F3">
              <w:rPr>
                <w:rFonts w:eastAsia="Times New Roman"/>
                <w:sz w:val="22"/>
                <w:bdr w:val="none" w:sz="0" w:space="0" w:color="auto" w:frame="1"/>
                <w:lang w:eastAsia="lv-LV"/>
              </w:rPr>
              <w:t> atbalsta uzskaites sistēmā reģistrēt jaunu valsts atbalsta piešķīrumu, ievērojot to, ka netiek pārsniegts </w:t>
            </w:r>
            <w:proofErr w:type="spellStart"/>
            <w:r w:rsidRPr="009A68F3">
              <w:rPr>
                <w:rFonts w:eastAsia="Times New Roman"/>
                <w:sz w:val="22"/>
                <w:bdr w:val="none" w:sz="0" w:space="0" w:color="auto" w:frame="1"/>
                <w:lang w:eastAsia="lv-LV"/>
              </w:rPr>
              <w:t>de</w:t>
            </w:r>
            <w:proofErr w:type="spellEnd"/>
            <w:r w:rsidRPr="009A68F3">
              <w:rPr>
                <w:rFonts w:eastAsia="Times New Roman"/>
                <w:sz w:val="22"/>
                <w:bdr w:val="none" w:sz="0" w:space="0" w:color="auto" w:frame="1"/>
                <w:lang w:eastAsia="lv-LV"/>
              </w:rPr>
              <w:t xml:space="preserve"> </w:t>
            </w:r>
            <w:proofErr w:type="spellStart"/>
            <w:r w:rsidRPr="009A68F3">
              <w:rPr>
                <w:rFonts w:eastAsia="Times New Roman"/>
                <w:sz w:val="22"/>
                <w:bdr w:val="none" w:sz="0" w:space="0" w:color="auto" w:frame="1"/>
                <w:lang w:eastAsia="lv-LV"/>
              </w:rPr>
              <w:t>minimis</w:t>
            </w:r>
            <w:proofErr w:type="spellEnd"/>
            <w:r w:rsidRPr="009A68F3">
              <w:rPr>
                <w:rFonts w:eastAsia="Times New Roman"/>
                <w:sz w:val="22"/>
                <w:bdr w:val="none" w:sz="0" w:space="0" w:color="auto" w:frame="1"/>
                <w:lang w:eastAsia="lv-LV"/>
              </w:rPr>
              <w:t> atbalsta maksimāli pieļaujamais robežlielums viena vienota uzņēmuma līmenī.</w:t>
            </w:r>
          </w:p>
        </w:tc>
        <w:tc>
          <w:tcPr>
            <w:tcW w:w="3260" w:type="dxa"/>
            <w:gridSpan w:val="2"/>
            <w:tcBorders>
              <w:top w:val="single" w:sz="6" w:space="0" w:color="000000"/>
              <w:left w:val="single" w:sz="6" w:space="0" w:color="000000"/>
              <w:bottom w:val="single" w:sz="6" w:space="0" w:color="000000"/>
              <w:right w:val="single" w:sz="6" w:space="0" w:color="000000"/>
            </w:tcBorders>
          </w:tcPr>
          <w:p w14:paraId="69B8BAB0" w14:textId="5E3C259D" w:rsidR="0032636E" w:rsidRPr="009A68F3" w:rsidRDefault="009A68F3" w:rsidP="009A68F3">
            <w:pPr>
              <w:pStyle w:val="naisc"/>
              <w:spacing w:before="0" w:after="0"/>
              <w:rPr>
                <w:b/>
                <w:bCs/>
                <w:sz w:val="22"/>
                <w:szCs w:val="22"/>
              </w:rPr>
            </w:pPr>
            <w:r w:rsidRPr="009A68F3">
              <w:rPr>
                <w:b/>
                <w:bCs/>
                <w:sz w:val="22"/>
                <w:szCs w:val="22"/>
              </w:rPr>
              <w:lastRenderedPageBreak/>
              <w:t>Ņemts vērā</w:t>
            </w:r>
          </w:p>
        </w:tc>
        <w:tc>
          <w:tcPr>
            <w:tcW w:w="2977" w:type="dxa"/>
            <w:tcBorders>
              <w:left w:val="single" w:sz="4" w:space="0" w:color="auto"/>
              <w:bottom w:val="single" w:sz="4" w:space="0" w:color="auto"/>
            </w:tcBorders>
          </w:tcPr>
          <w:p w14:paraId="615B8E83" w14:textId="69142301" w:rsidR="0032636E" w:rsidRPr="009A68F3" w:rsidRDefault="009A68F3" w:rsidP="0032636E">
            <w:pPr>
              <w:jc w:val="both"/>
              <w:rPr>
                <w:b/>
                <w:bCs/>
                <w:sz w:val="22"/>
              </w:rPr>
            </w:pPr>
            <w:r w:rsidRPr="009A68F3">
              <w:rPr>
                <w:b/>
                <w:bCs/>
                <w:sz w:val="22"/>
              </w:rPr>
              <w:t>Noteikumu projekta 4.punkā iekļauts 20.</w:t>
            </w:r>
            <w:r w:rsidRPr="009A68F3">
              <w:rPr>
                <w:b/>
                <w:bCs/>
                <w:sz w:val="22"/>
                <w:vertAlign w:val="superscript"/>
              </w:rPr>
              <w:t>7</w:t>
            </w:r>
            <w:r w:rsidRPr="009A68F3">
              <w:rPr>
                <w:b/>
                <w:bCs/>
                <w:sz w:val="22"/>
              </w:rPr>
              <w:t xml:space="preserve"> punkts šādā redakcijā:</w:t>
            </w:r>
          </w:p>
          <w:p w14:paraId="448FDA58" w14:textId="30B5472A" w:rsidR="009A68F3" w:rsidRDefault="009A68F3" w:rsidP="0032636E">
            <w:pPr>
              <w:jc w:val="both"/>
              <w:rPr>
                <w:sz w:val="22"/>
              </w:rPr>
            </w:pPr>
            <w:r>
              <w:rPr>
                <w:sz w:val="22"/>
              </w:rPr>
              <w:t>“</w:t>
            </w:r>
            <w:r w:rsidRPr="009A68F3">
              <w:rPr>
                <w:sz w:val="22"/>
              </w:rPr>
              <w:t>20.</w:t>
            </w:r>
            <w:r w:rsidRPr="009A68F3">
              <w:rPr>
                <w:sz w:val="22"/>
                <w:vertAlign w:val="superscript"/>
              </w:rPr>
              <w:t>7</w:t>
            </w:r>
            <w:r w:rsidRPr="009A68F3">
              <w:rPr>
                <w:sz w:val="22"/>
              </w:rPr>
              <w:t xml:space="preserve"> Subsīdijas ekvivalentu saimnieciskās darbības veicējam vai </w:t>
            </w:r>
            <w:proofErr w:type="spellStart"/>
            <w:r w:rsidRPr="009A68F3">
              <w:rPr>
                <w:sz w:val="22"/>
              </w:rPr>
              <w:t>mikrouzņēmumam</w:t>
            </w:r>
            <w:proofErr w:type="spellEnd"/>
            <w:r w:rsidRPr="009A68F3">
              <w:rPr>
                <w:sz w:val="22"/>
              </w:rPr>
              <w:t xml:space="preserve"> aprēķina kā starpību starp procentu maksājumu summu, kura būtu jāmaksā, piemērojot atsauces likmi, kas aprēķināma saskaņā ar Eiropas Komisijas Latvijai apstiprināto atsauces likmi, ko nosaka atbilstoši Komisijas paziņojumam par atsauces likmes un diskonta likmes noteikšanas metodes pārskatīšanu (Eiropas </w:t>
            </w:r>
            <w:r w:rsidRPr="009A68F3">
              <w:rPr>
                <w:sz w:val="22"/>
              </w:rPr>
              <w:lastRenderedPageBreak/>
              <w:t xml:space="preserve">Savienības Oficiālais Vēstnesis, 2008. gada 19. janvāris, Nr. C 014), un saimnieciskās darbības veicēja faktiski samaksāto procentu maksājumu summu. </w:t>
            </w:r>
            <w:r w:rsidRPr="001D4F93">
              <w:rPr>
                <w:sz w:val="22"/>
              </w:rPr>
              <w:t xml:space="preserve">Ja saimnieciskās darbības veicējam vai </w:t>
            </w:r>
            <w:proofErr w:type="spellStart"/>
            <w:r w:rsidRPr="001D4F93">
              <w:rPr>
                <w:sz w:val="22"/>
              </w:rPr>
              <w:t>mikrouzņēmumam</w:t>
            </w:r>
            <w:proofErr w:type="spellEnd"/>
            <w:r w:rsidRPr="001D4F93">
              <w:rPr>
                <w:sz w:val="22"/>
              </w:rPr>
              <w:t xml:space="preserve"> saskaņā ar šo noteikumu 12.</w:t>
            </w:r>
            <w:r w:rsidRPr="001D4F93">
              <w:rPr>
                <w:sz w:val="22"/>
                <w:vertAlign w:val="superscript"/>
              </w:rPr>
              <w:t xml:space="preserve">1 </w:t>
            </w:r>
            <w:r w:rsidRPr="001D4F93">
              <w:rPr>
                <w:sz w:val="22"/>
              </w:rPr>
              <w:t>punktu tiek pagarināts aizdevuma termiņš,</w:t>
            </w:r>
            <w:r w:rsidRPr="009A68F3">
              <w:rPr>
                <w:b/>
                <w:bCs/>
                <w:sz w:val="22"/>
              </w:rPr>
              <w:t xml:space="preserve"> </w:t>
            </w:r>
            <w:r w:rsidR="001D4F93" w:rsidRPr="001D4F93">
              <w:rPr>
                <w:b/>
                <w:bCs/>
                <w:sz w:val="22"/>
              </w:rPr>
              <w:t xml:space="preserve">tad no jauna tiek izvērtēta un pārbaudīta atbilstība </w:t>
            </w:r>
            <w:proofErr w:type="spellStart"/>
            <w:r w:rsidR="001D4F93" w:rsidRPr="001D4F93">
              <w:rPr>
                <w:b/>
                <w:bCs/>
                <w:i/>
                <w:iCs/>
                <w:sz w:val="22"/>
              </w:rPr>
              <w:t>de</w:t>
            </w:r>
            <w:proofErr w:type="spellEnd"/>
            <w:r w:rsidR="001D4F93" w:rsidRPr="001D4F93">
              <w:rPr>
                <w:b/>
                <w:bCs/>
                <w:i/>
                <w:iCs/>
                <w:sz w:val="22"/>
              </w:rPr>
              <w:t xml:space="preserve"> </w:t>
            </w:r>
            <w:proofErr w:type="spellStart"/>
            <w:r w:rsidR="001D4F93" w:rsidRPr="001D4F93">
              <w:rPr>
                <w:b/>
                <w:bCs/>
                <w:i/>
                <w:iCs/>
                <w:sz w:val="22"/>
              </w:rPr>
              <w:t>minimis</w:t>
            </w:r>
            <w:proofErr w:type="spellEnd"/>
            <w:r w:rsidR="001D4F93" w:rsidRPr="001D4F93">
              <w:rPr>
                <w:b/>
                <w:bCs/>
                <w:sz w:val="22"/>
              </w:rPr>
              <w:t xml:space="preserve"> atbalsta nosacījumiem un tiek veikts subsīdijas ekvivalenta aprēķins</w:t>
            </w:r>
            <w:r w:rsidRPr="009A68F3">
              <w:rPr>
                <w:sz w:val="22"/>
              </w:rPr>
              <w:t>.</w:t>
            </w:r>
            <w:r>
              <w:rPr>
                <w:sz w:val="22"/>
              </w:rPr>
              <w:t>”</w:t>
            </w:r>
          </w:p>
          <w:p w14:paraId="6EDEE5C6" w14:textId="76EF9CB4" w:rsidR="009A68F3" w:rsidRPr="009A68F3" w:rsidRDefault="009A68F3" w:rsidP="0032636E">
            <w:pPr>
              <w:jc w:val="both"/>
              <w:rPr>
                <w:sz w:val="22"/>
              </w:rPr>
            </w:pPr>
          </w:p>
        </w:tc>
      </w:tr>
      <w:tr w:rsidR="00000607" w:rsidRPr="009A68F3" w14:paraId="60C592E4" w14:textId="77777777" w:rsidTr="00490BB2">
        <w:tc>
          <w:tcPr>
            <w:tcW w:w="675" w:type="dxa"/>
            <w:tcBorders>
              <w:top w:val="single" w:sz="6" w:space="0" w:color="000000"/>
              <w:left w:val="single" w:sz="6" w:space="0" w:color="000000"/>
              <w:bottom w:val="single" w:sz="6" w:space="0" w:color="000000"/>
              <w:right w:val="single" w:sz="6" w:space="0" w:color="000000"/>
            </w:tcBorders>
          </w:tcPr>
          <w:p w14:paraId="451EFF41" w14:textId="77777777" w:rsidR="00000607" w:rsidRPr="009A68F3" w:rsidRDefault="00000607" w:rsidP="0069584F">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513344CB" w14:textId="530B4CC7" w:rsidR="00000607" w:rsidRPr="009A68F3" w:rsidRDefault="002C36FB" w:rsidP="002B345C">
            <w:pPr>
              <w:pStyle w:val="naisc"/>
              <w:spacing w:before="0" w:after="0"/>
              <w:jc w:val="both"/>
              <w:rPr>
                <w:sz w:val="22"/>
                <w:szCs w:val="22"/>
              </w:rPr>
            </w:pPr>
            <w:r w:rsidRPr="009A68F3">
              <w:rPr>
                <w:b/>
                <w:sz w:val="22"/>
                <w:szCs w:val="22"/>
              </w:rPr>
              <w:t>Noteikumu projekts, anotācija</w:t>
            </w:r>
          </w:p>
        </w:tc>
        <w:tc>
          <w:tcPr>
            <w:tcW w:w="4820" w:type="dxa"/>
            <w:tcBorders>
              <w:top w:val="single" w:sz="6" w:space="0" w:color="000000"/>
              <w:left w:val="single" w:sz="6" w:space="0" w:color="000000"/>
              <w:bottom w:val="single" w:sz="6" w:space="0" w:color="000000"/>
              <w:right w:val="single" w:sz="6" w:space="0" w:color="000000"/>
            </w:tcBorders>
          </w:tcPr>
          <w:p w14:paraId="114A3D74" w14:textId="77777777" w:rsidR="0039482E" w:rsidRPr="009A68F3" w:rsidRDefault="0039482E" w:rsidP="0039482E">
            <w:pPr>
              <w:pStyle w:val="naisc"/>
              <w:spacing w:before="0" w:after="0"/>
              <w:jc w:val="both"/>
              <w:rPr>
                <w:b/>
                <w:sz w:val="22"/>
                <w:szCs w:val="22"/>
              </w:rPr>
            </w:pPr>
            <w:r w:rsidRPr="009A68F3">
              <w:rPr>
                <w:b/>
                <w:sz w:val="22"/>
                <w:szCs w:val="22"/>
              </w:rPr>
              <w:t>Finanšu ministrijas 15.04.2020. atzinums Nr.12/A-7/1940</w:t>
            </w:r>
          </w:p>
          <w:p w14:paraId="4C4FBEB1" w14:textId="76849B25" w:rsidR="002C36FB" w:rsidRPr="009A68F3" w:rsidRDefault="002C36FB" w:rsidP="002C36FB">
            <w:pPr>
              <w:jc w:val="both"/>
              <w:rPr>
                <w:rFonts w:eastAsia="Times New Roman"/>
                <w:sz w:val="22"/>
                <w:bdr w:val="none" w:sz="0" w:space="0" w:color="auto" w:frame="1"/>
                <w:lang w:eastAsia="lv-LV"/>
              </w:rPr>
            </w:pPr>
            <w:r w:rsidRPr="009A68F3">
              <w:rPr>
                <w:rFonts w:eastAsia="Times New Roman"/>
                <w:sz w:val="22"/>
                <w:bdr w:val="none" w:sz="0" w:space="0" w:color="auto" w:frame="1"/>
                <w:lang w:eastAsia="lv-LV"/>
              </w:rPr>
              <w:t xml:space="preserve">Lai nodrošinātu, ka šo noteikumu ietvaros piešķirtais </w:t>
            </w:r>
            <w:proofErr w:type="spellStart"/>
            <w:r w:rsidRPr="009A68F3">
              <w:rPr>
                <w:rFonts w:eastAsia="Times New Roman"/>
                <w:sz w:val="22"/>
                <w:bdr w:val="none" w:sz="0" w:space="0" w:color="auto" w:frame="1"/>
                <w:lang w:eastAsia="lv-LV"/>
              </w:rPr>
              <w:t>de</w:t>
            </w:r>
            <w:proofErr w:type="spellEnd"/>
            <w:r w:rsidRPr="009A68F3">
              <w:rPr>
                <w:rFonts w:eastAsia="Times New Roman"/>
                <w:sz w:val="22"/>
                <w:bdr w:val="none" w:sz="0" w:space="0" w:color="auto" w:frame="1"/>
                <w:lang w:eastAsia="lv-LV"/>
              </w:rPr>
              <w:t xml:space="preserve"> </w:t>
            </w:r>
            <w:proofErr w:type="spellStart"/>
            <w:r w:rsidRPr="009A68F3">
              <w:rPr>
                <w:rFonts w:eastAsia="Times New Roman"/>
                <w:sz w:val="22"/>
                <w:bdr w:val="none" w:sz="0" w:space="0" w:color="auto" w:frame="1"/>
                <w:lang w:eastAsia="lv-LV"/>
              </w:rPr>
              <w:t>minimis</w:t>
            </w:r>
            <w:proofErr w:type="spellEnd"/>
            <w:r w:rsidRPr="009A68F3">
              <w:rPr>
                <w:rFonts w:eastAsia="Times New Roman"/>
                <w:sz w:val="22"/>
                <w:bdr w:val="none" w:sz="0" w:space="0" w:color="auto" w:frame="1"/>
                <w:lang w:eastAsia="lv-LV"/>
              </w:rPr>
              <w:t xml:space="preserve"> atbalsts netiek apvienots ar atbalstu, kas atbilstoši Eiropas Komisijas 2020.gada 23.marta lēmumam lietā SA.56722 (turpmāk – EK lēmums lietā SA.56722) tiek sniegts saskaņā ar Ministru kabineta 2020.gada 19.marta noteikumiem Nr.149 “Noteikumi par apgrozāmo līdzekļu aizdevumiem saimnieciskās darbības veicējiem, kuru darbību ietekmējusi Covid-19 izplatība” un Ministru kabineta 2020.gada 19.marta noteikumiem Nr.150 “Noteikumi par garantijām saimnieciskās darbības veicējiem, kuru darbību ietekmējusi Covid-19 izplatība”, lūdzam papildināt noteikumu projektu ar normu, piemēram, šādā redakcijā:</w:t>
            </w:r>
          </w:p>
          <w:p w14:paraId="2A5363AB" w14:textId="77777777" w:rsidR="002C36FB" w:rsidRPr="009A68F3" w:rsidRDefault="002C36FB" w:rsidP="002C36FB">
            <w:pPr>
              <w:pStyle w:val="ListParagraph"/>
              <w:ind w:left="0" w:firstLine="426"/>
              <w:jc w:val="both"/>
              <w:rPr>
                <w:rFonts w:ascii="Times New Roman" w:eastAsia="Times New Roman" w:hAnsi="Times New Roman" w:cs="Times New Roman"/>
                <w:bdr w:val="none" w:sz="0" w:space="0" w:color="auto" w:frame="1"/>
                <w:lang w:eastAsia="lv-LV"/>
              </w:rPr>
            </w:pPr>
            <w:r w:rsidRPr="009A68F3">
              <w:rPr>
                <w:rFonts w:ascii="Times New Roman" w:eastAsia="Times New Roman" w:hAnsi="Times New Roman" w:cs="Times New Roman"/>
                <w:bdr w:val="none" w:sz="0" w:space="0" w:color="auto" w:frame="1"/>
                <w:lang w:eastAsia="lv-LV"/>
              </w:rPr>
              <w:t>“</w:t>
            </w:r>
            <w:bookmarkStart w:id="3" w:name="_Hlk37852769"/>
            <w:r w:rsidRPr="009A68F3">
              <w:rPr>
                <w:rFonts w:ascii="Times New Roman" w:eastAsia="Times New Roman" w:hAnsi="Times New Roman" w:cs="Times New Roman"/>
                <w:bdr w:val="none" w:sz="0" w:space="0" w:color="auto" w:frame="1"/>
                <w:lang w:eastAsia="lv-LV"/>
              </w:rPr>
              <w:t xml:space="preserve">Atbalstu šo noteikumu ietvaros nevar apvienot ar atbalstu, kuru atbilstoši Eiropas Komisijas </w:t>
            </w:r>
            <w:r w:rsidRPr="009A68F3">
              <w:rPr>
                <w:rFonts w:ascii="Times New Roman" w:eastAsia="Times New Roman" w:hAnsi="Times New Roman" w:cs="Times New Roman"/>
                <w:bdr w:val="none" w:sz="0" w:space="0" w:color="auto" w:frame="1"/>
                <w:lang w:eastAsia="lv-LV"/>
              </w:rPr>
              <w:lastRenderedPageBreak/>
              <w:t>pieņemtajam lēmumam sabiebrība "</w:t>
            </w:r>
            <w:proofErr w:type="spellStart"/>
            <w:r w:rsidRPr="009A68F3">
              <w:rPr>
                <w:rFonts w:ascii="Times New Roman" w:eastAsia="Times New Roman" w:hAnsi="Times New Roman" w:cs="Times New Roman"/>
                <w:bdr w:val="none" w:sz="0" w:space="0" w:color="auto" w:frame="1"/>
                <w:lang w:eastAsia="lv-LV"/>
              </w:rPr>
              <w:t>Altum</w:t>
            </w:r>
            <w:proofErr w:type="spellEnd"/>
            <w:r w:rsidRPr="009A68F3">
              <w:rPr>
                <w:rFonts w:ascii="Times New Roman" w:eastAsia="Times New Roman" w:hAnsi="Times New Roman" w:cs="Times New Roman"/>
                <w:bdr w:val="none" w:sz="0" w:space="0" w:color="auto" w:frame="1"/>
                <w:lang w:eastAsia="lv-LV"/>
              </w:rPr>
              <w:t>" sniedz saskaņā ar Ministru kabineta noteikto kārtību par apgrozāmo līdzekļu aizdevumiem saimnieciskās darbības veicējiem, kuru darbību ietekmējusi Covid-19 izplatība, un saskaņā ar Ministru kabineta noteikto kārtību par garantijām saimnieciskās darbības veicējiem, kuru darbību ietekmējusi Covid-19 izplatība</w:t>
            </w:r>
            <w:bookmarkEnd w:id="3"/>
            <w:r w:rsidRPr="009A68F3">
              <w:rPr>
                <w:rFonts w:ascii="Times New Roman" w:eastAsia="Times New Roman" w:hAnsi="Times New Roman" w:cs="Times New Roman"/>
                <w:bdr w:val="none" w:sz="0" w:space="0" w:color="auto" w:frame="1"/>
                <w:lang w:eastAsia="lv-LV"/>
              </w:rPr>
              <w:t>.”</w:t>
            </w:r>
          </w:p>
          <w:p w14:paraId="3BB62ADD" w14:textId="5C236904" w:rsidR="00000607" w:rsidRPr="009A68F3" w:rsidRDefault="002C36FB" w:rsidP="002C36FB">
            <w:pPr>
              <w:pStyle w:val="naisc"/>
              <w:spacing w:before="0" w:after="0"/>
              <w:jc w:val="both"/>
              <w:rPr>
                <w:sz w:val="22"/>
                <w:szCs w:val="22"/>
              </w:rPr>
            </w:pPr>
            <w:r w:rsidRPr="009A68F3">
              <w:rPr>
                <w:sz w:val="22"/>
                <w:szCs w:val="22"/>
                <w:bdr w:val="none" w:sz="0" w:space="0" w:color="auto" w:frame="1"/>
              </w:rPr>
              <w:t>Lūdzam ar attiecīgu skaidrojumu papildināt arī noteikumu projekta anotāciju, atsaucoties uz EK lēmumu lietā SA.56722.</w:t>
            </w:r>
          </w:p>
        </w:tc>
        <w:tc>
          <w:tcPr>
            <w:tcW w:w="3260" w:type="dxa"/>
            <w:gridSpan w:val="2"/>
            <w:tcBorders>
              <w:top w:val="single" w:sz="6" w:space="0" w:color="000000"/>
              <w:left w:val="single" w:sz="6" w:space="0" w:color="000000"/>
              <w:bottom w:val="single" w:sz="6" w:space="0" w:color="000000"/>
              <w:right w:val="single" w:sz="6" w:space="0" w:color="000000"/>
            </w:tcBorders>
          </w:tcPr>
          <w:p w14:paraId="4008CF53" w14:textId="77777777" w:rsidR="002C36FB" w:rsidRPr="009A68F3" w:rsidRDefault="002C36FB" w:rsidP="002C36FB">
            <w:pPr>
              <w:pStyle w:val="naisc"/>
              <w:spacing w:before="0" w:after="0"/>
              <w:rPr>
                <w:b/>
                <w:sz w:val="22"/>
                <w:szCs w:val="22"/>
              </w:rPr>
            </w:pPr>
            <w:r w:rsidRPr="009A68F3">
              <w:rPr>
                <w:b/>
                <w:sz w:val="22"/>
                <w:szCs w:val="22"/>
              </w:rPr>
              <w:lastRenderedPageBreak/>
              <w:t>Ņemts vērā</w:t>
            </w:r>
          </w:p>
          <w:p w14:paraId="02DFCC54" w14:textId="168306D0" w:rsidR="0006192A" w:rsidRPr="009A68F3" w:rsidRDefault="0006192A" w:rsidP="006C7AC7">
            <w:pPr>
              <w:pStyle w:val="naisc"/>
              <w:rPr>
                <w:sz w:val="22"/>
                <w:szCs w:val="22"/>
              </w:rPr>
            </w:pPr>
          </w:p>
        </w:tc>
        <w:tc>
          <w:tcPr>
            <w:tcW w:w="2977" w:type="dxa"/>
            <w:tcBorders>
              <w:top w:val="single" w:sz="4" w:space="0" w:color="auto"/>
              <w:left w:val="single" w:sz="4" w:space="0" w:color="auto"/>
              <w:bottom w:val="single" w:sz="4" w:space="0" w:color="auto"/>
            </w:tcBorders>
          </w:tcPr>
          <w:p w14:paraId="6C15B808" w14:textId="56BA4536" w:rsidR="002C36FB" w:rsidRPr="00C77A51" w:rsidRDefault="00C77A51" w:rsidP="00C77A51">
            <w:pPr>
              <w:spacing w:line="259" w:lineRule="auto"/>
              <w:jc w:val="both"/>
              <w:rPr>
                <w:b/>
                <w:bCs/>
                <w:sz w:val="22"/>
              </w:rPr>
            </w:pPr>
            <w:r w:rsidRPr="00C77A51">
              <w:rPr>
                <w:b/>
                <w:bCs/>
                <w:sz w:val="22"/>
              </w:rPr>
              <w:t>N</w:t>
            </w:r>
            <w:r w:rsidR="002C36FB" w:rsidRPr="00C77A51">
              <w:rPr>
                <w:b/>
                <w:bCs/>
                <w:sz w:val="22"/>
              </w:rPr>
              <w:t>oteikumu projekts papildināts ar 3. punktu</w:t>
            </w:r>
            <w:r w:rsidRPr="00C77A51">
              <w:rPr>
                <w:b/>
                <w:bCs/>
                <w:sz w:val="22"/>
              </w:rPr>
              <w:t xml:space="preserve"> šādā redakcijā:</w:t>
            </w:r>
          </w:p>
          <w:p w14:paraId="6BFC6C84" w14:textId="08D54F88" w:rsidR="00C77A51" w:rsidRPr="00C77A51" w:rsidRDefault="00C77A51" w:rsidP="00C77A51">
            <w:pPr>
              <w:spacing w:line="259" w:lineRule="auto"/>
              <w:jc w:val="both"/>
              <w:rPr>
                <w:sz w:val="22"/>
              </w:rPr>
            </w:pPr>
            <w:r>
              <w:rPr>
                <w:sz w:val="22"/>
              </w:rPr>
              <w:t>“</w:t>
            </w:r>
            <w:r w:rsidRPr="00C77A51">
              <w:rPr>
                <w:sz w:val="22"/>
              </w:rPr>
              <w:t>3.</w:t>
            </w:r>
            <w:r w:rsidRPr="00C77A51">
              <w:rPr>
                <w:sz w:val="22"/>
              </w:rPr>
              <w:tab/>
              <w:t>Papildināt noteikumus ar 19.</w:t>
            </w:r>
            <w:r w:rsidRPr="00C77A51">
              <w:rPr>
                <w:sz w:val="22"/>
                <w:vertAlign w:val="superscript"/>
              </w:rPr>
              <w:t>2</w:t>
            </w:r>
            <w:r w:rsidRPr="00C77A51">
              <w:rPr>
                <w:sz w:val="22"/>
              </w:rPr>
              <w:t xml:space="preserve"> punktu šādā redakcijā:</w:t>
            </w:r>
          </w:p>
          <w:p w14:paraId="42FE1C75" w14:textId="4DDBEB0E" w:rsidR="00C77A51" w:rsidRPr="009A68F3" w:rsidRDefault="00C77A51" w:rsidP="00C77A51">
            <w:pPr>
              <w:spacing w:line="259" w:lineRule="auto"/>
              <w:jc w:val="both"/>
              <w:rPr>
                <w:sz w:val="22"/>
              </w:rPr>
            </w:pPr>
            <w:r w:rsidRPr="00C77A51">
              <w:rPr>
                <w:sz w:val="22"/>
              </w:rPr>
              <w:t>"19.</w:t>
            </w:r>
            <w:r w:rsidRPr="00C77A51">
              <w:rPr>
                <w:sz w:val="22"/>
                <w:vertAlign w:val="superscript"/>
              </w:rPr>
              <w:t>2</w:t>
            </w:r>
            <w:r w:rsidRPr="00C77A51">
              <w:rPr>
                <w:sz w:val="22"/>
              </w:rPr>
              <w:t xml:space="preserve"> Atbalstu šo noteikumu ietvaros nevar apvienot ar atbalstu, kuru atbilstoši Eiropas Komisijas pieņemtajam lēmumam sabiebrība "</w:t>
            </w:r>
            <w:proofErr w:type="spellStart"/>
            <w:r w:rsidRPr="00C77A51">
              <w:rPr>
                <w:sz w:val="22"/>
              </w:rPr>
              <w:t>Altum</w:t>
            </w:r>
            <w:proofErr w:type="spellEnd"/>
            <w:r w:rsidRPr="00C77A51">
              <w:rPr>
                <w:sz w:val="22"/>
              </w:rPr>
              <w:t xml:space="preserve">" sniedz saskaņā ar Ministru kabineta noteikto kārtību par apgrozāmo līdzekļu aizdevumiem saimnieciskās darbības veicējiem, kuru darbību ietekmējusi Covid-19 </w:t>
            </w:r>
            <w:r w:rsidRPr="00C77A51">
              <w:rPr>
                <w:sz w:val="22"/>
              </w:rPr>
              <w:lastRenderedPageBreak/>
              <w:t>izplatība, un saskaņā ar Ministru kabineta noteikto kārtību par garantijām saimnieciskās darbības veicējiem, kuru darbību ietekmējusi Covid-19 izplatība."</w:t>
            </w:r>
            <w:r>
              <w:rPr>
                <w:sz w:val="22"/>
              </w:rPr>
              <w:t>”</w:t>
            </w:r>
          </w:p>
          <w:p w14:paraId="5CA36CE4" w14:textId="77777777" w:rsidR="00000607" w:rsidRDefault="00000607" w:rsidP="00104F07">
            <w:pPr>
              <w:jc w:val="both"/>
              <w:rPr>
                <w:sz w:val="22"/>
              </w:rPr>
            </w:pPr>
          </w:p>
          <w:p w14:paraId="5EAE537C" w14:textId="62571C1F" w:rsidR="00C77A51" w:rsidRPr="00C77A51" w:rsidRDefault="00C77A51" w:rsidP="00104F07">
            <w:pPr>
              <w:jc w:val="both"/>
              <w:rPr>
                <w:b/>
                <w:bCs/>
                <w:sz w:val="22"/>
              </w:rPr>
            </w:pPr>
            <w:r w:rsidRPr="00C77A51">
              <w:rPr>
                <w:b/>
                <w:bCs/>
                <w:sz w:val="22"/>
              </w:rPr>
              <w:t>Atbilstoši precizēta arī anotācija</w:t>
            </w:r>
          </w:p>
        </w:tc>
      </w:tr>
      <w:tr w:rsidR="00611538" w:rsidRPr="009A68F3" w14:paraId="01C9FB05" w14:textId="77777777" w:rsidTr="00490BB2">
        <w:tc>
          <w:tcPr>
            <w:tcW w:w="14451" w:type="dxa"/>
            <w:gridSpan w:val="7"/>
            <w:tcBorders>
              <w:top w:val="single" w:sz="6" w:space="0" w:color="000000"/>
              <w:left w:val="single" w:sz="6" w:space="0" w:color="000000"/>
              <w:bottom w:val="single" w:sz="6" w:space="0" w:color="000000"/>
            </w:tcBorders>
          </w:tcPr>
          <w:p w14:paraId="3EB35B7F" w14:textId="01A777D6" w:rsidR="007034A8" w:rsidRPr="009A68F3" w:rsidRDefault="00611538" w:rsidP="000E7FE3">
            <w:pPr>
              <w:jc w:val="center"/>
              <w:rPr>
                <w:b/>
                <w:sz w:val="22"/>
              </w:rPr>
            </w:pPr>
            <w:r w:rsidRPr="009A68F3">
              <w:rPr>
                <w:b/>
                <w:sz w:val="22"/>
              </w:rPr>
              <w:lastRenderedPageBreak/>
              <w:t>Priekšlikumi</w:t>
            </w:r>
          </w:p>
        </w:tc>
      </w:tr>
      <w:tr w:rsidR="00611538" w:rsidRPr="009A68F3" w14:paraId="13FAE5DF" w14:textId="77777777" w:rsidTr="00490BB2">
        <w:tc>
          <w:tcPr>
            <w:tcW w:w="675" w:type="dxa"/>
            <w:tcBorders>
              <w:top w:val="single" w:sz="6" w:space="0" w:color="000000"/>
              <w:left w:val="single" w:sz="6" w:space="0" w:color="000000"/>
              <w:bottom w:val="single" w:sz="6" w:space="0" w:color="000000"/>
              <w:right w:val="single" w:sz="6" w:space="0" w:color="000000"/>
            </w:tcBorders>
          </w:tcPr>
          <w:p w14:paraId="3CAFA72A" w14:textId="77777777" w:rsidR="00611538" w:rsidRPr="009A68F3" w:rsidRDefault="00611538" w:rsidP="00611538">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39ACC084" w14:textId="49EC919B" w:rsidR="00611538" w:rsidRPr="009A68F3" w:rsidRDefault="002C36FB" w:rsidP="00611538">
            <w:pPr>
              <w:pStyle w:val="naisc"/>
              <w:jc w:val="both"/>
              <w:rPr>
                <w:sz w:val="22"/>
                <w:szCs w:val="22"/>
              </w:rPr>
            </w:pPr>
            <w:r w:rsidRPr="009A68F3">
              <w:rPr>
                <w:b/>
                <w:sz w:val="22"/>
                <w:szCs w:val="22"/>
              </w:rPr>
              <w:t>Noteikumu projekts</w:t>
            </w:r>
          </w:p>
        </w:tc>
        <w:tc>
          <w:tcPr>
            <w:tcW w:w="4820" w:type="dxa"/>
            <w:tcBorders>
              <w:top w:val="single" w:sz="6" w:space="0" w:color="000000"/>
              <w:left w:val="single" w:sz="6" w:space="0" w:color="000000"/>
              <w:bottom w:val="single" w:sz="6" w:space="0" w:color="000000"/>
              <w:right w:val="single" w:sz="6" w:space="0" w:color="000000"/>
            </w:tcBorders>
          </w:tcPr>
          <w:p w14:paraId="682447AE" w14:textId="77777777" w:rsidR="0039482E" w:rsidRPr="009A68F3" w:rsidRDefault="0039482E" w:rsidP="0039482E">
            <w:pPr>
              <w:pStyle w:val="naisc"/>
              <w:spacing w:before="0" w:after="0"/>
              <w:jc w:val="both"/>
              <w:rPr>
                <w:b/>
                <w:sz w:val="22"/>
                <w:szCs w:val="22"/>
              </w:rPr>
            </w:pPr>
            <w:r w:rsidRPr="009A68F3">
              <w:rPr>
                <w:b/>
                <w:sz w:val="22"/>
                <w:szCs w:val="22"/>
              </w:rPr>
              <w:t>Finanšu ministrijas 15.04.2020. atzinums Nr.12/A-7/1940</w:t>
            </w:r>
          </w:p>
          <w:p w14:paraId="3A2BA659" w14:textId="502E7485" w:rsidR="000F5A3C" w:rsidRPr="009A68F3" w:rsidRDefault="002C36FB" w:rsidP="00611538">
            <w:pPr>
              <w:contextualSpacing/>
              <w:jc w:val="both"/>
              <w:rPr>
                <w:sz w:val="22"/>
              </w:rPr>
            </w:pPr>
            <w:r w:rsidRPr="009A68F3">
              <w:rPr>
                <w:rFonts w:eastAsiaTheme="minorHAnsi"/>
                <w:color w:val="000000" w:themeColor="text1"/>
                <w:sz w:val="22"/>
              </w:rPr>
              <w:t>Ņemot vērā, ka noteikumu projekts  izstrādāts saistībā ar Covid-19 negatīvo ietekmi uz uzņēmumu saimniecisko darbību un maksātspēju, lūdzam precizēt noteikumu projektu, nosakot 12.</w:t>
            </w:r>
            <w:r w:rsidRPr="009A68F3">
              <w:rPr>
                <w:rFonts w:eastAsiaTheme="minorHAnsi"/>
                <w:color w:val="000000" w:themeColor="text1"/>
                <w:sz w:val="22"/>
                <w:vertAlign w:val="superscript"/>
              </w:rPr>
              <w:t>1</w:t>
            </w:r>
            <w:r w:rsidRPr="009A68F3">
              <w:rPr>
                <w:rFonts w:eastAsiaTheme="minorHAnsi"/>
                <w:color w:val="000000" w:themeColor="text1"/>
                <w:sz w:val="22"/>
              </w:rPr>
              <w:t xml:space="preserve"> punkta darbības termiņu.</w:t>
            </w:r>
          </w:p>
        </w:tc>
        <w:tc>
          <w:tcPr>
            <w:tcW w:w="3260" w:type="dxa"/>
            <w:gridSpan w:val="2"/>
            <w:tcBorders>
              <w:top w:val="single" w:sz="6" w:space="0" w:color="000000"/>
              <w:left w:val="single" w:sz="6" w:space="0" w:color="000000"/>
              <w:bottom w:val="single" w:sz="6" w:space="0" w:color="000000"/>
              <w:right w:val="single" w:sz="6" w:space="0" w:color="000000"/>
            </w:tcBorders>
          </w:tcPr>
          <w:p w14:paraId="14F4E1E5" w14:textId="47EBEA47" w:rsidR="00611538" w:rsidRPr="00C77A51" w:rsidRDefault="00C77A51" w:rsidP="00C77A51">
            <w:pPr>
              <w:spacing w:after="120"/>
              <w:jc w:val="center"/>
              <w:rPr>
                <w:b/>
                <w:bCs/>
                <w:sz w:val="22"/>
              </w:rPr>
            </w:pPr>
            <w:r w:rsidRPr="00C77A51">
              <w:rPr>
                <w:b/>
                <w:bCs/>
                <w:sz w:val="22"/>
              </w:rPr>
              <w:t>Ņemts vērā</w:t>
            </w:r>
          </w:p>
        </w:tc>
        <w:tc>
          <w:tcPr>
            <w:tcW w:w="2977" w:type="dxa"/>
            <w:tcBorders>
              <w:top w:val="single" w:sz="4" w:space="0" w:color="auto"/>
              <w:left w:val="single" w:sz="4" w:space="0" w:color="auto"/>
              <w:bottom w:val="single" w:sz="4" w:space="0" w:color="auto"/>
            </w:tcBorders>
          </w:tcPr>
          <w:p w14:paraId="22455345" w14:textId="77777777" w:rsidR="00611538" w:rsidRPr="00C77A51" w:rsidRDefault="00C77A51" w:rsidP="00611538">
            <w:pPr>
              <w:rPr>
                <w:b/>
                <w:bCs/>
                <w:sz w:val="22"/>
              </w:rPr>
            </w:pPr>
            <w:r w:rsidRPr="00C77A51">
              <w:rPr>
                <w:b/>
                <w:bCs/>
                <w:sz w:val="22"/>
              </w:rPr>
              <w:t>Noteikumu projekts papildināts ar 5.punktu šādā redakcijā:</w:t>
            </w:r>
          </w:p>
          <w:p w14:paraId="7140329D" w14:textId="02853999" w:rsidR="00C77A51" w:rsidRPr="00C77A51" w:rsidRDefault="00C77A51" w:rsidP="00C77A51">
            <w:pPr>
              <w:rPr>
                <w:sz w:val="22"/>
              </w:rPr>
            </w:pPr>
            <w:r>
              <w:rPr>
                <w:sz w:val="22"/>
              </w:rPr>
              <w:t>“</w:t>
            </w:r>
            <w:r w:rsidRPr="00C77A51">
              <w:rPr>
                <w:sz w:val="22"/>
              </w:rPr>
              <w:t>5.</w:t>
            </w:r>
            <w:r w:rsidRPr="00C77A51">
              <w:rPr>
                <w:sz w:val="22"/>
              </w:rPr>
              <w:tab/>
              <w:t>Papildināt noteikumus ar 26. punktu šādā redakcijā:</w:t>
            </w:r>
          </w:p>
          <w:p w14:paraId="118AC6D7" w14:textId="46E2B6A2" w:rsidR="00C77A51" w:rsidRPr="009A68F3" w:rsidRDefault="00C77A51" w:rsidP="00C77A51">
            <w:pPr>
              <w:rPr>
                <w:sz w:val="22"/>
              </w:rPr>
            </w:pPr>
            <w:r w:rsidRPr="00C77A51">
              <w:rPr>
                <w:sz w:val="22"/>
              </w:rPr>
              <w:t>"26. Šo noteikumu 12.</w:t>
            </w:r>
            <w:r w:rsidRPr="00C77A51">
              <w:rPr>
                <w:sz w:val="22"/>
                <w:vertAlign w:val="superscript"/>
              </w:rPr>
              <w:t>1</w:t>
            </w:r>
            <w:r w:rsidRPr="00C77A51">
              <w:rPr>
                <w:sz w:val="22"/>
              </w:rPr>
              <w:t xml:space="preserve"> punkts ir piemērojams līdz 2020. gada 31. decembrim."</w:t>
            </w:r>
            <w:r>
              <w:rPr>
                <w:sz w:val="22"/>
              </w:rPr>
              <w:t>”</w:t>
            </w:r>
          </w:p>
        </w:tc>
      </w:tr>
      <w:tr w:rsidR="0083109B" w:rsidRPr="009A68F3" w14:paraId="0FC10866" w14:textId="77777777" w:rsidTr="00490BB2">
        <w:tc>
          <w:tcPr>
            <w:tcW w:w="675" w:type="dxa"/>
            <w:tcBorders>
              <w:top w:val="single" w:sz="6" w:space="0" w:color="000000"/>
              <w:left w:val="single" w:sz="6" w:space="0" w:color="000000"/>
              <w:bottom w:val="single" w:sz="6" w:space="0" w:color="000000"/>
              <w:right w:val="single" w:sz="6" w:space="0" w:color="000000"/>
            </w:tcBorders>
          </w:tcPr>
          <w:p w14:paraId="1B516598" w14:textId="77777777" w:rsidR="0083109B" w:rsidRPr="009A68F3" w:rsidRDefault="0083109B" w:rsidP="0083109B">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4" w:space="0" w:color="auto"/>
              <w:right w:val="single" w:sz="6" w:space="0" w:color="000000"/>
            </w:tcBorders>
          </w:tcPr>
          <w:p w14:paraId="1CB339EF" w14:textId="7C617E99" w:rsidR="0083109B" w:rsidRPr="009A68F3" w:rsidRDefault="008C45B5" w:rsidP="0083109B">
            <w:pPr>
              <w:pStyle w:val="naisc"/>
              <w:jc w:val="both"/>
              <w:rPr>
                <w:sz w:val="22"/>
                <w:szCs w:val="22"/>
              </w:rPr>
            </w:pPr>
            <w:r w:rsidRPr="009A68F3">
              <w:rPr>
                <w:b/>
                <w:sz w:val="22"/>
                <w:szCs w:val="22"/>
              </w:rPr>
              <w:t>Vispārīgs priekšlikums</w:t>
            </w:r>
          </w:p>
        </w:tc>
        <w:tc>
          <w:tcPr>
            <w:tcW w:w="4820" w:type="dxa"/>
            <w:tcBorders>
              <w:top w:val="single" w:sz="6" w:space="0" w:color="000000"/>
              <w:left w:val="single" w:sz="6" w:space="0" w:color="000000"/>
              <w:bottom w:val="single" w:sz="6" w:space="0" w:color="000000"/>
              <w:right w:val="single" w:sz="6" w:space="0" w:color="000000"/>
            </w:tcBorders>
          </w:tcPr>
          <w:p w14:paraId="52DED56C" w14:textId="77777777" w:rsidR="0039482E" w:rsidRPr="009A68F3" w:rsidRDefault="0039482E" w:rsidP="0039482E">
            <w:pPr>
              <w:pStyle w:val="naisc"/>
              <w:spacing w:before="0" w:after="0"/>
              <w:jc w:val="both"/>
              <w:rPr>
                <w:b/>
                <w:sz w:val="22"/>
                <w:szCs w:val="22"/>
              </w:rPr>
            </w:pPr>
            <w:r w:rsidRPr="009A68F3">
              <w:rPr>
                <w:b/>
                <w:sz w:val="22"/>
                <w:szCs w:val="22"/>
              </w:rPr>
              <w:t>Finanšu ministrijas 15.04.2020. atzinums Nr.12/A-7/1940</w:t>
            </w:r>
          </w:p>
          <w:p w14:paraId="2E29AC9B" w14:textId="58023B58" w:rsidR="000F5A3C" w:rsidRPr="009A68F3" w:rsidRDefault="008C45B5" w:rsidP="0083109B">
            <w:pPr>
              <w:pStyle w:val="naisc"/>
              <w:jc w:val="both"/>
              <w:rPr>
                <w:sz w:val="22"/>
                <w:szCs w:val="22"/>
              </w:rPr>
            </w:pPr>
            <w:r w:rsidRPr="009A68F3">
              <w:rPr>
                <w:color w:val="000000" w:themeColor="text1"/>
                <w:sz w:val="22"/>
                <w:szCs w:val="22"/>
              </w:rPr>
              <w:t xml:space="preserve">Ņemot vērā, ka Ministru kabineta 2011.gada 6.septembra noteikumos Nr.698 "Noteikumi par </w:t>
            </w:r>
            <w:proofErr w:type="spellStart"/>
            <w:r w:rsidRPr="009A68F3">
              <w:rPr>
                <w:color w:val="000000" w:themeColor="text1"/>
                <w:sz w:val="22"/>
                <w:szCs w:val="22"/>
              </w:rPr>
              <w:t>mikroaizdevumiem</w:t>
            </w:r>
            <w:proofErr w:type="spellEnd"/>
            <w:r w:rsidRPr="009A68F3">
              <w:rPr>
                <w:color w:val="000000" w:themeColor="text1"/>
                <w:sz w:val="22"/>
                <w:szCs w:val="22"/>
              </w:rPr>
              <w:t xml:space="preserve"> un </w:t>
            </w:r>
            <w:proofErr w:type="spellStart"/>
            <w:r w:rsidRPr="009A68F3">
              <w:rPr>
                <w:color w:val="000000" w:themeColor="text1"/>
                <w:sz w:val="22"/>
                <w:szCs w:val="22"/>
              </w:rPr>
              <w:t>grantiem</w:t>
            </w:r>
            <w:proofErr w:type="spellEnd"/>
            <w:r w:rsidRPr="009A68F3">
              <w:rPr>
                <w:color w:val="000000" w:themeColor="text1"/>
                <w:sz w:val="22"/>
                <w:szCs w:val="22"/>
              </w:rPr>
              <w:t xml:space="preserve"> Latvijas un Šveices sadarbības programmas individuālā projekta "</w:t>
            </w:r>
            <w:proofErr w:type="spellStart"/>
            <w:r w:rsidRPr="009A68F3">
              <w:rPr>
                <w:color w:val="000000" w:themeColor="text1"/>
                <w:sz w:val="22"/>
                <w:szCs w:val="22"/>
              </w:rPr>
              <w:t>Mikrokreditēšanas</w:t>
            </w:r>
            <w:proofErr w:type="spellEnd"/>
            <w:r w:rsidRPr="009A68F3">
              <w:rPr>
                <w:color w:val="000000" w:themeColor="text1"/>
                <w:sz w:val="22"/>
                <w:szCs w:val="22"/>
              </w:rPr>
              <w:t xml:space="preserve"> programma" ietvaros" ietvaros atbalstu aizdevumu veidā piešķir </w:t>
            </w:r>
            <w:r w:rsidRPr="009A68F3">
              <w:rPr>
                <w:color w:val="000000" w:themeColor="text1"/>
                <w:sz w:val="22"/>
                <w:szCs w:val="22"/>
                <w:shd w:val="clear" w:color="auto" w:fill="FFFFFF"/>
              </w:rPr>
              <w:t xml:space="preserve">saskaņā ar Komisijas 2013.gada 18.decembra Regulu (ES) Nr.1408/2013 par Līguma par Eiropas Savienības darbību 107. un 108.panta piemērošanu </w:t>
            </w:r>
            <w:proofErr w:type="spellStart"/>
            <w:r w:rsidRPr="009A68F3">
              <w:rPr>
                <w:i/>
                <w:iCs/>
                <w:color w:val="000000" w:themeColor="text1"/>
                <w:sz w:val="22"/>
                <w:szCs w:val="22"/>
                <w:shd w:val="clear" w:color="auto" w:fill="FFFFFF"/>
              </w:rPr>
              <w:t>de</w:t>
            </w:r>
            <w:proofErr w:type="spellEnd"/>
            <w:r w:rsidRPr="009A68F3">
              <w:rPr>
                <w:i/>
                <w:iCs/>
                <w:color w:val="000000" w:themeColor="text1"/>
                <w:sz w:val="22"/>
                <w:szCs w:val="22"/>
                <w:shd w:val="clear" w:color="auto" w:fill="FFFFFF"/>
              </w:rPr>
              <w:t xml:space="preserve"> </w:t>
            </w:r>
            <w:proofErr w:type="spellStart"/>
            <w:r w:rsidRPr="009A68F3">
              <w:rPr>
                <w:i/>
                <w:iCs/>
                <w:color w:val="000000" w:themeColor="text1"/>
                <w:sz w:val="22"/>
                <w:szCs w:val="22"/>
                <w:shd w:val="clear" w:color="auto" w:fill="FFFFFF"/>
              </w:rPr>
              <w:t>minimis</w:t>
            </w:r>
            <w:proofErr w:type="spellEnd"/>
            <w:r w:rsidRPr="009A68F3">
              <w:rPr>
                <w:color w:val="000000" w:themeColor="text1"/>
                <w:sz w:val="22"/>
                <w:szCs w:val="22"/>
                <w:shd w:val="clear" w:color="auto" w:fill="FFFFFF"/>
              </w:rPr>
              <w:t xml:space="preserve"> atbalstam lauksaimniecības nozarē (Eiropas Savienības Oficiālais Vēstnesis, 2013.gada 24.decembris, Nr. L 352), kuras piemērošana ir </w:t>
            </w:r>
            <w:r w:rsidRPr="009A68F3">
              <w:rPr>
                <w:color w:val="000000" w:themeColor="text1"/>
                <w:sz w:val="22"/>
                <w:szCs w:val="22"/>
                <w:shd w:val="clear" w:color="auto" w:fill="FFFFFF"/>
              </w:rPr>
              <w:lastRenderedPageBreak/>
              <w:t xml:space="preserve">Zemkopības ministrijas kompetencē, lūdzam šos noteikumus saskaņot arī ar Zemkopības ministriju, jo nepieciešams iekļaut aktuālās valsts atbalsta normas, tai skaitā </w:t>
            </w:r>
            <w:r w:rsidRPr="009A68F3">
              <w:rPr>
                <w:color w:val="000000" w:themeColor="text1"/>
                <w:sz w:val="22"/>
                <w:szCs w:val="22"/>
              </w:rPr>
              <w:t xml:space="preserve">jāprecizē punkti par </w:t>
            </w:r>
            <w:proofErr w:type="spellStart"/>
            <w:r w:rsidRPr="009A68F3">
              <w:rPr>
                <w:i/>
                <w:iCs/>
                <w:color w:val="000000" w:themeColor="text1"/>
                <w:sz w:val="22"/>
                <w:szCs w:val="22"/>
              </w:rPr>
              <w:t>de</w:t>
            </w:r>
            <w:proofErr w:type="spellEnd"/>
            <w:r w:rsidRPr="009A68F3">
              <w:rPr>
                <w:i/>
                <w:iCs/>
                <w:color w:val="000000" w:themeColor="text1"/>
                <w:sz w:val="22"/>
                <w:szCs w:val="22"/>
              </w:rPr>
              <w:t xml:space="preserve"> </w:t>
            </w:r>
            <w:proofErr w:type="spellStart"/>
            <w:r w:rsidRPr="009A68F3">
              <w:rPr>
                <w:i/>
                <w:iCs/>
                <w:color w:val="000000" w:themeColor="text1"/>
                <w:sz w:val="22"/>
                <w:szCs w:val="22"/>
              </w:rPr>
              <w:t>minimis</w:t>
            </w:r>
            <w:proofErr w:type="spellEnd"/>
            <w:r w:rsidRPr="009A68F3">
              <w:rPr>
                <w:color w:val="000000" w:themeColor="text1"/>
                <w:sz w:val="22"/>
                <w:szCs w:val="22"/>
              </w:rPr>
              <w:t xml:space="preserve"> atbalsta uzskaites kārtību, jo šobrīd tā ir vienota kārtība visām nozarēm.</w:t>
            </w:r>
          </w:p>
        </w:tc>
        <w:tc>
          <w:tcPr>
            <w:tcW w:w="3260" w:type="dxa"/>
            <w:gridSpan w:val="2"/>
            <w:tcBorders>
              <w:top w:val="single" w:sz="6" w:space="0" w:color="000000"/>
              <w:left w:val="single" w:sz="6" w:space="0" w:color="000000"/>
              <w:bottom w:val="single" w:sz="6" w:space="0" w:color="000000"/>
              <w:right w:val="single" w:sz="6" w:space="0" w:color="000000"/>
            </w:tcBorders>
          </w:tcPr>
          <w:p w14:paraId="0B0BAC70" w14:textId="77777777" w:rsidR="008C45B5" w:rsidRPr="009A68F3" w:rsidRDefault="008C45B5" w:rsidP="008C45B5">
            <w:pPr>
              <w:pStyle w:val="naisc"/>
              <w:spacing w:before="0" w:after="0"/>
              <w:rPr>
                <w:b/>
                <w:sz w:val="22"/>
                <w:szCs w:val="22"/>
              </w:rPr>
            </w:pPr>
            <w:r w:rsidRPr="009A68F3">
              <w:rPr>
                <w:b/>
                <w:sz w:val="22"/>
                <w:szCs w:val="22"/>
              </w:rPr>
              <w:lastRenderedPageBreak/>
              <w:t>Ņemts vērā</w:t>
            </w:r>
          </w:p>
          <w:p w14:paraId="2433C905" w14:textId="05C58425" w:rsidR="0083109B" w:rsidRPr="009A68F3" w:rsidRDefault="0083109B" w:rsidP="0083109B">
            <w:pPr>
              <w:pStyle w:val="naisc"/>
              <w:spacing w:before="0" w:after="0"/>
              <w:jc w:val="both"/>
              <w:rPr>
                <w:sz w:val="22"/>
                <w:szCs w:val="22"/>
              </w:rPr>
            </w:pPr>
          </w:p>
        </w:tc>
        <w:tc>
          <w:tcPr>
            <w:tcW w:w="2977" w:type="dxa"/>
            <w:tcBorders>
              <w:top w:val="single" w:sz="4" w:space="0" w:color="auto"/>
              <w:left w:val="single" w:sz="4" w:space="0" w:color="auto"/>
              <w:bottom w:val="single" w:sz="4" w:space="0" w:color="auto"/>
            </w:tcBorders>
          </w:tcPr>
          <w:p w14:paraId="71B389F9" w14:textId="336E06BA" w:rsidR="00347A39" w:rsidRPr="009A68F3" w:rsidRDefault="008C45B5" w:rsidP="0083109B">
            <w:pPr>
              <w:jc w:val="both"/>
              <w:rPr>
                <w:sz w:val="22"/>
              </w:rPr>
            </w:pPr>
            <w:r w:rsidRPr="009A68F3">
              <w:rPr>
                <w:sz w:val="22"/>
              </w:rPr>
              <w:t xml:space="preserve">15.04.2020. Noteikumu projekts </w:t>
            </w:r>
            <w:r w:rsidR="00BB1025" w:rsidRPr="009A68F3">
              <w:rPr>
                <w:sz w:val="22"/>
              </w:rPr>
              <w:t xml:space="preserve">saskaņots ar </w:t>
            </w:r>
            <w:r w:rsidRPr="009A68F3">
              <w:rPr>
                <w:sz w:val="22"/>
              </w:rPr>
              <w:t>Zemkopības ministriju.</w:t>
            </w:r>
          </w:p>
        </w:tc>
      </w:tr>
      <w:tr w:rsidR="00C42E47" w:rsidRPr="009A68F3" w14:paraId="6F48DA15" w14:textId="77777777" w:rsidTr="00490BB2">
        <w:tc>
          <w:tcPr>
            <w:tcW w:w="675" w:type="dxa"/>
            <w:tcBorders>
              <w:top w:val="single" w:sz="6" w:space="0" w:color="000000"/>
              <w:left w:val="single" w:sz="6" w:space="0" w:color="000000"/>
              <w:bottom w:val="single" w:sz="6" w:space="0" w:color="000000"/>
              <w:right w:val="single" w:sz="6" w:space="0" w:color="000000"/>
            </w:tcBorders>
          </w:tcPr>
          <w:p w14:paraId="07347CD4" w14:textId="77777777" w:rsidR="00C42E47" w:rsidRPr="009A68F3" w:rsidRDefault="00C42E47" w:rsidP="00C42E47">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4" w:space="0" w:color="auto"/>
              <w:right w:val="single" w:sz="6" w:space="0" w:color="000000"/>
            </w:tcBorders>
          </w:tcPr>
          <w:p w14:paraId="03A57942" w14:textId="561C173E" w:rsidR="00C42E47" w:rsidRPr="009A68F3" w:rsidRDefault="00C42E47" w:rsidP="00C42E47">
            <w:pPr>
              <w:pStyle w:val="naisc"/>
              <w:jc w:val="both"/>
              <w:rPr>
                <w:b/>
                <w:sz w:val="22"/>
                <w:szCs w:val="22"/>
              </w:rPr>
            </w:pPr>
            <w:r w:rsidRPr="004B2EE3">
              <w:rPr>
                <w:b/>
                <w:sz w:val="22"/>
                <w:szCs w:val="22"/>
              </w:rPr>
              <w:t>Noteikumu projekts</w:t>
            </w:r>
          </w:p>
        </w:tc>
        <w:tc>
          <w:tcPr>
            <w:tcW w:w="4820" w:type="dxa"/>
            <w:tcBorders>
              <w:top w:val="single" w:sz="6" w:space="0" w:color="000000"/>
              <w:left w:val="single" w:sz="6" w:space="0" w:color="000000"/>
              <w:bottom w:val="single" w:sz="6" w:space="0" w:color="000000"/>
              <w:right w:val="single" w:sz="6" w:space="0" w:color="000000"/>
            </w:tcBorders>
          </w:tcPr>
          <w:p w14:paraId="0EB499E4" w14:textId="77777777" w:rsidR="00C42E47" w:rsidRDefault="00C42E47" w:rsidP="00C42E47">
            <w:pPr>
              <w:pStyle w:val="naisc"/>
              <w:spacing w:before="0" w:after="0"/>
              <w:jc w:val="both"/>
              <w:rPr>
                <w:b/>
                <w:sz w:val="22"/>
                <w:szCs w:val="22"/>
              </w:rPr>
            </w:pPr>
            <w:r>
              <w:rPr>
                <w:b/>
                <w:sz w:val="22"/>
                <w:szCs w:val="22"/>
              </w:rPr>
              <w:t>Tieslietu ministrijas 17.04.2020. atzinums Nr.</w:t>
            </w:r>
            <w:r w:rsidRPr="00C82EB0">
              <w:rPr>
                <w:b/>
                <w:sz w:val="22"/>
                <w:szCs w:val="22"/>
              </w:rPr>
              <w:t>1-9.1/389</w:t>
            </w:r>
          </w:p>
          <w:p w14:paraId="7E297AD7" w14:textId="418076AD" w:rsidR="00C42E47" w:rsidRPr="009A68F3" w:rsidRDefault="00C42E47" w:rsidP="00C42E47">
            <w:pPr>
              <w:pStyle w:val="naisc"/>
              <w:spacing w:before="0" w:after="0"/>
              <w:jc w:val="both"/>
              <w:rPr>
                <w:b/>
                <w:sz w:val="22"/>
                <w:szCs w:val="22"/>
              </w:rPr>
            </w:pPr>
            <w:bookmarkStart w:id="4" w:name="_Hlk38023036"/>
            <w:r w:rsidRPr="0072484C">
              <w:t>Lūdzam visos četros minētajos projektos norādīt nosacījumu, kad iespējams pagarināt aizdevuma termiņu. Proti, lūdzam norādīt, ka termiņa pagarinājums saistīts ar 2020. gada Covid-19 pandēmiju, jo pēc situācijas stabilizēšanās minētās normas varētu izmantot nelabticīgi</w:t>
            </w:r>
            <w:bookmarkEnd w:id="4"/>
            <w:r>
              <w:t>.</w:t>
            </w:r>
          </w:p>
        </w:tc>
        <w:tc>
          <w:tcPr>
            <w:tcW w:w="3260" w:type="dxa"/>
            <w:gridSpan w:val="2"/>
            <w:tcBorders>
              <w:top w:val="single" w:sz="6" w:space="0" w:color="000000"/>
              <w:left w:val="single" w:sz="6" w:space="0" w:color="000000"/>
              <w:bottom w:val="single" w:sz="6" w:space="0" w:color="000000"/>
              <w:right w:val="single" w:sz="6" w:space="0" w:color="000000"/>
            </w:tcBorders>
          </w:tcPr>
          <w:p w14:paraId="185A8E35" w14:textId="7855A32F" w:rsidR="00C42E47" w:rsidRPr="009A68F3" w:rsidRDefault="00C42E47" w:rsidP="00C42E47">
            <w:pPr>
              <w:pStyle w:val="naisc"/>
              <w:spacing w:before="0" w:after="0"/>
              <w:rPr>
                <w:b/>
                <w:sz w:val="22"/>
                <w:szCs w:val="22"/>
              </w:rPr>
            </w:pPr>
            <w:r w:rsidRPr="004B2EE3">
              <w:rPr>
                <w:b/>
                <w:bCs/>
                <w:sz w:val="22"/>
              </w:rPr>
              <w:t>Ņemts vērā</w:t>
            </w:r>
          </w:p>
        </w:tc>
        <w:tc>
          <w:tcPr>
            <w:tcW w:w="2977" w:type="dxa"/>
            <w:tcBorders>
              <w:top w:val="single" w:sz="4" w:space="0" w:color="auto"/>
              <w:left w:val="single" w:sz="4" w:space="0" w:color="auto"/>
              <w:bottom w:val="single" w:sz="4" w:space="0" w:color="auto"/>
            </w:tcBorders>
          </w:tcPr>
          <w:p w14:paraId="08624833" w14:textId="77777777" w:rsidR="00C42E47" w:rsidRPr="00C82EB0" w:rsidRDefault="00C42E47" w:rsidP="00C42E47">
            <w:pPr>
              <w:jc w:val="both"/>
              <w:rPr>
                <w:sz w:val="22"/>
              </w:rPr>
            </w:pPr>
            <w:r w:rsidRPr="00C82EB0">
              <w:rPr>
                <w:sz w:val="22"/>
              </w:rPr>
              <w:t>Anotācijā ir norādīts, ka aizdevuma termiņa pagarinājums ir saistīts ar COVID19 ietekmi, tāpat Noteikumu projekts papildināts ar 5.punktu šādā redakcijā:</w:t>
            </w:r>
          </w:p>
          <w:p w14:paraId="3D788566" w14:textId="2C0986AD" w:rsidR="00C42E47" w:rsidRPr="004B2EE3" w:rsidRDefault="00C42E47" w:rsidP="00C42E47">
            <w:pPr>
              <w:jc w:val="both"/>
              <w:rPr>
                <w:sz w:val="22"/>
              </w:rPr>
            </w:pPr>
            <w:r w:rsidRPr="004B2EE3">
              <w:rPr>
                <w:sz w:val="22"/>
              </w:rPr>
              <w:t>“</w:t>
            </w:r>
            <w:r>
              <w:rPr>
                <w:sz w:val="22"/>
              </w:rPr>
              <w:t>5</w:t>
            </w:r>
            <w:r w:rsidRPr="004B2EE3">
              <w:rPr>
                <w:sz w:val="22"/>
              </w:rPr>
              <w:t>.</w:t>
            </w:r>
            <w:r w:rsidRPr="004B2EE3">
              <w:rPr>
                <w:sz w:val="22"/>
              </w:rPr>
              <w:tab/>
              <w:t xml:space="preserve">Papildināt noteikumus ar </w:t>
            </w:r>
            <w:r>
              <w:rPr>
                <w:sz w:val="22"/>
              </w:rPr>
              <w:t>26</w:t>
            </w:r>
            <w:r w:rsidRPr="004B2EE3">
              <w:rPr>
                <w:sz w:val="22"/>
              </w:rPr>
              <w:t>. punktu šādā redakcijā:</w:t>
            </w:r>
          </w:p>
          <w:p w14:paraId="650E43B8" w14:textId="469F618A" w:rsidR="00C42E47" w:rsidRPr="009A68F3" w:rsidRDefault="00C42E47" w:rsidP="00C42E47">
            <w:pPr>
              <w:jc w:val="both"/>
              <w:rPr>
                <w:sz w:val="22"/>
              </w:rPr>
            </w:pPr>
            <w:r w:rsidRPr="004B2EE3">
              <w:rPr>
                <w:sz w:val="22"/>
              </w:rPr>
              <w:t>"</w:t>
            </w:r>
            <w:r>
              <w:rPr>
                <w:sz w:val="22"/>
              </w:rPr>
              <w:t>26</w:t>
            </w:r>
            <w:r w:rsidRPr="004B2EE3">
              <w:rPr>
                <w:sz w:val="22"/>
              </w:rPr>
              <w:t xml:space="preserve">. Šo noteikumu </w:t>
            </w:r>
            <w:r>
              <w:rPr>
                <w:sz w:val="22"/>
              </w:rPr>
              <w:t>12.</w:t>
            </w:r>
            <w:r>
              <w:rPr>
                <w:sz w:val="22"/>
                <w:vertAlign w:val="superscript"/>
              </w:rPr>
              <w:t>1</w:t>
            </w:r>
            <w:r w:rsidRPr="004B2EE3">
              <w:rPr>
                <w:sz w:val="22"/>
              </w:rPr>
              <w:t xml:space="preserve"> punkts ir piemērojams līdz 2020. gada 31. decembrim."</w:t>
            </w:r>
          </w:p>
        </w:tc>
      </w:tr>
      <w:tr w:rsidR="00E5143A" w:rsidRPr="009A68F3" w14:paraId="3BB711FC" w14:textId="77777777" w:rsidTr="00490BB2">
        <w:tblPrEx>
          <w:tblBorders>
            <w:top w:val="none" w:sz="0" w:space="0" w:color="auto"/>
            <w:left w:val="none" w:sz="0" w:space="0" w:color="auto"/>
            <w:bottom w:val="none" w:sz="0" w:space="0" w:color="auto"/>
            <w:right w:val="none" w:sz="0" w:space="0" w:color="auto"/>
          </w:tblBorders>
        </w:tblPrEx>
        <w:trPr>
          <w:gridAfter w:val="2"/>
          <w:wAfter w:w="3024" w:type="dxa"/>
        </w:trPr>
        <w:tc>
          <w:tcPr>
            <w:tcW w:w="3108" w:type="dxa"/>
            <w:gridSpan w:val="2"/>
          </w:tcPr>
          <w:p w14:paraId="7D34CF01" w14:textId="77777777" w:rsidR="00E5143A" w:rsidRPr="009A68F3" w:rsidRDefault="00E5143A" w:rsidP="00E5143A">
            <w:pPr>
              <w:pStyle w:val="naiskr"/>
              <w:spacing w:before="0" w:after="0"/>
              <w:jc w:val="center"/>
              <w:rPr>
                <w:sz w:val="22"/>
                <w:szCs w:val="22"/>
              </w:rPr>
            </w:pPr>
          </w:p>
          <w:p w14:paraId="48A368B1" w14:textId="77777777" w:rsidR="001E290D" w:rsidRDefault="001E290D" w:rsidP="00E5143A">
            <w:pPr>
              <w:pStyle w:val="naiskr"/>
              <w:spacing w:before="0" w:after="0"/>
              <w:rPr>
                <w:sz w:val="22"/>
                <w:szCs w:val="22"/>
              </w:rPr>
            </w:pPr>
          </w:p>
          <w:p w14:paraId="150DDABE" w14:textId="77777777" w:rsidR="001E290D" w:rsidRDefault="001E290D" w:rsidP="00E5143A">
            <w:pPr>
              <w:pStyle w:val="naiskr"/>
              <w:spacing w:before="0" w:after="0"/>
              <w:rPr>
                <w:sz w:val="22"/>
                <w:szCs w:val="22"/>
              </w:rPr>
            </w:pPr>
          </w:p>
          <w:p w14:paraId="1B8F8730" w14:textId="3FF42A77" w:rsidR="00E5143A" w:rsidRPr="009A68F3" w:rsidRDefault="00E5143A" w:rsidP="00E5143A">
            <w:pPr>
              <w:pStyle w:val="naiskr"/>
              <w:spacing w:before="0" w:after="0"/>
              <w:rPr>
                <w:sz w:val="22"/>
                <w:szCs w:val="22"/>
              </w:rPr>
            </w:pPr>
            <w:r w:rsidRPr="009A68F3">
              <w:rPr>
                <w:sz w:val="22"/>
                <w:szCs w:val="22"/>
              </w:rPr>
              <w:t>Atbildīgā amatpersona</w:t>
            </w:r>
          </w:p>
        </w:tc>
        <w:tc>
          <w:tcPr>
            <w:tcW w:w="8319" w:type="dxa"/>
            <w:gridSpan w:val="3"/>
          </w:tcPr>
          <w:p w14:paraId="6C420497" w14:textId="77777777" w:rsidR="00E5143A" w:rsidRPr="009A68F3" w:rsidRDefault="00E5143A" w:rsidP="00E5143A">
            <w:pPr>
              <w:pStyle w:val="naisf"/>
              <w:spacing w:before="0" w:after="0"/>
              <w:ind w:firstLine="0"/>
              <w:jc w:val="center"/>
              <w:rPr>
                <w:sz w:val="22"/>
                <w:szCs w:val="22"/>
              </w:rPr>
            </w:pPr>
          </w:p>
        </w:tc>
      </w:tr>
      <w:tr w:rsidR="00E5143A" w:rsidRPr="009A68F3" w14:paraId="12816AF7" w14:textId="77777777" w:rsidTr="00490BB2">
        <w:tblPrEx>
          <w:tblBorders>
            <w:top w:val="none" w:sz="0" w:space="0" w:color="auto"/>
            <w:left w:val="none" w:sz="0" w:space="0" w:color="auto"/>
            <w:bottom w:val="none" w:sz="0" w:space="0" w:color="auto"/>
            <w:right w:val="none" w:sz="0" w:space="0" w:color="auto"/>
          </w:tblBorders>
        </w:tblPrEx>
        <w:trPr>
          <w:gridAfter w:val="2"/>
          <w:wAfter w:w="3024" w:type="dxa"/>
        </w:trPr>
        <w:tc>
          <w:tcPr>
            <w:tcW w:w="3108" w:type="dxa"/>
            <w:gridSpan w:val="2"/>
          </w:tcPr>
          <w:p w14:paraId="7939D792" w14:textId="77777777" w:rsidR="00E5143A" w:rsidRPr="009A68F3" w:rsidRDefault="00E5143A" w:rsidP="00E5143A">
            <w:pPr>
              <w:pStyle w:val="naiskr"/>
              <w:spacing w:before="0" w:after="0"/>
              <w:ind w:firstLine="720"/>
              <w:jc w:val="center"/>
              <w:rPr>
                <w:sz w:val="22"/>
                <w:szCs w:val="22"/>
              </w:rPr>
            </w:pPr>
          </w:p>
        </w:tc>
        <w:tc>
          <w:tcPr>
            <w:tcW w:w="8319" w:type="dxa"/>
            <w:gridSpan w:val="3"/>
            <w:tcBorders>
              <w:top w:val="single" w:sz="6" w:space="0" w:color="000000"/>
            </w:tcBorders>
          </w:tcPr>
          <w:p w14:paraId="3B0FF2E0" w14:textId="77777777" w:rsidR="00E5143A" w:rsidRPr="009A68F3" w:rsidRDefault="00E5143A" w:rsidP="00E5143A">
            <w:pPr>
              <w:pStyle w:val="naisc"/>
              <w:spacing w:before="0" w:after="0"/>
              <w:ind w:firstLine="720"/>
              <w:rPr>
                <w:sz w:val="22"/>
                <w:szCs w:val="22"/>
              </w:rPr>
            </w:pPr>
            <w:r w:rsidRPr="009A68F3">
              <w:rPr>
                <w:sz w:val="22"/>
                <w:szCs w:val="22"/>
              </w:rPr>
              <w:t>(paraksts)*</w:t>
            </w:r>
          </w:p>
          <w:p w14:paraId="6DE55882" w14:textId="77777777" w:rsidR="00E5143A" w:rsidRPr="009A68F3" w:rsidRDefault="00E5143A" w:rsidP="00E5143A">
            <w:pPr>
              <w:pStyle w:val="naisc"/>
              <w:spacing w:before="0" w:after="0"/>
              <w:ind w:firstLine="720"/>
              <w:rPr>
                <w:sz w:val="22"/>
                <w:szCs w:val="22"/>
              </w:rPr>
            </w:pPr>
          </w:p>
        </w:tc>
      </w:tr>
    </w:tbl>
    <w:p w14:paraId="10ACD7F3" w14:textId="77777777" w:rsidR="00211A39" w:rsidRPr="009A68F3" w:rsidRDefault="00211A39" w:rsidP="00211A39">
      <w:pPr>
        <w:ind w:left="2880"/>
        <w:rPr>
          <w:rFonts w:eastAsia="Times New Roman"/>
          <w:sz w:val="22"/>
          <w:lang w:eastAsia="lv-LV"/>
        </w:rPr>
      </w:pPr>
      <w:r w:rsidRPr="009A68F3">
        <w:rPr>
          <w:rFonts w:eastAsia="Times New Roman"/>
          <w:sz w:val="22"/>
          <w:lang w:eastAsia="lv-LV"/>
        </w:rPr>
        <w:t>Kristaps Soms</w:t>
      </w:r>
    </w:p>
    <w:tbl>
      <w:tblPr>
        <w:tblW w:w="0" w:type="auto"/>
        <w:tblLook w:val="00A0" w:firstRow="1" w:lastRow="0" w:firstColumn="1" w:lastColumn="0" w:noHBand="0" w:noVBand="0"/>
      </w:tblPr>
      <w:tblGrid>
        <w:gridCol w:w="8268"/>
      </w:tblGrid>
      <w:tr w:rsidR="00211A39" w:rsidRPr="009A68F3" w14:paraId="62AC3B1D" w14:textId="77777777" w:rsidTr="00D80821">
        <w:tc>
          <w:tcPr>
            <w:tcW w:w="8268" w:type="dxa"/>
            <w:tcBorders>
              <w:top w:val="single" w:sz="4" w:space="0" w:color="000000"/>
            </w:tcBorders>
          </w:tcPr>
          <w:p w14:paraId="51E53EEF" w14:textId="77777777" w:rsidR="00211A39" w:rsidRPr="009A68F3" w:rsidRDefault="00211A39" w:rsidP="00211A39">
            <w:pPr>
              <w:jc w:val="center"/>
              <w:rPr>
                <w:rFonts w:eastAsia="Times New Roman"/>
                <w:sz w:val="22"/>
                <w:lang w:eastAsia="lv-LV"/>
              </w:rPr>
            </w:pPr>
            <w:r w:rsidRPr="009A68F3">
              <w:rPr>
                <w:rFonts w:eastAsia="Times New Roman"/>
                <w:sz w:val="22"/>
                <w:lang w:eastAsia="lv-LV"/>
              </w:rPr>
              <w:t>(par projektu atbildīgās amatpersonas vārds un uzvārds)</w:t>
            </w:r>
          </w:p>
        </w:tc>
      </w:tr>
      <w:tr w:rsidR="00211A39" w:rsidRPr="009A68F3" w14:paraId="20E5E827" w14:textId="77777777" w:rsidTr="00D80821">
        <w:tc>
          <w:tcPr>
            <w:tcW w:w="8268" w:type="dxa"/>
            <w:tcBorders>
              <w:bottom w:val="single" w:sz="4" w:space="0" w:color="000000"/>
            </w:tcBorders>
          </w:tcPr>
          <w:p w14:paraId="0464B96E" w14:textId="77777777" w:rsidR="00211A39" w:rsidRPr="009A68F3" w:rsidRDefault="00211A39" w:rsidP="00211A39">
            <w:pPr>
              <w:jc w:val="center"/>
              <w:rPr>
                <w:rFonts w:eastAsia="Times New Roman"/>
                <w:sz w:val="22"/>
                <w:lang w:eastAsia="lv-LV"/>
              </w:rPr>
            </w:pPr>
          </w:p>
          <w:p w14:paraId="272A6809" w14:textId="77777777" w:rsidR="00211A39" w:rsidRPr="009A68F3" w:rsidRDefault="00211A39" w:rsidP="00211A39">
            <w:pPr>
              <w:jc w:val="center"/>
              <w:rPr>
                <w:rFonts w:eastAsia="Times New Roman"/>
                <w:sz w:val="22"/>
                <w:lang w:eastAsia="lv-LV"/>
              </w:rPr>
            </w:pPr>
            <w:r w:rsidRPr="009A68F3">
              <w:rPr>
                <w:rFonts w:eastAsia="Times New Roman"/>
                <w:sz w:val="22"/>
                <w:lang w:eastAsia="lv-LV"/>
              </w:rPr>
              <w:t xml:space="preserve">Ekonomikas ministrijas Uzņēmējdarbības konkurētspējas departamenta direktors </w:t>
            </w:r>
          </w:p>
        </w:tc>
      </w:tr>
      <w:tr w:rsidR="00211A39" w:rsidRPr="009A68F3" w14:paraId="5F17BB85" w14:textId="77777777" w:rsidTr="00D80821">
        <w:tc>
          <w:tcPr>
            <w:tcW w:w="8268" w:type="dxa"/>
            <w:tcBorders>
              <w:top w:val="single" w:sz="4" w:space="0" w:color="000000"/>
            </w:tcBorders>
          </w:tcPr>
          <w:p w14:paraId="2F07F391" w14:textId="77777777" w:rsidR="00211A39" w:rsidRPr="009A68F3" w:rsidRDefault="00211A39" w:rsidP="00211A39">
            <w:pPr>
              <w:jc w:val="center"/>
              <w:rPr>
                <w:rFonts w:eastAsia="Times New Roman"/>
                <w:sz w:val="22"/>
                <w:lang w:eastAsia="lv-LV"/>
              </w:rPr>
            </w:pPr>
            <w:r w:rsidRPr="009A68F3">
              <w:rPr>
                <w:rFonts w:eastAsia="Times New Roman"/>
                <w:sz w:val="22"/>
                <w:lang w:eastAsia="lv-LV"/>
              </w:rPr>
              <w:t>(amats)</w:t>
            </w:r>
          </w:p>
        </w:tc>
      </w:tr>
      <w:tr w:rsidR="00211A39" w:rsidRPr="009A68F3" w14:paraId="08A9BC34" w14:textId="77777777" w:rsidTr="00D80821">
        <w:tc>
          <w:tcPr>
            <w:tcW w:w="8268" w:type="dxa"/>
            <w:tcBorders>
              <w:bottom w:val="single" w:sz="4" w:space="0" w:color="000000"/>
            </w:tcBorders>
          </w:tcPr>
          <w:p w14:paraId="2C81BFD9" w14:textId="77777777" w:rsidR="00211A39" w:rsidRPr="009A68F3" w:rsidRDefault="00211A39" w:rsidP="00211A39">
            <w:pPr>
              <w:jc w:val="center"/>
              <w:rPr>
                <w:rFonts w:eastAsia="Times New Roman"/>
                <w:sz w:val="22"/>
                <w:lang w:eastAsia="lv-LV"/>
              </w:rPr>
            </w:pPr>
            <w:r w:rsidRPr="009A68F3">
              <w:rPr>
                <w:rFonts w:eastAsia="Times New Roman"/>
                <w:sz w:val="22"/>
                <w:lang w:eastAsia="lv-LV"/>
              </w:rPr>
              <w:t>Tālr. 67013299</w:t>
            </w:r>
          </w:p>
        </w:tc>
      </w:tr>
      <w:tr w:rsidR="00211A39" w:rsidRPr="009A68F3" w14:paraId="605966E7" w14:textId="77777777" w:rsidTr="00D80821">
        <w:tc>
          <w:tcPr>
            <w:tcW w:w="8268" w:type="dxa"/>
            <w:tcBorders>
              <w:top w:val="single" w:sz="4" w:space="0" w:color="000000"/>
            </w:tcBorders>
          </w:tcPr>
          <w:p w14:paraId="72A5DE98" w14:textId="77777777" w:rsidR="00211A39" w:rsidRPr="009A68F3" w:rsidRDefault="00211A39" w:rsidP="00211A39">
            <w:pPr>
              <w:jc w:val="center"/>
              <w:rPr>
                <w:rFonts w:eastAsia="Times New Roman"/>
                <w:sz w:val="22"/>
                <w:lang w:eastAsia="lv-LV"/>
              </w:rPr>
            </w:pPr>
            <w:r w:rsidRPr="009A68F3">
              <w:rPr>
                <w:rFonts w:eastAsia="Times New Roman"/>
                <w:sz w:val="22"/>
                <w:lang w:eastAsia="lv-LV"/>
              </w:rPr>
              <w:t>(tālruņa un faksa numurs)</w:t>
            </w:r>
          </w:p>
        </w:tc>
      </w:tr>
      <w:tr w:rsidR="00211A39" w:rsidRPr="009A68F3" w14:paraId="477A362F" w14:textId="77777777" w:rsidTr="00D80821">
        <w:tc>
          <w:tcPr>
            <w:tcW w:w="8268" w:type="dxa"/>
            <w:tcBorders>
              <w:bottom w:val="single" w:sz="4" w:space="0" w:color="000000"/>
            </w:tcBorders>
          </w:tcPr>
          <w:p w14:paraId="519B5CAD" w14:textId="77777777" w:rsidR="00211A39" w:rsidRPr="009A68F3" w:rsidRDefault="00211A39" w:rsidP="00211A39">
            <w:pPr>
              <w:jc w:val="center"/>
              <w:rPr>
                <w:rFonts w:eastAsia="Times New Roman"/>
                <w:sz w:val="22"/>
                <w:lang w:eastAsia="lv-LV"/>
              </w:rPr>
            </w:pPr>
          </w:p>
          <w:p w14:paraId="60CD8528" w14:textId="59B6B71B" w:rsidR="00211A39" w:rsidRPr="009A68F3" w:rsidRDefault="00211A39" w:rsidP="00211A39">
            <w:pPr>
              <w:jc w:val="center"/>
              <w:rPr>
                <w:rFonts w:eastAsia="Times New Roman"/>
                <w:sz w:val="22"/>
                <w:lang w:eastAsia="lv-LV"/>
              </w:rPr>
            </w:pPr>
            <w:r w:rsidRPr="009A68F3">
              <w:rPr>
                <w:rFonts w:eastAsia="Times New Roman"/>
                <w:sz w:val="22"/>
                <w:lang w:eastAsia="lv-LV"/>
              </w:rPr>
              <w:t>Kristaps.Soms@em.gov.lv</w:t>
            </w:r>
          </w:p>
        </w:tc>
      </w:tr>
      <w:tr w:rsidR="00211A39" w:rsidRPr="009A68F3" w14:paraId="0733E6C5" w14:textId="77777777" w:rsidTr="00D80821">
        <w:tc>
          <w:tcPr>
            <w:tcW w:w="8268" w:type="dxa"/>
            <w:tcBorders>
              <w:top w:val="single" w:sz="4" w:space="0" w:color="000000"/>
            </w:tcBorders>
          </w:tcPr>
          <w:p w14:paraId="367D7D12" w14:textId="77777777" w:rsidR="00211A39" w:rsidRPr="009A68F3" w:rsidRDefault="00211A39" w:rsidP="00211A39">
            <w:pPr>
              <w:jc w:val="center"/>
              <w:rPr>
                <w:rFonts w:eastAsia="Times New Roman"/>
                <w:sz w:val="22"/>
                <w:lang w:eastAsia="lv-LV"/>
              </w:rPr>
            </w:pPr>
            <w:r w:rsidRPr="009A68F3">
              <w:rPr>
                <w:rFonts w:eastAsia="Times New Roman"/>
                <w:sz w:val="22"/>
                <w:lang w:eastAsia="lv-LV"/>
              </w:rPr>
              <w:t>(e-pasta adrese)</w:t>
            </w:r>
          </w:p>
        </w:tc>
      </w:tr>
    </w:tbl>
    <w:p w14:paraId="60DD9C64" w14:textId="77777777" w:rsidR="00DB7FF4" w:rsidRPr="009A68F3" w:rsidRDefault="00DB7FF4" w:rsidP="00DB7FF4">
      <w:pPr>
        <w:jc w:val="both"/>
        <w:rPr>
          <w:sz w:val="22"/>
        </w:rPr>
      </w:pPr>
    </w:p>
    <w:p w14:paraId="0137DA98" w14:textId="77777777" w:rsidR="001E290D" w:rsidRDefault="001E290D" w:rsidP="00AD776D">
      <w:pPr>
        <w:widowControl w:val="0"/>
        <w:contextualSpacing/>
        <w:jc w:val="both"/>
        <w:rPr>
          <w:rFonts w:eastAsia="Times New Roman"/>
          <w:color w:val="000000" w:themeColor="text1"/>
          <w:sz w:val="20"/>
          <w:szCs w:val="20"/>
        </w:rPr>
      </w:pPr>
    </w:p>
    <w:p w14:paraId="73F746BF" w14:textId="4F8D77C0" w:rsidR="00AD776D" w:rsidRDefault="00AD776D" w:rsidP="00AD776D">
      <w:pPr>
        <w:widowControl w:val="0"/>
        <w:contextualSpacing/>
        <w:jc w:val="both"/>
        <w:rPr>
          <w:rFonts w:eastAsia="Times New Roman"/>
          <w:color w:val="000000" w:themeColor="text1"/>
          <w:sz w:val="20"/>
          <w:szCs w:val="20"/>
        </w:rPr>
      </w:pPr>
      <w:r>
        <w:rPr>
          <w:rFonts w:eastAsia="Times New Roman"/>
          <w:color w:val="000000" w:themeColor="text1"/>
          <w:sz w:val="20"/>
          <w:szCs w:val="20"/>
        </w:rPr>
        <w:lastRenderedPageBreak/>
        <w:t>Kristīne Priedīte 67013241</w:t>
      </w:r>
    </w:p>
    <w:p w14:paraId="30C59833" w14:textId="70620199" w:rsidR="00E83698" w:rsidRPr="009A68F3" w:rsidRDefault="0046730C" w:rsidP="00AD776D">
      <w:pPr>
        <w:jc w:val="both"/>
        <w:rPr>
          <w:sz w:val="22"/>
        </w:rPr>
      </w:pPr>
      <w:hyperlink r:id="rId8" w:history="1">
        <w:r w:rsidR="00AD776D">
          <w:rPr>
            <w:rStyle w:val="Hyperlink"/>
            <w:rFonts w:eastAsia="Times New Roman"/>
            <w:sz w:val="20"/>
            <w:szCs w:val="20"/>
          </w:rPr>
          <w:t>Kristine.Priedite@em.gov.lv</w:t>
        </w:r>
      </w:hyperlink>
      <w:r w:rsidR="00DB7FF4" w:rsidRPr="009A68F3">
        <w:rPr>
          <w:sz w:val="22"/>
        </w:rPr>
        <w:t xml:space="preserve"> </w:t>
      </w:r>
    </w:p>
    <w:sectPr w:rsidR="00E83698" w:rsidRPr="009A68F3" w:rsidSect="00104F07">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62B0" w14:textId="77777777" w:rsidR="0046730C" w:rsidRDefault="0046730C" w:rsidP="004D2F03">
      <w:r>
        <w:separator/>
      </w:r>
    </w:p>
  </w:endnote>
  <w:endnote w:type="continuationSeparator" w:id="0">
    <w:p w14:paraId="76753F95" w14:textId="77777777" w:rsidR="0046730C" w:rsidRDefault="0046730C" w:rsidP="004D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E847" w14:textId="77777777" w:rsidR="00745C8A" w:rsidRDefault="00745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D5EA" w14:textId="7466F7E3" w:rsidR="00FB2226" w:rsidRPr="00E92EFB" w:rsidRDefault="0046730C" w:rsidP="00E92EFB">
    <w:pPr>
      <w:pStyle w:val="Footer"/>
    </w:pPr>
    <w:r>
      <w:fldChar w:fldCharType="begin"/>
    </w:r>
    <w:r>
      <w:instrText xml:space="preserve"> FILENAME   \* MERGEFORMAT </w:instrText>
    </w:r>
    <w:r>
      <w:fldChar w:fldCharType="separate"/>
    </w:r>
    <w:r w:rsidR="00490BB2">
      <w:rPr>
        <w:noProof/>
      </w:rPr>
      <w:t>EMIzz_</w:t>
    </w:r>
    <w:r w:rsidR="00745C8A">
      <w:rPr>
        <w:noProof/>
      </w:rPr>
      <w:t>20</w:t>
    </w:r>
    <w:r w:rsidR="00490BB2">
      <w:rPr>
        <w:noProof/>
      </w:rPr>
      <w:t>042020_groz698.docx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7C90" w14:textId="4A71CD8F" w:rsidR="00FB2226" w:rsidRPr="00474161" w:rsidRDefault="0046730C" w:rsidP="00104F07">
    <w:pPr>
      <w:pStyle w:val="Footer"/>
    </w:pPr>
    <w:r>
      <w:fldChar w:fldCharType="begin"/>
    </w:r>
    <w:r>
      <w:instrText xml:space="preserve"> FILENAME   \* MERGEFORMAT </w:instrText>
    </w:r>
    <w:r>
      <w:fldChar w:fldCharType="separate"/>
    </w:r>
    <w:r w:rsidR="00490BB2">
      <w:rPr>
        <w:noProof/>
      </w:rPr>
      <w:t>EMIzz_</w:t>
    </w:r>
    <w:r w:rsidR="00AC4CFF">
      <w:rPr>
        <w:noProof/>
      </w:rPr>
      <w:t>20</w:t>
    </w:r>
    <w:r w:rsidR="00490BB2">
      <w:rPr>
        <w:noProof/>
      </w:rPr>
      <w:t>042020_groz698.docx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2537" w14:textId="77777777" w:rsidR="0046730C" w:rsidRDefault="0046730C" w:rsidP="004D2F03">
      <w:r>
        <w:separator/>
      </w:r>
    </w:p>
  </w:footnote>
  <w:footnote w:type="continuationSeparator" w:id="0">
    <w:p w14:paraId="2794168C" w14:textId="77777777" w:rsidR="0046730C" w:rsidRDefault="0046730C" w:rsidP="004D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3F85" w14:textId="77777777" w:rsidR="00FB2226" w:rsidRDefault="00FB2226" w:rsidP="00104F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9726" w14:textId="77777777" w:rsidR="00FB2226" w:rsidRDefault="00FB2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995944"/>
      <w:docPartObj>
        <w:docPartGallery w:val="Page Numbers (Top of Page)"/>
        <w:docPartUnique/>
      </w:docPartObj>
    </w:sdtPr>
    <w:sdtEndPr>
      <w:rPr>
        <w:noProof/>
      </w:rPr>
    </w:sdtEndPr>
    <w:sdtContent>
      <w:p w14:paraId="31CE0679" w14:textId="1E02AD4F" w:rsidR="0005042E" w:rsidRDefault="0005042E">
        <w:pPr>
          <w:pStyle w:val="Header"/>
          <w:jc w:val="center"/>
        </w:pPr>
        <w:r>
          <w:fldChar w:fldCharType="begin"/>
        </w:r>
        <w:r>
          <w:instrText xml:space="preserve"> PAGE   \* MERGEFORMAT </w:instrText>
        </w:r>
        <w:r>
          <w:fldChar w:fldCharType="separate"/>
        </w:r>
        <w:r w:rsidR="00EA7000">
          <w:rPr>
            <w:noProof/>
          </w:rPr>
          <w:t>6</w:t>
        </w:r>
        <w:r>
          <w:rPr>
            <w:noProof/>
          </w:rPr>
          <w:fldChar w:fldCharType="end"/>
        </w:r>
      </w:p>
    </w:sdtContent>
  </w:sdt>
  <w:p w14:paraId="47DB2D3E" w14:textId="77777777" w:rsidR="00FB2226" w:rsidRDefault="00FB2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8E92" w14:textId="77777777" w:rsidR="00745C8A" w:rsidRDefault="00745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BD5BB3"/>
    <w:multiLevelType w:val="multilevel"/>
    <w:tmpl w:val="803A9B10"/>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color w:val="414142"/>
        <w:sz w:val="24"/>
        <w:szCs w:val="24"/>
      </w:rPr>
    </w:lvl>
    <w:lvl w:ilvl="2">
      <w:start w:val="1"/>
      <w:numFmt w:val="decimal"/>
      <w:isLgl/>
      <w:lvlText w:val="%1.%2.%3."/>
      <w:lvlJc w:val="left"/>
      <w:pPr>
        <w:ind w:left="1800" w:hanging="720"/>
      </w:pPr>
      <w:rPr>
        <w:rFonts w:ascii="Arial" w:hAnsi="Arial" w:cs="Arial" w:hint="default"/>
        <w:color w:val="414142"/>
        <w:sz w:val="20"/>
      </w:rPr>
    </w:lvl>
    <w:lvl w:ilvl="3">
      <w:start w:val="1"/>
      <w:numFmt w:val="decimal"/>
      <w:isLgl/>
      <w:lvlText w:val="%1.%2.%3.%4."/>
      <w:lvlJc w:val="left"/>
      <w:pPr>
        <w:ind w:left="2160" w:hanging="720"/>
      </w:pPr>
      <w:rPr>
        <w:rFonts w:ascii="Arial" w:hAnsi="Arial" w:cs="Arial" w:hint="default"/>
        <w:color w:val="414142"/>
        <w:sz w:val="20"/>
      </w:rPr>
    </w:lvl>
    <w:lvl w:ilvl="4">
      <w:start w:val="1"/>
      <w:numFmt w:val="decimal"/>
      <w:isLgl/>
      <w:lvlText w:val="%1.%2.%3.%4.%5."/>
      <w:lvlJc w:val="left"/>
      <w:pPr>
        <w:ind w:left="2880" w:hanging="1080"/>
      </w:pPr>
      <w:rPr>
        <w:rFonts w:ascii="Arial" w:hAnsi="Arial" w:cs="Arial" w:hint="default"/>
        <w:color w:val="414142"/>
        <w:sz w:val="20"/>
      </w:rPr>
    </w:lvl>
    <w:lvl w:ilvl="5">
      <w:start w:val="1"/>
      <w:numFmt w:val="decimal"/>
      <w:isLgl/>
      <w:lvlText w:val="%1.%2.%3.%4.%5.%6."/>
      <w:lvlJc w:val="left"/>
      <w:pPr>
        <w:ind w:left="3240" w:hanging="1080"/>
      </w:pPr>
      <w:rPr>
        <w:rFonts w:ascii="Arial" w:hAnsi="Arial" w:cs="Arial" w:hint="default"/>
        <w:color w:val="414142"/>
        <w:sz w:val="20"/>
      </w:rPr>
    </w:lvl>
    <w:lvl w:ilvl="6">
      <w:start w:val="1"/>
      <w:numFmt w:val="decimal"/>
      <w:isLgl/>
      <w:lvlText w:val="%1.%2.%3.%4.%5.%6.%7."/>
      <w:lvlJc w:val="left"/>
      <w:pPr>
        <w:ind w:left="3960" w:hanging="1440"/>
      </w:pPr>
      <w:rPr>
        <w:rFonts w:ascii="Arial" w:hAnsi="Arial" w:cs="Arial" w:hint="default"/>
        <w:color w:val="414142"/>
        <w:sz w:val="20"/>
      </w:rPr>
    </w:lvl>
    <w:lvl w:ilvl="7">
      <w:start w:val="1"/>
      <w:numFmt w:val="decimal"/>
      <w:isLgl/>
      <w:lvlText w:val="%1.%2.%3.%4.%5.%6.%7.%8."/>
      <w:lvlJc w:val="left"/>
      <w:pPr>
        <w:ind w:left="4320" w:hanging="1440"/>
      </w:pPr>
      <w:rPr>
        <w:rFonts w:ascii="Arial" w:hAnsi="Arial" w:cs="Arial" w:hint="default"/>
        <w:color w:val="414142"/>
        <w:sz w:val="20"/>
      </w:rPr>
    </w:lvl>
    <w:lvl w:ilvl="8">
      <w:start w:val="1"/>
      <w:numFmt w:val="decimal"/>
      <w:isLgl/>
      <w:lvlText w:val="%1.%2.%3.%4.%5.%6.%7.%8.%9."/>
      <w:lvlJc w:val="left"/>
      <w:pPr>
        <w:ind w:left="5040" w:hanging="1800"/>
      </w:pPr>
      <w:rPr>
        <w:rFonts w:ascii="Arial" w:hAnsi="Arial" w:cs="Arial" w:hint="default"/>
        <w:color w:val="414142"/>
        <w:sz w:val="20"/>
      </w:rPr>
    </w:lvl>
  </w:abstractNum>
  <w:abstractNum w:abstractNumId="3"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4" w15:restartNumberingAfterBreak="1">
    <w:nsid w:val="2B853D5A"/>
    <w:multiLevelType w:val="hybridMultilevel"/>
    <w:tmpl w:val="DF08B12A"/>
    <w:lvl w:ilvl="0" w:tplc="F654B70C">
      <w:start w:val="1"/>
      <w:numFmt w:val="upperRoman"/>
      <w:lvlText w:val="%1."/>
      <w:lvlJc w:val="left"/>
      <w:pPr>
        <w:ind w:left="1080" w:hanging="720"/>
      </w:pPr>
      <w:rPr>
        <w:rFonts w:hint="default"/>
      </w:rPr>
    </w:lvl>
    <w:lvl w:ilvl="1" w:tplc="DE90E65E" w:tentative="1">
      <w:start w:val="1"/>
      <w:numFmt w:val="lowerLetter"/>
      <w:lvlText w:val="%2."/>
      <w:lvlJc w:val="left"/>
      <w:pPr>
        <w:ind w:left="1440" w:hanging="360"/>
      </w:pPr>
    </w:lvl>
    <w:lvl w:ilvl="2" w:tplc="5234EE7C" w:tentative="1">
      <w:start w:val="1"/>
      <w:numFmt w:val="lowerRoman"/>
      <w:lvlText w:val="%3."/>
      <w:lvlJc w:val="right"/>
      <w:pPr>
        <w:ind w:left="2160" w:hanging="180"/>
      </w:pPr>
    </w:lvl>
    <w:lvl w:ilvl="3" w:tplc="AB36BBBE" w:tentative="1">
      <w:start w:val="1"/>
      <w:numFmt w:val="decimal"/>
      <w:lvlText w:val="%4."/>
      <w:lvlJc w:val="left"/>
      <w:pPr>
        <w:ind w:left="2880" w:hanging="360"/>
      </w:pPr>
    </w:lvl>
    <w:lvl w:ilvl="4" w:tplc="0590B5C0" w:tentative="1">
      <w:start w:val="1"/>
      <w:numFmt w:val="lowerLetter"/>
      <w:lvlText w:val="%5."/>
      <w:lvlJc w:val="left"/>
      <w:pPr>
        <w:ind w:left="3600" w:hanging="360"/>
      </w:pPr>
    </w:lvl>
    <w:lvl w:ilvl="5" w:tplc="07106922" w:tentative="1">
      <w:start w:val="1"/>
      <w:numFmt w:val="lowerRoman"/>
      <w:lvlText w:val="%6."/>
      <w:lvlJc w:val="right"/>
      <w:pPr>
        <w:ind w:left="4320" w:hanging="180"/>
      </w:pPr>
    </w:lvl>
    <w:lvl w:ilvl="6" w:tplc="B55051C0" w:tentative="1">
      <w:start w:val="1"/>
      <w:numFmt w:val="decimal"/>
      <w:lvlText w:val="%7."/>
      <w:lvlJc w:val="left"/>
      <w:pPr>
        <w:ind w:left="5040" w:hanging="360"/>
      </w:pPr>
    </w:lvl>
    <w:lvl w:ilvl="7" w:tplc="BE8A52BE" w:tentative="1">
      <w:start w:val="1"/>
      <w:numFmt w:val="lowerLetter"/>
      <w:lvlText w:val="%8."/>
      <w:lvlJc w:val="left"/>
      <w:pPr>
        <w:ind w:left="5760" w:hanging="360"/>
      </w:pPr>
    </w:lvl>
    <w:lvl w:ilvl="8" w:tplc="C94E4EC4" w:tentative="1">
      <w:start w:val="1"/>
      <w:numFmt w:val="lowerRoman"/>
      <w:lvlText w:val="%9."/>
      <w:lvlJc w:val="right"/>
      <w:pPr>
        <w:ind w:left="6480" w:hanging="180"/>
      </w:pPr>
    </w:lvl>
  </w:abstractNum>
  <w:abstractNum w:abstractNumId="5" w15:restartNumberingAfterBreak="0">
    <w:nsid w:val="35CE6B78"/>
    <w:multiLevelType w:val="hybridMultilevel"/>
    <w:tmpl w:val="AD4E0C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EC6340"/>
    <w:multiLevelType w:val="multilevel"/>
    <w:tmpl w:val="9CB8D8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D3C55CF"/>
    <w:multiLevelType w:val="hybridMultilevel"/>
    <w:tmpl w:val="D2C8F4F6"/>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E6290B"/>
    <w:multiLevelType w:val="hybridMultilevel"/>
    <w:tmpl w:val="2BA47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0"/>
  </w:num>
  <w:num w:numId="6">
    <w:abstractNumId w:val="5"/>
  </w:num>
  <w:num w:numId="7">
    <w:abstractNumId w:val="9"/>
  </w:num>
  <w:num w:numId="8">
    <w:abstractNumId w:val="6"/>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F4"/>
    <w:rsid w:val="00000607"/>
    <w:rsid w:val="00000BA8"/>
    <w:rsid w:val="000011D3"/>
    <w:rsid w:val="00007A62"/>
    <w:rsid w:val="000122B2"/>
    <w:rsid w:val="00015388"/>
    <w:rsid w:val="000165C9"/>
    <w:rsid w:val="00016667"/>
    <w:rsid w:val="00020081"/>
    <w:rsid w:val="0002423B"/>
    <w:rsid w:val="00035905"/>
    <w:rsid w:val="00035FD2"/>
    <w:rsid w:val="000409AD"/>
    <w:rsid w:val="0004132F"/>
    <w:rsid w:val="000453E8"/>
    <w:rsid w:val="00045E9E"/>
    <w:rsid w:val="0004640F"/>
    <w:rsid w:val="0005042E"/>
    <w:rsid w:val="00052B71"/>
    <w:rsid w:val="00053DF0"/>
    <w:rsid w:val="00054EC9"/>
    <w:rsid w:val="00055C0B"/>
    <w:rsid w:val="0006192A"/>
    <w:rsid w:val="00064923"/>
    <w:rsid w:val="00070163"/>
    <w:rsid w:val="000715A3"/>
    <w:rsid w:val="0007171C"/>
    <w:rsid w:val="00072844"/>
    <w:rsid w:val="00073C44"/>
    <w:rsid w:val="00084575"/>
    <w:rsid w:val="00086B35"/>
    <w:rsid w:val="00091A75"/>
    <w:rsid w:val="000923B2"/>
    <w:rsid w:val="000A223F"/>
    <w:rsid w:val="000A253C"/>
    <w:rsid w:val="000B5777"/>
    <w:rsid w:val="000B6FD4"/>
    <w:rsid w:val="000C2782"/>
    <w:rsid w:val="000D1048"/>
    <w:rsid w:val="000E041F"/>
    <w:rsid w:val="000E0582"/>
    <w:rsid w:val="000E67F1"/>
    <w:rsid w:val="000E730E"/>
    <w:rsid w:val="000E7FE3"/>
    <w:rsid w:val="000F5A3C"/>
    <w:rsid w:val="001021EC"/>
    <w:rsid w:val="00103743"/>
    <w:rsid w:val="00103E6E"/>
    <w:rsid w:val="00104A22"/>
    <w:rsid w:val="00104F07"/>
    <w:rsid w:val="00105573"/>
    <w:rsid w:val="00105FC1"/>
    <w:rsid w:val="001064CC"/>
    <w:rsid w:val="0011027A"/>
    <w:rsid w:val="00111107"/>
    <w:rsid w:val="00113CE2"/>
    <w:rsid w:val="00114CD7"/>
    <w:rsid w:val="00121FFB"/>
    <w:rsid w:val="00126F6D"/>
    <w:rsid w:val="00130CF4"/>
    <w:rsid w:val="0013339E"/>
    <w:rsid w:val="00141947"/>
    <w:rsid w:val="001457DA"/>
    <w:rsid w:val="00152D63"/>
    <w:rsid w:val="00162E5A"/>
    <w:rsid w:val="0016530F"/>
    <w:rsid w:val="00170507"/>
    <w:rsid w:val="0017297B"/>
    <w:rsid w:val="001734C9"/>
    <w:rsid w:val="001749E4"/>
    <w:rsid w:val="00176834"/>
    <w:rsid w:val="00185D35"/>
    <w:rsid w:val="001913A2"/>
    <w:rsid w:val="001925AA"/>
    <w:rsid w:val="001A011A"/>
    <w:rsid w:val="001A5038"/>
    <w:rsid w:val="001A5193"/>
    <w:rsid w:val="001B127C"/>
    <w:rsid w:val="001B4947"/>
    <w:rsid w:val="001C0F92"/>
    <w:rsid w:val="001C2112"/>
    <w:rsid w:val="001C6772"/>
    <w:rsid w:val="001D2E34"/>
    <w:rsid w:val="001D3786"/>
    <w:rsid w:val="001D46BC"/>
    <w:rsid w:val="001D4F93"/>
    <w:rsid w:val="001D66C5"/>
    <w:rsid w:val="001D6F09"/>
    <w:rsid w:val="001D7A36"/>
    <w:rsid w:val="001E290D"/>
    <w:rsid w:val="001E50EF"/>
    <w:rsid w:val="001F19D9"/>
    <w:rsid w:val="00202525"/>
    <w:rsid w:val="002027C6"/>
    <w:rsid w:val="00206F79"/>
    <w:rsid w:val="00207E7A"/>
    <w:rsid w:val="0021073C"/>
    <w:rsid w:val="00211A39"/>
    <w:rsid w:val="00216E80"/>
    <w:rsid w:val="002252BA"/>
    <w:rsid w:val="002268DE"/>
    <w:rsid w:val="002332A4"/>
    <w:rsid w:val="00240757"/>
    <w:rsid w:val="00242600"/>
    <w:rsid w:val="002471DB"/>
    <w:rsid w:val="0025456D"/>
    <w:rsid w:val="00254AA3"/>
    <w:rsid w:val="00257CE8"/>
    <w:rsid w:val="00262564"/>
    <w:rsid w:val="00263A58"/>
    <w:rsid w:val="00263D9F"/>
    <w:rsid w:val="002704E8"/>
    <w:rsid w:val="00280955"/>
    <w:rsid w:val="00280B04"/>
    <w:rsid w:val="0028387F"/>
    <w:rsid w:val="00294090"/>
    <w:rsid w:val="00295132"/>
    <w:rsid w:val="00296168"/>
    <w:rsid w:val="002975DC"/>
    <w:rsid w:val="00297713"/>
    <w:rsid w:val="00297EE8"/>
    <w:rsid w:val="002A04C2"/>
    <w:rsid w:val="002A0FF4"/>
    <w:rsid w:val="002A215D"/>
    <w:rsid w:val="002B0AC5"/>
    <w:rsid w:val="002B103B"/>
    <w:rsid w:val="002B2F95"/>
    <w:rsid w:val="002B345C"/>
    <w:rsid w:val="002B4B71"/>
    <w:rsid w:val="002C0E77"/>
    <w:rsid w:val="002C36FB"/>
    <w:rsid w:val="002C4ED9"/>
    <w:rsid w:val="002C77CF"/>
    <w:rsid w:val="002D3FCD"/>
    <w:rsid w:val="002D56F8"/>
    <w:rsid w:val="002D6EEE"/>
    <w:rsid w:val="002E0D13"/>
    <w:rsid w:val="002E149A"/>
    <w:rsid w:val="002F6D74"/>
    <w:rsid w:val="00300871"/>
    <w:rsid w:val="00300941"/>
    <w:rsid w:val="003036BF"/>
    <w:rsid w:val="003047BD"/>
    <w:rsid w:val="003137B2"/>
    <w:rsid w:val="003169EB"/>
    <w:rsid w:val="0032636E"/>
    <w:rsid w:val="003276BC"/>
    <w:rsid w:val="00334386"/>
    <w:rsid w:val="00336833"/>
    <w:rsid w:val="003410F4"/>
    <w:rsid w:val="00344E03"/>
    <w:rsid w:val="00345DC0"/>
    <w:rsid w:val="003465A3"/>
    <w:rsid w:val="00347A39"/>
    <w:rsid w:val="00350AF2"/>
    <w:rsid w:val="00352312"/>
    <w:rsid w:val="0035244C"/>
    <w:rsid w:val="00352762"/>
    <w:rsid w:val="003530A4"/>
    <w:rsid w:val="0035483B"/>
    <w:rsid w:val="003549FA"/>
    <w:rsid w:val="003560AA"/>
    <w:rsid w:val="00365668"/>
    <w:rsid w:val="00366177"/>
    <w:rsid w:val="003716F4"/>
    <w:rsid w:val="00374366"/>
    <w:rsid w:val="003765A6"/>
    <w:rsid w:val="00377F00"/>
    <w:rsid w:val="00386193"/>
    <w:rsid w:val="00392ACB"/>
    <w:rsid w:val="00393598"/>
    <w:rsid w:val="0039482E"/>
    <w:rsid w:val="00396DEA"/>
    <w:rsid w:val="003A3F30"/>
    <w:rsid w:val="003B1C78"/>
    <w:rsid w:val="003B2FF9"/>
    <w:rsid w:val="003C1632"/>
    <w:rsid w:val="003C78A3"/>
    <w:rsid w:val="003D0454"/>
    <w:rsid w:val="003D5B5B"/>
    <w:rsid w:val="003D67B3"/>
    <w:rsid w:val="003E20A0"/>
    <w:rsid w:val="003E362A"/>
    <w:rsid w:val="003E76BE"/>
    <w:rsid w:val="003F5022"/>
    <w:rsid w:val="004011EC"/>
    <w:rsid w:val="00401401"/>
    <w:rsid w:val="00405598"/>
    <w:rsid w:val="0040794E"/>
    <w:rsid w:val="00410635"/>
    <w:rsid w:val="00411ACB"/>
    <w:rsid w:val="00413D61"/>
    <w:rsid w:val="00420D36"/>
    <w:rsid w:val="0042305F"/>
    <w:rsid w:val="00423892"/>
    <w:rsid w:val="00423956"/>
    <w:rsid w:val="0042603E"/>
    <w:rsid w:val="0043028C"/>
    <w:rsid w:val="00441A94"/>
    <w:rsid w:val="004507ED"/>
    <w:rsid w:val="00455110"/>
    <w:rsid w:val="004571E6"/>
    <w:rsid w:val="00461F36"/>
    <w:rsid w:val="00462EBE"/>
    <w:rsid w:val="00465CFE"/>
    <w:rsid w:val="0046730C"/>
    <w:rsid w:val="0046799D"/>
    <w:rsid w:val="004729B1"/>
    <w:rsid w:val="004738B0"/>
    <w:rsid w:val="0047469D"/>
    <w:rsid w:val="00484C9B"/>
    <w:rsid w:val="0048745B"/>
    <w:rsid w:val="0049063E"/>
    <w:rsid w:val="00490BB2"/>
    <w:rsid w:val="004930FB"/>
    <w:rsid w:val="0049347D"/>
    <w:rsid w:val="004A01B7"/>
    <w:rsid w:val="004A0BF9"/>
    <w:rsid w:val="004B07B4"/>
    <w:rsid w:val="004B36F9"/>
    <w:rsid w:val="004B3C83"/>
    <w:rsid w:val="004B4A7C"/>
    <w:rsid w:val="004B5B63"/>
    <w:rsid w:val="004C180F"/>
    <w:rsid w:val="004C29BA"/>
    <w:rsid w:val="004C2E2D"/>
    <w:rsid w:val="004C67B5"/>
    <w:rsid w:val="004D2837"/>
    <w:rsid w:val="004D2F03"/>
    <w:rsid w:val="004D52ED"/>
    <w:rsid w:val="004D66B7"/>
    <w:rsid w:val="004D691C"/>
    <w:rsid w:val="004E1BB1"/>
    <w:rsid w:val="004E2750"/>
    <w:rsid w:val="004E56A6"/>
    <w:rsid w:val="004F06C1"/>
    <w:rsid w:val="004F202B"/>
    <w:rsid w:val="004F3927"/>
    <w:rsid w:val="004F4366"/>
    <w:rsid w:val="00502962"/>
    <w:rsid w:val="005030AE"/>
    <w:rsid w:val="00507AF2"/>
    <w:rsid w:val="00524967"/>
    <w:rsid w:val="005259BF"/>
    <w:rsid w:val="0052746A"/>
    <w:rsid w:val="0053127B"/>
    <w:rsid w:val="0053271C"/>
    <w:rsid w:val="00533FED"/>
    <w:rsid w:val="0054015A"/>
    <w:rsid w:val="005419DB"/>
    <w:rsid w:val="00543529"/>
    <w:rsid w:val="005453EE"/>
    <w:rsid w:val="00545542"/>
    <w:rsid w:val="00547F25"/>
    <w:rsid w:val="0055345A"/>
    <w:rsid w:val="00553DEB"/>
    <w:rsid w:val="00554A68"/>
    <w:rsid w:val="00557D19"/>
    <w:rsid w:val="005614A7"/>
    <w:rsid w:val="00564744"/>
    <w:rsid w:val="0056742E"/>
    <w:rsid w:val="00572667"/>
    <w:rsid w:val="00580445"/>
    <w:rsid w:val="00584154"/>
    <w:rsid w:val="00584436"/>
    <w:rsid w:val="005909E3"/>
    <w:rsid w:val="00592A45"/>
    <w:rsid w:val="005939AE"/>
    <w:rsid w:val="005A4695"/>
    <w:rsid w:val="005A4CB2"/>
    <w:rsid w:val="005B0EC0"/>
    <w:rsid w:val="005B5AAF"/>
    <w:rsid w:val="005C214F"/>
    <w:rsid w:val="005C27D6"/>
    <w:rsid w:val="005C33DB"/>
    <w:rsid w:val="005E1959"/>
    <w:rsid w:val="005E6294"/>
    <w:rsid w:val="005E7C10"/>
    <w:rsid w:val="005F1C13"/>
    <w:rsid w:val="005F34EB"/>
    <w:rsid w:val="005F7A53"/>
    <w:rsid w:val="00601740"/>
    <w:rsid w:val="00607C9F"/>
    <w:rsid w:val="00611538"/>
    <w:rsid w:val="00613279"/>
    <w:rsid w:val="006253E8"/>
    <w:rsid w:val="006361F8"/>
    <w:rsid w:val="00643E70"/>
    <w:rsid w:val="00644C02"/>
    <w:rsid w:val="00650034"/>
    <w:rsid w:val="00651599"/>
    <w:rsid w:val="006532DE"/>
    <w:rsid w:val="00654A41"/>
    <w:rsid w:val="0065559F"/>
    <w:rsid w:val="006577AC"/>
    <w:rsid w:val="0066292A"/>
    <w:rsid w:val="00663122"/>
    <w:rsid w:val="00663C64"/>
    <w:rsid w:val="00672941"/>
    <w:rsid w:val="00676C11"/>
    <w:rsid w:val="00681F22"/>
    <w:rsid w:val="0068604B"/>
    <w:rsid w:val="006877AB"/>
    <w:rsid w:val="006928FD"/>
    <w:rsid w:val="0069584F"/>
    <w:rsid w:val="006A1EA8"/>
    <w:rsid w:val="006A477B"/>
    <w:rsid w:val="006B0A6F"/>
    <w:rsid w:val="006B5B60"/>
    <w:rsid w:val="006C0350"/>
    <w:rsid w:val="006C2002"/>
    <w:rsid w:val="006C4069"/>
    <w:rsid w:val="006C7AC7"/>
    <w:rsid w:val="006C7B83"/>
    <w:rsid w:val="006D0CEA"/>
    <w:rsid w:val="006D570D"/>
    <w:rsid w:val="006D7742"/>
    <w:rsid w:val="006D79D9"/>
    <w:rsid w:val="006D7A66"/>
    <w:rsid w:val="006E38FF"/>
    <w:rsid w:val="006E3A82"/>
    <w:rsid w:val="006F0D41"/>
    <w:rsid w:val="006F258D"/>
    <w:rsid w:val="006F4E99"/>
    <w:rsid w:val="006F6467"/>
    <w:rsid w:val="006F6490"/>
    <w:rsid w:val="006F70F5"/>
    <w:rsid w:val="007004A8"/>
    <w:rsid w:val="00701995"/>
    <w:rsid w:val="007034A8"/>
    <w:rsid w:val="00706042"/>
    <w:rsid w:val="00707799"/>
    <w:rsid w:val="00716F81"/>
    <w:rsid w:val="007200A7"/>
    <w:rsid w:val="007201B6"/>
    <w:rsid w:val="00733A85"/>
    <w:rsid w:val="00744A54"/>
    <w:rsid w:val="00745C8A"/>
    <w:rsid w:val="00747624"/>
    <w:rsid w:val="00750695"/>
    <w:rsid w:val="0075417F"/>
    <w:rsid w:val="00757B51"/>
    <w:rsid w:val="00760EF0"/>
    <w:rsid w:val="00771B3C"/>
    <w:rsid w:val="00783AFF"/>
    <w:rsid w:val="00784037"/>
    <w:rsid w:val="00786DDD"/>
    <w:rsid w:val="007921A8"/>
    <w:rsid w:val="007A2987"/>
    <w:rsid w:val="007A7356"/>
    <w:rsid w:val="007A7B09"/>
    <w:rsid w:val="007B2863"/>
    <w:rsid w:val="007B313E"/>
    <w:rsid w:val="007B625E"/>
    <w:rsid w:val="007C4ADE"/>
    <w:rsid w:val="007D18A9"/>
    <w:rsid w:val="007E100B"/>
    <w:rsid w:val="007E319F"/>
    <w:rsid w:val="007E5A4E"/>
    <w:rsid w:val="007E65E1"/>
    <w:rsid w:val="007E6672"/>
    <w:rsid w:val="007F0CBE"/>
    <w:rsid w:val="007F28C4"/>
    <w:rsid w:val="00805302"/>
    <w:rsid w:val="00811906"/>
    <w:rsid w:val="00814951"/>
    <w:rsid w:val="0083109B"/>
    <w:rsid w:val="00833EA8"/>
    <w:rsid w:val="00833F87"/>
    <w:rsid w:val="00834355"/>
    <w:rsid w:val="008359B3"/>
    <w:rsid w:val="0084010F"/>
    <w:rsid w:val="00844397"/>
    <w:rsid w:val="00851166"/>
    <w:rsid w:val="0085290C"/>
    <w:rsid w:val="00860EA9"/>
    <w:rsid w:val="008610D6"/>
    <w:rsid w:val="00862BDC"/>
    <w:rsid w:val="008715F0"/>
    <w:rsid w:val="00873720"/>
    <w:rsid w:val="00873C92"/>
    <w:rsid w:val="00874CBC"/>
    <w:rsid w:val="0088152C"/>
    <w:rsid w:val="0088426B"/>
    <w:rsid w:val="00885661"/>
    <w:rsid w:val="00885D50"/>
    <w:rsid w:val="008A47A8"/>
    <w:rsid w:val="008A5B03"/>
    <w:rsid w:val="008B296D"/>
    <w:rsid w:val="008B2C78"/>
    <w:rsid w:val="008B5A39"/>
    <w:rsid w:val="008C1B74"/>
    <w:rsid w:val="008C45B5"/>
    <w:rsid w:val="008C6EE1"/>
    <w:rsid w:val="008F3F56"/>
    <w:rsid w:val="00900E87"/>
    <w:rsid w:val="00902FD4"/>
    <w:rsid w:val="0090346F"/>
    <w:rsid w:val="009040F1"/>
    <w:rsid w:val="00905E8E"/>
    <w:rsid w:val="0090626E"/>
    <w:rsid w:val="009063E1"/>
    <w:rsid w:val="00906F88"/>
    <w:rsid w:val="00911174"/>
    <w:rsid w:val="00913189"/>
    <w:rsid w:val="00920A76"/>
    <w:rsid w:val="0092152D"/>
    <w:rsid w:val="0092185E"/>
    <w:rsid w:val="00930479"/>
    <w:rsid w:val="009314F2"/>
    <w:rsid w:val="00946289"/>
    <w:rsid w:val="0095303B"/>
    <w:rsid w:val="0095505C"/>
    <w:rsid w:val="00962BCE"/>
    <w:rsid w:val="00963514"/>
    <w:rsid w:val="00982DF2"/>
    <w:rsid w:val="0098389F"/>
    <w:rsid w:val="0098736E"/>
    <w:rsid w:val="009938A1"/>
    <w:rsid w:val="00994900"/>
    <w:rsid w:val="009A68F3"/>
    <w:rsid w:val="009A6EA1"/>
    <w:rsid w:val="009A7DCD"/>
    <w:rsid w:val="009B6DB2"/>
    <w:rsid w:val="009C0BF9"/>
    <w:rsid w:val="009C5C56"/>
    <w:rsid w:val="009D2340"/>
    <w:rsid w:val="009D2378"/>
    <w:rsid w:val="009D58D9"/>
    <w:rsid w:val="009D7AE0"/>
    <w:rsid w:val="009E2BC9"/>
    <w:rsid w:val="009E3DA8"/>
    <w:rsid w:val="009E4C07"/>
    <w:rsid w:val="009F1A70"/>
    <w:rsid w:val="009F1DAD"/>
    <w:rsid w:val="009F49B8"/>
    <w:rsid w:val="009F5054"/>
    <w:rsid w:val="00A00039"/>
    <w:rsid w:val="00A009E5"/>
    <w:rsid w:val="00A03CEA"/>
    <w:rsid w:val="00A043FC"/>
    <w:rsid w:val="00A04C61"/>
    <w:rsid w:val="00A06F7E"/>
    <w:rsid w:val="00A107D2"/>
    <w:rsid w:val="00A135F7"/>
    <w:rsid w:val="00A14982"/>
    <w:rsid w:val="00A17E00"/>
    <w:rsid w:val="00A267AA"/>
    <w:rsid w:val="00A27E43"/>
    <w:rsid w:val="00A31A95"/>
    <w:rsid w:val="00A33C7A"/>
    <w:rsid w:val="00A37172"/>
    <w:rsid w:val="00A37DCC"/>
    <w:rsid w:val="00A408E4"/>
    <w:rsid w:val="00A418A3"/>
    <w:rsid w:val="00A45102"/>
    <w:rsid w:val="00A51A09"/>
    <w:rsid w:val="00A57D54"/>
    <w:rsid w:val="00A65475"/>
    <w:rsid w:val="00A66A73"/>
    <w:rsid w:val="00A67768"/>
    <w:rsid w:val="00A67D7E"/>
    <w:rsid w:val="00A704B7"/>
    <w:rsid w:val="00A72B36"/>
    <w:rsid w:val="00A75E89"/>
    <w:rsid w:val="00A76993"/>
    <w:rsid w:val="00A82678"/>
    <w:rsid w:val="00A86036"/>
    <w:rsid w:val="00A94547"/>
    <w:rsid w:val="00A94B68"/>
    <w:rsid w:val="00A954F9"/>
    <w:rsid w:val="00A97E5D"/>
    <w:rsid w:val="00AA1454"/>
    <w:rsid w:val="00AA5049"/>
    <w:rsid w:val="00AA65C4"/>
    <w:rsid w:val="00AA7E1E"/>
    <w:rsid w:val="00AB3C77"/>
    <w:rsid w:val="00AC37C4"/>
    <w:rsid w:val="00AC4CFF"/>
    <w:rsid w:val="00AC7675"/>
    <w:rsid w:val="00AD3B7A"/>
    <w:rsid w:val="00AD776D"/>
    <w:rsid w:val="00AE0622"/>
    <w:rsid w:val="00AE73F1"/>
    <w:rsid w:val="00AF3EDE"/>
    <w:rsid w:val="00AF4ADB"/>
    <w:rsid w:val="00AF5D08"/>
    <w:rsid w:val="00B07E83"/>
    <w:rsid w:val="00B1578E"/>
    <w:rsid w:val="00B15F59"/>
    <w:rsid w:val="00B175F5"/>
    <w:rsid w:val="00B27C62"/>
    <w:rsid w:val="00B31714"/>
    <w:rsid w:val="00B31FB1"/>
    <w:rsid w:val="00B36429"/>
    <w:rsid w:val="00B41AC0"/>
    <w:rsid w:val="00B526A9"/>
    <w:rsid w:val="00B572A1"/>
    <w:rsid w:val="00B57567"/>
    <w:rsid w:val="00B60EE6"/>
    <w:rsid w:val="00B61032"/>
    <w:rsid w:val="00B65B3A"/>
    <w:rsid w:val="00B665A4"/>
    <w:rsid w:val="00B72426"/>
    <w:rsid w:val="00B727A1"/>
    <w:rsid w:val="00B75F46"/>
    <w:rsid w:val="00B813A0"/>
    <w:rsid w:val="00B84EFE"/>
    <w:rsid w:val="00B87E68"/>
    <w:rsid w:val="00B904DD"/>
    <w:rsid w:val="00B917F7"/>
    <w:rsid w:val="00B92EE4"/>
    <w:rsid w:val="00B962C1"/>
    <w:rsid w:val="00BA101F"/>
    <w:rsid w:val="00BA2BAF"/>
    <w:rsid w:val="00BA646A"/>
    <w:rsid w:val="00BA6EDB"/>
    <w:rsid w:val="00BA7E1E"/>
    <w:rsid w:val="00BB1025"/>
    <w:rsid w:val="00BB281E"/>
    <w:rsid w:val="00BB396F"/>
    <w:rsid w:val="00BB54B1"/>
    <w:rsid w:val="00BB5ECD"/>
    <w:rsid w:val="00BC1494"/>
    <w:rsid w:val="00BC1A79"/>
    <w:rsid w:val="00BC38A7"/>
    <w:rsid w:val="00BC5A2C"/>
    <w:rsid w:val="00BC61E3"/>
    <w:rsid w:val="00BD20A0"/>
    <w:rsid w:val="00BD4DE5"/>
    <w:rsid w:val="00BD6A10"/>
    <w:rsid w:val="00BD6BED"/>
    <w:rsid w:val="00BE38D4"/>
    <w:rsid w:val="00BE6B5A"/>
    <w:rsid w:val="00BE6E47"/>
    <w:rsid w:val="00BF34BE"/>
    <w:rsid w:val="00BF505D"/>
    <w:rsid w:val="00C05F61"/>
    <w:rsid w:val="00C1056C"/>
    <w:rsid w:val="00C12085"/>
    <w:rsid w:val="00C20E59"/>
    <w:rsid w:val="00C2444B"/>
    <w:rsid w:val="00C27CA3"/>
    <w:rsid w:val="00C31F04"/>
    <w:rsid w:val="00C3309A"/>
    <w:rsid w:val="00C34768"/>
    <w:rsid w:val="00C414C6"/>
    <w:rsid w:val="00C42E47"/>
    <w:rsid w:val="00C46344"/>
    <w:rsid w:val="00C4684F"/>
    <w:rsid w:val="00C52958"/>
    <w:rsid w:val="00C61705"/>
    <w:rsid w:val="00C73384"/>
    <w:rsid w:val="00C7365E"/>
    <w:rsid w:val="00C739E0"/>
    <w:rsid w:val="00C77A51"/>
    <w:rsid w:val="00C81039"/>
    <w:rsid w:val="00C83655"/>
    <w:rsid w:val="00C85D0A"/>
    <w:rsid w:val="00C86B0F"/>
    <w:rsid w:val="00CA1BEC"/>
    <w:rsid w:val="00CA241C"/>
    <w:rsid w:val="00CA4551"/>
    <w:rsid w:val="00CA5077"/>
    <w:rsid w:val="00CA5AAE"/>
    <w:rsid w:val="00CA6C59"/>
    <w:rsid w:val="00CB16DC"/>
    <w:rsid w:val="00CC00BE"/>
    <w:rsid w:val="00CC2F95"/>
    <w:rsid w:val="00CC657A"/>
    <w:rsid w:val="00CD2C26"/>
    <w:rsid w:val="00CD3176"/>
    <w:rsid w:val="00CD3DDA"/>
    <w:rsid w:val="00CD7812"/>
    <w:rsid w:val="00CE5D2A"/>
    <w:rsid w:val="00CE5F1B"/>
    <w:rsid w:val="00CE6842"/>
    <w:rsid w:val="00CF320F"/>
    <w:rsid w:val="00CF4B4F"/>
    <w:rsid w:val="00D01E35"/>
    <w:rsid w:val="00D03EC5"/>
    <w:rsid w:val="00D03F10"/>
    <w:rsid w:val="00D0527F"/>
    <w:rsid w:val="00D05590"/>
    <w:rsid w:val="00D06FE4"/>
    <w:rsid w:val="00D073CC"/>
    <w:rsid w:val="00D15F42"/>
    <w:rsid w:val="00D20371"/>
    <w:rsid w:val="00D23EC3"/>
    <w:rsid w:val="00D25E01"/>
    <w:rsid w:val="00D2687A"/>
    <w:rsid w:val="00D27F83"/>
    <w:rsid w:val="00D31434"/>
    <w:rsid w:val="00D32BC1"/>
    <w:rsid w:val="00D35189"/>
    <w:rsid w:val="00D35B30"/>
    <w:rsid w:val="00D36D8C"/>
    <w:rsid w:val="00D430D0"/>
    <w:rsid w:val="00D439EE"/>
    <w:rsid w:val="00D46493"/>
    <w:rsid w:val="00D46F68"/>
    <w:rsid w:val="00D52776"/>
    <w:rsid w:val="00D52C71"/>
    <w:rsid w:val="00D53E21"/>
    <w:rsid w:val="00D54165"/>
    <w:rsid w:val="00D54433"/>
    <w:rsid w:val="00D6153D"/>
    <w:rsid w:val="00D62CB2"/>
    <w:rsid w:val="00D65FE6"/>
    <w:rsid w:val="00D73130"/>
    <w:rsid w:val="00D73D51"/>
    <w:rsid w:val="00D73FAB"/>
    <w:rsid w:val="00D85B16"/>
    <w:rsid w:val="00DA5266"/>
    <w:rsid w:val="00DA6821"/>
    <w:rsid w:val="00DA71DC"/>
    <w:rsid w:val="00DB4AB8"/>
    <w:rsid w:val="00DB7FF4"/>
    <w:rsid w:val="00DC5D20"/>
    <w:rsid w:val="00DE0086"/>
    <w:rsid w:val="00DE1D6B"/>
    <w:rsid w:val="00DE3490"/>
    <w:rsid w:val="00DE59DC"/>
    <w:rsid w:val="00DE5D1B"/>
    <w:rsid w:val="00DE79D9"/>
    <w:rsid w:val="00DF196F"/>
    <w:rsid w:val="00E00323"/>
    <w:rsid w:val="00E02FFE"/>
    <w:rsid w:val="00E03286"/>
    <w:rsid w:val="00E05D72"/>
    <w:rsid w:val="00E2241B"/>
    <w:rsid w:val="00E232D7"/>
    <w:rsid w:val="00E2368C"/>
    <w:rsid w:val="00E246C8"/>
    <w:rsid w:val="00E249A7"/>
    <w:rsid w:val="00E30AB7"/>
    <w:rsid w:val="00E3136B"/>
    <w:rsid w:val="00E32DA5"/>
    <w:rsid w:val="00E33626"/>
    <w:rsid w:val="00E348F6"/>
    <w:rsid w:val="00E37273"/>
    <w:rsid w:val="00E379D9"/>
    <w:rsid w:val="00E45A37"/>
    <w:rsid w:val="00E5143A"/>
    <w:rsid w:val="00E60F33"/>
    <w:rsid w:val="00E61584"/>
    <w:rsid w:val="00E672C5"/>
    <w:rsid w:val="00E709B4"/>
    <w:rsid w:val="00E72361"/>
    <w:rsid w:val="00E727DF"/>
    <w:rsid w:val="00E75C58"/>
    <w:rsid w:val="00E83698"/>
    <w:rsid w:val="00E83B6F"/>
    <w:rsid w:val="00E92EFB"/>
    <w:rsid w:val="00E97D25"/>
    <w:rsid w:val="00EA4C08"/>
    <w:rsid w:val="00EA600A"/>
    <w:rsid w:val="00EA7000"/>
    <w:rsid w:val="00EA72FD"/>
    <w:rsid w:val="00EB58BD"/>
    <w:rsid w:val="00EB7AE7"/>
    <w:rsid w:val="00EC27AF"/>
    <w:rsid w:val="00EC4783"/>
    <w:rsid w:val="00ED48A1"/>
    <w:rsid w:val="00ED6AC2"/>
    <w:rsid w:val="00ED7498"/>
    <w:rsid w:val="00EE1A2C"/>
    <w:rsid w:val="00EE2D73"/>
    <w:rsid w:val="00EE3563"/>
    <w:rsid w:val="00EE52B6"/>
    <w:rsid w:val="00EE5E45"/>
    <w:rsid w:val="00EE6576"/>
    <w:rsid w:val="00EE781C"/>
    <w:rsid w:val="00EF1372"/>
    <w:rsid w:val="00EF5095"/>
    <w:rsid w:val="00EF58F6"/>
    <w:rsid w:val="00EF6430"/>
    <w:rsid w:val="00F05985"/>
    <w:rsid w:val="00F0634D"/>
    <w:rsid w:val="00F16BA0"/>
    <w:rsid w:val="00F16C34"/>
    <w:rsid w:val="00F21E06"/>
    <w:rsid w:val="00F22898"/>
    <w:rsid w:val="00F238D0"/>
    <w:rsid w:val="00F24602"/>
    <w:rsid w:val="00F24FF3"/>
    <w:rsid w:val="00F258E7"/>
    <w:rsid w:val="00F43A84"/>
    <w:rsid w:val="00F45221"/>
    <w:rsid w:val="00F513D7"/>
    <w:rsid w:val="00F5589C"/>
    <w:rsid w:val="00F57B3E"/>
    <w:rsid w:val="00F60198"/>
    <w:rsid w:val="00F604FE"/>
    <w:rsid w:val="00F73C8A"/>
    <w:rsid w:val="00F742AF"/>
    <w:rsid w:val="00F7439A"/>
    <w:rsid w:val="00F80CCA"/>
    <w:rsid w:val="00F82A58"/>
    <w:rsid w:val="00F86C0D"/>
    <w:rsid w:val="00FA5264"/>
    <w:rsid w:val="00FB079D"/>
    <w:rsid w:val="00FB2226"/>
    <w:rsid w:val="00FB35F7"/>
    <w:rsid w:val="00FC0481"/>
    <w:rsid w:val="00FD1EBB"/>
    <w:rsid w:val="00FD25F4"/>
    <w:rsid w:val="00FD3000"/>
    <w:rsid w:val="00FD526D"/>
    <w:rsid w:val="00FE6058"/>
    <w:rsid w:val="00FF089D"/>
    <w:rsid w:val="00FF1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9B3A"/>
  <w15:chartTrackingRefBased/>
  <w15:docId w15:val="{C979C722-42E4-4B6D-9DAE-0D22E92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F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7FF4"/>
    <w:pPr>
      <w:spacing w:before="100" w:beforeAutospacing="1" w:after="100" w:afterAutospacing="1"/>
    </w:pPr>
    <w:rPr>
      <w:rFonts w:eastAsia="Times New Roman"/>
      <w:szCs w:val="24"/>
      <w:lang w:eastAsia="lv-LV"/>
    </w:rPr>
  </w:style>
  <w:style w:type="paragraph" w:customStyle="1" w:styleId="naisf">
    <w:name w:val="naisf"/>
    <w:basedOn w:val="Normal"/>
    <w:rsid w:val="00DB7FF4"/>
    <w:pPr>
      <w:spacing w:before="75" w:after="75"/>
      <w:ind w:firstLine="375"/>
      <w:jc w:val="both"/>
    </w:pPr>
    <w:rPr>
      <w:rFonts w:eastAsia="Times New Roman"/>
      <w:szCs w:val="24"/>
      <w:lang w:eastAsia="lv-LV"/>
    </w:rPr>
  </w:style>
  <w:style w:type="paragraph" w:customStyle="1" w:styleId="naiskr">
    <w:name w:val="naiskr"/>
    <w:basedOn w:val="Normal"/>
    <w:rsid w:val="00DB7FF4"/>
    <w:pPr>
      <w:spacing w:before="75" w:after="75"/>
    </w:pPr>
    <w:rPr>
      <w:rFonts w:eastAsia="Times New Roman"/>
      <w:szCs w:val="24"/>
      <w:lang w:eastAsia="lv-LV"/>
    </w:rPr>
  </w:style>
  <w:style w:type="paragraph" w:customStyle="1" w:styleId="naisc">
    <w:name w:val="naisc"/>
    <w:basedOn w:val="Normal"/>
    <w:rsid w:val="00DB7FF4"/>
    <w:pPr>
      <w:spacing w:before="75" w:after="75"/>
      <w:jc w:val="center"/>
    </w:pPr>
    <w:rPr>
      <w:rFonts w:eastAsia="Times New Roman"/>
      <w:szCs w:val="24"/>
      <w:lang w:eastAsia="lv-LV"/>
    </w:rPr>
  </w:style>
  <w:style w:type="paragraph" w:styleId="Header">
    <w:name w:val="header"/>
    <w:basedOn w:val="Normal"/>
    <w:link w:val="HeaderChar"/>
    <w:uiPriority w:val="99"/>
    <w:rsid w:val="00DB7FF4"/>
    <w:pPr>
      <w:tabs>
        <w:tab w:val="center" w:pos="4153"/>
        <w:tab w:val="right" w:pos="8306"/>
      </w:tabs>
    </w:pPr>
    <w:rPr>
      <w:rFonts w:eastAsia="Times New Roman"/>
      <w:szCs w:val="24"/>
      <w:lang w:eastAsia="lv-LV"/>
    </w:rPr>
  </w:style>
  <w:style w:type="character" w:customStyle="1" w:styleId="HeaderChar">
    <w:name w:val="Header Char"/>
    <w:basedOn w:val="DefaultParagraphFont"/>
    <w:link w:val="Header"/>
    <w:uiPriority w:val="99"/>
    <w:rsid w:val="00DB7FF4"/>
    <w:rPr>
      <w:rFonts w:ascii="Times New Roman" w:eastAsia="Times New Roman" w:hAnsi="Times New Roman" w:cs="Times New Roman"/>
      <w:sz w:val="24"/>
      <w:szCs w:val="24"/>
      <w:lang w:eastAsia="lv-LV"/>
    </w:rPr>
  </w:style>
  <w:style w:type="character" w:styleId="PageNumber">
    <w:name w:val="page number"/>
    <w:uiPriority w:val="99"/>
    <w:rsid w:val="00DB7FF4"/>
    <w:rPr>
      <w:rFonts w:cs="Times New Roman"/>
    </w:rPr>
  </w:style>
  <w:style w:type="paragraph" w:styleId="Footer">
    <w:name w:val="footer"/>
    <w:basedOn w:val="Normal"/>
    <w:link w:val="FooterChar"/>
    <w:rsid w:val="00DB7FF4"/>
    <w:pPr>
      <w:tabs>
        <w:tab w:val="center" w:pos="4153"/>
        <w:tab w:val="right" w:pos="8306"/>
      </w:tabs>
    </w:pPr>
    <w:rPr>
      <w:rFonts w:eastAsia="Times New Roman"/>
      <w:szCs w:val="24"/>
      <w:lang w:eastAsia="lv-LV"/>
    </w:rPr>
  </w:style>
  <w:style w:type="character" w:customStyle="1" w:styleId="FooterChar">
    <w:name w:val="Footer Char"/>
    <w:basedOn w:val="DefaultParagraphFont"/>
    <w:link w:val="Footer"/>
    <w:rsid w:val="00DB7FF4"/>
    <w:rPr>
      <w:rFonts w:ascii="Times New Roman" w:eastAsia="Times New Roman" w:hAnsi="Times New Roman" w:cs="Times New Roman"/>
      <w:sz w:val="24"/>
      <w:szCs w:val="24"/>
      <w:lang w:eastAsia="lv-LV"/>
    </w:rPr>
  </w:style>
  <w:style w:type="paragraph" w:customStyle="1" w:styleId="Body1">
    <w:name w:val="Body 1"/>
    <w:rsid w:val="00DB7FF4"/>
    <w:pPr>
      <w:spacing w:after="200" w:line="276" w:lineRule="auto"/>
      <w:outlineLvl w:val="0"/>
    </w:pPr>
    <w:rPr>
      <w:rFonts w:ascii="Helvetica" w:eastAsia="Arial Unicode MS" w:hAnsi="Helvetica" w:cs="Times New Roman"/>
      <w:color w:val="000000"/>
      <w:szCs w:val="20"/>
      <w:u w:color="000000"/>
      <w:lang w:eastAsia="lv-LV"/>
    </w:rPr>
  </w:style>
  <w:style w:type="paragraph" w:styleId="ListParagraph">
    <w:name w:val="List Paragraph"/>
    <w:basedOn w:val="Normal"/>
    <w:uiPriority w:val="34"/>
    <w:qFormat/>
    <w:rsid w:val="00CC00BE"/>
    <w:pPr>
      <w:spacing w:after="160" w:line="259" w:lineRule="auto"/>
      <w:ind w:left="720"/>
      <w:contextualSpacing/>
    </w:pPr>
    <w:rPr>
      <w:rFonts w:asciiTheme="minorHAnsi" w:eastAsiaTheme="minorHAnsi" w:hAnsiTheme="minorHAnsi" w:cstheme="minorBidi"/>
      <w:sz w:val="22"/>
    </w:rPr>
  </w:style>
  <w:style w:type="paragraph" w:customStyle="1" w:styleId="tv213">
    <w:name w:val="tv213"/>
    <w:basedOn w:val="Normal"/>
    <w:rsid w:val="00B962C1"/>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423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5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A6EA1"/>
    <w:rPr>
      <w:sz w:val="16"/>
      <w:szCs w:val="16"/>
    </w:rPr>
  </w:style>
  <w:style w:type="paragraph" w:styleId="CommentText">
    <w:name w:val="annotation text"/>
    <w:basedOn w:val="Normal"/>
    <w:link w:val="CommentTextChar"/>
    <w:uiPriority w:val="99"/>
    <w:semiHidden/>
    <w:unhideWhenUsed/>
    <w:rsid w:val="009A6EA1"/>
    <w:rPr>
      <w:sz w:val="20"/>
      <w:szCs w:val="20"/>
    </w:rPr>
  </w:style>
  <w:style w:type="character" w:customStyle="1" w:styleId="CommentTextChar">
    <w:name w:val="Comment Text Char"/>
    <w:basedOn w:val="DefaultParagraphFont"/>
    <w:link w:val="CommentText"/>
    <w:uiPriority w:val="99"/>
    <w:semiHidden/>
    <w:rsid w:val="009A6E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EA1"/>
    <w:rPr>
      <w:b/>
      <w:bCs/>
    </w:rPr>
  </w:style>
  <w:style w:type="character" w:customStyle="1" w:styleId="CommentSubjectChar">
    <w:name w:val="Comment Subject Char"/>
    <w:basedOn w:val="CommentTextChar"/>
    <w:link w:val="CommentSubject"/>
    <w:uiPriority w:val="99"/>
    <w:semiHidden/>
    <w:rsid w:val="009A6EA1"/>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00323"/>
    <w:rPr>
      <w:color w:val="0000FF"/>
      <w:u w:val="single"/>
    </w:rPr>
  </w:style>
  <w:style w:type="paragraph" w:styleId="Caption">
    <w:name w:val="caption"/>
    <w:basedOn w:val="Normal"/>
    <w:next w:val="Normal"/>
    <w:qFormat/>
    <w:rsid w:val="002C36FB"/>
    <w:pPr>
      <w:framePr w:w="9083" w:hSpace="181" w:wrap="around" w:vAnchor="page" w:hAnchor="page" w:x="1702" w:y="579" w:anchorLock="1"/>
      <w:pBdr>
        <w:bottom w:val="single" w:sz="6" w:space="4" w:color="auto"/>
      </w:pBdr>
      <w:jc w:val="center"/>
    </w:pPr>
    <w:rPr>
      <w:rFonts w:eastAsia="Times New Roman"/>
      <w:spacing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0768">
      <w:bodyDiv w:val="1"/>
      <w:marLeft w:val="0"/>
      <w:marRight w:val="0"/>
      <w:marTop w:val="0"/>
      <w:marBottom w:val="0"/>
      <w:divBdr>
        <w:top w:val="none" w:sz="0" w:space="0" w:color="auto"/>
        <w:left w:val="none" w:sz="0" w:space="0" w:color="auto"/>
        <w:bottom w:val="none" w:sz="0" w:space="0" w:color="auto"/>
        <w:right w:val="none" w:sz="0" w:space="0" w:color="auto"/>
      </w:divBdr>
    </w:div>
    <w:div w:id="85733926">
      <w:bodyDiv w:val="1"/>
      <w:marLeft w:val="0"/>
      <w:marRight w:val="0"/>
      <w:marTop w:val="0"/>
      <w:marBottom w:val="0"/>
      <w:divBdr>
        <w:top w:val="none" w:sz="0" w:space="0" w:color="auto"/>
        <w:left w:val="none" w:sz="0" w:space="0" w:color="auto"/>
        <w:bottom w:val="none" w:sz="0" w:space="0" w:color="auto"/>
        <w:right w:val="none" w:sz="0" w:space="0" w:color="auto"/>
      </w:divBdr>
    </w:div>
    <w:div w:id="481847239">
      <w:bodyDiv w:val="1"/>
      <w:marLeft w:val="0"/>
      <w:marRight w:val="0"/>
      <w:marTop w:val="0"/>
      <w:marBottom w:val="0"/>
      <w:divBdr>
        <w:top w:val="none" w:sz="0" w:space="0" w:color="auto"/>
        <w:left w:val="none" w:sz="0" w:space="0" w:color="auto"/>
        <w:bottom w:val="none" w:sz="0" w:space="0" w:color="auto"/>
        <w:right w:val="none" w:sz="0" w:space="0" w:color="auto"/>
      </w:divBdr>
    </w:div>
    <w:div w:id="542641605">
      <w:bodyDiv w:val="1"/>
      <w:marLeft w:val="0"/>
      <w:marRight w:val="0"/>
      <w:marTop w:val="0"/>
      <w:marBottom w:val="0"/>
      <w:divBdr>
        <w:top w:val="none" w:sz="0" w:space="0" w:color="auto"/>
        <w:left w:val="none" w:sz="0" w:space="0" w:color="auto"/>
        <w:bottom w:val="none" w:sz="0" w:space="0" w:color="auto"/>
        <w:right w:val="none" w:sz="0" w:space="0" w:color="auto"/>
      </w:divBdr>
    </w:div>
    <w:div w:id="563415835">
      <w:bodyDiv w:val="1"/>
      <w:marLeft w:val="0"/>
      <w:marRight w:val="0"/>
      <w:marTop w:val="0"/>
      <w:marBottom w:val="0"/>
      <w:divBdr>
        <w:top w:val="none" w:sz="0" w:space="0" w:color="auto"/>
        <w:left w:val="none" w:sz="0" w:space="0" w:color="auto"/>
        <w:bottom w:val="none" w:sz="0" w:space="0" w:color="auto"/>
        <w:right w:val="none" w:sz="0" w:space="0" w:color="auto"/>
      </w:divBdr>
    </w:div>
    <w:div w:id="1161313124">
      <w:bodyDiv w:val="1"/>
      <w:marLeft w:val="0"/>
      <w:marRight w:val="0"/>
      <w:marTop w:val="0"/>
      <w:marBottom w:val="0"/>
      <w:divBdr>
        <w:top w:val="none" w:sz="0" w:space="0" w:color="auto"/>
        <w:left w:val="none" w:sz="0" w:space="0" w:color="auto"/>
        <w:bottom w:val="none" w:sz="0" w:space="0" w:color="auto"/>
        <w:right w:val="none" w:sz="0" w:space="0" w:color="auto"/>
      </w:divBdr>
    </w:div>
    <w:div w:id="1338193122">
      <w:bodyDiv w:val="1"/>
      <w:marLeft w:val="0"/>
      <w:marRight w:val="0"/>
      <w:marTop w:val="0"/>
      <w:marBottom w:val="0"/>
      <w:divBdr>
        <w:top w:val="none" w:sz="0" w:space="0" w:color="auto"/>
        <w:left w:val="none" w:sz="0" w:space="0" w:color="auto"/>
        <w:bottom w:val="none" w:sz="0" w:space="0" w:color="auto"/>
        <w:right w:val="none" w:sz="0" w:space="0" w:color="auto"/>
      </w:divBdr>
    </w:div>
    <w:div w:id="1829129156">
      <w:bodyDiv w:val="1"/>
      <w:marLeft w:val="0"/>
      <w:marRight w:val="0"/>
      <w:marTop w:val="0"/>
      <w:marBottom w:val="0"/>
      <w:divBdr>
        <w:top w:val="none" w:sz="0" w:space="0" w:color="auto"/>
        <w:left w:val="none" w:sz="0" w:space="0" w:color="auto"/>
        <w:bottom w:val="none" w:sz="0" w:space="0" w:color="auto"/>
        <w:right w:val="none" w:sz="0" w:space="0" w:color="auto"/>
      </w:divBdr>
    </w:div>
    <w:div w:id="1860581884">
      <w:bodyDiv w:val="1"/>
      <w:marLeft w:val="0"/>
      <w:marRight w:val="0"/>
      <w:marTop w:val="0"/>
      <w:marBottom w:val="0"/>
      <w:divBdr>
        <w:top w:val="none" w:sz="0" w:space="0" w:color="auto"/>
        <w:left w:val="none" w:sz="0" w:space="0" w:color="auto"/>
        <w:bottom w:val="none" w:sz="0" w:space="0" w:color="auto"/>
        <w:right w:val="none" w:sz="0" w:space="0" w:color="auto"/>
      </w:divBdr>
    </w:div>
    <w:div w:id="1870992814">
      <w:bodyDiv w:val="1"/>
      <w:marLeft w:val="0"/>
      <w:marRight w:val="0"/>
      <w:marTop w:val="0"/>
      <w:marBottom w:val="0"/>
      <w:divBdr>
        <w:top w:val="none" w:sz="0" w:space="0" w:color="auto"/>
        <w:left w:val="none" w:sz="0" w:space="0" w:color="auto"/>
        <w:bottom w:val="none" w:sz="0" w:space="0" w:color="auto"/>
        <w:right w:val="none" w:sz="0" w:space="0" w:color="auto"/>
      </w:divBdr>
    </w:div>
    <w:div w:id="2059426701">
      <w:bodyDiv w:val="1"/>
      <w:marLeft w:val="0"/>
      <w:marRight w:val="0"/>
      <w:marTop w:val="0"/>
      <w:marBottom w:val="0"/>
      <w:divBdr>
        <w:top w:val="none" w:sz="0" w:space="0" w:color="auto"/>
        <w:left w:val="none" w:sz="0" w:space="0" w:color="auto"/>
        <w:bottom w:val="none" w:sz="0" w:space="0" w:color="auto"/>
        <w:right w:val="none" w:sz="0" w:space="0" w:color="auto"/>
      </w:divBdr>
    </w:div>
    <w:div w:id="20635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Priedite@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7324-B9F3-4F04-849B-E2C7FBFA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8652</Words>
  <Characters>4932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Eberharde</dc:creator>
  <cp:keywords/>
  <dc:description/>
  <cp:lastModifiedBy>Nauris Priedītis</cp:lastModifiedBy>
  <cp:revision>8</cp:revision>
  <cp:lastPrinted>2018-06-12T12:46:00Z</cp:lastPrinted>
  <dcterms:created xsi:type="dcterms:W3CDTF">2020-04-17T11:48:00Z</dcterms:created>
  <dcterms:modified xsi:type="dcterms:W3CDTF">2020-04-20T14:07:00Z</dcterms:modified>
</cp:coreProperties>
</file>