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C7" w:rsidRPr="00712B66" w:rsidRDefault="007116C7" w:rsidP="00F22BD8">
      <w:pPr>
        <w:pStyle w:val="naisnod"/>
        <w:spacing w:before="0" w:after="0"/>
        <w:rPr>
          <w:sz w:val="28"/>
          <w:szCs w:val="28"/>
        </w:rPr>
      </w:pPr>
      <w:r w:rsidRPr="00712B66">
        <w:rPr>
          <w:sz w:val="28"/>
          <w:szCs w:val="28"/>
        </w:rPr>
        <w:t>Izziņa par atzinumos sniegtajiem iebildumiem</w:t>
      </w:r>
    </w:p>
    <w:p w:rsidR="007116C7" w:rsidRPr="008A36C9" w:rsidRDefault="007116C7" w:rsidP="00F22BD8">
      <w:pPr>
        <w:pStyle w:val="naisf"/>
        <w:spacing w:before="0" w:after="0"/>
        <w:ind w:firstLine="0"/>
      </w:pPr>
    </w:p>
    <w:tbl>
      <w:tblPr>
        <w:tblW w:w="0" w:type="auto"/>
        <w:jc w:val="center"/>
        <w:tblLook w:val="00A0"/>
      </w:tblPr>
      <w:tblGrid>
        <w:gridCol w:w="10188"/>
      </w:tblGrid>
      <w:tr w:rsidR="007116C7" w:rsidRPr="00712B66">
        <w:trPr>
          <w:jc w:val="center"/>
        </w:trPr>
        <w:tc>
          <w:tcPr>
            <w:tcW w:w="10188" w:type="dxa"/>
            <w:tcBorders>
              <w:bottom w:val="single" w:sz="6" w:space="0" w:color="000000"/>
            </w:tcBorders>
          </w:tcPr>
          <w:p w:rsidR="007116C7" w:rsidRPr="00712B66" w:rsidRDefault="004F2C0E" w:rsidP="004F2C0E">
            <w:pPr>
              <w:jc w:val="center"/>
            </w:pPr>
            <w:r w:rsidRPr="00EB4E25">
              <w:rPr>
                <w:b/>
              </w:rPr>
              <w:t>Likumprojekt</w:t>
            </w:r>
            <w:r>
              <w:rPr>
                <w:b/>
              </w:rPr>
              <w:t>s</w:t>
            </w:r>
            <w:r w:rsidRPr="00EB4E25">
              <w:rPr>
                <w:b/>
              </w:rPr>
              <w:t xml:space="preserve"> “Grozījumi Dzīvojamo māju pārvaldīšanas likumā”</w:t>
            </w:r>
            <w:r>
              <w:rPr>
                <w:b/>
              </w:rPr>
              <w:t xml:space="preserve"> (VSS-1248)</w:t>
            </w:r>
          </w:p>
        </w:tc>
      </w:tr>
    </w:tbl>
    <w:p w:rsidR="007116C7" w:rsidRPr="00712B66" w:rsidRDefault="007116C7" w:rsidP="00F22BD8">
      <w:pPr>
        <w:pStyle w:val="naisc"/>
        <w:spacing w:before="0" w:after="0"/>
      </w:pPr>
      <w:r w:rsidRPr="00712B66">
        <w:t>(dokumenta veids un nosaukums)</w:t>
      </w:r>
    </w:p>
    <w:p w:rsidR="007B4C0F" w:rsidRPr="00712B66" w:rsidRDefault="007B4C0F" w:rsidP="00F22BD8">
      <w:pPr>
        <w:pStyle w:val="naisf"/>
        <w:spacing w:before="0" w:after="0"/>
        <w:ind w:firstLine="0"/>
      </w:pPr>
    </w:p>
    <w:p w:rsidR="007B4C0F" w:rsidRPr="00712B66" w:rsidRDefault="007B4C0F" w:rsidP="00F22BD8">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377"/>
        <w:gridCol w:w="3827"/>
        <w:gridCol w:w="2977"/>
        <w:gridCol w:w="2268"/>
        <w:gridCol w:w="2268"/>
      </w:tblGrid>
      <w:tr w:rsidR="005F4BFD" w:rsidRPr="00712B66" w:rsidTr="00097A10">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F0B43">
            <w:pPr>
              <w:pStyle w:val="naisc"/>
              <w:spacing w:before="0" w:after="0"/>
            </w:pPr>
            <w:r w:rsidRPr="00712B66">
              <w:t>Nr. p.</w:t>
            </w:r>
            <w:r w:rsidR="00D64FB0">
              <w:t> </w:t>
            </w:r>
            <w:r w:rsidRPr="00712B66">
              <w:t>k.</w:t>
            </w:r>
          </w:p>
        </w:tc>
        <w:tc>
          <w:tcPr>
            <w:tcW w:w="23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097A10">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5F0B43">
            <w:pPr>
              <w:pStyle w:val="naisc"/>
              <w:spacing w:before="0" w:after="0"/>
              <w:rPr>
                <w:sz w:val="20"/>
                <w:szCs w:val="20"/>
              </w:rPr>
            </w:pPr>
            <w:r w:rsidRPr="008A36C9">
              <w:rPr>
                <w:sz w:val="20"/>
                <w:szCs w:val="20"/>
              </w:rPr>
              <w:t>1</w:t>
            </w:r>
          </w:p>
        </w:tc>
        <w:tc>
          <w:tcPr>
            <w:tcW w:w="2377" w:type="dxa"/>
            <w:tcBorders>
              <w:top w:val="single" w:sz="6" w:space="0" w:color="000000"/>
              <w:left w:val="single" w:sz="6" w:space="0" w:color="000000"/>
              <w:bottom w:val="single" w:sz="6" w:space="0" w:color="000000"/>
              <w:right w:val="single" w:sz="6" w:space="0" w:color="000000"/>
            </w:tcBorders>
          </w:tcPr>
          <w:p w:rsidR="005F4BFD" w:rsidRPr="008A36C9" w:rsidRDefault="008A36C9" w:rsidP="004F2C0E">
            <w:pPr>
              <w:pStyle w:val="naisc"/>
              <w:spacing w:before="0" w:after="0"/>
              <w:rPr>
                <w:sz w:val="20"/>
                <w:szCs w:val="20"/>
              </w:rPr>
            </w:pPr>
            <w:r w:rsidRPr="008A36C9">
              <w:rPr>
                <w:sz w:val="20"/>
                <w:szCs w:val="20"/>
              </w:rPr>
              <w:t>2</w:t>
            </w:r>
          </w:p>
        </w:tc>
        <w:tc>
          <w:tcPr>
            <w:tcW w:w="3827" w:type="dxa"/>
            <w:tcBorders>
              <w:top w:val="single" w:sz="6" w:space="0" w:color="000000"/>
              <w:left w:val="single" w:sz="6" w:space="0" w:color="000000"/>
              <w:bottom w:val="single" w:sz="6" w:space="0" w:color="000000"/>
              <w:right w:val="single" w:sz="6" w:space="0" w:color="000000"/>
            </w:tcBorders>
          </w:tcPr>
          <w:p w:rsidR="005F4BFD" w:rsidRPr="008A36C9" w:rsidRDefault="008A36C9" w:rsidP="004F2C0E">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4F2C0E">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268"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C50546" w:rsidRPr="00712B66" w:rsidTr="00097A10">
        <w:tc>
          <w:tcPr>
            <w:tcW w:w="708" w:type="dxa"/>
            <w:tcBorders>
              <w:left w:val="single" w:sz="6" w:space="0" w:color="000000"/>
              <w:bottom w:val="single" w:sz="4" w:space="0" w:color="auto"/>
              <w:right w:val="single" w:sz="6" w:space="0" w:color="000000"/>
            </w:tcBorders>
          </w:tcPr>
          <w:p w:rsidR="00C50546" w:rsidRPr="00712B66" w:rsidRDefault="00C50546" w:rsidP="00C50546">
            <w:pPr>
              <w:pStyle w:val="naisc"/>
              <w:spacing w:before="0" w:after="0"/>
            </w:pPr>
            <w:r>
              <w:t>1.</w:t>
            </w:r>
          </w:p>
        </w:tc>
        <w:tc>
          <w:tcPr>
            <w:tcW w:w="2377" w:type="dxa"/>
            <w:tcBorders>
              <w:left w:val="single" w:sz="6" w:space="0" w:color="000000"/>
              <w:bottom w:val="single" w:sz="4" w:space="0" w:color="auto"/>
              <w:right w:val="single" w:sz="6" w:space="0" w:color="000000"/>
            </w:tcBorders>
          </w:tcPr>
          <w:p w:rsidR="00C50546" w:rsidRPr="005F0B43" w:rsidRDefault="00C50546" w:rsidP="00C50546">
            <w:pPr>
              <w:pStyle w:val="naisc"/>
              <w:spacing w:before="0" w:after="0"/>
              <w:jc w:val="both"/>
            </w:pPr>
          </w:p>
        </w:tc>
        <w:tc>
          <w:tcPr>
            <w:tcW w:w="3827" w:type="dxa"/>
            <w:tcBorders>
              <w:left w:val="single" w:sz="6" w:space="0" w:color="000000"/>
              <w:bottom w:val="single" w:sz="4" w:space="0" w:color="auto"/>
              <w:right w:val="single" w:sz="6" w:space="0" w:color="000000"/>
            </w:tcBorders>
          </w:tcPr>
          <w:p w:rsidR="00C50546" w:rsidRPr="00712B66" w:rsidRDefault="00C50546" w:rsidP="00C50546">
            <w:pPr>
              <w:pStyle w:val="naisc"/>
              <w:spacing w:before="0" w:after="0"/>
              <w:jc w:val="both"/>
            </w:pPr>
          </w:p>
        </w:tc>
        <w:tc>
          <w:tcPr>
            <w:tcW w:w="2977" w:type="dxa"/>
            <w:tcBorders>
              <w:left w:val="single" w:sz="6" w:space="0" w:color="000000"/>
              <w:bottom w:val="single" w:sz="4" w:space="0" w:color="auto"/>
              <w:right w:val="single" w:sz="6" w:space="0" w:color="000000"/>
            </w:tcBorders>
          </w:tcPr>
          <w:p w:rsidR="00C50546" w:rsidRPr="00712B66" w:rsidRDefault="00C50546" w:rsidP="00C50546">
            <w:pPr>
              <w:pStyle w:val="naisc"/>
              <w:spacing w:before="0" w:after="0"/>
              <w:jc w:val="both"/>
            </w:pPr>
          </w:p>
        </w:tc>
        <w:tc>
          <w:tcPr>
            <w:tcW w:w="2268" w:type="dxa"/>
            <w:tcBorders>
              <w:top w:val="single" w:sz="4" w:space="0" w:color="auto"/>
              <w:left w:val="single" w:sz="4" w:space="0" w:color="auto"/>
              <w:bottom w:val="single" w:sz="4" w:space="0" w:color="auto"/>
              <w:right w:val="single" w:sz="4" w:space="0" w:color="auto"/>
            </w:tcBorders>
          </w:tcPr>
          <w:p w:rsidR="00C50546" w:rsidRPr="00712B66" w:rsidRDefault="00C50546" w:rsidP="00C50546"/>
        </w:tc>
        <w:tc>
          <w:tcPr>
            <w:tcW w:w="2268" w:type="dxa"/>
            <w:tcBorders>
              <w:top w:val="single" w:sz="4" w:space="0" w:color="auto"/>
              <w:left w:val="single" w:sz="4" w:space="0" w:color="auto"/>
              <w:bottom w:val="single" w:sz="4" w:space="0" w:color="auto"/>
            </w:tcBorders>
          </w:tcPr>
          <w:p w:rsidR="00C50546" w:rsidRPr="00712B66" w:rsidRDefault="00C50546" w:rsidP="00C50546"/>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starpministriju (starpinstitūciju) sanāksmi vai </w:t>
      </w:r>
      <w:r w:rsidRPr="0039307D">
        <w:rPr>
          <w:b/>
          <w:u w:val="single"/>
        </w:rPr>
        <w:t>elektronisko saskaņošanu</w:t>
      </w:r>
    </w:p>
    <w:p w:rsidR="005D67F7" w:rsidRPr="00712B66" w:rsidRDefault="005D67F7" w:rsidP="005D67F7">
      <w:pPr>
        <w:pStyle w:val="naisf"/>
        <w:spacing w:before="0" w:after="0"/>
        <w:ind w:firstLine="0"/>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229"/>
      </w:tblGrid>
      <w:tr w:rsidR="007B4C0F" w:rsidRPr="00712B66" w:rsidTr="00F10DF3">
        <w:tc>
          <w:tcPr>
            <w:tcW w:w="7196" w:type="dxa"/>
            <w:tcBorders>
              <w:top w:val="nil"/>
              <w:left w:val="nil"/>
              <w:bottom w:val="nil"/>
              <w:right w:val="nil"/>
            </w:tcBorders>
          </w:tcPr>
          <w:p w:rsidR="007B4C0F" w:rsidRPr="00712B66" w:rsidRDefault="005D67F7" w:rsidP="00F10DF3">
            <w:pPr>
              <w:pStyle w:val="naisf"/>
              <w:spacing w:before="0" w:after="0"/>
              <w:ind w:right="454" w:firstLine="0"/>
            </w:pPr>
            <w:r w:rsidRPr="00712B66">
              <w:t>D</w:t>
            </w:r>
            <w:r w:rsidR="007B4C0F" w:rsidRPr="00712B66">
              <w:t>atums</w:t>
            </w:r>
          </w:p>
        </w:tc>
        <w:tc>
          <w:tcPr>
            <w:tcW w:w="7229" w:type="dxa"/>
            <w:tcBorders>
              <w:top w:val="nil"/>
              <w:left w:val="nil"/>
              <w:right w:val="nil"/>
            </w:tcBorders>
          </w:tcPr>
          <w:p w:rsidR="007B4C0F" w:rsidRPr="00F55FD8" w:rsidRDefault="00F55FD8" w:rsidP="00F10DF3">
            <w:pPr>
              <w:pStyle w:val="NormalWeb"/>
              <w:spacing w:before="0" w:beforeAutospacing="0" w:after="0" w:afterAutospacing="0"/>
              <w:ind w:left="171"/>
            </w:pPr>
            <w:r>
              <w:t>2020. gada 16.</w:t>
            </w:r>
            <w:r w:rsidR="00EB7B50">
              <w:t>-20.</w:t>
            </w:r>
            <w:r>
              <w:t> marts</w:t>
            </w:r>
          </w:p>
        </w:tc>
      </w:tr>
      <w:tr w:rsidR="003C27A2" w:rsidRPr="00712B66" w:rsidTr="00F10DF3">
        <w:tc>
          <w:tcPr>
            <w:tcW w:w="7196" w:type="dxa"/>
            <w:tcBorders>
              <w:top w:val="nil"/>
              <w:left w:val="nil"/>
              <w:bottom w:val="nil"/>
              <w:right w:val="nil"/>
            </w:tcBorders>
          </w:tcPr>
          <w:p w:rsidR="003C27A2" w:rsidRPr="00712B66" w:rsidRDefault="003C27A2" w:rsidP="00F10DF3">
            <w:pPr>
              <w:pStyle w:val="naisf"/>
              <w:spacing w:before="0" w:after="0"/>
              <w:ind w:right="454" w:firstLine="0"/>
            </w:pPr>
          </w:p>
        </w:tc>
        <w:tc>
          <w:tcPr>
            <w:tcW w:w="7229" w:type="dxa"/>
            <w:tcBorders>
              <w:left w:val="nil"/>
              <w:bottom w:val="nil"/>
              <w:right w:val="nil"/>
            </w:tcBorders>
          </w:tcPr>
          <w:p w:rsidR="003C27A2" w:rsidRPr="00712B66" w:rsidRDefault="003C27A2" w:rsidP="00F10DF3">
            <w:pPr>
              <w:pStyle w:val="NormalWeb"/>
              <w:spacing w:before="0" w:beforeAutospacing="0" w:after="0" w:afterAutospacing="0"/>
              <w:ind w:left="171"/>
            </w:pPr>
          </w:p>
        </w:tc>
      </w:tr>
      <w:tr w:rsidR="007B4C0F" w:rsidRPr="00712B66" w:rsidTr="00F10DF3">
        <w:tc>
          <w:tcPr>
            <w:tcW w:w="7196" w:type="dxa"/>
            <w:tcBorders>
              <w:top w:val="nil"/>
              <w:left w:val="nil"/>
              <w:bottom w:val="nil"/>
              <w:right w:val="nil"/>
            </w:tcBorders>
          </w:tcPr>
          <w:p w:rsidR="007B4C0F" w:rsidRPr="00712B66" w:rsidRDefault="00365CC0" w:rsidP="00F10DF3">
            <w:pPr>
              <w:pStyle w:val="naiskr"/>
              <w:spacing w:before="0" w:after="0"/>
              <w:ind w:right="454"/>
            </w:pPr>
            <w:r>
              <w:t>Saskaņošanas d</w:t>
            </w:r>
            <w:r w:rsidRPr="00712B66">
              <w:t>alībnieki</w:t>
            </w:r>
          </w:p>
        </w:tc>
        <w:tc>
          <w:tcPr>
            <w:tcW w:w="7229" w:type="dxa"/>
            <w:tcBorders>
              <w:top w:val="nil"/>
              <w:left w:val="nil"/>
              <w:right w:val="nil"/>
            </w:tcBorders>
          </w:tcPr>
          <w:p w:rsidR="007B4C0F" w:rsidRPr="00712B66" w:rsidRDefault="0039307D" w:rsidP="0039307D">
            <w:pPr>
              <w:pStyle w:val="NormalWeb"/>
              <w:spacing w:before="0" w:beforeAutospacing="0" w:after="0" w:afterAutospacing="0"/>
              <w:ind w:left="171"/>
            </w:pPr>
            <w:r>
              <w:t xml:space="preserve">Finanšu ministrija, Tieslietu ministrija, Vides aizsardzības un </w:t>
            </w:r>
          </w:p>
        </w:tc>
      </w:tr>
      <w:tr w:rsidR="00F10DF3" w:rsidRPr="00712B66" w:rsidTr="00F10DF3">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top w:val="nil"/>
              <w:left w:val="nil"/>
              <w:right w:val="nil"/>
            </w:tcBorders>
          </w:tcPr>
          <w:p w:rsidR="00F10DF3" w:rsidRPr="00712B66" w:rsidRDefault="0039307D" w:rsidP="002E5DF1">
            <w:pPr>
              <w:pStyle w:val="NormalWeb"/>
              <w:spacing w:before="0" w:beforeAutospacing="0" w:after="0" w:afterAutospacing="0"/>
              <w:ind w:left="171"/>
            </w:pPr>
            <w:r>
              <w:t xml:space="preserve">reģionālās attīstības ministrija, Valsts kontrole, </w:t>
            </w:r>
            <w:r w:rsidR="002E5DF1">
              <w:t xml:space="preserve">Latvijas Pašvaldību </w:t>
            </w:r>
          </w:p>
        </w:tc>
      </w:tr>
      <w:tr w:rsidR="0039307D" w:rsidRPr="00712B66" w:rsidTr="00F10DF3">
        <w:tc>
          <w:tcPr>
            <w:tcW w:w="7196" w:type="dxa"/>
            <w:tcBorders>
              <w:top w:val="nil"/>
              <w:left w:val="nil"/>
              <w:bottom w:val="nil"/>
              <w:right w:val="nil"/>
            </w:tcBorders>
          </w:tcPr>
          <w:p w:rsidR="0039307D" w:rsidRDefault="0039307D" w:rsidP="00F10DF3">
            <w:pPr>
              <w:pStyle w:val="naiskr"/>
              <w:spacing w:before="0" w:after="0"/>
              <w:ind w:right="454"/>
            </w:pPr>
          </w:p>
        </w:tc>
        <w:tc>
          <w:tcPr>
            <w:tcW w:w="7229" w:type="dxa"/>
            <w:tcBorders>
              <w:top w:val="nil"/>
              <w:left w:val="nil"/>
              <w:right w:val="nil"/>
            </w:tcBorders>
          </w:tcPr>
          <w:p w:rsidR="0039307D" w:rsidRDefault="002E5DF1" w:rsidP="002E5DF1">
            <w:pPr>
              <w:pStyle w:val="NormalWeb"/>
              <w:spacing w:before="0" w:beforeAutospacing="0" w:after="0" w:afterAutospacing="0"/>
              <w:ind w:left="171"/>
            </w:pPr>
            <w:r>
              <w:t>savienība</w:t>
            </w:r>
          </w:p>
        </w:tc>
      </w:tr>
      <w:tr w:rsidR="007B4C0F" w:rsidRPr="00712B66" w:rsidTr="00F10DF3">
        <w:tc>
          <w:tcPr>
            <w:tcW w:w="7196" w:type="dxa"/>
            <w:tcBorders>
              <w:top w:val="nil"/>
              <w:left w:val="nil"/>
              <w:bottom w:val="nil"/>
              <w:right w:val="nil"/>
            </w:tcBorders>
          </w:tcPr>
          <w:p w:rsidR="007B4C0F" w:rsidRPr="00712B66" w:rsidRDefault="007B4C0F" w:rsidP="00F10DF3">
            <w:pPr>
              <w:pStyle w:val="naiskr"/>
              <w:spacing w:before="0" w:after="0"/>
              <w:ind w:right="454" w:firstLine="720"/>
            </w:pPr>
            <w:r w:rsidRPr="00712B66">
              <w:t>  </w:t>
            </w:r>
          </w:p>
        </w:tc>
        <w:tc>
          <w:tcPr>
            <w:tcW w:w="7229" w:type="dxa"/>
            <w:tcBorders>
              <w:left w:val="nil"/>
              <w:bottom w:val="nil"/>
              <w:right w:val="nil"/>
            </w:tcBorders>
          </w:tcPr>
          <w:p w:rsidR="007B4C0F" w:rsidRPr="00712B66" w:rsidRDefault="007B4C0F" w:rsidP="00F10DF3">
            <w:pPr>
              <w:pStyle w:val="naiskr"/>
              <w:spacing w:before="0" w:after="0"/>
              <w:ind w:left="171"/>
            </w:pPr>
          </w:p>
        </w:tc>
      </w:tr>
      <w:tr w:rsidR="00F10DF3" w:rsidRPr="00712B66" w:rsidTr="00F10DF3">
        <w:trPr>
          <w:trHeight w:val="278"/>
        </w:trPr>
        <w:tc>
          <w:tcPr>
            <w:tcW w:w="7196" w:type="dxa"/>
            <w:vMerge w:val="restart"/>
            <w:tcBorders>
              <w:top w:val="nil"/>
              <w:left w:val="nil"/>
              <w:bottom w:val="nil"/>
              <w:right w:val="nil"/>
            </w:tcBorders>
          </w:tcPr>
          <w:p w:rsidR="00F10DF3" w:rsidRPr="00712B66" w:rsidRDefault="00F10DF3" w:rsidP="00F10DF3">
            <w:pPr>
              <w:pStyle w:val="naiskr"/>
              <w:spacing w:before="0" w:after="0"/>
              <w:ind w:right="454"/>
            </w:pPr>
            <w:r>
              <w:t>Saskaņošanas d</w:t>
            </w:r>
            <w:r w:rsidRPr="00712B66">
              <w:t xml:space="preserve">alībnieki izskatīja šādu ministriju </w:t>
            </w:r>
            <w:r>
              <w:t>(c</w:t>
            </w:r>
            <w:r w:rsidRPr="00712B66">
              <w:t>itu institūciju</w:t>
            </w:r>
            <w:r>
              <w:t>)</w:t>
            </w:r>
            <w:r w:rsidRPr="00712B66">
              <w:t xml:space="preserve"> iebildumus</w:t>
            </w:r>
          </w:p>
        </w:tc>
        <w:tc>
          <w:tcPr>
            <w:tcW w:w="7229" w:type="dxa"/>
            <w:tcBorders>
              <w:top w:val="nil"/>
              <w:left w:val="nil"/>
              <w:right w:val="nil"/>
            </w:tcBorders>
          </w:tcPr>
          <w:p w:rsidR="00F10DF3" w:rsidRPr="00712B66" w:rsidRDefault="00F10DF3" w:rsidP="00F10DF3">
            <w:pPr>
              <w:pStyle w:val="naiskr"/>
              <w:spacing w:before="0" w:after="0"/>
              <w:ind w:left="171"/>
            </w:pPr>
            <w:r>
              <w:t xml:space="preserve">Finanšu ministrijas, Tieslietu ministrijas, Valsts kancelejas, Valsts </w:t>
            </w:r>
          </w:p>
        </w:tc>
      </w:tr>
      <w:tr w:rsidR="00F10DF3" w:rsidRPr="00712B66" w:rsidTr="00F10DF3">
        <w:trPr>
          <w:trHeight w:val="277"/>
        </w:trPr>
        <w:tc>
          <w:tcPr>
            <w:tcW w:w="7196" w:type="dxa"/>
            <w:vMerge/>
            <w:tcBorders>
              <w:top w:val="nil"/>
              <w:left w:val="nil"/>
              <w:bottom w:val="nil"/>
              <w:right w:val="nil"/>
            </w:tcBorders>
          </w:tcPr>
          <w:p w:rsidR="00F10DF3" w:rsidRDefault="00F10DF3" w:rsidP="00F10DF3">
            <w:pPr>
              <w:pStyle w:val="naiskr"/>
              <w:spacing w:before="0" w:after="0"/>
              <w:ind w:right="454"/>
            </w:pPr>
          </w:p>
        </w:tc>
        <w:tc>
          <w:tcPr>
            <w:tcW w:w="7229" w:type="dxa"/>
            <w:tcBorders>
              <w:left w:val="nil"/>
              <w:right w:val="nil"/>
            </w:tcBorders>
          </w:tcPr>
          <w:p w:rsidR="00F10DF3" w:rsidRPr="00712B66" w:rsidRDefault="00F10DF3" w:rsidP="00F10DF3">
            <w:pPr>
              <w:pStyle w:val="naiskr"/>
              <w:spacing w:before="0" w:after="0"/>
              <w:ind w:left="171"/>
            </w:pPr>
            <w:r>
              <w:t xml:space="preserve">kontroles, Latvijas Darba devēju </w:t>
            </w:r>
            <w:r w:rsidR="00805B08">
              <w:t>k</w:t>
            </w:r>
            <w:r>
              <w:t xml:space="preserve">onfederācijas, Latvijas Pašvaldību </w:t>
            </w:r>
          </w:p>
        </w:tc>
      </w:tr>
      <w:tr w:rsidR="00F10DF3" w:rsidRPr="00712B66" w:rsidTr="00F10DF3">
        <w:trPr>
          <w:trHeight w:val="277"/>
        </w:trPr>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left w:val="nil"/>
              <w:right w:val="nil"/>
            </w:tcBorders>
          </w:tcPr>
          <w:p w:rsidR="00F10DF3" w:rsidRDefault="00F10DF3" w:rsidP="00F10DF3">
            <w:pPr>
              <w:pStyle w:val="naiskr"/>
              <w:spacing w:before="0" w:after="0"/>
              <w:ind w:left="171"/>
            </w:pPr>
            <w:r>
              <w:t>savienības</w:t>
            </w:r>
          </w:p>
        </w:tc>
      </w:tr>
      <w:tr w:rsidR="00F10DF3" w:rsidRPr="00712B66" w:rsidTr="00F10DF3">
        <w:tc>
          <w:tcPr>
            <w:tcW w:w="7196" w:type="dxa"/>
            <w:tcBorders>
              <w:top w:val="nil"/>
              <w:left w:val="nil"/>
              <w:bottom w:val="nil"/>
              <w:right w:val="nil"/>
            </w:tcBorders>
          </w:tcPr>
          <w:p w:rsidR="00F10DF3" w:rsidRDefault="00F10DF3" w:rsidP="00F10DF3">
            <w:pPr>
              <w:pStyle w:val="naiskr"/>
              <w:spacing w:before="0" w:after="0"/>
              <w:ind w:right="454"/>
            </w:pPr>
          </w:p>
        </w:tc>
        <w:tc>
          <w:tcPr>
            <w:tcW w:w="7229" w:type="dxa"/>
            <w:tcBorders>
              <w:left w:val="nil"/>
              <w:bottom w:val="nil"/>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val="restart"/>
            <w:tcBorders>
              <w:top w:val="nil"/>
              <w:left w:val="nil"/>
              <w:bottom w:val="nil"/>
              <w:right w:val="nil"/>
            </w:tcBorders>
          </w:tcPr>
          <w:p w:rsidR="00F10DF3" w:rsidRDefault="00F10DF3" w:rsidP="00F10DF3">
            <w:pPr>
              <w:pStyle w:val="naiskr"/>
              <w:spacing w:before="0" w:after="0"/>
              <w:ind w:right="454"/>
            </w:pPr>
            <w:r w:rsidRPr="00712B66">
              <w:t>Ministrijas (citas institūcijas), kuras nav ieradušās uz sanāksmi vai kuras nav atbildējušas uz uzaicinājumu piedalīties elektroniskajā saskaņošanā</w:t>
            </w:r>
          </w:p>
        </w:tc>
        <w:tc>
          <w:tcPr>
            <w:tcW w:w="7229" w:type="dxa"/>
            <w:tcBorders>
              <w:top w:val="nil"/>
              <w:left w:val="nil"/>
              <w:right w:val="nil"/>
            </w:tcBorders>
          </w:tcPr>
          <w:p w:rsidR="00F10DF3" w:rsidRPr="00712B66" w:rsidRDefault="0039307D" w:rsidP="00F10DF3">
            <w:pPr>
              <w:pStyle w:val="naiskr"/>
              <w:spacing w:before="0" w:after="0"/>
              <w:ind w:left="171"/>
            </w:pPr>
            <w:r>
              <w:t>Valsts kanceleja</w:t>
            </w:r>
            <w:r w:rsidR="002E5DF1">
              <w:t>, Latvijas Darba devēju konfederācija</w:t>
            </w:r>
          </w:p>
        </w:tc>
      </w:tr>
      <w:tr w:rsidR="00F10DF3" w:rsidRPr="00712B66" w:rsidTr="00F10DF3">
        <w:trPr>
          <w:trHeight w:val="275"/>
        </w:trPr>
        <w:tc>
          <w:tcPr>
            <w:tcW w:w="7196" w:type="dxa"/>
            <w:vMerge/>
            <w:tcBorders>
              <w:top w:val="nil"/>
              <w:left w:val="nil"/>
              <w:bottom w:val="nil"/>
              <w:right w:val="nil"/>
            </w:tcBorders>
          </w:tcPr>
          <w:p w:rsidR="00F10DF3" w:rsidRPr="00712B66" w:rsidRDefault="00F10DF3" w:rsidP="00F10DF3">
            <w:pPr>
              <w:pStyle w:val="naiskr"/>
              <w:spacing w:before="0" w:after="0"/>
            </w:pPr>
          </w:p>
        </w:tc>
        <w:tc>
          <w:tcPr>
            <w:tcW w:w="7229" w:type="dxa"/>
            <w:tcBorders>
              <w:left w:val="nil"/>
              <w:bottom w:val="single" w:sz="4" w:space="0" w:color="auto"/>
              <w:right w:val="nil"/>
            </w:tcBorders>
          </w:tcPr>
          <w:p w:rsidR="00F10DF3" w:rsidRPr="00712B66" w:rsidRDefault="00F10DF3" w:rsidP="00F10DF3">
            <w:pPr>
              <w:pStyle w:val="naiskr"/>
              <w:spacing w:before="0" w:after="0"/>
              <w:ind w:left="171"/>
            </w:pPr>
          </w:p>
        </w:tc>
      </w:tr>
      <w:tr w:rsidR="00F10DF3" w:rsidRPr="00712B66" w:rsidTr="00F10DF3">
        <w:trPr>
          <w:trHeight w:val="275"/>
        </w:trPr>
        <w:tc>
          <w:tcPr>
            <w:tcW w:w="7196" w:type="dxa"/>
            <w:vMerge/>
            <w:tcBorders>
              <w:top w:val="nil"/>
              <w:left w:val="nil"/>
              <w:bottom w:val="nil"/>
              <w:right w:val="nil"/>
            </w:tcBorders>
          </w:tcPr>
          <w:p w:rsidR="00F10DF3" w:rsidRPr="00712B66" w:rsidRDefault="00F10DF3" w:rsidP="00F10DF3">
            <w:pPr>
              <w:pStyle w:val="naiskr"/>
              <w:spacing w:before="0" w:after="0"/>
            </w:pPr>
          </w:p>
        </w:tc>
        <w:tc>
          <w:tcPr>
            <w:tcW w:w="7229" w:type="dxa"/>
            <w:tcBorders>
              <w:left w:val="nil"/>
              <w:bottom w:val="nil"/>
              <w:right w:val="nil"/>
            </w:tcBorders>
          </w:tcPr>
          <w:p w:rsidR="00F10DF3" w:rsidRPr="00712B66" w:rsidRDefault="00F10DF3" w:rsidP="00F10DF3">
            <w:pPr>
              <w:pStyle w:val="naiskr"/>
              <w:spacing w:before="0" w:after="0"/>
              <w:ind w:left="609"/>
            </w:pPr>
          </w:p>
        </w:tc>
      </w:tr>
    </w:tbl>
    <w:p w:rsidR="00683081" w:rsidRPr="00712B66" w:rsidRDefault="00683081" w:rsidP="00683081">
      <w:pPr>
        <w:pStyle w:val="naisf"/>
        <w:spacing w:before="0" w:after="0"/>
        <w:ind w:firstLine="720"/>
      </w:pPr>
    </w:p>
    <w:p w:rsidR="00303BF8" w:rsidRDefault="00303BF8" w:rsidP="00184479">
      <w:pPr>
        <w:pStyle w:val="naisf"/>
        <w:spacing w:before="0" w:after="0"/>
        <w:ind w:firstLine="0"/>
        <w:jc w:val="center"/>
        <w:rPr>
          <w:b/>
        </w:rPr>
      </w:pPr>
    </w:p>
    <w:p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400"/>
        <w:gridCol w:w="686"/>
        <w:gridCol w:w="4394"/>
        <w:gridCol w:w="1099"/>
        <w:gridCol w:w="2020"/>
        <w:gridCol w:w="3118"/>
      </w:tblGrid>
      <w:tr w:rsidR="00134188" w:rsidRPr="00712B66" w:rsidTr="00F10DF3">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ind w:right="3"/>
            </w:pPr>
            <w:r w:rsidRPr="00712B66">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5F0B43" w:rsidRDefault="00134188" w:rsidP="00CB4E1D">
            <w:pPr>
              <w:jc w:val="center"/>
            </w:pPr>
            <w:r w:rsidRPr="005F0B43">
              <w:t>Projekta attiecīgā punkta (panta) galīgā redakcija</w:t>
            </w:r>
          </w:p>
        </w:tc>
      </w:tr>
      <w:tr w:rsidR="00134188" w:rsidRPr="003B71E0" w:rsidTr="00F10DF3">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CB4E1D">
            <w:pPr>
              <w:pStyle w:val="naisc"/>
              <w:spacing w:before="0" w:after="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CB4E1D">
            <w:pPr>
              <w:pStyle w:val="naisc"/>
              <w:spacing w:before="0" w:after="0"/>
              <w:rPr>
                <w:sz w:val="20"/>
                <w:szCs w:val="20"/>
              </w:rPr>
            </w:pPr>
            <w:r w:rsidRPr="003B71E0">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rsidR="00134188" w:rsidRPr="005F0B43" w:rsidRDefault="003B71E0" w:rsidP="00CB4E1D">
            <w:pPr>
              <w:jc w:val="center"/>
            </w:pPr>
            <w:r w:rsidRPr="005F0B43">
              <w:t>5</w:t>
            </w:r>
          </w:p>
        </w:tc>
      </w:tr>
      <w:tr w:rsidR="00137ADE" w:rsidRPr="00712B66" w:rsidTr="00F10DF3">
        <w:tc>
          <w:tcPr>
            <w:tcW w:w="708" w:type="dxa"/>
            <w:tcBorders>
              <w:left w:val="single" w:sz="6" w:space="0" w:color="000000"/>
              <w:bottom w:val="single" w:sz="4" w:space="0" w:color="auto"/>
              <w:right w:val="single" w:sz="6" w:space="0" w:color="000000"/>
            </w:tcBorders>
          </w:tcPr>
          <w:p w:rsidR="00137ADE" w:rsidRDefault="00B71B56" w:rsidP="00137ADE">
            <w:pPr>
              <w:pStyle w:val="naisc"/>
              <w:spacing w:before="0" w:after="0"/>
            </w:pPr>
            <w:r>
              <w:t>1.</w:t>
            </w:r>
          </w:p>
        </w:tc>
        <w:tc>
          <w:tcPr>
            <w:tcW w:w="3086" w:type="dxa"/>
            <w:gridSpan w:val="2"/>
            <w:tcBorders>
              <w:left w:val="single" w:sz="6" w:space="0" w:color="000000"/>
              <w:bottom w:val="single" w:sz="4" w:space="0" w:color="auto"/>
              <w:right w:val="single" w:sz="6" w:space="0" w:color="000000"/>
            </w:tcBorders>
          </w:tcPr>
          <w:p w:rsidR="00137ADE" w:rsidRPr="00137ADE" w:rsidRDefault="00137ADE" w:rsidP="00137ADE">
            <w:pPr>
              <w:pStyle w:val="naisc"/>
              <w:spacing w:before="0" w:after="0"/>
              <w:jc w:val="both"/>
            </w:pPr>
            <w:r w:rsidRPr="00137ADE">
              <w:t>Ievaddaļa:</w:t>
            </w:r>
          </w:p>
          <w:p w:rsidR="00137ADE" w:rsidRPr="00137ADE" w:rsidRDefault="00137ADE" w:rsidP="00137ADE">
            <w:pPr>
              <w:pStyle w:val="naisc"/>
              <w:spacing w:before="0" w:after="0"/>
              <w:jc w:val="both"/>
            </w:pPr>
            <w:r w:rsidRPr="00137ADE">
              <w:t>“</w:t>
            </w:r>
            <w:r w:rsidRPr="00137ADE">
              <w:rPr>
                <w:shd w:val="clear" w:color="auto" w:fill="FFFFFF"/>
              </w:rPr>
              <w:t>Izdarīt Dzīvojamo māju pārvaldīšanas likumā (Latvijas Republikas Saeimas un Ministru Kabineta Ziņotājs, 2009, 14. nr.; Latvijas Vēstnesis, 2010, 112., 183. nr.; 2013, 126. nr.; 2014, 6. nr.; 2015, 248. nr.) šādus grozījumus:</w:t>
            </w:r>
            <w:r w:rsidRPr="00137ADE">
              <w:t>”</w:t>
            </w:r>
          </w:p>
        </w:tc>
        <w:tc>
          <w:tcPr>
            <w:tcW w:w="4394" w:type="dxa"/>
            <w:tcBorders>
              <w:left w:val="single" w:sz="6" w:space="0" w:color="000000"/>
              <w:bottom w:val="single" w:sz="4" w:space="0" w:color="auto"/>
              <w:right w:val="single" w:sz="6" w:space="0" w:color="000000"/>
            </w:tcBorders>
          </w:tcPr>
          <w:p w:rsidR="00137ADE" w:rsidRPr="00137ADE" w:rsidRDefault="00137ADE" w:rsidP="00137ADE">
            <w:pPr>
              <w:pStyle w:val="naisc"/>
              <w:spacing w:before="0" w:after="0"/>
              <w:jc w:val="both"/>
              <w:rPr>
                <w:b/>
                <w:bCs/>
              </w:rPr>
            </w:pPr>
            <w:r w:rsidRPr="00137ADE">
              <w:rPr>
                <w:b/>
                <w:bCs/>
              </w:rPr>
              <w:t>Tieslietu ministrija (priekšlikums)</w:t>
            </w:r>
          </w:p>
          <w:p w:rsidR="00137ADE" w:rsidRPr="00137ADE" w:rsidRDefault="00137ADE" w:rsidP="00137ADE">
            <w:pPr>
              <w:pStyle w:val="naisc"/>
              <w:spacing w:before="0" w:after="0"/>
              <w:jc w:val="both"/>
            </w:pPr>
            <w:r w:rsidRPr="00137ADE">
              <w:t>Ierosinām projekta ievaddaļu papildināt ar atsauci uz jaunāko Dzīvojamo māju pārvaldīšanas likuma grozījumu publicēšanas avotu (Latvijas Vēstnesis, 2019, 253.).</w:t>
            </w:r>
          </w:p>
        </w:tc>
        <w:tc>
          <w:tcPr>
            <w:tcW w:w="3119" w:type="dxa"/>
            <w:gridSpan w:val="2"/>
            <w:tcBorders>
              <w:left w:val="single" w:sz="6" w:space="0" w:color="000000"/>
              <w:bottom w:val="single" w:sz="4" w:space="0" w:color="auto"/>
              <w:right w:val="single" w:sz="6" w:space="0" w:color="000000"/>
            </w:tcBorders>
          </w:tcPr>
          <w:p w:rsidR="00137ADE" w:rsidRPr="00FE3C7E" w:rsidRDefault="00137ADE" w:rsidP="00137ADE">
            <w:pPr>
              <w:pStyle w:val="naisc"/>
              <w:spacing w:before="0" w:after="0"/>
              <w:rPr>
                <w:b/>
                <w:bCs/>
              </w:rPr>
            </w:pPr>
            <w:r w:rsidRPr="00FE3C7E">
              <w:rPr>
                <w:b/>
                <w:bCs/>
              </w:rPr>
              <w:t>Ņemts vērā.</w:t>
            </w:r>
          </w:p>
        </w:tc>
        <w:tc>
          <w:tcPr>
            <w:tcW w:w="3118" w:type="dxa"/>
            <w:tcBorders>
              <w:top w:val="single" w:sz="4" w:space="0" w:color="auto"/>
              <w:left w:val="single" w:sz="4" w:space="0" w:color="auto"/>
              <w:bottom w:val="single" w:sz="4" w:space="0" w:color="auto"/>
            </w:tcBorders>
          </w:tcPr>
          <w:p w:rsidR="00137ADE" w:rsidRPr="00137ADE" w:rsidRDefault="00137ADE" w:rsidP="00137ADE">
            <w:pPr>
              <w:pStyle w:val="naisc"/>
              <w:spacing w:before="0" w:after="0"/>
              <w:jc w:val="both"/>
            </w:pPr>
            <w:r w:rsidRPr="00137ADE">
              <w:t>Ievaddaļa:</w:t>
            </w:r>
          </w:p>
          <w:p w:rsidR="00137ADE" w:rsidRPr="00137ADE" w:rsidRDefault="00137ADE" w:rsidP="00137ADE">
            <w:r w:rsidRPr="00137ADE">
              <w:t>“</w:t>
            </w:r>
            <w:r w:rsidRPr="00137ADE">
              <w:rPr>
                <w:shd w:val="clear" w:color="auto" w:fill="FFFFFF"/>
              </w:rPr>
              <w:t>Izdarīt Dzīvojamo māju pārvaldīšanas likumā (Latvijas Republikas Saeimas un Ministru Kabineta Ziņotājs, 2009, 14. nr.; Latvijas Vēstnesis, 2010, 112., 183. nr.; 2013, 126. nr.; 2014, 6. nr.; 2015, 248. nr.; 2019, 253. nr.) šādus grozījumus:</w:t>
            </w:r>
            <w:r w:rsidRPr="00137ADE">
              <w:t>”</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137ADE">
            <w:pPr>
              <w:pStyle w:val="naisc"/>
              <w:spacing w:before="0" w:after="0"/>
            </w:pPr>
            <w:r>
              <w:t>2.</w:t>
            </w:r>
          </w:p>
        </w:tc>
        <w:tc>
          <w:tcPr>
            <w:tcW w:w="3086" w:type="dxa"/>
            <w:gridSpan w:val="2"/>
            <w:tcBorders>
              <w:left w:val="single" w:sz="6" w:space="0" w:color="000000"/>
              <w:bottom w:val="single" w:sz="4" w:space="0" w:color="auto"/>
              <w:right w:val="single" w:sz="6" w:space="0" w:color="000000"/>
            </w:tcBorders>
          </w:tcPr>
          <w:p w:rsidR="0039307D" w:rsidRPr="005F0B43" w:rsidRDefault="0039307D" w:rsidP="00D03595">
            <w:pPr>
              <w:pStyle w:val="naisc"/>
              <w:spacing w:before="0" w:after="0"/>
              <w:jc w:val="both"/>
            </w:pPr>
            <w:r w:rsidRPr="005F0B43">
              <w:t>1. pants:</w:t>
            </w:r>
          </w:p>
          <w:p w:rsidR="0039307D" w:rsidRPr="005F0B43" w:rsidRDefault="0039307D" w:rsidP="00D03595">
            <w:r w:rsidRPr="005F0B43">
              <w:t>“6. pantā:</w:t>
            </w:r>
          </w:p>
          <w:p w:rsidR="0039307D" w:rsidRPr="005F0B43" w:rsidRDefault="0039307D" w:rsidP="00D03595">
            <w:r w:rsidRPr="005F0B43">
              <w:t>izteikt otrās daļas 1. punkta “f” apakšpunktu šādā redakcijā:</w:t>
            </w:r>
          </w:p>
          <w:p w:rsidR="0039307D" w:rsidRPr="005F0B43" w:rsidRDefault="0039307D" w:rsidP="00D03595">
            <w:r w:rsidRPr="005F0B43">
              <w:t>“f) dzīvojamās mājas energoefektivitātes uzlabošanas pasākumu nodrošināšana;”</w:t>
            </w:r>
          </w:p>
          <w:p w:rsidR="0039307D" w:rsidRPr="005F0B43" w:rsidRDefault="0039307D" w:rsidP="00D03595">
            <w:pPr>
              <w:pStyle w:val="naisc"/>
              <w:spacing w:before="0" w:after="0"/>
              <w:jc w:val="both"/>
            </w:pPr>
            <w:r w:rsidRPr="005F0B43">
              <w:t>aizstāt piektajā daļā skaitli un vārdus “1. punkta “a”, “c” un “e” apakšpunktā” ar skaitli un vārdiem “1. punkta “a” un “d” apakšpunktā”.”</w:t>
            </w:r>
          </w:p>
        </w:tc>
        <w:tc>
          <w:tcPr>
            <w:tcW w:w="4394" w:type="dxa"/>
            <w:tcBorders>
              <w:left w:val="single" w:sz="6" w:space="0" w:color="000000"/>
              <w:bottom w:val="single" w:sz="4" w:space="0" w:color="auto"/>
              <w:right w:val="single" w:sz="6" w:space="0" w:color="000000"/>
            </w:tcBorders>
          </w:tcPr>
          <w:p w:rsidR="0039307D" w:rsidRPr="005F0B43" w:rsidRDefault="0039307D" w:rsidP="00D03595">
            <w:pPr>
              <w:pStyle w:val="naisc"/>
              <w:spacing w:before="0" w:after="0"/>
              <w:jc w:val="both"/>
              <w:rPr>
                <w:b/>
                <w:bCs/>
              </w:rPr>
            </w:pPr>
            <w:r w:rsidRPr="005F0B43">
              <w:rPr>
                <w:b/>
                <w:bCs/>
              </w:rPr>
              <w:t>Finanšu ministrija</w:t>
            </w:r>
          </w:p>
          <w:p w:rsidR="0039307D" w:rsidRPr="00712B66" w:rsidRDefault="0039307D" w:rsidP="00D03595">
            <w:pPr>
              <w:pStyle w:val="naisc"/>
              <w:spacing w:before="0" w:after="0"/>
              <w:jc w:val="both"/>
            </w:pPr>
            <w:r>
              <w:t xml:space="preserve">Anotācijas </w:t>
            </w:r>
            <w:proofErr w:type="spellStart"/>
            <w:r>
              <w:t>I.sadaļas</w:t>
            </w:r>
            <w:proofErr w:type="spellEnd"/>
            <w:r>
              <w:t xml:space="preserve"> 2.punktā (9.lpp.) ir norādīts, ka, izdarot 2013.gada 19.decembra grozījumus Dzīvojamo māju pārvaldīšanas likuma (turpmāk </w:t>
            </w:r>
            <w:r w:rsidRPr="006F52A6">
              <w:t>– Pārvaldīšanas likums</w:t>
            </w:r>
            <w:r>
              <w:t xml:space="preserve">) 6.panta otrās daļas 1.punktā netika veikti atbilstoši precizējumi 6.panta piektajā daļā, kas satur deleģējumu Ministru kabinetam izdot noteikumus par 6.panta otrās daļas pirmā punkta “a”, “c” un “e” apakšpunktos minētajām obligāti veicamajām pārvaldīšanas darbībām, kā arī anotācijā ir norādīts, ka ir izdoti Ministru kabineta </w:t>
            </w:r>
            <w:r>
              <w:lastRenderedPageBreak/>
              <w:t>noteikumi, kas paredzēti, lai noteiktu Pārvaldīšanas likuma 6.panta otrās daļas 1.punkta “a”, “d” un “f” apakšpunktos noteikto darbību izpildes nodrošināšanas kārtību. Savukārt likumprojekta 1.pants paredz Pārvaldīšanas likuma 6.pantā aizstāt piektajā daļā skaitli un vārdus “1.punkta “a”, “c” un “e” apakšpunktā” ar skaitli un vārdiem “1.punkta “a” un “d” apakšpunktā”. Lūdzam likumprojekta 1.panta daļu par grozījumiem attiecībā uz Pārvaldīšanas likuma 6.panta piekto daļu izteikt sekojošā redakcijā: “aizstāt piektajā daļā skaitli un vārdus “1.punkta “a”, “c” un “e” apakšpunktā” ar skaitli un vārdiem “1.punkta “a”, “d” un “f” apakšpunktā”.</w:t>
            </w:r>
          </w:p>
        </w:tc>
        <w:tc>
          <w:tcPr>
            <w:tcW w:w="3119" w:type="dxa"/>
            <w:gridSpan w:val="2"/>
            <w:tcBorders>
              <w:left w:val="single" w:sz="6" w:space="0" w:color="000000"/>
              <w:bottom w:val="single" w:sz="4" w:space="0" w:color="auto"/>
              <w:right w:val="single" w:sz="6" w:space="0" w:color="000000"/>
            </w:tcBorders>
          </w:tcPr>
          <w:p w:rsidR="0039307D" w:rsidRPr="005F0B43" w:rsidRDefault="0039307D" w:rsidP="00D03595">
            <w:pPr>
              <w:pStyle w:val="naisc"/>
              <w:spacing w:before="0" w:after="0"/>
              <w:rPr>
                <w:b/>
                <w:bCs/>
              </w:rPr>
            </w:pPr>
            <w:r>
              <w:rPr>
                <w:b/>
                <w:bCs/>
              </w:rPr>
              <w:lastRenderedPageBreak/>
              <w:t>Saskaņots elektroniskajā saskaņošanā</w:t>
            </w:r>
            <w:r w:rsidRPr="005F0B43">
              <w:rPr>
                <w:b/>
                <w:bCs/>
              </w:rPr>
              <w:t>.</w:t>
            </w:r>
          </w:p>
          <w:p w:rsidR="0039307D" w:rsidRPr="00712B66" w:rsidRDefault="0039307D" w:rsidP="00D03595">
            <w:pPr>
              <w:pStyle w:val="naisc"/>
              <w:spacing w:before="0" w:after="0"/>
              <w:jc w:val="both"/>
            </w:pPr>
          </w:p>
        </w:tc>
        <w:tc>
          <w:tcPr>
            <w:tcW w:w="3118" w:type="dxa"/>
            <w:tcBorders>
              <w:top w:val="single" w:sz="4" w:space="0" w:color="auto"/>
              <w:left w:val="single" w:sz="4" w:space="0" w:color="auto"/>
              <w:bottom w:val="single" w:sz="4" w:space="0" w:color="auto"/>
            </w:tcBorders>
          </w:tcPr>
          <w:p w:rsidR="0039307D" w:rsidRPr="005F0B43" w:rsidRDefault="0039307D" w:rsidP="00D03595">
            <w:pPr>
              <w:pStyle w:val="naisc"/>
              <w:spacing w:before="0" w:after="0"/>
              <w:jc w:val="both"/>
            </w:pPr>
            <w:r w:rsidRPr="005F0B43">
              <w:t>1. pants:</w:t>
            </w:r>
          </w:p>
          <w:p w:rsidR="0039307D" w:rsidRPr="005F0B43" w:rsidRDefault="0039307D" w:rsidP="00D03595">
            <w:r w:rsidRPr="005F0B43">
              <w:t>“6. pantā:</w:t>
            </w:r>
          </w:p>
          <w:p w:rsidR="0039307D" w:rsidRPr="005F0B43" w:rsidRDefault="0039307D" w:rsidP="00D03595">
            <w:r w:rsidRPr="005F0B43">
              <w:t>izteikt otrās daļas 1. punkta “f” apakšpunktu šādā redakcijā:</w:t>
            </w:r>
          </w:p>
          <w:p w:rsidR="0039307D" w:rsidRPr="005F0B43" w:rsidRDefault="0039307D" w:rsidP="00D03595">
            <w:r w:rsidRPr="005F0B43">
              <w:t>“f) dzīvojamās mājas energoefektivitātes uzlabošanas pasākumu nodrošināšana;”</w:t>
            </w:r>
          </w:p>
          <w:p w:rsidR="0039307D" w:rsidRPr="00712B66" w:rsidRDefault="0039307D" w:rsidP="00D03595">
            <w:r w:rsidRPr="005F0B43">
              <w:t>aizstāt piektajā daļā skaitli un vārdus “1. punkta “a”, “c” un “e” apakšpunktā” ar skaitli un vārdiem “1. punkta “a” un “d” apakšpunktā”.”</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CD455F">
            <w:pPr>
              <w:pStyle w:val="naisc"/>
              <w:spacing w:before="0" w:after="0"/>
            </w:pPr>
            <w:r>
              <w:lastRenderedPageBreak/>
              <w:t>3.</w:t>
            </w:r>
          </w:p>
        </w:tc>
        <w:tc>
          <w:tcPr>
            <w:tcW w:w="3086" w:type="dxa"/>
            <w:gridSpan w:val="2"/>
            <w:tcBorders>
              <w:left w:val="single" w:sz="6" w:space="0" w:color="000000"/>
              <w:bottom w:val="single" w:sz="4" w:space="0" w:color="auto"/>
              <w:right w:val="single" w:sz="6" w:space="0" w:color="000000"/>
            </w:tcBorders>
          </w:tcPr>
          <w:p w:rsidR="0039307D" w:rsidRPr="00EB11C4" w:rsidRDefault="0039307D" w:rsidP="00CD455F">
            <w:r w:rsidRPr="00EB11C4">
              <w:t>2. pants:</w:t>
            </w:r>
          </w:p>
          <w:p w:rsidR="0039307D" w:rsidRPr="00EB11C4" w:rsidRDefault="0039307D" w:rsidP="00CD455F">
            <w:r w:rsidRPr="00EB11C4">
              <w:t>“2. Papildināt ar 8.</w:t>
            </w:r>
            <w:r w:rsidRPr="00EB11C4">
              <w:rPr>
                <w:vertAlign w:val="superscript"/>
              </w:rPr>
              <w:t>1</w:t>
            </w:r>
            <w:r w:rsidRPr="00EB11C4">
              <w:t> pantu šādā redakcijā:</w:t>
            </w:r>
          </w:p>
          <w:p w:rsidR="0039307D" w:rsidRPr="00EB11C4" w:rsidRDefault="0039307D" w:rsidP="00CD455F">
            <w:r w:rsidRPr="00EB11C4">
              <w:t>“</w:t>
            </w:r>
            <w:r w:rsidRPr="00EB11C4">
              <w:rPr>
                <w:b/>
                <w:bCs/>
              </w:rPr>
              <w:t>8.</w:t>
            </w:r>
            <w:r w:rsidRPr="00EB11C4">
              <w:rPr>
                <w:b/>
                <w:bCs/>
                <w:vertAlign w:val="superscript"/>
              </w:rPr>
              <w:t>1</w:t>
            </w:r>
            <w:r w:rsidRPr="00EB11C4">
              <w:rPr>
                <w:b/>
                <w:bCs/>
              </w:rPr>
              <w:t> pants. Dzīvojamo māju ekspluatācijas lietu reģistrs</w:t>
            </w:r>
          </w:p>
          <w:p w:rsidR="0039307D" w:rsidRPr="00EB11C4" w:rsidRDefault="0039307D" w:rsidP="00CD455F">
            <w:r w:rsidRPr="00EB11C4">
              <w:t>(1) Dzīvojamo māju ekspluatācijas lietu reģistrā ietver</w:t>
            </w:r>
            <w:r w:rsidRPr="00EB11C4">
              <w:rPr>
                <w:b/>
                <w:bCs/>
              </w:rPr>
              <w:t xml:space="preserve"> </w:t>
            </w:r>
            <w:r w:rsidRPr="00EB11C4">
              <w:t>ikvienas dzīvojamās mājas ekspluatācijas lietu.</w:t>
            </w:r>
          </w:p>
          <w:p w:rsidR="0039307D" w:rsidRPr="00137ADE" w:rsidRDefault="0039307D" w:rsidP="00CD455F">
            <w:pPr>
              <w:pStyle w:val="naisc"/>
              <w:spacing w:before="0" w:after="0"/>
              <w:jc w:val="both"/>
            </w:pPr>
            <w:r w:rsidRPr="00EB11C4">
              <w:t>(2) Dzīvojamo māju ekspluatācijas lietu reģistrā un dzīvojamās mājas ekspluatācijas lietā ieveramo informāciju, kā arī to vešanas un aktualizācijas kārtību nosaka Ministru kabinets.””</w:t>
            </w:r>
          </w:p>
        </w:tc>
        <w:tc>
          <w:tcPr>
            <w:tcW w:w="4394" w:type="dxa"/>
            <w:tcBorders>
              <w:left w:val="single" w:sz="6" w:space="0" w:color="000000"/>
              <w:bottom w:val="single" w:sz="4" w:space="0" w:color="auto"/>
              <w:right w:val="single" w:sz="6" w:space="0" w:color="000000"/>
            </w:tcBorders>
          </w:tcPr>
          <w:p w:rsidR="0039307D" w:rsidRPr="00EB11C4" w:rsidRDefault="0039307D" w:rsidP="00CD455F">
            <w:pPr>
              <w:jc w:val="left"/>
              <w:rPr>
                <w:b/>
                <w:bCs/>
              </w:rPr>
            </w:pPr>
            <w:r w:rsidRPr="00EB11C4">
              <w:rPr>
                <w:b/>
                <w:bCs/>
              </w:rPr>
              <w:t>Latvijas Darba devēju konfederācija</w:t>
            </w:r>
          </w:p>
          <w:p w:rsidR="0039307D" w:rsidRPr="00EB11C4" w:rsidRDefault="0039307D" w:rsidP="00CD455F">
            <w:pPr>
              <w:rPr>
                <w:b/>
              </w:rPr>
            </w:pPr>
            <w:r w:rsidRPr="00EB11C4">
              <w:t>LDDK iebilst pret Projekta 2.punktā izteikto priekšlikumu papildināt likumu ar 8.</w:t>
            </w:r>
            <w:r w:rsidRPr="00EB11C4">
              <w:rPr>
                <w:vertAlign w:val="superscript"/>
              </w:rPr>
              <w:t>1</w:t>
            </w:r>
            <w:r w:rsidRPr="00EB11C4">
              <w:t> pantu EM piedāvātajā redakcijā.</w:t>
            </w:r>
          </w:p>
          <w:p w:rsidR="0039307D" w:rsidRPr="00EB11C4" w:rsidRDefault="0039307D" w:rsidP="00CD455F">
            <w:r w:rsidRPr="00EB11C4">
              <w:t>Pamatojums:</w:t>
            </w:r>
          </w:p>
          <w:p w:rsidR="0039307D" w:rsidRPr="00137ADE" w:rsidRDefault="0039307D" w:rsidP="00CD455F">
            <w:pPr>
              <w:pStyle w:val="naisc"/>
              <w:spacing w:before="0" w:after="0"/>
              <w:jc w:val="both"/>
              <w:rPr>
                <w:b/>
                <w:bCs/>
              </w:rPr>
            </w:pPr>
            <w:r w:rsidRPr="00EB11C4">
              <w:rPr>
                <w:rFonts w:eastAsia="Calibri"/>
              </w:rPr>
              <w:t>EM piedāvā</w:t>
            </w:r>
            <w:r w:rsidRPr="00EB11C4">
              <w:t xml:space="preserve"> noteikt, ka Dzīvojamo māju ekspluatācijas lietu reģistrā ietver</w:t>
            </w:r>
            <w:r w:rsidRPr="00EB11C4">
              <w:rPr>
                <w:bCs/>
              </w:rPr>
              <w:t xml:space="preserve"> </w:t>
            </w:r>
            <w:r w:rsidRPr="00EB11C4">
              <w:t>ikvienas dzīvojamās mājas ekspluatācijas lietu, deleģējot reģistrā un ekspluatācijas lietā ieveramo informāciju, kā arī to vešanas un aktualizācijas kārtības noteikšanu Ministru kabinetam. Piedāvātā redakcija nesniedz skaidru priekšstatu, vai 8.</w:t>
            </w:r>
            <w:r w:rsidRPr="00EB11C4">
              <w:rPr>
                <w:vertAlign w:val="superscript"/>
              </w:rPr>
              <w:t>1</w:t>
            </w:r>
            <w:r w:rsidRPr="00EB11C4">
              <w:t xml:space="preserve"> panta prasības būs attiecināmas arī uz viendzīvokļa mājām. Spēkā esošais likuma 8.pants noteic, ka Mājas lieta iekārtojama par ikvienu dzīvojamo māju. Savukārt 8.panta </w:t>
            </w:r>
            <w:r w:rsidRPr="00EB11C4">
              <w:lastRenderedPageBreak/>
              <w:t>ceturtajā daļā, kurā ir ietverts deleģējums Ministru kabinetam noteikt Mājas lietas vešanas un aktualizācijas kārtību, ir noteikts, ka deleģējums neattiecas uz viendzīvokļa mājām. LDDK ieskatā būtu lietderīgi jau Likuma 8.panta pamattekstā skaidri noteikt, vai Mājas lieta ir iekārtojama arī par individuālajām viendzīvokļa mājām</w:t>
            </w:r>
          </w:p>
        </w:tc>
        <w:tc>
          <w:tcPr>
            <w:tcW w:w="3119" w:type="dxa"/>
            <w:gridSpan w:val="2"/>
            <w:tcBorders>
              <w:left w:val="single" w:sz="6" w:space="0" w:color="000000"/>
              <w:bottom w:val="single" w:sz="4" w:space="0" w:color="auto"/>
              <w:right w:val="single" w:sz="6" w:space="0" w:color="000000"/>
            </w:tcBorders>
          </w:tcPr>
          <w:p w:rsidR="0039307D" w:rsidRPr="00FE3C7E" w:rsidRDefault="0039307D" w:rsidP="00F7084F">
            <w:pPr>
              <w:pStyle w:val="naisc"/>
              <w:spacing w:before="0" w:after="0"/>
              <w:rPr>
                <w:b/>
                <w:bCs/>
              </w:rPr>
            </w:pPr>
            <w:r>
              <w:rPr>
                <w:b/>
                <w:bCs/>
              </w:rPr>
              <w:lastRenderedPageBreak/>
              <w:t>Ņ</w:t>
            </w:r>
            <w:r w:rsidRPr="00FE3C7E">
              <w:rPr>
                <w:b/>
                <w:bCs/>
              </w:rPr>
              <w:t>emts vērā</w:t>
            </w:r>
            <w:r>
              <w:rPr>
                <w:b/>
                <w:bCs/>
              </w:rPr>
              <w:t>.</w:t>
            </w:r>
          </w:p>
          <w:p w:rsidR="0039307D" w:rsidRDefault="0039307D" w:rsidP="00F7084F">
            <w:pPr>
              <w:pStyle w:val="naisc"/>
              <w:spacing w:before="0" w:after="0"/>
              <w:jc w:val="both"/>
            </w:pPr>
            <w:r>
              <w:t>Likumprojekta 2. pants izteikts jaunā redakcijā, regulējums par dzīvojamo māju ekspluatācijas lietu reģistru no Likumprojekta izslēgts.</w:t>
            </w:r>
          </w:p>
          <w:p w:rsidR="0039307D" w:rsidRDefault="0039307D" w:rsidP="00F7084F">
            <w:pPr>
              <w:pStyle w:val="naisc"/>
              <w:spacing w:before="0" w:after="0"/>
              <w:jc w:val="both"/>
            </w:pPr>
            <w:r>
              <w:t xml:space="preserve"> </w:t>
            </w:r>
          </w:p>
        </w:tc>
        <w:tc>
          <w:tcPr>
            <w:tcW w:w="3118" w:type="dxa"/>
            <w:tcBorders>
              <w:top w:val="single" w:sz="4" w:space="0" w:color="auto"/>
              <w:left w:val="single" w:sz="4" w:space="0" w:color="auto"/>
              <w:bottom w:val="single" w:sz="4" w:space="0" w:color="auto"/>
            </w:tcBorders>
          </w:tcPr>
          <w:p w:rsidR="0039307D" w:rsidRDefault="0039307D" w:rsidP="00CD455F">
            <w:pPr>
              <w:pStyle w:val="naisc"/>
              <w:spacing w:before="0" w:after="0"/>
              <w:jc w:val="both"/>
            </w:pPr>
            <w:r>
              <w:t>2. pants izteikts jaunā redakcijā:</w:t>
            </w:r>
          </w:p>
          <w:p w:rsidR="0039307D" w:rsidRPr="00137ADE" w:rsidRDefault="0039307D" w:rsidP="00CD455F">
            <w:pPr>
              <w:pStyle w:val="naisc"/>
              <w:spacing w:before="0" w:after="0"/>
              <w:jc w:val="both"/>
            </w:pPr>
            <w:r w:rsidRPr="00387904">
              <w:t>“2. Aizstāt 8. panta otrās daļas 3. punktā vārdus “energopase un” ar vārdiem ”ēkas energosertifikāts vai ēkas pagaidu energosertifikāts un tā pielikumi”.</w:t>
            </w:r>
            <w:r>
              <w:t>”</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CD455F">
            <w:pPr>
              <w:pStyle w:val="naisc"/>
              <w:spacing w:before="0" w:after="0"/>
            </w:pPr>
            <w:r>
              <w:lastRenderedPageBreak/>
              <w:t>4.</w:t>
            </w:r>
          </w:p>
        </w:tc>
        <w:tc>
          <w:tcPr>
            <w:tcW w:w="3086" w:type="dxa"/>
            <w:gridSpan w:val="2"/>
            <w:tcBorders>
              <w:left w:val="single" w:sz="6" w:space="0" w:color="000000"/>
              <w:bottom w:val="single" w:sz="4" w:space="0" w:color="auto"/>
              <w:right w:val="single" w:sz="6" w:space="0" w:color="000000"/>
            </w:tcBorders>
          </w:tcPr>
          <w:p w:rsidR="0039307D" w:rsidRPr="000054CA" w:rsidRDefault="0039307D" w:rsidP="00CD455F">
            <w:pPr>
              <w:pStyle w:val="naisc"/>
              <w:spacing w:before="0" w:after="0"/>
              <w:jc w:val="both"/>
            </w:pPr>
            <w:r w:rsidRPr="000054CA">
              <w:t>4. pants:</w:t>
            </w:r>
          </w:p>
          <w:p w:rsidR="0039307D" w:rsidRPr="00CB5BE3" w:rsidRDefault="0039307D" w:rsidP="00CD455F">
            <w:pPr>
              <w:pStyle w:val="ListParagraph"/>
              <w:spacing w:after="0" w:line="240" w:lineRule="auto"/>
              <w:ind w:left="0"/>
              <w:rPr>
                <w:rFonts w:ascii="Times New Roman" w:hAnsi="Times New Roman"/>
                <w:sz w:val="24"/>
                <w:szCs w:val="24"/>
                <w:lang w:val="lv-LV"/>
              </w:rPr>
            </w:pPr>
            <w:r w:rsidRPr="00C346E5">
              <w:rPr>
                <w:rFonts w:ascii="Times New Roman" w:hAnsi="Times New Roman"/>
                <w:sz w:val="24"/>
                <w:szCs w:val="24"/>
                <w:lang w:val="lv-LV"/>
              </w:rPr>
              <w:t>“4. Papildināt pārejas noteikumus ar 26. un 27. punktu šādā redakcijā:</w:t>
            </w:r>
          </w:p>
          <w:p w:rsidR="0039307D" w:rsidRPr="00CB5BE3" w:rsidRDefault="0039307D" w:rsidP="00CD455F">
            <w:pPr>
              <w:pStyle w:val="ListParagraph"/>
              <w:spacing w:after="0" w:line="240" w:lineRule="auto"/>
              <w:ind w:left="0"/>
              <w:rPr>
                <w:rFonts w:ascii="Times New Roman" w:hAnsi="Times New Roman"/>
                <w:sz w:val="24"/>
                <w:szCs w:val="24"/>
                <w:lang w:val="lv-LV"/>
              </w:rPr>
            </w:pPr>
            <w:r w:rsidRPr="00C346E5">
              <w:rPr>
                <w:rFonts w:ascii="Times New Roman" w:hAnsi="Times New Roman"/>
                <w:sz w:val="24"/>
                <w:szCs w:val="24"/>
                <w:lang w:val="lv-LV"/>
              </w:rPr>
              <w:t>“26. Grozījumi par šā likuma papildināšanu ar 8.</w:t>
            </w:r>
            <w:r w:rsidRPr="00C346E5">
              <w:rPr>
                <w:rFonts w:ascii="Times New Roman" w:hAnsi="Times New Roman"/>
                <w:sz w:val="24"/>
                <w:szCs w:val="24"/>
                <w:vertAlign w:val="superscript"/>
                <w:lang w:val="lv-LV"/>
              </w:rPr>
              <w:t>1</w:t>
            </w:r>
            <w:r w:rsidRPr="00C346E5">
              <w:rPr>
                <w:rFonts w:ascii="Times New Roman" w:hAnsi="Times New Roman"/>
                <w:sz w:val="24"/>
                <w:szCs w:val="24"/>
                <w:lang w:val="lv-LV"/>
              </w:rPr>
              <w:t xml:space="preserve"> pantu un par 18., 19. un 20. panta izslēgšanu stājas spēkā 2022. gada 1. janvārī. </w:t>
            </w:r>
          </w:p>
          <w:p w:rsidR="0039307D" w:rsidRPr="000054CA" w:rsidRDefault="0039307D" w:rsidP="00CD455F">
            <w:pPr>
              <w:pStyle w:val="naisc"/>
              <w:spacing w:before="0" w:after="0"/>
              <w:jc w:val="both"/>
            </w:pPr>
            <w:r w:rsidRPr="000054CA">
              <w:t>27. Ministru kabinets līdz 2021. gada 31. decembrim izdod šā likuma 8.</w:t>
            </w:r>
            <w:r w:rsidRPr="000054CA">
              <w:rPr>
                <w:vertAlign w:val="superscript"/>
              </w:rPr>
              <w:t>1</w:t>
            </w:r>
            <w:r w:rsidRPr="000054CA">
              <w:t> panta otrajā daļā minētos noteikumus.””</w:t>
            </w:r>
          </w:p>
        </w:tc>
        <w:tc>
          <w:tcPr>
            <w:tcW w:w="4394" w:type="dxa"/>
            <w:tcBorders>
              <w:left w:val="single" w:sz="6" w:space="0" w:color="000000"/>
              <w:bottom w:val="single" w:sz="4" w:space="0" w:color="auto"/>
              <w:right w:val="single" w:sz="6" w:space="0" w:color="000000"/>
            </w:tcBorders>
          </w:tcPr>
          <w:p w:rsidR="0039307D" w:rsidRPr="000054CA" w:rsidRDefault="0039307D" w:rsidP="00CD455F">
            <w:pPr>
              <w:pStyle w:val="naisc"/>
              <w:spacing w:before="0" w:after="0"/>
              <w:jc w:val="both"/>
              <w:rPr>
                <w:b/>
                <w:bCs/>
              </w:rPr>
            </w:pPr>
            <w:r w:rsidRPr="000054CA">
              <w:rPr>
                <w:b/>
                <w:bCs/>
              </w:rPr>
              <w:t>Finanšu ministrija (priekšlikums)</w:t>
            </w:r>
          </w:p>
          <w:p w:rsidR="0039307D" w:rsidRDefault="0039307D" w:rsidP="00CD455F">
            <w:pPr>
              <w:pStyle w:val="naisc"/>
              <w:spacing w:before="0" w:after="0"/>
              <w:jc w:val="both"/>
            </w:pPr>
            <w:r w:rsidRPr="000054CA">
              <w:t>Likumprojekta 4.pants paredz Pārvaldīšanas likuma pārejas noteikumus papildināt ar 26.un 27.punktu. Šobrīd spēkā esošajā Pārvaldīšanas likuma redakcijā pārejas noteikumos jau ir 26.punkts. Lūdzam precizēt likumprojekta 4.punktā iekļauto Pārvaldīšanas likuma pārejas punktu numerāciju.</w:t>
            </w:r>
          </w:p>
          <w:p w:rsidR="0039307D" w:rsidRPr="00163061" w:rsidRDefault="0039307D" w:rsidP="00CD455F">
            <w:pPr>
              <w:pStyle w:val="naisc"/>
              <w:spacing w:before="0" w:after="0"/>
              <w:jc w:val="both"/>
              <w:rPr>
                <w:b/>
                <w:bCs/>
              </w:rPr>
            </w:pPr>
            <w:r w:rsidRPr="00163061">
              <w:rPr>
                <w:b/>
                <w:bCs/>
              </w:rPr>
              <w:t>Tieslietu ministrija (priekšlikums)</w:t>
            </w:r>
          </w:p>
          <w:p w:rsidR="0039307D" w:rsidRPr="00163061" w:rsidRDefault="0039307D" w:rsidP="00CD455F">
            <w:pPr>
              <w:pStyle w:val="naisc"/>
              <w:spacing w:before="0" w:after="0"/>
              <w:jc w:val="both"/>
            </w:pPr>
            <w:r w:rsidRPr="00163061">
              <w:t>Lūdzam precizēt projekta 4. punktu, ņemot vērā, ka Dzīvojamo māju pārvaldīšanas likuma Pārejas noteikumos jau ir 26. punkts.</w:t>
            </w:r>
          </w:p>
        </w:tc>
        <w:tc>
          <w:tcPr>
            <w:tcW w:w="3119" w:type="dxa"/>
            <w:gridSpan w:val="2"/>
            <w:tcBorders>
              <w:left w:val="single" w:sz="6" w:space="0" w:color="000000"/>
              <w:bottom w:val="single" w:sz="4" w:space="0" w:color="auto"/>
              <w:right w:val="single" w:sz="6" w:space="0" w:color="000000"/>
            </w:tcBorders>
          </w:tcPr>
          <w:p w:rsidR="0039307D" w:rsidRPr="00FE3C7E" w:rsidRDefault="0039307D" w:rsidP="00CD455F">
            <w:pPr>
              <w:pStyle w:val="naisc"/>
              <w:spacing w:before="0" w:after="0"/>
              <w:rPr>
                <w:b/>
                <w:bCs/>
              </w:rPr>
            </w:pPr>
            <w:r>
              <w:rPr>
                <w:b/>
                <w:bCs/>
              </w:rPr>
              <w:t>Ņ</w:t>
            </w:r>
            <w:r w:rsidRPr="00FE3C7E">
              <w:rPr>
                <w:b/>
                <w:bCs/>
              </w:rPr>
              <w:t>emts vērā.</w:t>
            </w:r>
          </w:p>
          <w:p w:rsidR="0039307D" w:rsidRPr="000054CA" w:rsidRDefault="0039307D" w:rsidP="00FE3C7E">
            <w:pPr>
              <w:pStyle w:val="naisc"/>
              <w:spacing w:before="0" w:after="0"/>
              <w:jc w:val="both"/>
            </w:pPr>
            <w:r>
              <w:t>Regulējums par dzīvojamo māju ekspluatācijas lietu reģistra izveidi un dzīvojamo māju pārvaldnieku reģistra slēgšanu no Likumprojekta izslēgts.</w:t>
            </w:r>
          </w:p>
        </w:tc>
        <w:tc>
          <w:tcPr>
            <w:tcW w:w="3118" w:type="dxa"/>
            <w:tcBorders>
              <w:top w:val="single" w:sz="4" w:space="0" w:color="auto"/>
              <w:left w:val="single" w:sz="4" w:space="0" w:color="auto"/>
              <w:bottom w:val="single" w:sz="4" w:space="0" w:color="auto"/>
            </w:tcBorders>
          </w:tcPr>
          <w:p w:rsidR="0039307D" w:rsidRPr="000054CA" w:rsidRDefault="0039307D" w:rsidP="00CD455F">
            <w:r>
              <w:t>4. pants izslēgts.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413A67">
            <w:pPr>
              <w:pStyle w:val="naisc"/>
              <w:spacing w:before="0" w:after="0"/>
            </w:pPr>
            <w:r>
              <w:t>5.</w:t>
            </w:r>
          </w:p>
        </w:tc>
        <w:tc>
          <w:tcPr>
            <w:tcW w:w="3086" w:type="dxa"/>
            <w:gridSpan w:val="2"/>
            <w:tcBorders>
              <w:left w:val="single" w:sz="6" w:space="0" w:color="000000"/>
              <w:bottom w:val="single" w:sz="4" w:space="0" w:color="auto"/>
              <w:right w:val="single" w:sz="6" w:space="0" w:color="000000"/>
            </w:tcBorders>
          </w:tcPr>
          <w:p w:rsidR="0039307D" w:rsidRPr="000054CA" w:rsidRDefault="0039307D" w:rsidP="00413A67">
            <w:pPr>
              <w:pStyle w:val="naisc"/>
              <w:spacing w:before="0" w:after="0"/>
              <w:jc w:val="both"/>
            </w:pPr>
            <w:r>
              <w:t>Likumprojekts</w:t>
            </w:r>
          </w:p>
        </w:tc>
        <w:tc>
          <w:tcPr>
            <w:tcW w:w="4394" w:type="dxa"/>
            <w:tcBorders>
              <w:left w:val="single" w:sz="6" w:space="0" w:color="000000"/>
              <w:bottom w:val="single" w:sz="4" w:space="0" w:color="auto"/>
              <w:right w:val="single" w:sz="6" w:space="0" w:color="000000"/>
            </w:tcBorders>
          </w:tcPr>
          <w:p w:rsidR="0039307D" w:rsidRDefault="0039307D" w:rsidP="00413A67">
            <w:pPr>
              <w:pStyle w:val="naisc"/>
              <w:spacing w:before="0" w:after="0"/>
              <w:jc w:val="both"/>
              <w:rPr>
                <w:b/>
                <w:bCs/>
              </w:rPr>
            </w:pPr>
            <w:r>
              <w:rPr>
                <w:b/>
                <w:bCs/>
              </w:rPr>
              <w:t>Finanšu ministrija (priekšlikums)</w:t>
            </w:r>
          </w:p>
          <w:p w:rsidR="0039307D" w:rsidRPr="000054CA" w:rsidRDefault="0039307D" w:rsidP="00413A67">
            <w:pPr>
              <w:pStyle w:val="naisc"/>
              <w:spacing w:before="0" w:after="0"/>
              <w:jc w:val="both"/>
              <w:rPr>
                <w:b/>
                <w:bCs/>
              </w:rPr>
            </w:pPr>
            <w:r>
              <w:t>Ņemot vērā to, ka jēdziens “energopase” citos normatīvajos aktos netiek lietots, lūdzam izvērtēt nepieciešamību p</w:t>
            </w:r>
            <w:r w:rsidRPr="006A51A1">
              <w:t xml:space="preserve">apildināt likumprojektu ar grozījumu </w:t>
            </w:r>
            <w:r>
              <w:t xml:space="preserve">Pārvaldīšanas likuma </w:t>
            </w:r>
            <w:r w:rsidRPr="006A51A1">
              <w:t>8.panta otrās daļas 3.apakšpunktā</w:t>
            </w:r>
            <w:r>
              <w:t>,</w:t>
            </w:r>
            <w:r w:rsidRPr="006A51A1">
              <w:t xml:space="preserve"> vārdu “energopase” aizstā</w:t>
            </w:r>
            <w:r>
              <w:t>jot</w:t>
            </w:r>
            <w:r w:rsidRPr="006A51A1">
              <w:t xml:space="preserve"> ar vārdiem “ēkas energosertifikāts, tā pielikumi”</w:t>
            </w:r>
            <w:r>
              <w:t>.</w:t>
            </w:r>
          </w:p>
        </w:tc>
        <w:tc>
          <w:tcPr>
            <w:tcW w:w="3119" w:type="dxa"/>
            <w:gridSpan w:val="2"/>
            <w:tcBorders>
              <w:left w:val="single" w:sz="6" w:space="0" w:color="000000"/>
              <w:bottom w:val="single" w:sz="4" w:space="0" w:color="auto"/>
              <w:right w:val="single" w:sz="6" w:space="0" w:color="000000"/>
            </w:tcBorders>
          </w:tcPr>
          <w:p w:rsidR="0039307D" w:rsidRPr="00FE3C7E" w:rsidRDefault="0039307D" w:rsidP="00413A67">
            <w:pPr>
              <w:pStyle w:val="naisc"/>
              <w:spacing w:before="0" w:after="0"/>
              <w:rPr>
                <w:b/>
                <w:bCs/>
              </w:rPr>
            </w:pPr>
            <w:r w:rsidRPr="00413A67">
              <w:rPr>
                <w:b/>
                <w:bCs/>
              </w:rPr>
              <w:t>Ņemts vērā.</w:t>
            </w:r>
          </w:p>
        </w:tc>
        <w:tc>
          <w:tcPr>
            <w:tcW w:w="3118" w:type="dxa"/>
            <w:tcBorders>
              <w:top w:val="single" w:sz="4" w:space="0" w:color="auto"/>
              <w:left w:val="single" w:sz="4" w:space="0" w:color="auto"/>
              <w:bottom w:val="single" w:sz="4" w:space="0" w:color="auto"/>
            </w:tcBorders>
          </w:tcPr>
          <w:p w:rsidR="0039307D" w:rsidRDefault="0039307D" w:rsidP="00413A67">
            <w:pPr>
              <w:pStyle w:val="naisc"/>
              <w:spacing w:before="0" w:after="0"/>
              <w:jc w:val="both"/>
            </w:pPr>
            <w:r>
              <w:t>2. pants:</w:t>
            </w:r>
          </w:p>
          <w:p w:rsidR="0039307D" w:rsidRDefault="0039307D" w:rsidP="00413A67">
            <w:r w:rsidRPr="00387904">
              <w:t>“2. Aizstāt 8. panta otrās daļas 3. punktā vārdus “energopase un” ar vārdiem ”ēkas energosertifikāts vai ēkas pagaidu energosertifikāts un tā pielikumi”.</w:t>
            </w:r>
            <w:r>
              <w:t>”</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t>6.</w:t>
            </w:r>
          </w:p>
        </w:tc>
        <w:tc>
          <w:tcPr>
            <w:tcW w:w="3086" w:type="dxa"/>
            <w:gridSpan w:val="2"/>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39307D" w:rsidRPr="00CB4E1D" w:rsidRDefault="0039307D" w:rsidP="00413A67">
            <w:pPr>
              <w:pStyle w:val="naisc"/>
              <w:spacing w:before="0" w:after="0"/>
              <w:jc w:val="both"/>
              <w:rPr>
                <w:b/>
                <w:bCs/>
              </w:rPr>
            </w:pPr>
            <w:r w:rsidRPr="00CB4E1D">
              <w:rPr>
                <w:b/>
                <w:bCs/>
              </w:rPr>
              <w:t>Finanšu ministrija</w:t>
            </w:r>
          </w:p>
          <w:p w:rsidR="0039307D" w:rsidRDefault="0039307D" w:rsidP="00413A67">
            <w:pPr>
              <w:pStyle w:val="naisc"/>
              <w:spacing w:before="0" w:after="0"/>
              <w:jc w:val="both"/>
              <w:rPr>
                <w:shd w:val="clear" w:color="auto" w:fill="FFFFFF"/>
              </w:rPr>
            </w:pPr>
            <w:r>
              <w:t xml:space="preserve">Anotācijas </w:t>
            </w:r>
            <w:proofErr w:type="spellStart"/>
            <w:r>
              <w:t>I.sadaļas</w:t>
            </w:r>
            <w:proofErr w:type="spellEnd"/>
            <w:r>
              <w:t xml:space="preserve"> 2.punktā (4.lpp.) ir </w:t>
            </w:r>
            <w:r>
              <w:lastRenderedPageBreak/>
              <w:t>norādīts: “</w:t>
            </w:r>
            <w:r w:rsidRPr="007301E2">
              <w:rPr>
                <w:shd w:val="clear" w:color="auto" w:fill="FFFFFF"/>
              </w:rPr>
              <w:t>Pašreiz ne Pārvaldīšanas likums, ne Noteikumi Nr.908 nenosaka konkrētu formu mājas lietas iekārtošanai, mājas lietu saturs un detalizācija netiek veikta vienotā veidā un var atšķirties. Izveidojot elektronisku mājas/būves ekspluatācijas lietas vešanas funkcionalitāti, BIS tiks nodrošināta mājas lietu pārva</w:t>
            </w:r>
            <w:r>
              <w:rPr>
                <w:shd w:val="clear" w:color="auto" w:fill="FFFFFF"/>
              </w:rPr>
              <w:t>ldība pēc vienotas pieejas</w:t>
            </w:r>
            <w:r w:rsidRPr="007301E2">
              <w:rPr>
                <w:shd w:val="clear" w:color="auto" w:fill="FFFFFF"/>
              </w:rPr>
              <w:t xml:space="preserve"> </w:t>
            </w:r>
            <w:r>
              <w:rPr>
                <w:shd w:val="clear" w:color="auto" w:fill="FFFFFF"/>
              </w:rPr>
              <w:t xml:space="preserve">[..]”. </w:t>
            </w:r>
            <w:r>
              <w:t>Likumprojekts neparedz no Dzīvojamo māju pārvaldīšanas likuma (turpmāk </w:t>
            </w:r>
            <w:r w:rsidRPr="006F52A6">
              <w:t>– Pārvaldīšanas likums</w:t>
            </w:r>
            <w:r>
              <w:t xml:space="preserve">) izslēgt normas par mājas lietas vešanu, kā arī anotācijā nav norādīts, ka līdz ar </w:t>
            </w:r>
            <w:r w:rsidRPr="007301E2">
              <w:rPr>
                <w:shd w:val="clear" w:color="auto" w:fill="FFFFFF"/>
              </w:rPr>
              <w:t xml:space="preserve">elektronisku mājas/būves ekspluatācijas </w:t>
            </w:r>
            <w:r>
              <w:rPr>
                <w:shd w:val="clear" w:color="auto" w:fill="FFFFFF"/>
              </w:rPr>
              <w:t xml:space="preserve">lietas vešanas funkcionalitātes izveidošanu </w:t>
            </w:r>
            <w:r w:rsidRPr="007301E2">
              <w:rPr>
                <w:shd w:val="clear" w:color="auto" w:fill="FFFFFF"/>
              </w:rPr>
              <w:t>B</w:t>
            </w:r>
            <w:r>
              <w:rPr>
                <w:shd w:val="clear" w:color="auto" w:fill="FFFFFF"/>
              </w:rPr>
              <w:t xml:space="preserve">ūvniecības informācijas sistēmā spēku zaudētu Ministru kabineta 2010.gada 28.septembra noteikumi Nr.908 “Mājas lietas vešanas un aktualizēšanas noteikumi”. Lūdzam skaidrot, vai ir paredzēts, ka tiks veidota gan mājas lieta, kā tas ir bijis līdz šim, gan arī </w:t>
            </w:r>
            <w:r w:rsidRPr="007301E2">
              <w:rPr>
                <w:shd w:val="clear" w:color="auto" w:fill="FFFFFF"/>
              </w:rPr>
              <w:t>m</w:t>
            </w:r>
            <w:r>
              <w:rPr>
                <w:shd w:val="clear" w:color="auto" w:fill="FFFFFF"/>
              </w:rPr>
              <w:t>ājas/būves ekspluatācijas lieta. Lūdzam izvērtēt, vai ir lietderīgi vest divas lietas, ņemot vērā šobrīd anotācijā norādīto par Būvniecības informācijas sistēmas funkcionalitātes iespējām. Lūdzam atbilstoši precizēt anotāciju un/vai likumprojektu.</w:t>
            </w:r>
          </w:p>
          <w:p w:rsidR="0039307D" w:rsidRPr="00230E51" w:rsidRDefault="0039307D" w:rsidP="00413A67">
            <w:pPr>
              <w:pStyle w:val="naisc"/>
              <w:spacing w:before="0" w:after="0"/>
              <w:jc w:val="both"/>
              <w:rPr>
                <w:b/>
                <w:bCs/>
              </w:rPr>
            </w:pPr>
            <w:r w:rsidRPr="00230E51">
              <w:rPr>
                <w:b/>
                <w:bCs/>
              </w:rPr>
              <w:t>Tieslietu ministrija</w:t>
            </w:r>
          </w:p>
          <w:p w:rsidR="0039307D" w:rsidRPr="00712B66" w:rsidRDefault="0039307D" w:rsidP="00413A67">
            <w:pPr>
              <w:pStyle w:val="naisc"/>
              <w:spacing w:before="0" w:after="0"/>
              <w:jc w:val="both"/>
            </w:pPr>
            <w:r w:rsidRPr="00230E51">
              <w:t xml:space="preserve">Dzīvojamo māju pārvaldīšanas likuma 8. pantā, kuru projekts neparedz grozīt, iekļauts regulējums attiecībā uz mājas </w:t>
            </w:r>
            <w:r w:rsidRPr="00230E51">
              <w:lastRenderedPageBreak/>
              <w:t>lietu, tajā iekļaujamo informāciju un tās vešanu. Arī minētā likuma 6. panta otrās daļas 3. punktā mājas lietas vešana noteikta kā viena no obligāti veicamajām pārvaldīšanas darbībām. Savukārt projekta 2. pants paredz papildināt Dzīvojamo māju pārvaldīšanas likumu ar 8.</w:t>
            </w:r>
            <w:r w:rsidRPr="00230E51">
              <w:rPr>
                <w:vertAlign w:val="superscript"/>
              </w:rPr>
              <w:t>1</w:t>
            </w:r>
            <w:r w:rsidRPr="00230E51">
              <w:t xml:space="preserve"> pantu, kas noteic, ka dzīvojamo māju ekspluatācijas lietu reģistrā ietver ikvienas dzīvojamās mājas ekspluatācijas lietu, kurā ietveramo informāciju paredzēts noteikt Ministru kabineta noteikumos. Vēršam uzmanību, ka projekta sākotnējās ietekmes novērtējuma ziņojuma (anotācijas) (turpmāk – anotācija) I sadaļas 2. punktā (5. lpp. trešā rindkopa) iekļauta informācija </w:t>
            </w:r>
            <w:r w:rsidRPr="00230E51">
              <w:rPr>
                <w:u w:val="single"/>
              </w:rPr>
              <w:t>par dzīvojamās mājas ekspluatācijas lietā uzkrājamās informācijas apjomu, kas pēc būtības ir identiska tam, kas šobrīd tiek uzkrāts mājas lietā.</w:t>
            </w:r>
            <w:r w:rsidRPr="00230E51">
              <w:t xml:space="preserve"> Ņemot vērā, ka no projekta un tam pievienotās anotācijas nav saprotams, kāpēc nepieciešams uzturēt divas pēc būtības identiskas mājas lietas un to, ka Dzīvojamo māju pārvaldīšanas likumā dzīvojamās mājas ekspluatācijas lieta nav atrunāta, lūdzam precizēt projektu vai tā anotāciju.</w:t>
            </w:r>
          </w:p>
        </w:tc>
        <w:tc>
          <w:tcPr>
            <w:tcW w:w="3119" w:type="dxa"/>
            <w:gridSpan w:val="2"/>
            <w:tcBorders>
              <w:left w:val="single" w:sz="6" w:space="0" w:color="000000"/>
              <w:bottom w:val="single" w:sz="4" w:space="0" w:color="auto"/>
              <w:right w:val="single" w:sz="6" w:space="0" w:color="000000"/>
            </w:tcBorders>
          </w:tcPr>
          <w:p w:rsidR="0039307D" w:rsidRPr="00FE3C7E" w:rsidRDefault="0039307D" w:rsidP="00413A67">
            <w:pPr>
              <w:pStyle w:val="naisc"/>
              <w:spacing w:before="0" w:after="0"/>
              <w:rPr>
                <w:b/>
                <w:bCs/>
              </w:rPr>
            </w:pPr>
            <w:r>
              <w:rPr>
                <w:b/>
                <w:bCs/>
              </w:rPr>
              <w:lastRenderedPageBreak/>
              <w:t>Ņ</w:t>
            </w:r>
            <w:r w:rsidRPr="00FE3C7E">
              <w:rPr>
                <w:b/>
                <w:bCs/>
              </w:rPr>
              <w:t>emts vērā.</w:t>
            </w:r>
          </w:p>
          <w:p w:rsidR="0039307D" w:rsidRDefault="0039307D" w:rsidP="00413A67">
            <w:pPr>
              <w:pStyle w:val="naisc"/>
              <w:spacing w:before="0" w:after="0"/>
              <w:jc w:val="both"/>
            </w:pPr>
            <w:r>
              <w:t xml:space="preserve">Regulējums par dzīvojamo </w:t>
            </w:r>
            <w:r>
              <w:lastRenderedPageBreak/>
              <w:t>māju ekspluatācijas lietu reģistra izveidi no Likumprojekta izslēgts.</w:t>
            </w:r>
          </w:p>
          <w:p w:rsidR="0039307D" w:rsidRPr="00712B66" w:rsidRDefault="0039307D" w:rsidP="00303BF8">
            <w:pPr>
              <w:pStyle w:val="naisc"/>
              <w:spacing w:before="0" w:after="0"/>
              <w:jc w:val="both"/>
            </w:pPr>
            <w:r>
              <w:t xml:space="preserve">Būvju </w:t>
            </w:r>
            <w:r w:rsidRPr="00EB4E25">
              <w:t>ekspluatācijas liet</w:t>
            </w:r>
            <w:r>
              <w:t>u reģistrs</w:t>
            </w:r>
            <w:r w:rsidRPr="00EB4E25">
              <w:t xml:space="preserve"> tiks izstrādāt</w:t>
            </w:r>
            <w:r>
              <w:t>s</w:t>
            </w:r>
            <w:r w:rsidRPr="00EB4E25">
              <w:t xml:space="preserve"> informācijas un komunikācijas tehnoloģiju mērķarhitektūras 54.0 versijas projekta “Būvniecības procesu un IS attīstība (2.</w:t>
            </w:r>
            <w:r>
              <w:t> </w:t>
            </w:r>
            <w:r w:rsidRPr="00EB4E25">
              <w:t xml:space="preserve">kārta)” </w:t>
            </w:r>
            <w:r>
              <w:t xml:space="preserve">(turpmāk – Projekts) </w:t>
            </w:r>
            <w:r w:rsidRPr="00EB4E25">
              <w:t xml:space="preserve">ietvaros kā Būvniecības informācijas sistēmas (turpmāk – BIS) sastāvdaļa. Projekta apraksts un kopējās izmaksas 3 075 000 </w:t>
            </w:r>
            <w:r w:rsidRPr="00EB4E25">
              <w:rPr>
                <w:i/>
                <w:iCs/>
              </w:rPr>
              <w:t>euro</w:t>
            </w:r>
            <w:r w:rsidRPr="00EB4E25">
              <w:t xml:space="preserve"> apmērā apstiprinātas ar Ministru kabineta 2019.</w:t>
            </w:r>
            <w:r>
              <w:t> </w:t>
            </w:r>
            <w:r w:rsidRPr="00EB4E25">
              <w:t>gada 12.</w:t>
            </w:r>
            <w:r>
              <w:t> </w:t>
            </w:r>
            <w:r w:rsidRPr="00EB4E25">
              <w:t>jūlija rīkojumu Nr.</w:t>
            </w:r>
            <w:r>
              <w:t> </w:t>
            </w:r>
            <w:r w:rsidRPr="00EB4E25">
              <w:t>346 “Par informācijas sabiedrības attīstības pamatnostādņu ieviešanu publiskās pārvaldes informācijas sistēmu jomā (mērķarhitektūras 54.0 versija)”.</w:t>
            </w:r>
            <w:r>
              <w:t xml:space="preserve"> Būves ekspluatācijas lietā </w:t>
            </w:r>
            <w:r>
              <w:rPr>
                <w:bCs/>
              </w:rPr>
              <w:t xml:space="preserve">tiks uzglabāta informācija par ikvienas būves (tajā skaitā dzīvojamo māju) ekspluatācijas gaitu, kas jau pašreiz tiek uzkrāta BIS, kā arī papildus iekļauta mājas </w:t>
            </w:r>
            <w:r>
              <w:rPr>
                <w:bCs/>
              </w:rPr>
              <w:lastRenderedPageBreak/>
              <w:t>lietas informācija (tajā skaitā par dzīvojamās mājas pārvaldnieku)</w:t>
            </w:r>
            <w:r w:rsidRPr="00EB4E25">
              <w:rPr>
                <w:bCs/>
              </w:rPr>
              <w:t>.</w:t>
            </w:r>
            <w:r>
              <w:rPr>
                <w:bCs/>
              </w:rPr>
              <w:t xml:space="preserve"> Ekonomikas ministrija ir konsultējusies ar Būvniecības valsts kontroles biroju (turpmāk – Birojs), kas ir atbildīgs par BIS izstrādi, un secinājusi, ka tiesiskais regulējums ir jāizstrādā vienlaikus ar programmatūru, lai novērstu iespējamās nesakritības, kas var rasties programmatūras izstrādes gaitā. P</w:t>
            </w:r>
            <w:r w:rsidRPr="006D37D6">
              <w:rPr>
                <w:bCs/>
              </w:rPr>
              <w:t xml:space="preserve">rogrammatūras izstrāde attiecībā uz būvju ekspluatācijas lietu reģistra ieviešanu BIS ir plānota no 2021. gada 1. februāra līdz 2021. gada </w:t>
            </w:r>
            <w:r w:rsidRPr="00ED25B6">
              <w:rPr>
                <w:bCs/>
              </w:rPr>
              <w:t>30. decembrim</w:t>
            </w:r>
            <w:r w:rsidRPr="006D37D6">
              <w:rPr>
                <w:bCs/>
              </w:rPr>
              <w:t xml:space="preserve">. Līdz ar to ir plānots, ka izmaiņas tiesiskajā regulējumā, kas paredz </w:t>
            </w:r>
            <w:r>
              <w:rPr>
                <w:bCs/>
              </w:rPr>
              <w:t xml:space="preserve">dzīvojamo māju </w:t>
            </w:r>
            <w:r w:rsidRPr="006D37D6">
              <w:rPr>
                <w:bCs/>
              </w:rPr>
              <w:t>pārvaldnieku reģistra darbības izbeigšanu un būvju ekspluatācijas lietu reģistra izveidi BIS, stāsies spēkā 2022. gad</w:t>
            </w:r>
            <w:r>
              <w:rPr>
                <w:bCs/>
              </w:rPr>
              <w:t>ā līdz ar attiecīgu BIS funkcionalitāti</w:t>
            </w:r>
            <w:r w:rsidRPr="006D37D6">
              <w:rPr>
                <w:bCs/>
              </w:rPr>
              <w:t>.</w:t>
            </w:r>
          </w:p>
        </w:tc>
        <w:tc>
          <w:tcPr>
            <w:tcW w:w="3118" w:type="dxa"/>
            <w:tcBorders>
              <w:top w:val="single" w:sz="4" w:space="0" w:color="auto"/>
              <w:left w:val="single" w:sz="4" w:space="0" w:color="auto"/>
              <w:bottom w:val="single" w:sz="4" w:space="0" w:color="auto"/>
            </w:tcBorders>
          </w:tcPr>
          <w:p w:rsidR="0039307D" w:rsidRPr="005F0B43" w:rsidRDefault="0039307D" w:rsidP="00413A67">
            <w:r w:rsidRPr="005F0B43">
              <w:lastRenderedPageBreak/>
              <w:t>Precizēts anotācijas I sadaļas 2.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413A67">
            <w:pPr>
              <w:pStyle w:val="naisc"/>
              <w:spacing w:before="0" w:after="0"/>
            </w:pPr>
            <w:r>
              <w:lastRenderedPageBreak/>
              <w:t>7.</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39307D" w:rsidRPr="00CA4C99" w:rsidRDefault="0039307D" w:rsidP="00413A67">
            <w:pPr>
              <w:rPr>
                <w:b/>
                <w:bCs/>
              </w:rPr>
            </w:pPr>
            <w:r w:rsidRPr="00CA4C99">
              <w:rPr>
                <w:b/>
                <w:bCs/>
              </w:rPr>
              <w:t>Finanšu ministrija</w:t>
            </w:r>
          </w:p>
          <w:p w:rsidR="0039307D" w:rsidRDefault="0039307D" w:rsidP="00413A67">
            <w:r w:rsidRPr="00346309">
              <w:t xml:space="preserve">Anotācijas </w:t>
            </w:r>
            <w:proofErr w:type="spellStart"/>
            <w:r w:rsidRPr="00346309">
              <w:t>III.sadaļas</w:t>
            </w:r>
            <w:proofErr w:type="spellEnd"/>
            <w:r w:rsidRPr="00346309">
              <w:t xml:space="preserve"> 8.punktā norādīts,</w:t>
            </w:r>
            <w:r w:rsidRPr="007B2FB3">
              <w:t xml:space="preserve"> ka valsts dzīvojamo māju valdītājiem iespējams dzīvojamo māju pārvaldīšanas izmaksu palielinājums sakarā ar </w:t>
            </w:r>
            <w:r w:rsidRPr="007B2FB3">
              <w:lastRenderedPageBreak/>
              <w:t>likumprojektā plānoto papildu dzīvojamo māju energoefektivitātes paaugstināšanas pasākumu izpildi.</w:t>
            </w:r>
          </w:p>
          <w:p w:rsidR="0039307D" w:rsidRDefault="0039307D" w:rsidP="00413A67">
            <w:r w:rsidRPr="00FC6D08">
              <w:t>Anot</w:t>
            </w:r>
            <w:r>
              <w:t xml:space="preserve">ācijas </w:t>
            </w:r>
            <w:proofErr w:type="spellStart"/>
            <w:r>
              <w:t>I.</w:t>
            </w:r>
            <w:r w:rsidRPr="00FC6D08">
              <w:t>sadaļas</w:t>
            </w:r>
            <w:proofErr w:type="spellEnd"/>
            <w:r w:rsidRPr="00FC6D08">
              <w:t xml:space="preserve"> 2.punktā skaidrots, ka likumprojekts nodrošinās Ministru kabineta </w:t>
            </w:r>
            <w:r>
              <w:t>2018.gada 30.janvāra</w:t>
            </w:r>
            <w:r w:rsidRPr="00FC6D08">
              <w:t xml:space="preserve"> sēdes protokollēmuma (prot.Nr.6 4.§) 2.punktā Ekonomikas ministrijai dotā uzdevuma (uzklausīt biedrību “Latvijas Namu pārvaldītāju un apsaimniekotāju asociācija” un izvērtēt dzīvojamo māju pārvaldīšanas problēmas, sagatavot attiecīgus likumprojektus par grozījumiem Dzīvokļa īpašuma likumā un Dzīvojamo māju pārvaldīšanas likumā un ekonomikas ministram līdz 2020.gada 1.janvārim iesniegt tos izskatīšanai Ministru kabinetā) izpildi attiecībā par gro</w:t>
            </w:r>
            <w:r>
              <w:t>zījumu veikšanu P</w:t>
            </w:r>
            <w:r w:rsidRPr="00FC6D08">
              <w:t>ārvaldīšanas likumā</w:t>
            </w:r>
            <w:r>
              <w:t xml:space="preserve">. Vēršam uzmanību, ka no anotācijā sniegtās informācijas nav saprotams, uz kādām dzīvojamo māju pārvaldīšanas problēmām pirms likumprojekta izstrādes norādījusi </w:t>
            </w:r>
            <w:r w:rsidRPr="00606A48">
              <w:t>biedrīb</w:t>
            </w:r>
            <w:r>
              <w:t>a</w:t>
            </w:r>
            <w:r w:rsidRPr="00606A48">
              <w:t xml:space="preserve"> “Latvijas Namu pārvaldītāju un apsaimniekotāju asociācija”</w:t>
            </w:r>
            <w:r>
              <w:t xml:space="preserve"> un nav sniegts </w:t>
            </w:r>
            <w:r w:rsidRPr="00A4500E">
              <w:t xml:space="preserve">dzīvojamo māju pārvaldīšanas </w:t>
            </w:r>
            <w:r>
              <w:t xml:space="preserve">problēmu izvērtējums. Līdz ar to nav skaidrs, kādēļ Pārvaldīšanas likumā noteiktais obligāti veicamo pārvaldīšanas darbību saraksts būtu papildināms ar pārvaldīšanas darbību “dzīvojamās mājas energoefektivitātes uzlabošanas pasākumu nodrošināšana”, aizstājot līdzšinējo pārvaldīšanas darbību </w:t>
            </w:r>
            <w:r>
              <w:lastRenderedPageBreak/>
              <w:t>“</w:t>
            </w:r>
            <w:r w:rsidRPr="00780F45">
              <w:t>dzīvojamās mājas energoefektivitātei izvirzīto minimālo prasību izpildes nodrošināšana</w:t>
            </w:r>
            <w:r>
              <w:t>”.</w:t>
            </w:r>
          </w:p>
          <w:p w:rsidR="0039307D" w:rsidRDefault="0039307D" w:rsidP="00413A67">
            <w:r>
              <w:t>Turklāt  vēršam uzmanību, ka Pārvaldīšanas likuma 6.panta trešajā daļā ir noteikts, ka c</w:t>
            </w:r>
            <w:r w:rsidRPr="00780F45">
              <w:t xml:space="preserve">itas pārvaldīšanas darbības ir darbības, kas saistītas ar dzīvojamās mājas pārvaldīšanu </w:t>
            </w:r>
            <w:r w:rsidRPr="002D482C">
              <w:t>un tiek veiktas atbilstoši dzīvojamās mājas īpašnieka gribai un maksātspējai.</w:t>
            </w:r>
            <w:r w:rsidRPr="00780F45">
              <w:t xml:space="preserve"> Pie tām pieder ar dzīvojamās mājas uzlabošanu un attīstīšanu un šim nolūkam nepieciešamo pasākumu ilgtermiņa plāna sagatavošanu saistītās darbības.</w:t>
            </w:r>
            <w:r>
              <w:t xml:space="preserve"> Savukārt, kā jau anotācijā norādīts, pasākumus ēku energoefektivitātei nosaka Ēku energoefektivitātes likums. </w:t>
            </w:r>
          </w:p>
          <w:p w:rsidR="0039307D" w:rsidRPr="00CA4C99" w:rsidRDefault="0039307D" w:rsidP="00413A67">
            <w:r w:rsidRPr="007B2FB3">
              <w:t>Ievērojot minēto, lūdzam papildināt anotāciju ar izvērstu pamatojumu likump</w:t>
            </w:r>
            <w:r>
              <w:t>rojekta 1.pantā ietvertā Pārvaldīšanas l</w:t>
            </w:r>
            <w:r w:rsidRPr="007B2FB3">
              <w:t>ikuma 6.panta otrās daļas 1.punkta “f” apakšpunkta redakcijai,</w:t>
            </w:r>
            <w:r>
              <w:t xml:space="preserve"> kā arī sniegt informāciju, vai un</w:t>
            </w:r>
            <w:r w:rsidRPr="007B2FB3">
              <w:t xml:space="preserve"> kādu ietekmi piedāvātais regulējums radīs iedzīvotajiem – dzīvojamo māju īpašniekiem</w:t>
            </w:r>
            <w:r>
              <w:t>,</w:t>
            </w:r>
            <w:r w:rsidRPr="007B2FB3">
              <w:t xml:space="preserve"> un iespējamos risinājumus valsts dzīvojamo māju energoefektivitātes paaugstināšanai nepieciešamā finansējuma rašanai</w:t>
            </w:r>
            <w:r>
              <w:t>.</w:t>
            </w:r>
          </w:p>
        </w:tc>
        <w:tc>
          <w:tcPr>
            <w:tcW w:w="3119" w:type="dxa"/>
            <w:gridSpan w:val="2"/>
            <w:tcBorders>
              <w:left w:val="single" w:sz="6" w:space="0" w:color="000000"/>
              <w:bottom w:val="single" w:sz="4" w:space="0" w:color="auto"/>
              <w:right w:val="single" w:sz="6" w:space="0" w:color="000000"/>
            </w:tcBorders>
          </w:tcPr>
          <w:p w:rsidR="0039307D" w:rsidRPr="00FE3C7E" w:rsidRDefault="0039307D" w:rsidP="00413A67">
            <w:pPr>
              <w:pStyle w:val="naisc"/>
              <w:spacing w:before="0" w:after="0"/>
              <w:rPr>
                <w:b/>
                <w:bCs/>
              </w:rPr>
            </w:pPr>
            <w:r w:rsidRPr="00FE3C7E">
              <w:rPr>
                <w:b/>
                <w:bCs/>
              </w:rPr>
              <w:lastRenderedPageBreak/>
              <w:t>Ņemts vērā.</w:t>
            </w:r>
          </w:p>
        </w:tc>
        <w:tc>
          <w:tcPr>
            <w:tcW w:w="3118" w:type="dxa"/>
            <w:tcBorders>
              <w:top w:val="single" w:sz="4" w:space="0" w:color="auto"/>
              <w:left w:val="single" w:sz="4" w:space="0" w:color="auto"/>
              <w:bottom w:val="single" w:sz="4" w:space="0" w:color="auto"/>
            </w:tcBorders>
          </w:tcPr>
          <w:p w:rsidR="0039307D" w:rsidRPr="00C474DD" w:rsidRDefault="0039307D" w:rsidP="00413A67">
            <w:r w:rsidRPr="00C474DD">
              <w:t>Precizēts anotācijas I sadaļas 2. punkts un III sadaļas 8.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413A67">
            <w:pPr>
              <w:pStyle w:val="naisc"/>
              <w:spacing w:before="0" w:after="0"/>
            </w:pPr>
            <w:r>
              <w:lastRenderedPageBreak/>
              <w:t>8.</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39307D" w:rsidRDefault="0039307D" w:rsidP="00413A67">
            <w:pPr>
              <w:rPr>
                <w:b/>
                <w:bCs/>
              </w:rPr>
            </w:pPr>
            <w:r>
              <w:rPr>
                <w:b/>
                <w:bCs/>
              </w:rPr>
              <w:t>Latvijas Pašvaldību savienība</w:t>
            </w:r>
          </w:p>
          <w:p w:rsidR="0039307D" w:rsidRPr="002367DF" w:rsidRDefault="0039307D" w:rsidP="00413A67">
            <w:r w:rsidRPr="002367DF">
              <w:t>L</w:t>
            </w:r>
            <w:r w:rsidRPr="002367DF">
              <w:rPr>
                <w:rFonts w:hint="eastAsia"/>
              </w:rPr>
              <w:t>ū</w:t>
            </w:r>
            <w:r w:rsidRPr="002367DF">
              <w:t>dzam preciz</w:t>
            </w:r>
            <w:r w:rsidRPr="002367DF">
              <w:rPr>
                <w:rFonts w:hint="eastAsia"/>
              </w:rPr>
              <w:t>ē</w:t>
            </w:r>
            <w:r w:rsidRPr="002367DF">
              <w:t>t anot</w:t>
            </w:r>
            <w:r w:rsidRPr="002367DF">
              <w:rPr>
                <w:rFonts w:hint="eastAsia"/>
              </w:rPr>
              <w:t>ā</w:t>
            </w:r>
            <w:r w:rsidRPr="002367DF">
              <w:t>ciju norādot, kur un kādā veidā dz</w:t>
            </w:r>
            <w:r w:rsidRPr="002367DF">
              <w:rPr>
                <w:rFonts w:hint="eastAsia"/>
              </w:rPr>
              <w:t>ī</w:t>
            </w:r>
            <w:r w:rsidRPr="002367DF">
              <w:t>vok</w:t>
            </w:r>
            <w:r w:rsidRPr="002367DF">
              <w:rPr>
                <w:rFonts w:hint="eastAsia"/>
              </w:rPr>
              <w:t>ļ</w:t>
            </w:r>
            <w:r w:rsidRPr="002367DF">
              <w:t xml:space="preserve">u </w:t>
            </w:r>
            <w:r w:rsidRPr="002367DF">
              <w:rPr>
                <w:rFonts w:hint="eastAsia"/>
              </w:rPr>
              <w:t>ī</w:t>
            </w:r>
            <w:r w:rsidRPr="002367DF">
              <w:t>pašnieki var</w:t>
            </w:r>
            <w:r w:rsidRPr="002367DF">
              <w:rPr>
                <w:rFonts w:hint="eastAsia"/>
              </w:rPr>
              <w:t>ē</w:t>
            </w:r>
            <w:r w:rsidRPr="002367DF">
              <w:t>s ieg</w:t>
            </w:r>
            <w:r w:rsidRPr="002367DF">
              <w:rPr>
                <w:rFonts w:hint="eastAsia"/>
              </w:rPr>
              <w:t>ū</w:t>
            </w:r>
            <w:r w:rsidRPr="002367DF">
              <w:t>t inform</w:t>
            </w:r>
            <w:r w:rsidRPr="002367DF">
              <w:rPr>
                <w:rFonts w:hint="eastAsia"/>
              </w:rPr>
              <w:t>ā</w:t>
            </w:r>
            <w:r w:rsidRPr="002367DF">
              <w:t>ciju par to, k</w:t>
            </w:r>
            <w:r w:rsidRPr="002367DF">
              <w:rPr>
                <w:rFonts w:hint="eastAsia"/>
              </w:rPr>
              <w:t>ā</w:t>
            </w:r>
            <w:r w:rsidRPr="002367DF">
              <w:t>di ir dz</w:t>
            </w:r>
            <w:r w:rsidRPr="002367DF">
              <w:rPr>
                <w:rFonts w:hint="eastAsia"/>
              </w:rPr>
              <w:t>ī</w:t>
            </w:r>
            <w:r w:rsidRPr="002367DF">
              <w:t>vojamo m</w:t>
            </w:r>
            <w:r w:rsidRPr="002367DF">
              <w:rPr>
                <w:rFonts w:hint="eastAsia"/>
              </w:rPr>
              <w:t>ā</w:t>
            </w:r>
            <w:r w:rsidRPr="002367DF">
              <w:t>ju p</w:t>
            </w:r>
            <w:r w:rsidRPr="002367DF">
              <w:rPr>
                <w:rFonts w:hint="eastAsia"/>
              </w:rPr>
              <w:t>ā</w:t>
            </w:r>
            <w:r w:rsidRPr="002367DF">
              <w:t>rvaldnieki Latvij</w:t>
            </w:r>
            <w:r w:rsidRPr="002367DF">
              <w:rPr>
                <w:rFonts w:hint="eastAsia"/>
              </w:rPr>
              <w:t>ā</w:t>
            </w:r>
            <w:r w:rsidRPr="002367DF">
              <w:t>.</w:t>
            </w:r>
          </w:p>
        </w:tc>
        <w:tc>
          <w:tcPr>
            <w:tcW w:w="3119" w:type="dxa"/>
            <w:gridSpan w:val="2"/>
            <w:tcBorders>
              <w:left w:val="single" w:sz="6" w:space="0" w:color="000000"/>
              <w:bottom w:val="single" w:sz="4" w:space="0" w:color="auto"/>
              <w:right w:val="single" w:sz="6" w:space="0" w:color="000000"/>
            </w:tcBorders>
          </w:tcPr>
          <w:p w:rsidR="0039307D" w:rsidRPr="0044351C" w:rsidRDefault="0039307D" w:rsidP="00413A67">
            <w:pPr>
              <w:pStyle w:val="naisc"/>
              <w:spacing w:before="0" w:after="0"/>
              <w:rPr>
                <w:b/>
                <w:bCs/>
              </w:rPr>
            </w:pPr>
            <w:r>
              <w:rPr>
                <w:b/>
                <w:bCs/>
              </w:rPr>
              <w:t>Ņ</w:t>
            </w:r>
            <w:r w:rsidRPr="0044351C">
              <w:rPr>
                <w:b/>
                <w:bCs/>
              </w:rPr>
              <w:t>emts vērā.</w:t>
            </w:r>
          </w:p>
          <w:p w:rsidR="0039307D" w:rsidRDefault="0039307D" w:rsidP="00413A67">
            <w:pPr>
              <w:pStyle w:val="naisc"/>
              <w:spacing w:before="0" w:after="0"/>
              <w:jc w:val="both"/>
            </w:pPr>
            <w:r>
              <w:t>Regulējums par dzīvojamo māju pārvaldnieku reģistra slēgšanu no Likumprojekta izslēgts.</w:t>
            </w:r>
          </w:p>
        </w:tc>
        <w:tc>
          <w:tcPr>
            <w:tcW w:w="3118" w:type="dxa"/>
            <w:tcBorders>
              <w:top w:val="single" w:sz="4" w:space="0" w:color="auto"/>
              <w:left w:val="single" w:sz="4" w:space="0" w:color="auto"/>
              <w:bottom w:val="single" w:sz="4" w:space="0" w:color="auto"/>
            </w:tcBorders>
          </w:tcPr>
          <w:p w:rsidR="0039307D" w:rsidRPr="00660DBC" w:rsidRDefault="0039307D" w:rsidP="00413A67">
            <w:r w:rsidRPr="00660DBC">
              <w:t>Precizēts anotācijas I sadaļas 2.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413A67">
            <w:pPr>
              <w:pStyle w:val="naisc"/>
              <w:spacing w:before="0" w:after="0"/>
            </w:pPr>
            <w:r>
              <w:lastRenderedPageBreak/>
              <w:t>9.</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39307D" w:rsidRDefault="0039307D" w:rsidP="00413A67">
            <w:pPr>
              <w:rPr>
                <w:b/>
                <w:bCs/>
              </w:rPr>
            </w:pPr>
            <w:r>
              <w:rPr>
                <w:b/>
                <w:bCs/>
              </w:rPr>
              <w:t>Finanšu  ministrija (priekšlikums)</w:t>
            </w:r>
          </w:p>
          <w:p w:rsidR="0039307D" w:rsidRDefault="0039307D" w:rsidP="00413A67">
            <w:pPr>
              <w:rPr>
                <w:bCs/>
              </w:rPr>
            </w:pPr>
            <w:r>
              <w:t xml:space="preserve">Anotācijas </w:t>
            </w:r>
            <w:proofErr w:type="spellStart"/>
            <w:r>
              <w:t>I.sadaļas</w:t>
            </w:r>
            <w:proofErr w:type="spellEnd"/>
            <w:r>
              <w:t xml:space="preserve"> 2.punktā (8.lpp.) ir norādīts: “</w:t>
            </w:r>
            <w:r w:rsidRPr="007301E2">
              <w:rPr>
                <w:bCs/>
              </w:rPr>
              <w:t>Kopējais plānotais Projekta īstenošanas periods ir no 2019.gada 1.decembra līdz 2011.gada 30.novembrim,</w:t>
            </w:r>
            <w:r>
              <w:rPr>
                <w:bCs/>
              </w:rPr>
              <w:t xml:space="preserve"> [..]”. Lūdzam precizēt projekta īstenošanas beigu datumu.</w:t>
            </w:r>
          </w:p>
          <w:p w:rsidR="0039307D" w:rsidRPr="00BE716D" w:rsidRDefault="0039307D" w:rsidP="00413A67">
            <w:pPr>
              <w:rPr>
                <w:b/>
              </w:rPr>
            </w:pPr>
            <w:r w:rsidRPr="00BE716D">
              <w:rPr>
                <w:b/>
              </w:rPr>
              <w:t>Tieslietu ministrija (priekšlikums)</w:t>
            </w:r>
          </w:p>
          <w:p w:rsidR="0039307D" w:rsidRPr="00BE716D" w:rsidRDefault="0039307D" w:rsidP="00413A67">
            <w:r w:rsidRPr="00BE716D">
              <w:t>Anotācijas I sadaļas 2. punkta 8. lapaspuses pirmspēdējā rindkopā ieviesusies neprecizitāte attiecībā uz tajā norādītā projekta īstenošanas perioda noslēguma termiņu, t. i., anotācijā norādīts, ka attiecīgais projekts īstenojams periodā no 2019. gada 1. decembra līdz 20</w:t>
            </w:r>
            <w:r w:rsidRPr="00BE716D">
              <w:rPr>
                <w:u w:val="single"/>
              </w:rPr>
              <w:t>11</w:t>
            </w:r>
            <w:r w:rsidRPr="00BE716D">
              <w:t>. gada 30. novembrim. Lūdzam novērst šo neprecizitāti.</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Pr>
                <w:b/>
                <w:bCs/>
              </w:rPr>
              <w:t>Ņ</w:t>
            </w:r>
            <w:r w:rsidRPr="00B102A8">
              <w:rPr>
                <w:b/>
                <w:bCs/>
              </w:rPr>
              <w:t>emts vērā.</w:t>
            </w:r>
          </w:p>
          <w:p w:rsidR="0039307D" w:rsidRDefault="0039307D" w:rsidP="00413A67">
            <w:pPr>
              <w:pStyle w:val="naisc"/>
              <w:spacing w:before="0" w:after="0"/>
              <w:jc w:val="both"/>
            </w:pPr>
            <w:r>
              <w:t>Regulējums par dzīvojamo māju ekspluatācijas lietu reģistra izveidi no Likumprojekta izslēgts.</w:t>
            </w:r>
          </w:p>
        </w:tc>
        <w:tc>
          <w:tcPr>
            <w:tcW w:w="3118" w:type="dxa"/>
            <w:tcBorders>
              <w:top w:val="single" w:sz="4" w:space="0" w:color="auto"/>
              <w:left w:val="single" w:sz="4" w:space="0" w:color="auto"/>
              <w:bottom w:val="single" w:sz="4" w:space="0" w:color="auto"/>
            </w:tcBorders>
          </w:tcPr>
          <w:p w:rsidR="0039307D" w:rsidRPr="00163061" w:rsidRDefault="0039307D" w:rsidP="00413A67">
            <w:r w:rsidRPr="00660DBC">
              <w:t>Precizēts anotācijas I sadaļas 2.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413A67">
            <w:pPr>
              <w:pStyle w:val="naisc"/>
              <w:spacing w:before="0" w:after="0"/>
            </w:pPr>
            <w:r>
              <w:t>10.</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39307D" w:rsidRDefault="0039307D" w:rsidP="00413A67">
            <w:pPr>
              <w:rPr>
                <w:b/>
                <w:bCs/>
              </w:rPr>
            </w:pPr>
            <w:r>
              <w:rPr>
                <w:b/>
                <w:bCs/>
              </w:rPr>
              <w:t>Tieslietu ministrija (priekšlikums)</w:t>
            </w:r>
          </w:p>
          <w:p w:rsidR="0039307D" w:rsidRPr="00163061" w:rsidRDefault="0039307D" w:rsidP="00413A67">
            <w:r w:rsidRPr="00163061">
              <w:t>Anotācijas I sadaļas 2. punkta pirmajā rindkopā lietotais termins "daudzdzīvokļu dzīvojamā ēka" būtu aizstājams ar Dzīvojamo māju pārvaldīšanas likumā lietoto terminu "daudzdzīvokļu māja".</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sidRPr="00B102A8">
              <w:rPr>
                <w:b/>
                <w:bCs/>
              </w:rPr>
              <w:t>Ņemts vērā.</w:t>
            </w:r>
          </w:p>
        </w:tc>
        <w:tc>
          <w:tcPr>
            <w:tcW w:w="3118" w:type="dxa"/>
            <w:tcBorders>
              <w:top w:val="single" w:sz="4" w:space="0" w:color="auto"/>
              <w:left w:val="single" w:sz="4" w:space="0" w:color="auto"/>
              <w:bottom w:val="single" w:sz="4" w:space="0" w:color="auto"/>
            </w:tcBorders>
          </w:tcPr>
          <w:p w:rsidR="0039307D" w:rsidRPr="00660DBC" w:rsidRDefault="0039307D" w:rsidP="00413A67">
            <w:r w:rsidRPr="00660DBC">
              <w:t>Precizēts anotācijas I sadaļas 2.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39307D">
            <w:pPr>
              <w:pStyle w:val="naisc"/>
              <w:spacing w:before="0" w:after="0"/>
            </w:pPr>
            <w:r>
              <w:t>11.</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II sadaļas 2. punkts</w:t>
            </w:r>
          </w:p>
        </w:tc>
        <w:tc>
          <w:tcPr>
            <w:tcW w:w="4394" w:type="dxa"/>
            <w:tcBorders>
              <w:left w:val="single" w:sz="6" w:space="0" w:color="000000"/>
              <w:bottom w:val="single" w:sz="4" w:space="0" w:color="auto"/>
              <w:right w:val="single" w:sz="6" w:space="0" w:color="000000"/>
            </w:tcBorders>
          </w:tcPr>
          <w:p w:rsidR="0039307D" w:rsidRDefault="0039307D" w:rsidP="00413A67">
            <w:pPr>
              <w:rPr>
                <w:b/>
                <w:bCs/>
              </w:rPr>
            </w:pPr>
            <w:r>
              <w:rPr>
                <w:b/>
                <w:bCs/>
              </w:rPr>
              <w:t>Valsts kanceleja</w:t>
            </w:r>
          </w:p>
          <w:p w:rsidR="0039307D" w:rsidRPr="00555ACB" w:rsidRDefault="0039307D" w:rsidP="00413A67">
            <w:r>
              <w:t xml:space="preserve">Anotācijas II. sadaļas 2.punktā minēts, ka likumprojekts izstrādāts, ievērojot “nulles birokrātijas” pieeju (Ministru kabineta 2019. gada 20. augusta sēdes </w:t>
            </w:r>
            <w:proofErr w:type="spellStart"/>
            <w:r>
              <w:t>protokollēmums</w:t>
            </w:r>
            <w:proofErr w:type="spellEnd"/>
            <w:r>
              <w:t xml:space="preserve"> Nr. 35 § 18.), taču likumprojektā paredzētais regulējums pēc būtības neatbilst pieejas pamatidejai – nodrošināt administratīvā sloga vai atbilstības izmaksu kompensēšanu </w:t>
            </w:r>
            <w:r>
              <w:lastRenderedPageBreak/>
              <w:t xml:space="preserve">līdzvērtīgā apmērā </w:t>
            </w:r>
            <w:r>
              <w:rPr>
                <w:u w:val="single"/>
              </w:rPr>
              <w:t>vienai un tai pašai uzņēmēju mērķa grupai</w:t>
            </w:r>
            <w:r>
              <w:t>. Likumprojekts paredz palielināt slogu</w:t>
            </w:r>
            <w:r>
              <w:rPr>
                <w:u w:val="single"/>
              </w:rPr>
              <w:t xml:space="preserve"> dzīvojamo māju īpašniekiem</w:t>
            </w:r>
            <w:r>
              <w:t xml:space="preserve"> (tiem būs jānodrošina papildu pienākumu izpilde un finansējums dzīvojamās mājas obligāti veicamo pārvaldīšanas darbību ietvaros sakarā ar dzīvojamās mājas energoefektivitātes uzlabošanas pasākumu īstenošanu, kuriem saskaņā ar dzīvojamās mājas īpašnieku pilnvarojumu būs jāveic minētie pienākumi), savukārt  samazināt  slogu paredzēts </w:t>
            </w:r>
            <w:r>
              <w:rPr>
                <w:u w:val="single"/>
              </w:rPr>
              <w:t>dzīvojamo māju pārvaldniekiem</w:t>
            </w:r>
            <w:r>
              <w:t>, kuriem nebūs noteikta pienākuma reģistrēties pārvaldnieku reģistrā un aktualizēt tajā informāciju.</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sidRPr="00B102A8">
              <w:rPr>
                <w:b/>
                <w:bCs/>
              </w:rPr>
              <w:lastRenderedPageBreak/>
              <w:t>Ņemts vērā.</w:t>
            </w:r>
          </w:p>
        </w:tc>
        <w:tc>
          <w:tcPr>
            <w:tcW w:w="3118" w:type="dxa"/>
            <w:tcBorders>
              <w:top w:val="single" w:sz="4" w:space="0" w:color="auto"/>
              <w:left w:val="single" w:sz="4" w:space="0" w:color="auto"/>
              <w:bottom w:val="single" w:sz="4" w:space="0" w:color="auto"/>
            </w:tcBorders>
          </w:tcPr>
          <w:p w:rsidR="0039307D" w:rsidRPr="00660DBC" w:rsidRDefault="0039307D" w:rsidP="00413A67">
            <w:r>
              <w:t>Precizēts anotācijas II sadaļas 2.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Default="0039307D" w:rsidP="0039307D">
            <w:pPr>
              <w:pStyle w:val="naisc"/>
              <w:spacing w:before="0" w:after="0"/>
            </w:pPr>
            <w:r>
              <w:lastRenderedPageBreak/>
              <w:t>12.</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II sadaļas 3. un 4. punkts</w:t>
            </w:r>
          </w:p>
        </w:tc>
        <w:tc>
          <w:tcPr>
            <w:tcW w:w="4394" w:type="dxa"/>
            <w:tcBorders>
              <w:left w:val="single" w:sz="6" w:space="0" w:color="000000"/>
              <w:bottom w:val="single" w:sz="4" w:space="0" w:color="auto"/>
              <w:right w:val="single" w:sz="6" w:space="0" w:color="000000"/>
            </w:tcBorders>
          </w:tcPr>
          <w:p w:rsidR="0039307D" w:rsidRPr="00555ACB" w:rsidRDefault="0039307D" w:rsidP="00413A67">
            <w:pPr>
              <w:rPr>
                <w:b/>
                <w:bCs/>
              </w:rPr>
            </w:pPr>
            <w:r w:rsidRPr="00555ACB">
              <w:rPr>
                <w:b/>
                <w:bCs/>
              </w:rPr>
              <w:t>Valsts kanceleja</w:t>
            </w:r>
          </w:p>
          <w:p w:rsidR="0039307D" w:rsidRPr="00555ACB" w:rsidRDefault="0039307D" w:rsidP="00413A67">
            <w:r w:rsidRPr="00555ACB">
              <w:t xml:space="preserve">Ņemot vērā, ka anotācijas II. sadaļas 2.punktā minēts, ka likumprojekts izstrādāts, ievērojot “nulles birokrātijas” pieeju, anotācija būtu attiecīgi precizējama un papildināma (II. sadaļas 3. un 4. punkti) ar šo pieeju raksturojošo darbību atspoguļošanu: </w:t>
            </w:r>
          </w:p>
          <w:p w:rsidR="0039307D" w:rsidRPr="00CB5BE3" w:rsidRDefault="0039307D" w:rsidP="00413A67">
            <w:pPr>
              <w:pStyle w:val="ListParagraph"/>
              <w:numPr>
                <w:ilvl w:val="0"/>
                <w:numId w:val="7"/>
              </w:numPr>
              <w:tabs>
                <w:tab w:val="left" w:pos="601"/>
              </w:tabs>
              <w:spacing w:after="0" w:line="240" w:lineRule="auto"/>
              <w:ind w:left="34" w:firstLine="283"/>
              <w:rPr>
                <w:rFonts w:ascii="Times New Roman" w:hAnsi="Times New Roman"/>
                <w:sz w:val="24"/>
                <w:szCs w:val="24"/>
                <w:lang w:val="lv-LV"/>
              </w:rPr>
            </w:pPr>
            <w:r w:rsidRPr="00C346E5">
              <w:rPr>
                <w:rFonts w:ascii="Times New Roman" w:hAnsi="Times New Roman"/>
                <w:sz w:val="24"/>
                <w:szCs w:val="24"/>
                <w:u w:val="single"/>
                <w:lang w:val="lv-LV"/>
              </w:rPr>
              <w:t>precīzs</w:t>
            </w:r>
            <w:r w:rsidRPr="00C346E5">
              <w:rPr>
                <w:rFonts w:ascii="Times New Roman" w:hAnsi="Times New Roman"/>
                <w:sz w:val="24"/>
                <w:szCs w:val="24"/>
                <w:lang w:val="lv-LV"/>
              </w:rPr>
              <w:t xml:space="preserve"> administratīvā sloga un atbilstības izmaksu palielinājuma un samazinājuma aprēķins uzņēmēju mērķa grupai;</w:t>
            </w:r>
          </w:p>
          <w:p w:rsidR="0039307D" w:rsidRPr="00CB5BE3" w:rsidRDefault="0039307D" w:rsidP="00413A67">
            <w:pPr>
              <w:pStyle w:val="ListParagraph"/>
              <w:numPr>
                <w:ilvl w:val="0"/>
                <w:numId w:val="7"/>
              </w:numPr>
              <w:tabs>
                <w:tab w:val="left" w:pos="601"/>
              </w:tabs>
              <w:spacing w:after="0" w:line="240" w:lineRule="auto"/>
              <w:ind w:left="34" w:firstLine="283"/>
              <w:rPr>
                <w:rFonts w:ascii="Times New Roman" w:hAnsi="Times New Roman"/>
                <w:sz w:val="24"/>
                <w:szCs w:val="24"/>
                <w:lang w:val="lv-LV"/>
              </w:rPr>
            </w:pPr>
            <w:r w:rsidRPr="00C346E5">
              <w:rPr>
                <w:rFonts w:ascii="Times New Roman" w:hAnsi="Times New Roman"/>
                <w:sz w:val="24"/>
                <w:szCs w:val="24"/>
                <w:lang w:val="lv-LV"/>
              </w:rPr>
              <w:t xml:space="preserve">uzņēmēju mērķa grupas iesaistes likumprojekta izstrādē atspoguļojums (apraksts un </w:t>
            </w:r>
            <w:r w:rsidRPr="00C346E5">
              <w:rPr>
                <w:rFonts w:ascii="Times New Roman" w:hAnsi="Times New Roman"/>
                <w:sz w:val="24"/>
                <w:szCs w:val="24"/>
                <w:u w:val="single"/>
                <w:lang w:val="lv-LV"/>
              </w:rPr>
              <w:t>atzinums</w:t>
            </w:r>
            <w:r w:rsidRPr="00C346E5">
              <w:rPr>
                <w:rFonts w:ascii="Times New Roman" w:hAnsi="Times New Roman"/>
                <w:sz w:val="24"/>
                <w:szCs w:val="24"/>
                <w:lang w:val="lv-LV"/>
              </w:rPr>
              <w:t xml:space="preserve">, kas apliecina piekrišanu piedāvātajam risinājumam un ietver t.sk. saskaņojumu veiktajiem sloga </w:t>
            </w:r>
            <w:r w:rsidRPr="00C346E5">
              <w:rPr>
                <w:rFonts w:ascii="Times New Roman" w:hAnsi="Times New Roman"/>
                <w:sz w:val="24"/>
                <w:szCs w:val="24"/>
                <w:lang w:val="lv-LV"/>
              </w:rPr>
              <w:lastRenderedPageBreak/>
              <w:t>aprēķiniem).</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sidRPr="00B102A8">
              <w:rPr>
                <w:b/>
                <w:bCs/>
              </w:rPr>
              <w:lastRenderedPageBreak/>
              <w:t>Ņemts vērā.</w:t>
            </w:r>
          </w:p>
        </w:tc>
        <w:tc>
          <w:tcPr>
            <w:tcW w:w="3118" w:type="dxa"/>
            <w:tcBorders>
              <w:top w:val="single" w:sz="4" w:space="0" w:color="auto"/>
              <w:left w:val="single" w:sz="4" w:space="0" w:color="auto"/>
              <w:bottom w:val="single" w:sz="4" w:space="0" w:color="auto"/>
            </w:tcBorders>
          </w:tcPr>
          <w:p w:rsidR="0039307D" w:rsidRPr="00660DBC" w:rsidRDefault="0039307D" w:rsidP="00413A67">
            <w:r>
              <w:t>Precizēts anotācijas II sadaļas 3. un 4.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lastRenderedPageBreak/>
              <w:t>13.</w:t>
            </w:r>
          </w:p>
        </w:tc>
        <w:tc>
          <w:tcPr>
            <w:tcW w:w="3086" w:type="dxa"/>
            <w:gridSpan w:val="2"/>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jc w:val="both"/>
            </w:pPr>
            <w:r>
              <w:t>Anotācijas III sadaļa</w:t>
            </w:r>
          </w:p>
        </w:tc>
        <w:tc>
          <w:tcPr>
            <w:tcW w:w="4394" w:type="dxa"/>
            <w:tcBorders>
              <w:left w:val="single" w:sz="6" w:space="0" w:color="000000"/>
              <w:bottom w:val="single" w:sz="4" w:space="0" w:color="auto"/>
              <w:right w:val="single" w:sz="6" w:space="0" w:color="000000"/>
            </w:tcBorders>
          </w:tcPr>
          <w:p w:rsidR="0039307D" w:rsidRPr="0014790C" w:rsidRDefault="0039307D" w:rsidP="00413A67">
            <w:pPr>
              <w:pStyle w:val="naisc"/>
              <w:spacing w:before="0" w:after="0"/>
              <w:jc w:val="both"/>
              <w:rPr>
                <w:b/>
                <w:bCs/>
              </w:rPr>
            </w:pPr>
            <w:r w:rsidRPr="0014790C">
              <w:rPr>
                <w:b/>
                <w:bCs/>
              </w:rPr>
              <w:t>Finanšu ministrija</w:t>
            </w:r>
          </w:p>
          <w:p w:rsidR="0039307D" w:rsidRDefault="0039307D" w:rsidP="00413A67">
            <w:pPr>
              <w:pStyle w:val="naisc"/>
              <w:spacing w:before="0" w:after="0"/>
              <w:jc w:val="both"/>
            </w:pPr>
            <w:r w:rsidRPr="005F4B11">
              <w:t xml:space="preserve">Lūdzam anotācijas </w:t>
            </w:r>
            <w:proofErr w:type="spellStart"/>
            <w:r w:rsidRPr="005F4B11">
              <w:t>II</w:t>
            </w:r>
            <w:r>
              <w:t>I.sadaļā</w:t>
            </w:r>
            <w:proofErr w:type="spellEnd"/>
            <w:r>
              <w:t xml:space="preserve"> precizēt kārtējo gadu (</w:t>
            </w:r>
            <w:r w:rsidRPr="005F4B11">
              <w:t>2020.gads</w:t>
            </w:r>
            <w:r>
              <w:t>)</w:t>
            </w:r>
            <w:r w:rsidRPr="005F4B11">
              <w:t xml:space="preserve">, attiecīgi precizējot arī turpmākos gadus. Vienlaikus norādām, ka atbilstoši Ministru kabineta 2009.gada </w:t>
            </w:r>
            <w:r>
              <w:t>15.decembra instrukcijas Nr.19 “</w:t>
            </w:r>
            <w:r w:rsidRPr="005F4B11">
              <w:t>Tiesību akta projekta sākotnējā</w:t>
            </w:r>
            <w:r>
              <w:t>s ietekmes izvērtēšanas kārtība”</w:t>
            </w:r>
            <w:r w:rsidRPr="005F4B11">
              <w:t xml:space="preserve"> 33.punkta prasībām, ja projekts neietekmē atsevišķus finanšu ietekmes rādītājus, ta</w:t>
            </w:r>
            <w:r>
              <w:t>d attiecīgajos laukos ieraksta “0”, nevis “X”.</w:t>
            </w:r>
          </w:p>
          <w:p w:rsidR="0039307D" w:rsidRPr="000427F7" w:rsidRDefault="0039307D" w:rsidP="00413A67">
            <w:pPr>
              <w:pStyle w:val="naisc"/>
              <w:spacing w:before="0" w:after="0"/>
              <w:jc w:val="both"/>
              <w:rPr>
                <w:b/>
                <w:bCs/>
              </w:rPr>
            </w:pPr>
            <w:r w:rsidRPr="000427F7">
              <w:rPr>
                <w:b/>
                <w:bCs/>
              </w:rPr>
              <w:t>Tieslietu ministrija (priekšlikums)</w:t>
            </w:r>
          </w:p>
          <w:p w:rsidR="0039307D" w:rsidRPr="000427F7" w:rsidRDefault="0039307D" w:rsidP="00413A67">
            <w:pPr>
              <w:pStyle w:val="naisc"/>
              <w:spacing w:before="0" w:after="0"/>
              <w:jc w:val="both"/>
            </w:pPr>
            <w:r w:rsidRPr="000427F7">
              <w:t>Ierosinām anotācijas III sadaļā precizēt tajā norādītos kalendāros gadus.</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sidRPr="00B102A8">
              <w:rPr>
                <w:b/>
                <w:bCs/>
              </w:rPr>
              <w:t>Ņemts vērā.</w:t>
            </w:r>
          </w:p>
        </w:tc>
        <w:tc>
          <w:tcPr>
            <w:tcW w:w="3118" w:type="dxa"/>
            <w:tcBorders>
              <w:top w:val="single" w:sz="4" w:space="0" w:color="auto"/>
              <w:left w:val="single" w:sz="4" w:space="0" w:color="auto"/>
              <w:bottom w:val="single" w:sz="4" w:space="0" w:color="auto"/>
            </w:tcBorders>
          </w:tcPr>
          <w:p w:rsidR="0039307D" w:rsidRPr="005F0B43" w:rsidRDefault="0039307D" w:rsidP="00413A67">
            <w:r>
              <w:t>Precizēta anotācijas III sadaļa.</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t>14.</w:t>
            </w:r>
          </w:p>
        </w:tc>
        <w:tc>
          <w:tcPr>
            <w:tcW w:w="3086" w:type="dxa"/>
            <w:gridSpan w:val="2"/>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jc w:val="both"/>
            </w:pPr>
            <w:r>
              <w:t>Anotācijas III sadaļas 2. un 3. punkts</w:t>
            </w:r>
          </w:p>
        </w:tc>
        <w:tc>
          <w:tcPr>
            <w:tcW w:w="4394" w:type="dxa"/>
            <w:tcBorders>
              <w:left w:val="single" w:sz="6" w:space="0" w:color="000000"/>
              <w:bottom w:val="single" w:sz="4" w:space="0" w:color="auto"/>
              <w:right w:val="single" w:sz="6" w:space="0" w:color="000000"/>
            </w:tcBorders>
          </w:tcPr>
          <w:p w:rsidR="0039307D" w:rsidRPr="0014790C" w:rsidRDefault="0039307D" w:rsidP="00413A67">
            <w:pPr>
              <w:pStyle w:val="naisc"/>
              <w:spacing w:before="0" w:after="0"/>
              <w:jc w:val="both"/>
              <w:rPr>
                <w:b/>
                <w:bCs/>
              </w:rPr>
            </w:pPr>
            <w:r w:rsidRPr="0014790C">
              <w:rPr>
                <w:b/>
                <w:bCs/>
              </w:rPr>
              <w:t>Finanšu ministrija</w:t>
            </w:r>
          </w:p>
          <w:p w:rsidR="0039307D" w:rsidRPr="00712B66" w:rsidRDefault="0039307D" w:rsidP="00413A67">
            <w:pPr>
              <w:pStyle w:val="naisc"/>
              <w:spacing w:before="0" w:after="0"/>
              <w:jc w:val="both"/>
            </w:pPr>
            <w:r>
              <w:t xml:space="preserve">Lūdzam anotācijas </w:t>
            </w:r>
            <w:proofErr w:type="spellStart"/>
            <w:r>
              <w:t>III.</w:t>
            </w:r>
            <w:r w:rsidRPr="000553D6">
              <w:t>sadaļas</w:t>
            </w:r>
            <w:proofErr w:type="spellEnd"/>
            <w:r w:rsidRPr="000553D6">
              <w:t xml:space="preserve"> 2., 2.1., 3., 3.1.punktā un attiecīgi 4.punktā pie izmaiņām norādīt dzīvojamo</w:t>
            </w:r>
            <w:r w:rsidRPr="005F4B11">
              <w:t xml:space="preserve"> māju ekspluatācijas lietu reģistra izveidei un uzturēšanai nepieciešam</w:t>
            </w:r>
            <w:r>
              <w:t>o</w:t>
            </w:r>
            <w:r w:rsidRPr="005F4B11">
              <w:t xml:space="preserve"> finansējuma apmēr</w:t>
            </w:r>
            <w:r>
              <w:t>u</w:t>
            </w:r>
            <w:r w:rsidRPr="005F4B11">
              <w:t>.</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Pr>
                <w:b/>
                <w:bCs/>
              </w:rPr>
              <w:t>Ņ</w:t>
            </w:r>
            <w:r w:rsidRPr="00B102A8">
              <w:rPr>
                <w:b/>
                <w:bCs/>
              </w:rPr>
              <w:t>emts vērā.</w:t>
            </w:r>
          </w:p>
          <w:p w:rsidR="0039307D" w:rsidRPr="00F55FD8" w:rsidRDefault="0039307D" w:rsidP="00413A67">
            <w:pPr>
              <w:pStyle w:val="naisc"/>
              <w:spacing w:before="0" w:after="0"/>
              <w:jc w:val="both"/>
            </w:pPr>
            <w:r>
              <w:t xml:space="preserve">Regulējums par dzīvojamo māju ekspluatācijas lietu reģistra izveidi no Likumprojekta </w:t>
            </w:r>
            <w:r w:rsidRPr="00F55FD8">
              <w:t>izslēgts.</w:t>
            </w:r>
          </w:p>
          <w:p w:rsidR="0039307D" w:rsidRPr="00712B66" w:rsidRDefault="0039307D" w:rsidP="00413A67">
            <w:pPr>
              <w:pStyle w:val="naisc"/>
              <w:spacing w:before="0" w:after="0"/>
              <w:jc w:val="both"/>
            </w:pPr>
          </w:p>
        </w:tc>
        <w:tc>
          <w:tcPr>
            <w:tcW w:w="3118" w:type="dxa"/>
            <w:tcBorders>
              <w:top w:val="single" w:sz="4" w:space="0" w:color="auto"/>
              <w:left w:val="single" w:sz="4" w:space="0" w:color="auto"/>
              <w:bottom w:val="single" w:sz="4" w:space="0" w:color="auto"/>
            </w:tcBorders>
          </w:tcPr>
          <w:p w:rsidR="0039307D" w:rsidRPr="005A3139" w:rsidRDefault="0039307D" w:rsidP="00413A67">
            <w:r>
              <w:t>Precizēta anotācijas III sadaļa.</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t>15.</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III sadaļas 2. un 3. punkts</w:t>
            </w:r>
          </w:p>
        </w:tc>
        <w:tc>
          <w:tcPr>
            <w:tcW w:w="4394" w:type="dxa"/>
            <w:tcBorders>
              <w:left w:val="single" w:sz="6" w:space="0" w:color="000000"/>
              <w:bottom w:val="single" w:sz="4" w:space="0" w:color="auto"/>
              <w:right w:val="single" w:sz="6" w:space="0" w:color="000000"/>
            </w:tcBorders>
          </w:tcPr>
          <w:p w:rsidR="0039307D" w:rsidRDefault="0039307D" w:rsidP="00413A67">
            <w:pPr>
              <w:pStyle w:val="naisc"/>
              <w:spacing w:before="0" w:after="0"/>
              <w:jc w:val="both"/>
              <w:rPr>
                <w:b/>
                <w:bCs/>
              </w:rPr>
            </w:pPr>
            <w:r>
              <w:rPr>
                <w:b/>
                <w:bCs/>
              </w:rPr>
              <w:t>Finanšu ministrija</w:t>
            </w:r>
          </w:p>
          <w:p w:rsidR="0039307D" w:rsidRPr="000506F2" w:rsidRDefault="0039307D" w:rsidP="00413A67">
            <w:pPr>
              <w:pStyle w:val="naisc"/>
              <w:spacing w:before="0" w:after="0"/>
              <w:jc w:val="both"/>
            </w:pPr>
            <w:r w:rsidRPr="005F4B11">
              <w:t xml:space="preserve">Ņemot vērā </w:t>
            </w:r>
            <w:r>
              <w:t xml:space="preserve">anotācijas </w:t>
            </w:r>
            <w:proofErr w:type="spellStart"/>
            <w:r>
              <w:t>III.sadaļas</w:t>
            </w:r>
            <w:proofErr w:type="spellEnd"/>
            <w:r>
              <w:t xml:space="preserve"> </w:t>
            </w:r>
            <w:r w:rsidRPr="005F4B11">
              <w:t>8.punktā sniegto informāciju, ka izmaksu palielinājums varētu būt arī pašval</w:t>
            </w:r>
            <w:r>
              <w:t>dībām, vārdi “Nav precīzi aprēķināms” jānorāda 2.3.</w:t>
            </w:r>
            <w:r w:rsidRPr="005F4B11">
              <w:t>un  3.3.punktā, turklāt tikai ailēs pie izmaiņām.</w:t>
            </w:r>
          </w:p>
        </w:tc>
        <w:tc>
          <w:tcPr>
            <w:tcW w:w="3119" w:type="dxa"/>
            <w:gridSpan w:val="2"/>
            <w:tcBorders>
              <w:left w:val="single" w:sz="6" w:space="0" w:color="000000"/>
              <w:bottom w:val="single" w:sz="4" w:space="0" w:color="auto"/>
              <w:right w:val="single" w:sz="6" w:space="0" w:color="000000"/>
            </w:tcBorders>
          </w:tcPr>
          <w:p w:rsidR="0039307D" w:rsidRPr="00B102A8" w:rsidRDefault="0039307D" w:rsidP="00413A67">
            <w:pPr>
              <w:pStyle w:val="naisc"/>
              <w:spacing w:before="0" w:after="0"/>
              <w:rPr>
                <w:b/>
                <w:bCs/>
              </w:rPr>
            </w:pPr>
            <w:r w:rsidRPr="00B102A8">
              <w:rPr>
                <w:b/>
                <w:bCs/>
              </w:rPr>
              <w:t>Ņemts vērā.</w:t>
            </w:r>
          </w:p>
        </w:tc>
        <w:tc>
          <w:tcPr>
            <w:tcW w:w="3118" w:type="dxa"/>
            <w:tcBorders>
              <w:top w:val="single" w:sz="4" w:space="0" w:color="auto"/>
              <w:left w:val="single" w:sz="4" w:space="0" w:color="auto"/>
              <w:bottom w:val="single" w:sz="4" w:space="0" w:color="auto"/>
            </w:tcBorders>
          </w:tcPr>
          <w:p w:rsidR="0039307D" w:rsidRDefault="0039307D" w:rsidP="00413A67">
            <w:r>
              <w:t>Precizēts anotācijas III sadaļas 2. un 3.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t>16.</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III sadaļas 8. punkts</w:t>
            </w:r>
          </w:p>
        </w:tc>
        <w:tc>
          <w:tcPr>
            <w:tcW w:w="4394" w:type="dxa"/>
            <w:tcBorders>
              <w:left w:val="single" w:sz="6" w:space="0" w:color="000000"/>
              <w:bottom w:val="single" w:sz="4" w:space="0" w:color="auto"/>
              <w:right w:val="single" w:sz="6" w:space="0" w:color="000000"/>
            </w:tcBorders>
          </w:tcPr>
          <w:p w:rsidR="0039307D" w:rsidRPr="00CA4C99" w:rsidRDefault="0039307D" w:rsidP="00413A67">
            <w:pPr>
              <w:pStyle w:val="naisc"/>
              <w:spacing w:before="0" w:after="0"/>
              <w:jc w:val="both"/>
              <w:rPr>
                <w:b/>
                <w:bCs/>
              </w:rPr>
            </w:pPr>
            <w:r w:rsidRPr="00CA4C99">
              <w:rPr>
                <w:b/>
                <w:bCs/>
              </w:rPr>
              <w:t>Finanšu  ministrija</w:t>
            </w:r>
          </w:p>
          <w:p w:rsidR="0039307D" w:rsidRPr="000506F2" w:rsidRDefault="0039307D" w:rsidP="00413A67">
            <w:pPr>
              <w:pStyle w:val="naisc"/>
              <w:spacing w:before="0" w:after="0"/>
              <w:jc w:val="both"/>
            </w:pPr>
            <w:r w:rsidRPr="00346309">
              <w:t>Lūdzam skaidrot</w:t>
            </w:r>
            <w:r w:rsidRPr="005F4B11">
              <w:t xml:space="preserve">, kādas institūcijas ir </w:t>
            </w:r>
            <w:r>
              <w:t xml:space="preserve">anotācijas </w:t>
            </w:r>
            <w:proofErr w:type="spellStart"/>
            <w:r>
              <w:t>III.sadaļas</w:t>
            </w:r>
            <w:proofErr w:type="spellEnd"/>
            <w:r>
              <w:t xml:space="preserve"> </w:t>
            </w:r>
            <w:r w:rsidRPr="005F4B11">
              <w:t xml:space="preserve">8.punktā minētie valsts dzīvojamo māju valdītāji un vai tās </w:t>
            </w:r>
            <w:r w:rsidRPr="005F4B11">
              <w:lastRenderedPageBreak/>
              <w:t>ir valsts budžeta iestādes, kuru izmaksu palielinājums radītu ietekmi uz valsts budžetu. Vienlaikus uzskatām, ka minētais punkts jāpapildina ar informāciju, ka valsts dzīvojamo māju valdītāji un pašvaldības dzīvojamo māju pārvaldīšanas i</w:t>
            </w:r>
            <w:r>
              <w:t>zmaksu palielinājumu sakarā ar l</w:t>
            </w:r>
            <w:r w:rsidRPr="005F4B11">
              <w:t>ikumprojektā plānoto papildu dzīvojamo māju energoefektivitātes paaugstināšanas pasākumu izpildi jān</w:t>
            </w:r>
            <w:r>
              <w:t>odrošina savu budžetu ietvaros.</w:t>
            </w:r>
          </w:p>
        </w:tc>
        <w:tc>
          <w:tcPr>
            <w:tcW w:w="3119" w:type="dxa"/>
            <w:gridSpan w:val="2"/>
            <w:tcBorders>
              <w:left w:val="single" w:sz="6" w:space="0" w:color="000000"/>
              <w:bottom w:val="single" w:sz="4" w:space="0" w:color="auto"/>
              <w:right w:val="single" w:sz="6" w:space="0" w:color="000000"/>
            </w:tcBorders>
          </w:tcPr>
          <w:p w:rsidR="0039307D" w:rsidRPr="00413A67" w:rsidRDefault="0039307D" w:rsidP="00413A67">
            <w:pPr>
              <w:pStyle w:val="naisc"/>
              <w:spacing w:before="0" w:after="0"/>
              <w:rPr>
                <w:b/>
                <w:bCs/>
              </w:rPr>
            </w:pPr>
            <w:r w:rsidRPr="00413A67">
              <w:rPr>
                <w:b/>
                <w:bCs/>
              </w:rPr>
              <w:lastRenderedPageBreak/>
              <w:t>Ņemts vērā.</w:t>
            </w:r>
          </w:p>
        </w:tc>
        <w:tc>
          <w:tcPr>
            <w:tcW w:w="3118" w:type="dxa"/>
            <w:tcBorders>
              <w:top w:val="single" w:sz="4" w:space="0" w:color="auto"/>
              <w:left w:val="single" w:sz="4" w:space="0" w:color="auto"/>
              <w:bottom w:val="single" w:sz="4" w:space="0" w:color="auto"/>
            </w:tcBorders>
          </w:tcPr>
          <w:p w:rsidR="0039307D" w:rsidRPr="004A37FC" w:rsidRDefault="0039307D" w:rsidP="00413A67">
            <w:r w:rsidRPr="004A37FC">
              <w:t>P</w:t>
            </w:r>
            <w:r>
              <w:t>recizē</w:t>
            </w:r>
            <w:r w:rsidRPr="004A37FC">
              <w:t>ts anotācijas III sadaļas 8.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lastRenderedPageBreak/>
              <w:t>17.</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III sadaļas 8. punkts</w:t>
            </w:r>
          </w:p>
        </w:tc>
        <w:tc>
          <w:tcPr>
            <w:tcW w:w="4394" w:type="dxa"/>
            <w:tcBorders>
              <w:left w:val="single" w:sz="6" w:space="0" w:color="000000"/>
              <w:bottom w:val="single" w:sz="4" w:space="0" w:color="auto"/>
              <w:right w:val="single" w:sz="6" w:space="0" w:color="000000"/>
            </w:tcBorders>
          </w:tcPr>
          <w:p w:rsidR="0039307D" w:rsidRDefault="0039307D" w:rsidP="00413A67">
            <w:pPr>
              <w:pStyle w:val="naisc"/>
              <w:spacing w:before="0" w:after="0"/>
              <w:jc w:val="both"/>
              <w:rPr>
                <w:b/>
                <w:bCs/>
              </w:rPr>
            </w:pPr>
            <w:r>
              <w:rPr>
                <w:b/>
                <w:bCs/>
              </w:rPr>
              <w:t>Finanšu ministrija</w:t>
            </w:r>
          </w:p>
          <w:p w:rsidR="0039307D" w:rsidRDefault="0039307D" w:rsidP="00413A67">
            <w:pPr>
              <w:pStyle w:val="naisc"/>
              <w:spacing w:before="0" w:after="0"/>
              <w:jc w:val="both"/>
            </w:pPr>
            <w:r w:rsidRPr="005F4B11">
              <w:t xml:space="preserve">Uzskatām, ka </w:t>
            </w:r>
            <w:r w:rsidRPr="000553D6">
              <w:t xml:space="preserve">anotācijas </w:t>
            </w:r>
            <w:proofErr w:type="spellStart"/>
            <w:r w:rsidRPr="000553D6">
              <w:t>III.sadaļas</w:t>
            </w:r>
            <w:proofErr w:type="spellEnd"/>
            <w:r w:rsidRPr="000553D6">
              <w:t xml:space="preserve"> 8.punkta otrajā rindkopā</w:t>
            </w:r>
            <w:r w:rsidRPr="005F4B11">
              <w:t xml:space="preserve"> sniegtā informācija jāprecizē, norādot, ka finansējums likumprojektā paredzētā dzīvojamo māju ekspluatācijas lietu reģistra izveidei  tiks nodrošināts  ar Ministru kabineta 2019.gada 12.jūlija rīkojumu Nr.346 “Par informācijas sabiedrības attīstības pamatnostādņu ieviešanu publiskās pārvaldes informācijas sistēmu jomā (mērķarhitektūras 54.0 versija)”</w:t>
            </w:r>
            <w:r>
              <w:t xml:space="preserve"> apstiprinātā projekta ietvaros</w:t>
            </w:r>
            <w:r w:rsidRPr="005F4B11">
              <w:t>. Papildus lūdzam norādīt ietaupījuma apmēru sākot ar 2022.gadu, kas veidosies, jo Būvniecības valsts kontroles birojam nebūs jāuztur atsevišķs pārvaldnieku reģistrs, kā arī norādīt vai minētais ietaupījums tiks novirzī</w:t>
            </w:r>
            <w:r>
              <w:t>ts jaunā reģistra uzturēšanai.</w:t>
            </w:r>
          </w:p>
          <w:p w:rsidR="0039307D" w:rsidRPr="00480B7D" w:rsidRDefault="0039307D" w:rsidP="00413A67">
            <w:pPr>
              <w:pStyle w:val="naisc"/>
              <w:spacing w:before="0" w:after="0"/>
              <w:jc w:val="left"/>
              <w:rPr>
                <w:b/>
                <w:bCs/>
              </w:rPr>
            </w:pPr>
            <w:r w:rsidRPr="00480B7D">
              <w:rPr>
                <w:b/>
                <w:bCs/>
              </w:rPr>
              <w:t>Vides aizsardzības un reģionālās attīstības ministrija (priekšlikums)</w:t>
            </w:r>
          </w:p>
          <w:p w:rsidR="0039307D" w:rsidRPr="00CF74DB" w:rsidRDefault="0039307D" w:rsidP="00413A67">
            <w:pPr>
              <w:pStyle w:val="naisc"/>
              <w:spacing w:before="0" w:after="0"/>
              <w:jc w:val="both"/>
            </w:pPr>
            <w:r>
              <w:rPr>
                <w:color w:val="000000"/>
              </w:rPr>
              <w:lastRenderedPageBreak/>
              <w:t>L</w:t>
            </w:r>
            <w:r w:rsidRPr="007356D7">
              <w:rPr>
                <w:color w:val="000000"/>
              </w:rPr>
              <w:t xml:space="preserve">ūdzam papildināt likumprojekta anotācijas </w:t>
            </w:r>
            <w:proofErr w:type="spellStart"/>
            <w:r w:rsidRPr="007356D7">
              <w:rPr>
                <w:color w:val="000000"/>
              </w:rPr>
              <w:t>III.sadaļu</w:t>
            </w:r>
            <w:proofErr w:type="spellEnd"/>
            <w:r w:rsidRPr="007356D7">
              <w:rPr>
                <w:color w:val="000000"/>
              </w:rPr>
              <w:t xml:space="preserve"> </w:t>
            </w:r>
            <w:r w:rsidRPr="007356D7">
              <w:rPr>
                <w:i/>
                <w:color w:val="000000"/>
              </w:rPr>
              <w:t xml:space="preserve">Tiesību akta projekta ietekme uz valsts budžetu un pašvaldību budžetiem </w:t>
            </w:r>
            <w:r w:rsidRPr="007356D7">
              <w:rPr>
                <w:color w:val="000000"/>
              </w:rPr>
              <w:t>ar informāciju par finansējuma apmēru, kas tiek izmantots pārvaldnieku reģistra uzturēšanai</w:t>
            </w:r>
            <w:r>
              <w:rPr>
                <w:color w:val="000000"/>
              </w:rPr>
              <w:t>.</w:t>
            </w:r>
          </w:p>
        </w:tc>
        <w:tc>
          <w:tcPr>
            <w:tcW w:w="3119" w:type="dxa"/>
            <w:gridSpan w:val="2"/>
            <w:tcBorders>
              <w:left w:val="single" w:sz="6" w:space="0" w:color="000000"/>
              <w:bottom w:val="single" w:sz="4" w:space="0" w:color="auto"/>
              <w:right w:val="single" w:sz="6" w:space="0" w:color="000000"/>
            </w:tcBorders>
          </w:tcPr>
          <w:p w:rsidR="0039307D" w:rsidRPr="00413A67" w:rsidRDefault="0039307D" w:rsidP="00413A67">
            <w:pPr>
              <w:pStyle w:val="naisc"/>
              <w:spacing w:before="0" w:after="0"/>
              <w:rPr>
                <w:b/>
                <w:bCs/>
              </w:rPr>
            </w:pPr>
            <w:r>
              <w:rPr>
                <w:b/>
                <w:bCs/>
              </w:rPr>
              <w:lastRenderedPageBreak/>
              <w:t>Ņ</w:t>
            </w:r>
            <w:r w:rsidRPr="00413A67">
              <w:rPr>
                <w:b/>
                <w:bCs/>
              </w:rPr>
              <w:t>emts vērā.</w:t>
            </w:r>
          </w:p>
          <w:p w:rsidR="0039307D" w:rsidRDefault="0039307D" w:rsidP="00413A67">
            <w:pPr>
              <w:pStyle w:val="naisc"/>
              <w:spacing w:before="0" w:after="0"/>
              <w:jc w:val="both"/>
            </w:pPr>
            <w:r>
              <w:t>Regulējums par dzīvojamo māju ekspluatācijas lietu reģistra izveidi un dzīvojamo māju pārvaldnieku reģistra slēgšanu no Likumprojekta izslēgts.</w:t>
            </w:r>
          </w:p>
          <w:p w:rsidR="0039307D" w:rsidRPr="00413A67" w:rsidRDefault="0039307D" w:rsidP="00413A67">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rsidR="0039307D" w:rsidRPr="004A37FC" w:rsidRDefault="0039307D" w:rsidP="00413A67">
            <w:r>
              <w:t>Precizēts anotācijas III sadaļas 8.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413A67">
            <w:pPr>
              <w:pStyle w:val="naisc"/>
              <w:spacing w:before="0" w:after="0"/>
            </w:pPr>
            <w:r>
              <w:lastRenderedPageBreak/>
              <w:t>18.</w:t>
            </w:r>
          </w:p>
        </w:tc>
        <w:tc>
          <w:tcPr>
            <w:tcW w:w="3086" w:type="dxa"/>
            <w:gridSpan w:val="2"/>
            <w:tcBorders>
              <w:left w:val="single" w:sz="6" w:space="0" w:color="000000"/>
              <w:bottom w:val="single" w:sz="4" w:space="0" w:color="auto"/>
              <w:right w:val="single" w:sz="6" w:space="0" w:color="000000"/>
            </w:tcBorders>
          </w:tcPr>
          <w:p w:rsidR="0039307D" w:rsidRDefault="0039307D" w:rsidP="00413A67">
            <w:pPr>
              <w:pStyle w:val="naisc"/>
              <w:spacing w:before="0" w:after="0"/>
              <w:jc w:val="both"/>
            </w:pPr>
            <w:r>
              <w:t>Anotācijas IV sadaļas 1. punkts</w:t>
            </w:r>
          </w:p>
        </w:tc>
        <w:tc>
          <w:tcPr>
            <w:tcW w:w="4394" w:type="dxa"/>
            <w:tcBorders>
              <w:left w:val="single" w:sz="6" w:space="0" w:color="000000"/>
              <w:bottom w:val="single" w:sz="4" w:space="0" w:color="auto"/>
              <w:right w:val="single" w:sz="6" w:space="0" w:color="000000"/>
            </w:tcBorders>
          </w:tcPr>
          <w:p w:rsidR="0039307D" w:rsidRPr="00230E51" w:rsidRDefault="0039307D" w:rsidP="00413A67">
            <w:pPr>
              <w:pStyle w:val="naisc"/>
              <w:spacing w:before="0" w:after="0"/>
              <w:jc w:val="both"/>
              <w:rPr>
                <w:b/>
                <w:bCs/>
              </w:rPr>
            </w:pPr>
            <w:r w:rsidRPr="00230E51">
              <w:rPr>
                <w:b/>
                <w:bCs/>
              </w:rPr>
              <w:t>Tieslietu ministrija</w:t>
            </w:r>
          </w:p>
          <w:p w:rsidR="0039307D" w:rsidRPr="00230E51" w:rsidRDefault="0039307D" w:rsidP="00413A67">
            <w:pPr>
              <w:pStyle w:val="naisc"/>
              <w:spacing w:before="0" w:after="0"/>
              <w:jc w:val="both"/>
            </w:pPr>
            <w:r w:rsidRPr="00230E51">
              <w:t xml:space="preserve">Anotācijas IV sadaļas 1. punktā norādīts, ka saistībā ar projektu būs nepieciešams izstrādāt cita starp grozījumus Ministru kabineta 2014. gada 30. septembra noteikumos Nr. 576 "Būvniecības valsts kontroles biroja nolikums", biroja funkciju </w:t>
            </w:r>
            <w:r w:rsidRPr="00230E51">
              <w:rPr>
                <w:u w:val="single"/>
              </w:rPr>
              <w:t>vest un aktualizēt dzīvojamo māju pārvaldnieku reģistru</w:t>
            </w:r>
            <w:r w:rsidRPr="00230E51">
              <w:t xml:space="preserve"> aizstājot ar funkciju nodrošināt būvju ekspluatācijas lietu reģistra darbību. Lūdzam precizēt minēto informāciju, ņemot vērā, ka 2020. gada 1. janvārī stājās spēkā grozījumi Ministru kabineta 2014. gada 30. septembra noteikumos Nr. 576 "Būvniecības valsts kontroles biroja nolikums", kuri vairs neparedz Būvniecības valsts kontroles birojam funkciju </w:t>
            </w:r>
            <w:r w:rsidRPr="00230E51">
              <w:rPr>
                <w:u w:val="single"/>
              </w:rPr>
              <w:t>vest un aktualizēt dzīvojamo māju pārvaldnieku reģistru.</w:t>
            </w:r>
          </w:p>
        </w:tc>
        <w:tc>
          <w:tcPr>
            <w:tcW w:w="3119" w:type="dxa"/>
            <w:gridSpan w:val="2"/>
            <w:tcBorders>
              <w:left w:val="single" w:sz="6" w:space="0" w:color="000000"/>
              <w:bottom w:val="single" w:sz="4" w:space="0" w:color="auto"/>
              <w:right w:val="single" w:sz="6" w:space="0" w:color="000000"/>
            </w:tcBorders>
          </w:tcPr>
          <w:p w:rsidR="0039307D" w:rsidRPr="00413A67" w:rsidRDefault="0039307D" w:rsidP="00413A67">
            <w:pPr>
              <w:pStyle w:val="naisc"/>
              <w:spacing w:before="0" w:after="0"/>
              <w:rPr>
                <w:b/>
                <w:bCs/>
              </w:rPr>
            </w:pPr>
            <w:r w:rsidRPr="00413A67">
              <w:rPr>
                <w:b/>
                <w:bCs/>
              </w:rPr>
              <w:t>Ņemts vērā.</w:t>
            </w:r>
          </w:p>
        </w:tc>
        <w:tc>
          <w:tcPr>
            <w:tcW w:w="3118" w:type="dxa"/>
            <w:tcBorders>
              <w:top w:val="single" w:sz="4" w:space="0" w:color="auto"/>
              <w:left w:val="single" w:sz="4" w:space="0" w:color="auto"/>
              <w:bottom w:val="single" w:sz="4" w:space="0" w:color="auto"/>
            </w:tcBorders>
          </w:tcPr>
          <w:p w:rsidR="0039307D" w:rsidRDefault="0039307D" w:rsidP="00413A67">
            <w:r>
              <w:t>Precizēts anotācijas IV sadaļas 1. punkts.</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CE70BC">
            <w:pPr>
              <w:pStyle w:val="naisc"/>
              <w:spacing w:before="0" w:after="0"/>
            </w:pPr>
            <w:r>
              <w:t>19.</w:t>
            </w:r>
          </w:p>
        </w:tc>
        <w:tc>
          <w:tcPr>
            <w:tcW w:w="3086" w:type="dxa"/>
            <w:gridSpan w:val="2"/>
            <w:tcBorders>
              <w:left w:val="single" w:sz="6" w:space="0" w:color="000000"/>
              <w:bottom w:val="single" w:sz="4" w:space="0" w:color="auto"/>
              <w:right w:val="single" w:sz="6" w:space="0" w:color="000000"/>
            </w:tcBorders>
          </w:tcPr>
          <w:p w:rsidR="0039307D" w:rsidRDefault="0039307D" w:rsidP="00CE70BC">
            <w:pPr>
              <w:pStyle w:val="naisc"/>
              <w:spacing w:before="0" w:after="0"/>
              <w:jc w:val="both"/>
            </w:pPr>
            <w:r>
              <w:t>Anotācijas IV sadaļa</w:t>
            </w:r>
          </w:p>
        </w:tc>
        <w:tc>
          <w:tcPr>
            <w:tcW w:w="4394" w:type="dxa"/>
            <w:tcBorders>
              <w:left w:val="single" w:sz="6" w:space="0" w:color="000000"/>
              <w:bottom w:val="single" w:sz="4" w:space="0" w:color="auto"/>
              <w:right w:val="single" w:sz="6" w:space="0" w:color="000000"/>
            </w:tcBorders>
          </w:tcPr>
          <w:p w:rsidR="0039307D" w:rsidRDefault="0039307D" w:rsidP="00CE70BC">
            <w:pPr>
              <w:jc w:val="left"/>
              <w:rPr>
                <w:b/>
                <w:bCs/>
              </w:rPr>
            </w:pPr>
            <w:r>
              <w:rPr>
                <w:b/>
                <w:bCs/>
              </w:rPr>
              <w:t>Valsts kontrole</w:t>
            </w:r>
          </w:p>
          <w:p w:rsidR="0039307D" w:rsidRDefault="0039307D" w:rsidP="00CE70BC">
            <w:r>
              <w:t>P</w:t>
            </w:r>
            <w:r w:rsidRPr="00CE7408">
              <w:t xml:space="preserve">apildināt likumprojekta sākotnējās ietekmes novērtējuma ziņojuma (anotācijas) IV. sadaļu ar informāciju par alternatīva māju </w:t>
            </w:r>
            <w:r w:rsidRPr="00CE7408">
              <w:rPr>
                <w:bCs/>
              </w:rPr>
              <w:t>pārvaldnieku profesionālās kompetences kontroles mehānisma izveidi pēc P</w:t>
            </w:r>
            <w:r w:rsidRPr="00CE7408">
              <w:t>ārvaldnieku reģistra slēgšanas</w:t>
            </w:r>
            <w:r>
              <w:t>.</w:t>
            </w:r>
          </w:p>
          <w:p w:rsidR="0039307D" w:rsidRPr="00CE7408" w:rsidRDefault="0039307D" w:rsidP="00CE70BC">
            <w:r w:rsidRPr="00CE7408">
              <w:lastRenderedPageBreak/>
              <w:t>No likumprojekta sākotnējās ietekmes novērtējuma ziņojuma (anotācijas) izriet, ka ar likumprojektu paredzēts veikt vairākas izmaiņas Dzīvojamo māju pārvaldīšanas likumā, tostarp, slēgt pārvaldnieku reģistru kā patstāvīgu reģistru un nepieciešamo informāciju par pārvaldnieku iekļaut jaunizveidotajā dzīvojamās mājas ekspluatācijas lietā.</w:t>
            </w:r>
          </w:p>
          <w:p w:rsidR="0039307D" w:rsidRPr="00CE7408" w:rsidRDefault="0039307D" w:rsidP="00CE70BC">
            <w:r w:rsidRPr="00CE7408">
              <w:t xml:space="preserve">Atbilstoši anotācijā norādītajam izmaiņu veikšana pamatota ar to, ka reģistra darbība nesniedz plānoto rezultātu informācijas nodrošināšanā. Pārvaldnieku reģistra datu aktualizāciju nav iespējams nodrošināt, jo tā lielā mērā ir atkarīga no pārvaldnieku pašu iniciatīvas, savukārt datu aktualizēšana pēc Būvniecības valsts kontroles biroja iniciatīvas biroja cilvēkresursu ietvaros nav iespējama un nav samērīga ar provizorisko rezultātu – aktuālas informācijas pieejamību par </w:t>
            </w:r>
            <w:proofErr w:type="spellStart"/>
            <w:r w:rsidRPr="00CE7408">
              <w:t>darbojošiem</w:t>
            </w:r>
            <w:proofErr w:type="spellEnd"/>
            <w:r w:rsidRPr="00CE7408">
              <w:t xml:space="preserve"> pārvaldniekiem, tā kā nav nosakāms, cik </w:t>
            </w:r>
            <w:r w:rsidRPr="00CE7408">
              <w:rPr>
                <w:shd w:val="clear" w:color="auto" w:fill="FFFFFF"/>
              </w:rPr>
              <w:t xml:space="preserve">dzīvojamo māju īpašnieku un citu interesentu šo informāciju praktiski pielietotu. Tāpēc Ministrijas ieskatā </w:t>
            </w:r>
            <w:r w:rsidRPr="00CE7408">
              <w:t>dzīvojamo māju pārvaldnieki ir atbrīvojami no pienākuma reģistrēties pārvaldnieku reģistrā.</w:t>
            </w:r>
          </w:p>
          <w:p w:rsidR="0039307D" w:rsidRPr="00CE7408" w:rsidRDefault="0039307D" w:rsidP="00CE70BC">
            <w:r w:rsidRPr="00CE7408">
              <w:t xml:space="preserve">Valsts kontrole pievienojas anotācijā norādītajam, ka šobrīd dzīvojamo māju pārvaldnieku reģistra pastāvēšana esošajā formā – kalpojot tikai informatīviem mērķiem, nav lietderīga. Pārvaldnieku </w:t>
            </w:r>
            <w:r w:rsidRPr="00CE7408">
              <w:lastRenderedPageBreak/>
              <w:t>reģistrs tika izveidots, lai dzīvokļu īpašnieki, slēdzot līgumu ar konkrētu dzīvojamo māju pārvaldnieku, varētu pārliecināties par pārvaldnieka profesionālās kvalifikācijas atbilstību obligātajām prasībām, jo reģistrā tiek reģistrēti tikai pārvaldnieki ar atbilstošu kvalifikāciju, kā arī, lai pašvaldībai, lemjot par personas administratīvo sodīšanu, būtu iespējams noskaidrot atbildīgo pārvaldnieku par konkrētās mājas pārvaldīšanu.</w:t>
            </w:r>
          </w:p>
          <w:p w:rsidR="0039307D" w:rsidRPr="00CE7408" w:rsidRDefault="0039307D" w:rsidP="00CE70BC">
            <w:r w:rsidRPr="00CE7408">
              <w:t xml:space="preserve">2016. gadā Valsts kontrole revīzijā </w:t>
            </w:r>
            <w:r>
              <w:rPr>
                <w:iCs/>
              </w:rPr>
              <w:t>“</w:t>
            </w:r>
            <w:r w:rsidRPr="00CE7408">
              <w:t xml:space="preserve">Daudzdzīvokļu dzīvojamo māju pārvaldīšanas efektivitāte un atbilstība normatīvo aktu prasībām” pārbaudot, vai revīzijas apjomā iekļautie pārvaldnieki, kas faktiski pārvalda daudzdzīvokļu dzīvojamās mājas, ir reģistrējušies dzīvojamo māju pārvaldnieku reģistrā, konstatēja, ka tas </w:t>
            </w:r>
            <w:r>
              <w:t xml:space="preserve">daļā gadījumu </w:t>
            </w:r>
            <w:r w:rsidRPr="00CE7408">
              <w:t>nav ticis izdarīts. Tāpēc Ministrijai tika sniegts ieteikums pilnveidot normatīvo aktu regulējumu, paredzot pārvaldnieku reģistrā iekļauto datu atbilstības kontroli pār faktisko situāciju.</w:t>
            </w:r>
          </w:p>
          <w:p w:rsidR="0039307D" w:rsidRPr="00CE7408" w:rsidRDefault="0039307D" w:rsidP="00CE70BC">
            <w:r w:rsidRPr="00CE7408">
              <w:t xml:space="preserve">No Satversmes tiesas 2010. gada 19. februāra sprieduma lietā Nr. 2009-4-01 izriet, ka Dzīvojamo māju pārvaldīšanas likumā ietvertās normas par profesionālās kvalifikācijas nepieciešamību pārvaldīšanas pakalpojumu sniegšanai mērķis ir dzīvojamo māju ekspluatācijas </w:t>
            </w:r>
            <w:r w:rsidRPr="00CE7408">
              <w:lastRenderedPageBreak/>
              <w:t>laikā novērst ar sabiedrības un vides drošību saistītus riskus, kurus rada nekvalitatīva dzīvojamo māju pārvaldīšana.</w:t>
            </w:r>
          </w:p>
          <w:p w:rsidR="0039307D" w:rsidRPr="00CE7408" w:rsidRDefault="0039307D" w:rsidP="00CE70BC">
            <w:pPr>
              <w:rPr>
                <w:bCs/>
              </w:rPr>
            </w:pPr>
            <w:r w:rsidRPr="00CE7408">
              <w:t xml:space="preserve">Tieši nekvalitatīva dzīvojamo māju pārvaldīšana, tostarp tās neveikšana atbilstoši normatīvo aktu prasībām, ir viens no cēloņiem, kādēļ Valsts kontroles likumības un lietderības revīzijas “Vai tiek izpildīti priekšnoteikumi pašvaldību pārvaldīšanā un kontrolē esošu ekspluatācijā pieņemtu ēku atbilstībai drošuma prasībām” ietvaros pašvaldību institūciju pārvaldītajās daudzdzīvokļu dzīvojamās mājās konstatēti būtiski bojājumi, tajā skaitā tādi, kas rada reālu personu veselības un dzīvības apdraudējumu. Tieši tādēļ Valsts kontrole pievienojas Tiesībsarga viedoklim, uz ko atsaucas </w:t>
            </w:r>
            <w:r>
              <w:t xml:space="preserve">arī </w:t>
            </w:r>
            <w:r w:rsidRPr="00CE7408">
              <w:t xml:space="preserve">Ministrija likumprojekta anotācijā – ka ir nepieciešama </w:t>
            </w:r>
            <w:r w:rsidRPr="00CE7408">
              <w:rPr>
                <w:bCs/>
              </w:rPr>
              <w:t>lielāka caurskatāmība pārvaldnieku darbībai, paredzot arī kontroles mehānismu.</w:t>
            </w:r>
          </w:p>
          <w:p w:rsidR="0039307D" w:rsidRPr="00CE7408" w:rsidRDefault="0039307D" w:rsidP="00CE70BC">
            <w:pPr>
              <w:rPr>
                <w:bCs/>
              </w:rPr>
            </w:pPr>
            <w:r w:rsidRPr="00CE7408">
              <w:rPr>
                <w:bCs/>
              </w:rPr>
              <w:t xml:space="preserve">Lēmums par pārvaldnieku atbilstības Dzīvojamo māju pārvaldīšanas likumā noteiktajām prasībām izvērtējuma atstāšanu dzīvokļu īpašnieku ziņā kopsakarībā ar likumības un lietderības revīzijā </w:t>
            </w:r>
            <w:r w:rsidRPr="00CE7408">
              <w:t xml:space="preserve">“Vai tiek izpildīti priekšnoteikumi pašvaldību pārvaldīšanā un kontrolē esošu ekspluatācijā pieņemtu ēku atbilstībai drošuma prasībām” novēroto par </w:t>
            </w:r>
            <w:r w:rsidRPr="00CE7408">
              <w:rPr>
                <w:bCs/>
              </w:rPr>
              <w:t xml:space="preserve">dzīvokļu īpašnieku </w:t>
            </w:r>
            <w:r>
              <w:rPr>
                <w:bCs/>
              </w:rPr>
              <w:t xml:space="preserve">nepietiekamo aktivitāti </w:t>
            </w:r>
            <w:r>
              <w:rPr>
                <w:bCs/>
              </w:rPr>
              <w:lastRenderedPageBreak/>
              <w:t>gadījumos</w:t>
            </w:r>
            <w:r w:rsidRPr="00CE7408">
              <w:rPr>
                <w:bCs/>
              </w:rPr>
              <w:t>, kad jāpieņem ar daudzdzīvokļu dzīvojamās mājas pārvaldīšanu saistīti lēmumi, nenovērsīs nekvalitatīvas pārvaldīšanas riskus,</w:t>
            </w:r>
            <w:r>
              <w:rPr>
                <w:bCs/>
              </w:rPr>
              <w:t xml:space="preserve"> tajā skaitā</w:t>
            </w:r>
            <w:r w:rsidRPr="00CE7408">
              <w:rPr>
                <w:bCs/>
              </w:rPr>
              <w:t xml:space="preserve"> pārvaldīšanu īstenojot profesionāli nekvalificētām personām.</w:t>
            </w:r>
          </w:p>
          <w:p w:rsidR="0039307D" w:rsidRDefault="0039307D" w:rsidP="00CE70BC">
            <w:pPr>
              <w:rPr>
                <w:bCs/>
              </w:rPr>
            </w:pPr>
            <w:r w:rsidRPr="00CE7408">
              <w:rPr>
                <w:bCs/>
              </w:rPr>
              <w:t>Daudzdzīvokļu dzīvojamās mājās mitinās lielākā daļa Latvijas iedzīvotāju, tādēļ to ekspluatācija, tostarp</w:t>
            </w:r>
            <w:r>
              <w:rPr>
                <w:bCs/>
              </w:rPr>
              <w:t>,</w:t>
            </w:r>
            <w:r w:rsidRPr="00CE7408">
              <w:rPr>
                <w:bCs/>
              </w:rPr>
              <w:t xml:space="preserve"> atbilstība drošuma prasībām, ir būtisks jautājums, kura sakārtošanai, ņemot vērā dzīvojamo māju īpašnieku </w:t>
            </w:r>
            <w:r>
              <w:rPr>
                <w:bCs/>
              </w:rPr>
              <w:t>nepietiekamo aktivitāti</w:t>
            </w:r>
            <w:r w:rsidRPr="00CE7408">
              <w:rPr>
                <w:bCs/>
              </w:rPr>
              <w:t>, ir nepieciešama arī valsts iesaiste jeb kontroles mehānisma pār pārvaldnieku profesionālo kompetenci izveide, piemēram, jaunizveidotās dzīvojamo māju ekspluatācijas lietas ietvaros.</w:t>
            </w:r>
          </w:p>
          <w:p w:rsidR="0039307D" w:rsidRPr="00230E51" w:rsidRDefault="0039307D" w:rsidP="00CE70BC">
            <w:pPr>
              <w:pStyle w:val="naisc"/>
              <w:spacing w:before="0" w:after="0"/>
              <w:jc w:val="both"/>
              <w:rPr>
                <w:b/>
                <w:bCs/>
              </w:rPr>
            </w:pPr>
            <w:r w:rsidRPr="000B15A4">
              <w:rPr>
                <w:bCs/>
                <w:sz w:val="20"/>
                <w:szCs w:val="20"/>
                <w:vertAlign w:val="superscript"/>
              </w:rPr>
              <w:t>1</w:t>
            </w:r>
            <w:r w:rsidRPr="000B15A4">
              <w:rPr>
                <w:bCs/>
                <w:sz w:val="20"/>
                <w:szCs w:val="20"/>
              </w:rPr>
              <w:t> </w:t>
            </w:r>
            <w:r w:rsidRPr="000B15A4">
              <w:rPr>
                <w:sz w:val="20"/>
                <w:szCs w:val="20"/>
              </w:rPr>
              <w:t xml:space="preserve">Ministru kabineta noteikumu projekta “Noteikumi par dzīvojamo māju pārvaldnieku reģistra vešanu un aktualizēšanu” sākotnējās ietekmes novērtējuma ziņojums (anotācija). Pieejams tiešsaistē: </w:t>
            </w:r>
            <w:hyperlink r:id="rId8" w:history="1">
              <w:r w:rsidRPr="000B15A4">
                <w:rPr>
                  <w:rStyle w:val="Hyperlink"/>
                  <w:sz w:val="20"/>
                  <w:szCs w:val="20"/>
                </w:rPr>
                <w:t>http://tap.mk.gov.lv/doc/2005/EMAnot_080411_parvreg.1016.doc</w:t>
              </w:r>
            </w:hyperlink>
            <w:r w:rsidRPr="000B15A4">
              <w:rPr>
                <w:sz w:val="20"/>
                <w:szCs w:val="20"/>
              </w:rPr>
              <w:t xml:space="preserve"> (resurss skatīts 09.01.2020.).</w:t>
            </w:r>
          </w:p>
        </w:tc>
        <w:tc>
          <w:tcPr>
            <w:tcW w:w="3119" w:type="dxa"/>
            <w:gridSpan w:val="2"/>
            <w:tcBorders>
              <w:left w:val="single" w:sz="6" w:space="0" w:color="000000"/>
              <w:bottom w:val="single" w:sz="4" w:space="0" w:color="auto"/>
              <w:right w:val="single" w:sz="6" w:space="0" w:color="000000"/>
            </w:tcBorders>
          </w:tcPr>
          <w:p w:rsidR="0039307D" w:rsidRDefault="0039307D" w:rsidP="00CE70BC">
            <w:pPr>
              <w:pStyle w:val="naisc"/>
              <w:spacing w:before="0" w:after="0"/>
              <w:rPr>
                <w:b/>
                <w:bCs/>
              </w:rPr>
            </w:pPr>
            <w:r>
              <w:rPr>
                <w:b/>
                <w:bCs/>
              </w:rPr>
              <w:lastRenderedPageBreak/>
              <w:t>Saskaņots elektroniskajā saskaņošanā</w:t>
            </w:r>
            <w:r w:rsidRPr="00413A67">
              <w:rPr>
                <w:b/>
                <w:bCs/>
              </w:rPr>
              <w:t>.</w:t>
            </w:r>
          </w:p>
          <w:p w:rsidR="0039307D" w:rsidRDefault="0039307D" w:rsidP="00CE70BC">
            <w:pPr>
              <w:pStyle w:val="naisc"/>
              <w:spacing w:before="0" w:after="0"/>
              <w:jc w:val="both"/>
            </w:pPr>
            <w:r>
              <w:t>Regulējums par dzīvojamo māju ekspluatācijas lietu reģistra izveidi un dzīvojamo māju pārvaldnieku reģistra slēgšanu no Likumprojekta izslēgts.</w:t>
            </w:r>
          </w:p>
          <w:p w:rsidR="0039307D" w:rsidRDefault="0039307D" w:rsidP="00CE70BC">
            <w:pPr>
              <w:pStyle w:val="naisc"/>
              <w:spacing w:before="0" w:after="0"/>
              <w:jc w:val="both"/>
            </w:pPr>
            <w:r>
              <w:lastRenderedPageBreak/>
              <w:t xml:space="preserve">Būvju </w:t>
            </w:r>
            <w:r w:rsidRPr="00EB4E25">
              <w:t>ekspluatācijas liet</w:t>
            </w:r>
            <w:r>
              <w:t>u reģistrs</w:t>
            </w:r>
            <w:r w:rsidRPr="00EB4E25">
              <w:t xml:space="preserve"> tiks izstrādāt</w:t>
            </w:r>
            <w:r>
              <w:t>s</w:t>
            </w:r>
            <w:r w:rsidRPr="00EB4E25">
              <w:t xml:space="preserve"> </w:t>
            </w:r>
            <w:r>
              <w:t>Projekta</w:t>
            </w:r>
            <w:r w:rsidRPr="00EB4E25">
              <w:t xml:space="preserve"> ietvaros kā BIS sastāvdaļa.</w:t>
            </w:r>
            <w:r>
              <w:t xml:space="preserve"> Būves ekspluatācijas lietā </w:t>
            </w:r>
            <w:r>
              <w:rPr>
                <w:bCs/>
              </w:rPr>
              <w:t>tiks uzglabāta informācija par ikvienas būves (tajā skaitā dzīvojamo māju) ekspluatācijas gaitu, kas jau pašreiz tiek uzkrāta BIS, kā arī papildus iekļauta mājas lietas informācija (tajā skaitā par dzīvojamās mājas pārvaldnieku)</w:t>
            </w:r>
            <w:r w:rsidRPr="00EB4E25">
              <w:rPr>
                <w:bCs/>
              </w:rPr>
              <w:t>.</w:t>
            </w:r>
            <w:r>
              <w:rPr>
                <w:bCs/>
              </w:rPr>
              <w:t xml:space="preserve"> Ekonomikas ministrija ir konsultējusies ar Biroju, kas ir atbildīgs par BIS izstrādi, un secinājusi, ka tiesiskais regulējums ir jāizstrādā vienlaikus ar programmatūru, lai novērstu iespējamās nesakritības, kas var rasties programmatūras izstrādes gaitā. P</w:t>
            </w:r>
            <w:r w:rsidRPr="006D37D6">
              <w:rPr>
                <w:bCs/>
              </w:rPr>
              <w:t xml:space="preserve">rogrammatūras izstrāde attiecībā uz būvju ekspluatācijas lietu reģistra ieviešanu BIS ir plānota no 2021. gada 1. februāra līdz 2021. gada </w:t>
            </w:r>
            <w:r w:rsidRPr="00ED25B6">
              <w:rPr>
                <w:bCs/>
              </w:rPr>
              <w:t>30. decembrim</w:t>
            </w:r>
            <w:r w:rsidRPr="006D37D6">
              <w:rPr>
                <w:bCs/>
              </w:rPr>
              <w:t xml:space="preserve">. Līdz ar to ir plānots, ka izmaiņas tiesiskajā regulējumā, kas paredz </w:t>
            </w:r>
            <w:r>
              <w:rPr>
                <w:bCs/>
              </w:rPr>
              <w:t xml:space="preserve">dzīvojamo māju </w:t>
            </w:r>
            <w:r w:rsidRPr="006D37D6">
              <w:rPr>
                <w:bCs/>
              </w:rPr>
              <w:t xml:space="preserve">pārvaldnieku </w:t>
            </w:r>
            <w:r w:rsidRPr="006D37D6">
              <w:rPr>
                <w:bCs/>
              </w:rPr>
              <w:lastRenderedPageBreak/>
              <w:t>reģistra darbības izbeigšanu un būvju ekspluatācijas lietu reģistra izveidi BIS, stāsies spēkā 2022. gad</w:t>
            </w:r>
            <w:r>
              <w:rPr>
                <w:bCs/>
              </w:rPr>
              <w:t>ā līdz ar attiecīgu BIS funkcionalitāti.</w:t>
            </w:r>
          </w:p>
          <w:p w:rsidR="0039307D" w:rsidRPr="00413A67" w:rsidRDefault="0039307D" w:rsidP="00CE70BC">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rsidR="0039307D" w:rsidRDefault="0039307D" w:rsidP="00CE70BC">
            <w:r>
              <w:lastRenderedPageBreak/>
              <w:t>Precizēta a</w:t>
            </w:r>
            <w:r w:rsidRPr="00CE70BC">
              <w:t>notācijas IV sadaļa.</w:t>
            </w:r>
          </w:p>
        </w:tc>
      </w:tr>
      <w:tr w:rsidR="0039307D" w:rsidRPr="00712B66" w:rsidTr="00F10DF3">
        <w:tc>
          <w:tcPr>
            <w:tcW w:w="708" w:type="dxa"/>
            <w:tcBorders>
              <w:left w:val="single" w:sz="6" w:space="0" w:color="000000"/>
              <w:bottom w:val="single" w:sz="4" w:space="0" w:color="auto"/>
              <w:right w:val="single" w:sz="6" w:space="0" w:color="000000"/>
            </w:tcBorders>
          </w:tcPr>
          <w:p w:rsidR="0039307D" w:rsidRPr="00712B66" w:rsidRDefault="0039307D" w:rsidP="00CE70BC">
            <w:pPr>
              <w:pStyle w:val="naisc"/>
              <w:spacing w:before="0" w:after="0"/>
            </w:pPr>
            <w:r>
              <w:lastRenderedPageBreak/>
              <w:t>20.</w:t>
            </w:r>
          </w:p>
        </w:tc>
        <w:tc>
          <w:tcPr>
            <w:tcW w:w="3086" w:type="dxa"/>
            <w:gridSpan w:val="2"/>
            <w:tcBorders>
              <w:left w:val="single" w:sz="6" w:space="0" w:color="000000"/>
              <w:bottom w:val="single" w:sz="4" w:space="0" w:color="auto"/>
              <w:right w:val="single" w:sz="6" w:space="0" w:color="000000"/>
            </w:tcBorders>
          </w:tcPr>
          <w:p w:rsidR="0039307D" w:rsidRDefault="0039307D" w:rsidP="00CE70BC">
            <w:pPr>
              <w:pStyle w:val="naisc"/>
              <w:spacing w:before="0" w:after="0"/>
              <w:jc w:val="both"/>
            </w:pPr>
            <w:r>
              <w:t>Anotācijas VI sadaļas 2. punkts</w:t>
            </w:r>
          </w:p>
        </w:tc>
        <w:tc>
          <w:tcPr>
            <w:tcW w:w="4394" w:type="dxa"/>
            <w:tcBorders>
              <w:left w:val="single" w:sz="6" w:space="0" w:color="000000"/>
              <w:bottom w:val="single" w:sz="4" w:space="0" w:color="auto"/>
              <w:right w:val="single" w:sz="6" w:space="0" w:color="000000"/>
            </w:tcBorders>
          </w:tcPr>
          <w:p w:rsidR="0039307D" w:rsidRDefault="0039307D" w:rsidP="00CE70BC">
            <w:pPr>
              <w:pStyle w:val="naisc"/>
              <w:spacing w:before="0" w:after="0"/>
              <w:jc w:val="both"/>
              <w:rPr>
                <w:b/>
                <w:bCs/>
              </w:rPr>
            </w:pPr>
            <w:r>
              <w:rPr>
                <w:b/>
                <w:bCs/>
              </w:rPr>
              <w:t>Finanšu ministrija (priekšlikums)</w:t>
            </w:r>
          </w:p>
          <w:p w:rsidR="0039307D" w:rsidRPr="00660DBC" w:rsidRDefault="0039307D" w:rsidP="00CE70BC">
            <w:pPr>
              <w:pStyle w:val="naisc"/>
              <w:spacing w:before="0" w:after="0"/>
              <w:jc w:val="both"/>
            </w:pPr>
            <w:r>
              <w:t xml:space="preserve">Anotācijas </w:t>
            </w:r>
            <w:proofErr w:type="spellStart"/>
            <w:r>
              <w:t>VI.</w:t>
            </w:r>
            <w:r w:rsidRPr="00282536">
              <w:t>sadaļas</w:t>
            </w:r>
            <w:proofErr w:type="spellEnd"/>
            <w:r w:rsidRPr="00282536">
              <w:t xml:space="preserve"> 2.punkta “Sabiedrības līdzdalība projekta izstrādē” norādīts, ka, lai informētu sabiedrību par likumprojektu un dotu iespēju izteikt par to viedokli, likumprojekts un tā anotācija tika ievietoti Ekonomikas ministrijas tīmekļvietnē sa</w:t>
            </w:r>
            <w:r>
              <w:t xml:space="preserve">daļā “Sabiedrības līdzdalība”  </w:t>
            </w:r>
            <w:r w:rsidRPr="00282536">
              <w:t xml:space="preserve">“Diskusiju  dokumenti”:  </w:t>
            </w:r>
            <w:hyperlink r:id="rId9" w:history="1">
              <w:r w:rsidRPr="00282536">
                <w:rPr>
                  <w:rStyle w:val="Hyperlink"/>
                </w:rPr>
                <w:t>https://em.gov.lv/lv/Ministrija/sabiedribas_lidzdaliba/diskusiju_dokumenti/</w:t>
              </w:r>
            </w:hyperlink>
            <w:r>
              <w:t xml:space="preserve">. </w:t>
            </w:r>
            <w:r w:rsidRPr="00282536">
              <w:t xml:space="preserve">Vēršam </w:t>
            </w:r>
            <w:r w:rsidRPr="00282536">
              <w:lastRenderedPageBreak/>
              <w:t>uzmanību, ka minētajā tīmekļvietnē nav informācijas par likumprojektu. Ievēr</w:t>
            </w:r>
            <w:r>
              <w:t xml:space="preserve">ojot minēto, lūdzam precizēt </w:t>
            </w:r>
            <w:proofErr w:type="spellStart"/>
            <w:r>
              <w:t>VI.</w:t>
            </w:r>
            <w:r w:rsidRPr="00282536">
              <w:t>sadaļas</w:t>
            </w:r>
            <w:proofErr w:type="spellEnd"/>
            <w:r w:rsidRPr="00282536">
              <w:t xml:space="preserve"> 2.punktā norādīto informā</w:t>
            </w:r>
            <w:r>
              <w:t xml:space="preserve">ciju vai sniegt skaidrojumu  </w:t>
            </w:r>
            <w:proofErr w:type="spellStart"/>
            <w:r>
              <w:t>VI.</w:t>
            </w:r>
            <w:r w:rsidRPr="00282536">
              <w:t>sadaļas</w:t>
            </w:r>
            <w:proofErr w:type="spellEnd"/>
            <w:r w:rsidRPr="00282536">
              <w:t xml:space="preserve"> 2.punktā norādītās informācijas neatbi</w:t>
            </w:r>
            <w:r>
              <w:t>lstībai faktiskajai situācijai.</w:t>
            </w:r>
          </w:p>
        </w:tc>
        <w:tc>
          <w:tcPr>
            <w:tcW w:w="3119" w:type="dxa"/>
            <w:gridSpan w:val="2"/>
            <w:tcBorders>
              <w:left w:val="single" w:sz="6" w:space="0" w:color="000000"/>
              <w:bottom w:val="single" w:sz="4" w:space="0" w:color="auto"/>
              <w:right w:val="single" w:sz="6" w:space="0" w:color="000000"/>
            </w:tcBorders>
          </w:tcPr>
          <w:p w:rsidR="0039307D" w:rsidRPr="00413A67" w:rsidRDefault="0039307D" w:rsidP="00CE70BC">
            <w:pPr>
              <w:pStyle w:val="naisc"/>
              <w:spacing w:before="0" w:after="0"/>
              <w:rPr>
                <w:b/>
                <w:bCs/>
              </w:rPr>
            </w:pPr>
            <w:r w:rsidRPr="00413A67">
              <w:rPr>
                <w:b/>
                <w:bCs/>
              </w:rPr>
              <w:lastRenderedPageBreak/>
              <w:t>Ņemts vērā.</w:t>
            </w:r>
          </w:p>
          <w:p w:rsidR="0039307D" w:rsidRDefault="0039307D" w:rsidP="00CE70BC">
            <w:pPr>
              <w:pStyle w:val="naisc"/>
              <w:spacing w:before="0" w:after="0"/>
              <w:jc w:val="both"/>
            </w:pPr>
            <w:r w:rsidRPr="00EB4E25">
              <w:t>Likumprojekta sabiedriskā</w:t>
            </w:r>
            <w:r>
              <w:t>s</w:t>
            </w:r>
            <w:r w:rsidRPr="00EB4E25">
              <w:t xml:space="preserve"> apspriešana</w:t>
            </w:r>
            <w:r>
              <w:t>s laikā</w:t>
            </w:r>
            <w:r w:rsidRPr="00EB4E25">
              <w:t xml:space="preserve"> Ekonomikas ministrijas</w:t>
            </w:r>
            <w:r>
              <w:t xml:space="preserve"> un Ministru kabineta</w:t>
            </w:r>
            <w:r w:rsidRPr="00EB4E25">
              <w:t xml:space="preserve"> tīmekļvietnē</w:t>
            </w:r>
            <w:r>
              <w:t xml:space="preserve"> priekšlikumi vai iebildumi netika saņemti, līdz ar to Likumprojekts no Ekonomikas ministrijas tīmekļvietnes konkrētās sadaļas tika izņemts.</w:t>
            </w:r>
          </w:p>
        </w:tc>
        <w:tc>
          <w:tcPr>
            <w:tcW w:w="3118" w:type="dxa"/>
            <w:tcBorders>
              <w:top w:val="single" w:sz="4" w:space="0" w:color="auto"/>
              <w:left w:val="single" w:sz="4" w:space="0" w:color="auto"/>
              <w:bottom w:val="single" w:sz="4" w:space="0" w:color="auto"/>
            </w:tcBorders>
          </w:tcPr>
          <w:p w:rsidR="0039307D" w:rsidRDefault="0039307D" w:rsidP="00CE70BC">
            <w:r>
              <w:t>Precizēts anotācijas VI sadaļas 2. punkts.</w:t>
            </w:r>
          </w:p>
        </w:tc>
      </w:tr>
      <w:tr w:rsidR="0039307D"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39307D" w:rsidRPr="00712B66" w:rsidRDefault="0039307D" w:rsidP="00CE70BC">
            <w:pPr>
              <w:pStyle w:val="naiskr"/>
              <w:spacing w:before="0" w:after="0"/>
              <w:jc w:val="center"/>
            </w:pPr>
          </w:p>
          <w:p w:rsidR="0039307D" w:rsidRPr="00712B66" w:rsidRDefault="0039307D" w:rsidP="00CE70BC">
            <w:pPr>
              <w:pStyle w:val="naiskr"/>
              <w:spacing w:before="0" w:after="0"/>
              <w:jc w:val="center"/>
            </w:pPr>
            <w:r w:rsidRPr="00712B66">
              <w:t>Atbildīgā amatpersona</w:t>
            </w:r>
          </w:p>
        </w:tc>
        <w:tc>
          <w:tcPr>
            <w:tcW w:w="6179" w:type="dxa"/>
            <w:gridSpan w:val="3"/>
          </w:tcPr>
          <w:p w:rsidR="0039307D" w:rsidRPr="00712B66" w:rsidRDefault="0039307D" w:rsidP="00CE70BC">
            <w:pPr>
              <w:pStyle w:val="naiskr"/>
              <w:spacing w:before="0" w:after="0"/>
              <w:jc w:val="center"/>
            </w:pPr>
          </w:p>
        </w:tc>
      </w:tr>
      <w:tr w:rsidR="0039307D" w:rsidRPr="005F0B43"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rsidR="0039307D" w:rsidRPr="00712B66" w:rsidRDefault="0039307D" w:rsidP="00CE70BC">
            <w:pPr>
              <w:pStyle w:val="naiskr"/>
              <w:spacing w:before="0" w:after="0"/>
              <w:jc w:val="center"/>
            </w:pPr>
          </w:p>
        </w:tc>
        <w:tc>
          <w:tcPr>
            <w:tcW w:w="6179" w:type="dxa"/>
            <w:gridSpan w:val="3"/>
            <w:tcBorders>
              <w:top w:val="single" w:sz="6" w:space="0" w:color="000000"/>
            </w:tcBorders>
          </w:tcPr>
          <w:p w:rsidR="0039307D" w:rsidRPr="00712B66" w:rsidRDefault="0039307D" w:rsidP="00CE70BC">
            <w:pPr>
              <w:pStyle w:val="naisc"/>
              <w:spacing w:before="0" w:after="0"/>
            </w:pPr>
            <w:r w:rsidRPr="00712B66">
              <w:t>(paraksts*)</w:t>
            </w:r>
          </w:p>
        </w:tc>
      </w:tr>
    </w:tbl>
    <w:p w:rsidR="007116C7" w:rsidRDefault="007116C7" w:rsidP="00DB7395">
      <w:pPr>
        <w:pStyle w:val="naisf"/>
        <w:spacing w:before="0" w:after="0"/>
        <w:ind w:firstLine="720"/>
      </w:pPr>
    </w:p>
    <w:p w:rsidR="00317DC7"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8B1E63" w:rsidRPr="00712B66" w:rsidRDefault="008B1E63" w:rsidP="00DB7395">
      <w:pPr>
        <w:pStyle w:val="naisf"/>
        <w:spacing w:before="0" w:after="0"/>
        <w:ind w:firstLine="720"/>
      </w:pPr>
    </w:p>
    <w:tbl>
      <w:tblPr>
        <w:tblW w:w="0" w:type="auto"/>
        <w:tblLook w:val="00A0"/>
      </w:tblPr>
      <w:tblGrid>
        <w:gridCol w:w="8268"/>
      </w:tblGrid>
      <w:tr w:rsidR="008B1E63" w:rsidRPr="00712B66" w:rsidTr="008B1E63">
        <w:trPr>
          <w:trHeight w:val="284"/>
        </w:trPr>
        <w:tc>
          <w:tcPr>
            <w:tcW w:w="8268" w:type="dxa"/>
            <w:tcBorders>
              <w:bottom w:val="single" w:sz="4" w:space="0" w:color="000000"/>
            </w:tcBorders>
          </w:tcPr>
          <w:p w:rsidR="008B1E63" w:rsidRDefault="008B1E63" w:rsidP="008B1E63">
            <w:pPr>
              <w:jc w:val="center"/>
            </w:pPr>
            <w:r>
              <w:t>Marta Bergmane</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(par projektu atbildīgās amatpersonas vārds un uzvārds)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Mājokļu politikas departamenta vecākā referente</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(amats)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Tālr. 67013041, Fakss 67280882</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(tālruņa un faksa numurs)</w:t>
            </w:r>
          </w:p>
        </w:tc>
      </w:tr>
      <w:tr w:rsidR="008B1E63" w:rsidRPr="00712B66" w:rsidTr="008B1E63">
        <w:trPr>
          <w:trHeight w:val="284"/>
        </w:trPr>
        <w:tc>
          <w:tcPr>
            <w:tcW w:w="8268" w:type="dxa"/>
            <w:tcBorders>
              <w:bottom w:val="single" w:sz="4" w:space="0" w:color="000000"/>
            </w:tcBorders>
          </w:tcPr>
          <w:p w:rsidR="008B1E63" w:rsidRPr="00712B66" w:rsidRDefault="008B1E63" w:rsidP="008B1E63">
            <w:pPr>
              <w:jc w:val="center"/>
            </w:pPr>
            <w:r>
              <w:t>Marta.Bergmane@em.gov.lv</w:t>
            </w:r>
          </w:p>
        </w:tc>
      </w:tr>
      <w:tr w:rsidR="008B1E63" w:rsidRPr="00712B66" w:rsidTr="008B1E63">
        <w:trPr>
          <w:trHeight w:val="284"/>
        </w:trPr>
        <w:tc>
          <w:tcPr>
            <w:tcW w:w="8268" w:type="dxa"/>
            <w:tcBorders>
              <w:top w:val="single" w:sz="4" w:space="0" w:color="000000"/>
            </w:tcBorders>
          </w:tcPr>
          <w:p w:rsidR="008B1E63" w:rsidRPr="00A270F9" w:rsidRDefault="008B1E63" w:rsidP="008B1E63">
            <w:pPr>
              <w:jc w:val="center"/>
              <w:rPr>
                <w:sz w:val="20"/>
                <w:szCs w:val="20"/>
              </w:rPr>
            </w:pPr>
            <w:r w:rsidRPr="00A270F9">
              <w:rPr>
                <w:sz w:val="20"/>
                <w:szCs w:val="20"/>
              </w:rPr>
              <w:t>(e-pasta adrese)</w:t>
            </w:r>
          </w:p>
        </w:tc>
      </w:tr>
    </w:tbl>
    <w:p w:rsidR="007116C7" w:rsidRPr="00507795" w:rsidRDefault="007116C7" w:rsidP="00507795">
      <w:pPr>
        <w:pStyle w:val="naisf"/>
        <w:spacing w:before="0" w:after="0"/>
        <w:ind w:firstLine="0"/>
      </w:pPr>
    </w:p>
    <w:sectPr w:rsidR="007116C7" w:rsidRPr="00507795"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E3" w:rsidRDefault="00CB5BE3">
      <w:r>
        <w:separator/>
      </w:r>
    </w:p>
  </w:endnote>
  <w:endnote w:type="continuationSeparator" w:id="0">
    <w:p w:rsidR="00CB5BE3" w:rsidRDefault="00CB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3C" w:rsidRPr="005D1A52" w:rsidRDefault="005D1A52" w:rsidP="005D1A52">
    <w:pPr>
      <w:pStyle w:val="Footer"/>
      <w:rPr>
        <w:sz w:val="20"/>
        <w:szCs w:val="20"/>
      </w:rPr>
    </w:pPr>
    <w:r>
      <w:rPr>
        <w:sz w:val="20"/>
        <w:szCs w:val="20"/>
      </w:rPr>
      <w:t>EM</w:t>
    </w:r>
    <w:r w:rsidR="00F55FD8">
      <w:rPr>
        <w:sz w:val="20"/>
        <w:szCs w:val="20"/>
      </w:rPr>
      <w:t>I</w:t>
    </w:r>
    <w:r w:rsidRPr="00015C84">
      <w:rPr>
        <w:sz w:val="20"/>
        <w:szCs w:val="20"/>
      </w:rPr>
      <w:t>zz_</w:t>
    </w:r>
    <w:r w:rsidR="0039307D">
      <w:rPr>
        <w:sz w:val="20"/>
        <w:szCs w:val="20"/>
      </w:rPr>
      <w:t>2</w:t>
    </w:r>
    <w:r w:rsidR="00DE38CB">
      <w:rPr>
        <w:sz w:val="20"/>
        <w:szCs w:val="20"/>
      </w:rPr>
      <w:t>4</w:t>
    </w:r>
    <w:r w:rsidRPr="00015C84">
      <w:rPr>
        <w:sz w:val="20"/>
        <w:szCs w:val="20"/>
      </w:rPr>
      <w:t>0</w:t>
    </w:r>
    <w:r w:rsidR="003B234A">
      <w:rPr>
        <w:sz w:val="20"/>
        <w:szCs w:val="20"/>
      </w:rPr>
      <w:t>3</w:t>
    </w:r>
    <w:r>
      <w:rPr>
        <w:sz w:val="20"/>
        <w:szCs w:val="20"/>
      </w:rPr>
      <w:t>2</w:t>
    </w:r>
    <w:r w:rsidRPr="00015C84">
      <w:rPr>
        <w:sz w:val="20"/>
        <w:szCs w:val="20"/>
      </w:rPr>
      <w:t>0_</w:t>
    </w:r>
    <w:r>
      <w:rPr>
        <w:sz w:val="20"/>
        <w:szCs w:val="20"/>
      </w:rPr>
      <w:t>Groz_DMPL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E7" w:rsidRPr="00015C84" w:rsidRDefault="005D1A52" w:rsidP="00364BB6">
    <w:pPr>
      <w:pStyle w:val="Footer"/>
      <w:rPr>
        <w:sz w:val="20"/>
        <w:szCs w:val="20"/>
      </w:rPr>
    </w:pPr>
    <w:r>
      <w:rPr>
        <w:sz w:val="20"/>
        <w:szCs w:val="20"/>
      </w:rPr>
      <w:t>EM</w:t>
    </w:r>
    <w:r w:rsidR="00F55FD8">
      <w:rPr>
        <w:sz w:val="20"/>
        <w:szCs w:val="20"/>
      </w:rPr>
      <w:t>I</w:t>
    </w:r>
    <w:r w:rsidR="00015C84" w:rsidRPr="00015C84">
      <w:rPr>
        <w:sz w:val="20"/>
        <w:szCs w:val="20"/>
      </w:rPr>
      <w:t>zz_</w:t>
    </w:r>
    <w:r w:rsidR="0039307D">
      <w:rPr>
        <w:sz w:val="20"/>
        <w:szCs w:val="20"/>
      </w:rPr>
      <w:t>2</w:t>
    </w:r>
    <w:r w:rsidR="00DE38CB">
      <w:rPr>
        <w:sz w:val="20"/>
        <w:szCs w:val="20"/>
      </w:rPr>
      <w:t>4</w:t>
    </w:r>
    <w:r w:rsidR="00015C84" w:rsidRPr="00015C84">
      <w:rPr>
        <w:sz w:val="20"/>
        <w:szCs w:val="20"/>
      </w:rPr>
      <w:t>0</w:t>
    </w:r>
    <w:r w:rsidR="003B234A">
      <w:rPr>
        <w:sz w:val="20"/>
        <w:szCs w:val="20"/>
      </w:rPr>
      <w:t>3</w:t>
    </w:r>
    <w:r>
      <w:rPr>
        <w:sz w:val="20"/>
        <w:szCs w:val="20"/>
      </w:rPr>
      <w:t>2</w:t>
    </w:r>
    <w:r w:rsidR="00015C84" w:rsidRPr="00015C84">
      <w:rPr>
        <w:sz w:val="20"/>
        <w:szCs w:val="20"/>
      </w:rPr>
      <w:t>0_</w:t>
    </w:r>
    <w:r>
      <w:rPr>
        <w:sz w:val="20"/>
        <w:szCs w:val="20"/>
      </w:rPr>
      <w:t>Groz_DMPL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E3" w:rsidRDefault="00CB5BE3">
      <w:r>
        <w:separator/>
      </w:r>
    </w:p>
  </w:footnote>
  <w:footnote w:type="continuationSeparator" w:id="0">
    <w:p w:rsidR="00CB5BE3" w:rsidRDefault="00CB5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E7" w:rsidRDefault="00645A7A" w:rsidP="00364BB6">
    <w:pPr>
      <w:pStyle w:val="Header"/>
      <w:framePr w:wrap="around" w:vAnchor="text" w:hAnchor="margin" w:xAlign="center" w:y="1"/>
      <w:rPr>
        <w:rStyle w:val="PageNumber"/>
      </w:rPr>
    </w:pPr>
    <w:r>
      <w:rPr>
        <w:rStyle w:val="PageNumber"/>
      </w:rPr>
      <w:fldChar w:fldCharType="begin"/>
    </w:r>
    <w:r w:rsidR="006455E7">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E7" w:rsidRDefault="00645A7A" w:rsidP="00364BB6">
    <w:pPr>
      <w:pStyle w:val="Header"/>
      <w:framePr w:wrap="around" w:vAnchor="text" w:hAnchor="margin" w:xAlign="center" w:y="1"/>
      <w:rPr>
        <w:rStyle w:val="PageNumber"/>
      </w:rPr>
    </w:pPr>
    <w:r>
      <w:rPr>
        <w:rStyle w:val="PageNumber"/>
      </w:rPr>
      <w:fldChar w:fldCharType="begin"/>
    </w:r>
    <w:r w:rsidR="006455E7">
      <w:rPr>
        <w:rStyle w:val="PageNumber"/>
      </w:rPr>
      <w:instrText xml:space="preserve">PAGE  </w:instrText>
    </w:r>
    <w:r>
      <w:rPr>
        <w:rStyle w:val="PageNumber"/>
      </w:rPr>
      <w:fldChar w:fldCharType="separate"/>
    </w:r>
    <w:r w:rsidR="002E5DF1">
      <w:rPr>
        <w:rStyle w:val="PageNumber"/>
        <w:noProof/>
      </w:rPr>
      <w:t>3</w:t>
    </w:r>
    <w:r>
      <w:rPr>
        <w:rStyle w:val="PageNumber"/>
      </w:rPr>
      <w:fldChar w:fldCharType="end"/>
    </w:r>
  </w:p>
  <w:p w:rsidR="006455E7" w:rsidRDefault="006455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4">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E4"/>
    <w:rsid w:val="00001F89"/>
    <w:rsid w:val="00003C53"/>
    <w:rsid w:val="0000456E"/>
    <w:rsid w:val="000054CA"/>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7F7"/>
    <w:rsid w:val="00043005"/>
    <w:rsid w:val="0004345F"/>
    <w:rsid w:val="00044026"/>
    <w:rsid w:val="00046075"/>
    <w:rsid w:val="00046CAD"/>
    <w:rsid w:val="00046F5C"/>
    <w:rsid w:val="00047385"/>
    <w:rsid w:val="00050554"/>
    <w:rsid w:val="000506F2"/>
    <w:rsid w:val="00053706"/>
    <w:rsid w:val="00053E04"/>
    <w:rsid w:val="000553D6"/>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97A10"/>
    <w:rsid w:val="000A0041"/>
    <w:rsid w:val="000A06FC"/>
    <w:rsid w:val="000A1A02"/>
    <w:rsid w:val="000A4035"/>
    <w:rsid w:val="000A483A"/>
    <w:rsid w:val="000A55D2"/>
    <w:rsid w:val="000A64D3"/>
    <w:rsid w:val="000A77B9"/>
    <w:rsid w:val="000A7EA7"/>
    <w:rsid w:val="000B0403"/>
    <w:rsid w:val="000B057B"/>
    <w:rsid w:val="000B06E7"/>
    <w:rsid w:val="000B0C94"/>
    <w:rsid w:val="000B15A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7E9"/>
    <w:rsid w:val="00131F39"/>
    <w:rsid w:val="00132375"/>
    <w:rsid w:val="00132E73"/>
    <w:rsid w:val="00133505"/>
    <w:rsid w:val="00134188"/>
    <w:rsid w:val="00137403"/>
    <w:rsid w:val="00137ADE"/>
    <w:rsid w:val="00140706"/>
    <w:rsid w:val="0014122A"/>
    <w:rsid w:val="00141E85"/>
    <w:rsid w:val="0014319C"/>
    <w:rsid w:val="001436B3"/>
    <w:rsid w:val="00143976"/>
    <w:rsid w:val="00143DAC"/>
    <w:rsid w:val="00144622"/>
    <w:rsid w:val="00144781"/>
    <w:rsid w:val="00144917"/>
    <w:rsid w:val="0014702D"/>
    <w:rsid w:val="00147596"/>
    <w:rsid w:val="0014790C"/>
    <w:rsid w:val="00152718"/>
    <w:rsid w:val="001530CF"/>
    <w:rsid w:val="00153F12"/>
    <w:rsid w:val="001543DB"/>
    <w:rsid w:val="00155473"/>
    <w:rsid w:val="00155DC2"/>
    <w:rsid w:val="00156D90"/>
    <w:rsid w:val="00156E9F"/>
    <w:rsid w:val="00157A57"/>
    <w:rsid w:val="00157DB6"/>
    <w:rsid w:val="00157EC2"/>
    <w:rsid w:val="00162A68"/>
    <w:rsid w:val="00162E08"/>
    <w:rsid w:val="00163061"/>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A40"/>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E51"/>
    <w:rsid w:val="0023132F"/>
    <w:rsid w:val="00231AA5"/>
    <w:rsid w:val="00232F90"/>
    <w:rsid w:val="0023339B"/>
    <w:rsid w:val="0023469C"/>
    <w:rsid w:val="00234C71"/>
    <w:rsid w:val="00235511"/>
    <w:rsid w:val="002366E0"/>
    <w:rsid w:val="002367DF"/>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3E4"/>
    <w:rsid w:val="002D778E"/>
    <w:rsid w:val="002E04D7"/>
    <w:rsid w:val="002E06DD"/>
    <w:rsid w:val="002E171A"/>
    <w:rsid w:val="002E2A24"/>
    <w:rsid w:val="002E3D66"/>
    <w:rsid w:val="002E3F11"/>
    <w:rsid w:val="002E4B11"/>
    <w:rsid w:val="002E4F70"/>
    <w:rsid w:val="002E5886"/>
    <w:rsid w:val="002E5AD3"/>
    <w:rsid w:val="002E5DF1"/>
    <w:rsid w:val="002E635D"/>
    <w:rsid w:val="002E7562"/>
    <w:rsid w:val="002F071F"/>
    <w:rsid w:val="002F16D5"/>
    <w:rsid w:val="002F1A90"/>
    <w:rsid w:val="002F1C2F"/>
    <w:rsid w:val="002F3D1C"/>
    <w:rsid w:val="002F4EA1"/>
    <w:rsid w:val="002F52DE"/>
    <w:rsid w:val="002F55C1"/>
    <w:rsid w:val="002F797A"/>
    <w:rsid w:val="00300483"/>
    <w:rsid w:val="00301C91"/>
    <w:rsid w:val="00303BF8"/>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904"/>
    <w:rsid w:val="0039307D"/>
    <w:rsid w:val="003A157A"/>
    <w:rsid w:val="003A283F"/>
    <w:rsid w:val="003A2A16"/>
    <w:rsid w:val="003A2FDD"/>
    <w:rsid w:val="003A3C43"/>
    <w:rsid w:val="003A5CCC"/>
    <w:rsid w:val="003A70FF"/>
    <w:rsid w:val="003A74D2"/>
    <w:rsid w:val="003A756B"/>
    <w:rsid w:val="003A7902"/>
    <w:rsid w:val="003B234A"/>
    <w:rsid w:val="003B23D7"/>
    <w:rsid w:val="003B3414"/>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5F5F"/>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A67"/>
    <w:rsid w:val="00416277"/>
    <w:rsid w:val="00416E24"/>
    <w:rsid w:val="0042063D"/>
    <w:rsid w:val="00422B23"/>
    <w:rsid w:val="00423A60"/>
    <w:rsid w:val="0042651C"/>
    <w:rsid w:val="00426E9B"/>
    <w:rsid w:val="00427D55"/>
    <w:rsid w:val="0043233C"/>
    <w:rsid w:val="004336E9"/>
    <w:rsid w:val="004345A6"/>
    <w:rsid w:val="00435B2F"/>
    <w:rsid w:val="00435E03"/>
    <w:rsid w:val="004373E1"/>
    <w:rsid w:val="004374A3"/>
    <w:rsid w:val="00437A7E"/>
    <w:rsid w:val="00437B6C"/>
    <w:rsid w:val="00440144"/>
    <w:rsid w:val="0044064E"/>
    <w:rsid w:val="00440805"/>
    <w:rsid w:val="004412E1"/>
    <w:rsid w:val="00441554"/>
    <w:rsid w:val="00442E48"/>
    <w:rsid w:val="0044351C"/>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B7D"/>
    <w:rsid w:val="00481247"/>
    <w:rsid w:val="004828DC"/>
    <w:rsid w:val="00482FF7"/>
    <w:rsid w:val="00483098"/>
    <w:rsid w:val="00483AFB"/>
    <w:rsid w:val="0048402B"/>
    <w:rsid w:val="0048414A"/>
    <w:rsid w:val="00485C56"/>
    <w:rsid w:val="00486B79"/>
    <w:rsid w:val="00486CA2"/>
    <w:rsid w:val="00490B25"/>
    <w:rsid w:val="00490FD6"/>
    <w:rsid w:val="004911C4"/>
    <w:rsid w:val="0049256E"/>
    <w:rsid w:val="00494CC8"/>
    <w:rsid w:val="004955E7"/>
    <w:rsid w:val="0049589C"/>
    <w:rsid w:val="00495EF1"/>
    <w:rsid w:val="00496ED4"/>
    <w:rsid w:val="00497D4A"/>
    <w:rsid w:val="004A0441"/>
    <w:rsid w:val="004A084C"/>
    <w:rsid w:val="004A15B3"/>
    <w:rsid w:val="004A1D01"/>
    <w:rsid w:val="004A2A54"/>
    <w:rsid w:val="004A2EF3"/>
    <w:rsid w:val="004A37FC"/>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C0E"/>
    <w:rsid w:val="004F2EC7"/>
    <w:rsid w:val="004F3CE8"/>
    <w:rsid w:val="004F6BFB"/>
    <w:rsid w:val="004F7E4A"/>
    <w:rsid w:val="0050147C"/>
    <w:rsid w:val="0050182B"/>
    <w:rsid w:val="00502579"/>
    <w:rsid w:val="005029F7"/>
    <w:rsid w:val="00503AA5"/>
    <w:rsid w:val="00503D4C"/>
    <w:rsid w:val="00504C0C"/>
    <w:rsid w:val="00504E48"/>
    <w:rsid w:val="005070FF"/>
    <w:rsid w:val="00507795"/>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2E2C"/>
    <w:rsid w:val="00543283"/>
    <w:rsid w:val="0054364C"/>
    <w:rsid w:val="00546747"/>
    <w:rsid w:val="00547510"/>
    <w:rsid w:val="00547ECC"/>
    <w:rsid w:val="00551D5A"/>
    <w:rsid w:val="00551EC3"/>
    <w:rsid w:val="00554A44"/>
    <w:rsid w:val="00554C53"/>
    <w:rsid w:val="00554F18"/>
    <w:rsid w:val="00555220"/>
    <w:rsid w:val="005555F0"/>
    <w:rsid w:val="00555739"/>
    <w:rsid w:val="00555ACB"/>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97808"/>
    <w:rsid w:val="005A0809"/>
    <w:rsid w:val="005A0B91"/>
    <w:rsid w:val="005A1494"/>
    <w:rsid w:val="005A3139"/>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1A52"/>
    <w:rsid w:val="005D237C"/>
    <w:rsid w:val="005D25E2"/>
    <w:rsid w:val="005D25FF"/>
    <w:rsid w:val="005D2632"/>
    <w:rsid w:val="005D38E0"/>
    <w:rsid w:val="005D3F32"/>
    <w:rsid w:val="005D4E3E"/>
    <w:rsid w:val="005D67F7"/>
    <w:rsid w:val="005D7D7E"/>
    <w:rsid w:val="005E0B59"/>
    <w:rsid w:val="005E1105"/>
    <w:rsid w:val="005E162F"/>
    <w:rsid w:val="005E2C60"/>
    <w:rsid w:val="005E31B4"/>
    <w:rsid w:val="005E31F6"/>
    <w:rsid w:val="005E3622"/>
    <w:rsid w:val="005E60B3"/>
    <w:rsid w:val="005E676C"/>
    <w:rsid w:val="005E6CB9"/>
    <w:rsid w:val="005E7F14"/>
    <w:rsid w:val="005F0154"/>
    <w:rsid w:val="005F0176"/>
    <w:rsid w:val="005F021D"/>
    <w:rsid w:val="005F0B43"/>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A7A"/>
    <w:rsid w:val="006461A1"/>
    <w:rsid w:val="00647422"/>
    <w:rsid w:val="00647E6B"/>
    <w:rsid w:val="00650E84"/>
    <w:rsid w:val="0065198B"/>
    <w:rsid w:val="006525AF"/>
    <w:rsid w:val="0065266A"/>
    <w:rsid w:val="00653F9C"/>
    <w:rsid w:val="00655470"/>
    <w:rsid w:val="00656FEE"/>
    <w:rsid w:val="0065758F"/>
    <w:rsid w:val="00660897"/>
    <w:rsid w:val="00660DBC"/>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C7935"/>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3B8"/>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74A"/>
    <w:rsid w:val="00777CE9"/>
    <w:rsid w:val="00780D05"/>
    <w:rsid w:val="00783212"/>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201"/>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B08"/>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6B5"/>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1E63"/>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AD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066"/>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FB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3BB"/>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5D18"/>
    <w:rsid w:val="00A07DCF"/>
    <w:rsid w:val="00A12979"/>
    <w:rsid w:val="00A131A9"/>
    <w:rsid w:val="00A1496E"/>
    <w:rsid w:val="00A14F84"/>
    <w:rsid w:val="00A16104"/>
    <w:rsid w:val="00A16D6D"/>
    <w:rsid w:val="00A17C75"/>
    <w:rsid w:val="00A211C8"/>
    <w:rsid w:val="00A2121E"/>
    <w:rsid w:val="00A21EAC"/>
    <w:rsid w:val="00A221DE"/>
    <w:rsid w:val="00A22CB2"/>
    <w:rsid w:val="00A22E69"/>
    <w:rsid w:val="00A23138"/>
    <w:rsid w:val="00A23940"/>
    <w:rsid w:val="00A23ECC"/>
    <w:rsid w:val="00A24CD3"/>
    <w:rsid w:val="00A25461"/>
    <w:rsid w:val="00A26367"/>
    <w:rsid w:val="00A2678A"/>
    <w:rsid w:val="00A269E1"/>
    <w:rsid w:val="00A270F9"/>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5D8"/>
    <w:rsid w:val="00A566A8"/>
    <w:rsid w:val="00A56D0B"/>
    <w:rsid w:val="00A56F60"/>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02A8"/>
    <w:rsid w:val="00B11D2D"/>
    <w:rsid w:val="00B123F0"/>
    <w:rsid w:val="00B12891"/>
    <w:rsid w:val="00B137D3"/>
    <w:rsid w:val="00B146C1"/>
    <w:rsid w:val="00B146E7"/>
    <w:rsid w:val="00B156DF"/>
    <w:rsid w:val="00B15AA2"/>
    <w:rsid w:val="00B15ABB"/>
    <w:rsid w:val="00B16973"/>
    <w:rsid w:val="00B2036A"/>
    <w:rsid w:val="00B21057"/>
    <w:rsid w:val="00B2202B"/>
    <w:rsid w:val="00B23422"/>
    <w:rsid w:val="00B24948"/>
    <w:rsid w:val="00B24CBD"/>
    <w:rsid w:val="00B25CA3"/>
    <w:rsid w:val="00B30028"/>
    <w:rsid w:val="00B31DC4"/>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1B56"/>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BDD"/>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37FB"/>
    <w:rsid w:val="00BE4326"/>
    <w:rsid w:val="00BE5F4F"/>
    <w:rsid w:val="00BE60DB"/>
    <w:rsid w:val="00BE716D"/>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46E5"/>
    <w:rsid w:val="00C362E0"/>
    <w:rsid w:val="00C36ED4"/>
    <w:rsid w:val="00C376CC"/>
    <w:rsid w:val="00C400F7"/>
    <w:rsid w:val="00C40EC6"/>
    <w:rsid w:val="00C419AD"/>
    <w:rsid w:val="00C41B5F"/>
    <w:rsid w:val="00C437BA"/>
    <w:rsid w:val="00C44395"/>
    <w:rsid w:val="00C443B3"/>
    <w:rsid w:val="00C45CE8"/>
    <w:rsid w:val="00C46F06"/>
    <w:rsid w:val="00C474DD"/>
    <w:rsid w:val="00C47DA6"/>
    <w:rsid w:val="00C5054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4C99"/>
    <w:rsid w:val="00CA5413"/>
    <w:rsid w:val="00CA5674"/>
    <w:rsid w:val="00CA5BDA"/>
    <w:rsid w:val="00CA5C1A"/>
    <w:rsid w:val="00CA633F"/>
    <w:rsid w:val="00CA641E"/>
    <w:rsid w:val="00CA7558"/>
    <w:rsid w:val="00CA785F"/>
    <w:rsid w:val="00CA792A"/>
    <w:rsid w:val="00CA7949"/>
    <w:rsid w:val="00CB0400"/>
    <w:rsid w:val="00CB0C6E"/>
    <w:rsid w:val="00CB0C89"/>
    <w:rsid w:val="00CB1E56"/>
    <w:rsid w:val="00CB226B"/>
    <w:rsid w:val="00CB229B"/>
    <w:rsid w:val="00CB33B4"/>
    <w:rsid w:val="00CB3D93"/>
    <w:rsid w:val="00CB4441"/>
    <w:rsid w:val="00CB4B1A"/>
    <w:rsid w:val="00CB4E1D"/>
    <w:rsid w:val="00CB4E1F"/>
    <w:rsid w:val="00CB5BE3"/>
    <w:rsid w:val="00CC152E"/>
    <w:rsid w:val="00CC2493"/>
    <w:rsid w:val="00CC3222"/>
    <w:rsid w:val="00CC35F1"/>
    <w:rsid w:val="00CC35FF"/>
    <w:rsid w:val="00CD0E6E"/>
    <w:rsid w:val="00CD23AE"/>
    <w:rsid w:val="00CD27DF"/>
    <w:rsid w:val="00CD2D8A"/>
    <w:rsid w:val="00CD3BAC"/>
    <w:rsid w:val="00CD3FF2"/>
    <w:rsid w:val="00CD455F"/>
    <w:rsid w:val="00CD4A65"/>
    <w:rsid w:val="00CD531F"/>
    <w:rsid w:val="00CD6FA3"/>
    <w:rsid w:val="00CD779A"/>
    <w:rsid w:val="00CE2184"/>
    <w:rsid w:val="00CE3B7F"/>
    <w:rsid w:val="00CE3FA2"/>
    <w:rsid w:val="00CE41A0"/>
    <w:rsid w:val="00CE4958"/>
    <w:rsid w:val="00CE68E2"/>
    <w:rsid w:val="00CE706E"/>
    <w:rsid w:val="00CE70B1"/>
    <w:rsid w:val="00CE70BC"/>
    <w:rsid w:val="00CE7AE4"/>
    <w:rsid w:val="00CF0A4C"/>
    <w:rsid w:val="00CF150A"/>
    <w:rsid w:val="00CF2225"/>
    <w:rsid w:val="00CF25E7"/>
    <w:rsid w:val="00CF3C77"/>
    <w:rsid w:val="00CF45A2"/>
    <w:rsid w:val="00CF52E7"/>
    <w:rsid w:val="00CF64B5"/>
    <w:rsid w:val="00CF74DB"/>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EAB"/>
    <w:rsid w:val="00D350E5"/>
    <w:rsid w:val="00D36887"/>
    <w:rsid w:val="00D37563"/>
    <w:rsid w:val="00D3780A"/>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9FC"/>
    <w:rsid w:val="00DA024A"/>
    <w:rsid w:val="00DA07EE"/>
    <w:rsid w:val="00DA0A58"/>
    <w:rsid w:val="00DA1C85"/>
    <w:rsid w:val="00DA1CC9"/>
    <w:rsid w:val="00DA2563"/>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DC6"/>
    <w:rsid w:val="00DD6E86"/>
    <w:rsid w:val="00DD7FB9"/>
    <w:rsid w:val="00DE0E5D"/>
    <w:rsid w:val="00DE38CB"/>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5C"/>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220"/>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EF3"/>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1C4"/>
    <w:rsid w:val="00EB1B69"/>
    <w:rsid w:val="00EB1C78"/>
    <w:rsid w:val="00EB3B46"/>
    <w:rsid w:val="00EB4F08"/>
    <w:rsid w:val="00EB7B50"/>
    <w:rsid w:val="00EC2E07"/>
    <w:rsid w:val="00EC43C7"/>
    <w:rsid w:val="00EC465D"/>
    <w:rsid w:val="00EC5C89"/>
    <w:rsid w:val="00EC66D2"/>
    <w:rsid w:val="00EC67E7"/>
    <w:rsid w:val="00ED0A1B"/>
    <w:rsid w:val="00ED21BC"/>
    <w:rsid w:val="00ED25B6"/>
    <w:rsid w:val="00ED2FEC"/>
    <w:rsid w:val="00ED3F67"/>
    <w:rsid w:val="00ED440A"/>
    <w:rsid w:val="00ED5B84"/>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04B9C"/>
    <w:rsid w:val="00F10033"/>
    <w:rsid w:val="00F10848"/>
    <w:rsid w:val="00F10B68"/>
    <w:rsid w:val="00F10DF3"/>
    <w:rsid w:val="00F11F55"/>
    <w:rsid w:val="00F12DEC"/>
    <w:rsid w:val="00F13151"/>
    <w:rsid w:val="00F15523"/>
    <w:rsid w:val="00F16391"/>
    <w:rsid w:val="00F2062B"/>
    <w:rsid w:val="00F21A18"/>
    <w:rsid w:val="00F21E61"/>
    <w:rsid w:val="00F220EA"/>
    <w:rsid w:val="00F222CD"/>
    <w:rsid w:val="00F22BD8"/>
    <w:rsid w:val="00F24EA4"/>
    <w:rsid w:val="00F2625A"/>
    <w:rsid w:val="00F31A03"/>
    <w:rsid w:val="00F3283C"/>
    <w:rsid w:val="00F32D0F"/>
    <w:rsid w:val="00F341DE"/>
    <w:rsid w:val="00F343F0"/>
    <w:rsid w:val="00F34620"/>
    <w:rsid w:val="00F34AAB"/>
    <w:rsid w:val="00F34C4D"/>
    <w:rsid w:val="00F350CF"/>
    <w:rsid w:val="00F35582"/>
    <w:rsid w:val="00F37004"/>
    <w:rsid w:val="00F376A1"/>
    <w:rsid w:val="00F37B8E"/>
    <w:rsid w:val="00F41746"/>
    <w:rsid w:val="00F41E79"/>
    <w:rsid w:val="00F4248A"/>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5FD8"/>
    <w:rsid w:val="00F5603C"/>
    <w:rsid w:val="00F5605C"/>
    <w:rsid w:val="00F564B9"/>
    <w:rsid w:val="00F57909"/>
    <w:rsid w:val="00F612D6"/>
    <w:rsid w:val="00F63400"/>
    <w:rsid w:val="00F636C6"/>
    <w:rsid w:val="00F6433D"/>
    <w:rsid w:val="00F6573E"/>
    <w:rsid w:val="00F662EB"/>
    <w:rsid w:val="00F67606"/>
    <w:rsid w:val="00F70327"/>
    <w:rsid w:val="00F7084F"/>
    <w:rsid w:val="00F70FEF"/>
    <w:rsid w:val="00F72FA8"/>
    <w:rsid w:val="00F75415"/>
    <w:rsid w:val="00F75645"/>
    <w:rsid w:val="00F773F9"/>
    <w:rsid w:val="00F8101C"/>
    <w:rsid w:val="00F817B9"/>
    <w:rsid w:val="00F81CB7"/>
    <w:rsid w:val="00F82280"/>
    <w:rsid w:val="00F8235F"/>
    <w:rsid w:val="00F825DA"/>
    <w:rsid w:val="00F83A22"/>
    <w:rsid w:val="00F83A97"/>
    <w:rsid w:val="00F844F0"/>
    <w:rsid w:val="00F84895"/>
    <w:rsid w:val="00F84E9D"/>
    <w:rsid w:val="00F8659E"/>
    <w:rsid w:val="00F86CE4"/>
    <w:rsid w:val="00F86F42"/>
    <w:rsid w:val="00F91941"/>
    <w:rsid w:val="00F92E3F"/>
    <w:rsid w:val="00F938D2"/>
    <w:rsid w:val="00F9563D"/>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6E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C7E"/>
    <w:rsid w:val="00FE3E3C"/>
    <w:rsid w:val="00FE43E7"/>
    <w:rsid w:val="00FE4B66"/>
    <w:rsid w:val="00FE4F6E"/>
    <w:rsid w:val="00FE583F"/>
    <w:rsid w:val="00FE5CC4"/>
    <w:rsid w:val="00FE6B13"/>
    <w:rsid w:val="00FE7575"/>
    <w:rsid w:val="00FF1070"/>
    <w:rsid w:val="00FF13E2"/>
    <w:rsid w:val="00FF2237"/>
    <w:rsid w:val="00FF48E3"/>
    <w:rsid w:val="00FF4953"/>
    <w:rsid w:val="00FF4D54"/>
    <w:rsid w:val="00FF5FA3"/>
    <w:rsid w:val="00FF5FCE"/>
    <w:rsid w:val="00FF6177"/>
    <w:rsid w:val="00FF6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jc w:val="both"/>
    </w:pPr>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pPr>
    <w:rPr>
      <w:sz w:val="28"/>
      <w:szCs w:val="28"/>
      <w:lang/>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uiPriority w:val="34"/>
    <w:locked/>
    <w:rsid w:val="00555ACB"/>
    <w:rPr>
      <w:rFonts w:ascii="Calibri" w:hAnsi="Calibri"/>
      <w:sz w:val="22"/>
      <w:szCs w:val="22"/>
      <w:lang w:eastAsia="en-US"/>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rsid w:val="00097A10"/>
    <w:pPr>
      <w:jc w:val="left"/>
    </w:pPr>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rsid w:val="00097A10"/>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uiPriority w:val="99"/>
    <w:rsid w:val="00097A10"/>
    <w:rPr>
      <w:vertAlign w:val="superscript"/>
    </w:rPr>
  </w:style>
</w:styles>
</file>

<file path=word/webSettings.xml><?xml version="1.0" encoding="utf-8"?>
<w:webSettings xmlns:r="http://schemas.openxmlformats.org/officeDocument/2006/relationships" xmlns:w="http://schemas.openxmlformats.org/wordprocessingml/2006/main">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p.mk.gov.lv/doc/2005/EMAnot_080411_parvreg.1016.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FB0A5-5C10-4241-85BA-5585EB3E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29194</CharactersWithSpaces>
  <SharedDoc>false</SharedDoc>
  <HLinks>
    <vt:vector size="12" baseType="variant">
      <vt:variant>
        <vt:i4>4522006</vt:i4>
      </vt:variant>
      <vt:variant>
        <vt:i4>3</vt:i4>
      </vt:variant>
      <vt:variant>
        <vt:i4>0</vt:i4>
      </vt:variant>
      <vt:variant>
        <vt:i4>5</vt:i4>
      </vt:variant>
      <vt:variant>
        <vt:lpwstr>https://em.gov.lv/lv/Ministrija/sabiedribas_lidzdaliba/diskusiju_dokumenti/</vt:lpwstr>
      </vt:variant>
      <vt:variant>
        <vt:lpwstr/>
      </vt:variant>
      <vt:variant>
        <vt:i4>3473509</vt:i4>
      </vt:variant>
      <vt:variant>
        <vt:i4>0</vt:i4>
      </vt:variant>
      <vt:variant>
        <vt:i4>0</vt:i4>
      </vt:variant>
      <vt:variant>
        <vt:i4>5</vt:i4>
      </vt:variant>
      <vt:variant>
        <vt:lpwstr>http://tap.mk.gov.lv/doc/2005/EMAnot_080411_parvreg.1016.doc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Marta</cp:lastModifiedBy>
  <cp:revision>5</cp:revision>
  <cp:lastPrinted>2009-04-08T09:39:00Z</cp:lastPrinted>
  <dcterms:created xsi:type="dcterms:W3CDTF">2020-03-23T14:45:00Z</dcterms:created>
  <dcterms:modified xsi:type="dcterms:W3CDTF">2020-03-24T09:41:00Z</dcterms:modified>
</cp:coreProperties>
</file>