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CCCB" w14:textId="77777777" w:rsidR="00DB2332" w:rsidRDefault="00DB2332" w:rsidP="00DB2332">
      <w:pPr>
        <w:spacing w:after="160" w:line="259" w:lineRule="auto"/>
        <w:ind w:firstLine="0"/>
        <w:jc w:val="center"/>
        <w:rPr>
          <w:rFonts w:eastAsia="Calibri" w:cs="Times New Roman"/>
          <w:b/>
          <w:color w:val="000000"/>
          <w:sz w:val="28"/>
          <w:szCs w:val="24"/>
        </w:rPr>
      </w:pPr>
      <w:bookmarkStart w:id="0" w:name="_Toc480527948"/>
      <w:bookmarkStart w:id="1" w:name="_Toc491870901"/>
      <w:bookmarkStart w:id="2" w:name="_GoBack"/>
      <w:bookmarkEnd w:id="2"/>
    </w:p>
    <w:p w14:paraId="45BF3005" w14:textId="77777777" w:rsidR="00DB2332" w:rsidRDefault="00DB2332" w:rsidP="00DB2332">
      <w:pPr>
        <w:spacing w:after="160" w:line="259" w:lineRule="auto"/>
        <w:ind w:firstLine="0"/>
        <w:jc w:val="center"/>
        <w:rPr>
          <w:rFonts w:eastAsia="Calibri" w:cs="Times New Roman"/>
          <w:b/>
          <w:color w:val="000000"/>
          <w:sz w:val="28"/>
          <w:szCs w:val="24"/>
        </w:rPr>
      </w:pPr>
    </w:p>
    <w:p w14:paraId="2B84B8C9" w14:textId="77777777" w:rsidR="00DB2332" w:rsidRDefault="00DB2332" w:rsidP="00DB2332">
      <w:pPr>
        <w:spacing w:after="160" w:line="259" w:lineRule="auto"/>
        <w:ind w:firstLine="0"/>
        <w:jc w:val="center"/>
        <w:rPr>
          <w:rFonts w:eastAsia="Calibri" w:cs="Times New Roman"/>
          <w:b/>
          <w:color w:val="000000"/>
          <w:sz w:val="28"/>
          <w:szCs w:val="24"/>
        </w:rPr>
      </w:pPr>
    </w:p>
    <w:p w14:paraId="46C39AD5" w14:textId="77777777" w:rsidR="00DB2332" w:rsidRDefault="00DB2332" w:rsidP="00DB2332">
      <w:pPr>
        <w:spacing w:after="160" w:line="259" w:lineRule="auto"/>
        <w:ind w:firstLine="0"/>
        <w:jc w:val="center"/>
        <w:rPr>
          <w:rFonts w:eastAsia="Calibri" w:cs="Times New Roman"/>
          <w:b/>
          <w:color w:val="000000"/>
          <w:sz w:val="28"/>
          <w:szCs w:val="24"/>
        </w:rPr>
      </w:pPr>
    </w:p>
    <w:p w14:paraId="7B89ABC8" w14:textId="77777777" w:rsidR="00DB2332" w:rsidRDefault="00DB2332" w:rsidP="00DB2332">
      <w:pPr>
        <w:spacing w:after="160" w:line="259" w:lineRule="auto"/>
        <w:ind w:firstLine="0"/>
        <w:jc w:val="center"/>
        <w:rPr>
          <w:rFonts w:eastAsia="Calibri" w:cs="Times New Roman"/>
          <w:b/>
          <w:color w:val="000000"/>
          <w:sz w:val="28"/>
          <w:szCs w:val="24"/>
        </w:rPr>
      </w:pPr>
    </w:p>
    <w:p w14:paraId="133AB5E0" w14:textId="77777777" w:rsidR="00DB2332" w:rsidRDefault="00DB2332" w:rsidP="00DB2332">
      <w:pPr>
        <w:spacing w:after="160" w:line="259" w:lineRule="auto"/>
        <w:ind w:firstLine="0"/>
        <w:jc w:val="center"/>
        <w:rPr>
          <w:rFonts w:eastAsia="Calibri" w:cs="Times New Roman"/>
          <w:b/>
          <w:color w:val="000000"/>
          <w:sz w:val="28"/>
          <w:szCs w:val="24"/>
        </w:rPr>
      </w:pPr>
    </w:p>
    <w:p w14:paraId="2AF9777E" w14:textId="77777777" w:rsidR="00DB2332" w:rsidRDefault="00DB2332" w:rsidP="00DB2332">
      <w:pPr>
        <w:spacing w:after="160" w:line="259" w:lineRule="auto"/>
        <w:ind w:firstLine="0"/>
        <w:jc w:val="center"/>
        <w:rPr>
          <w:rFonts w:eastAsia="Calibri" w:cs="Times New Roman"/>
          <w:b/>
          <w:color w:val="000000"/>
          <w:sz w:val="28"/>
          <w:szCs w:val="24"/>
        </w:rPr>
      </w:pPr>
      <w:r>
        <w:rPr>
          <w:rFonts w:eastAsia="Calibri" w:cs="Times New Roman"/>
          <w:b/>
          <w:color w:val="000000"/>
          <w:sz w:val="28"/>
          <w:szCs w:val="24"/>
        </w:rPr>
        <w:t>Ēku atjaunošanas ilgtermiņa stratēģija</w:t>
      </w:r>
    </w:p>
    <w:p w14:paraId="5C15FA03" w14:textId="77777777" w:rsidR="00DB2332" w:rsidRDefault="00DB2332" w:rsidP="00DB2332">
      <w:pPr>
        <w:spacing w:after="160" w:line="259" w:lineRule="auto"/>
        <w:ind w:firstLine="0"/>
        <w:jc w:val="center"/>
        <w:rPr>
          <w:rFonts w:eastAsia="Calibri" w:cs="Times New Roman"/>
          <w:b/>
          <w:color w:val="000000"/>
          <w:sz w:val="28"/>
          <w:szCs w:val="24"/>
        </w:rPr>
      </w:pPr>
    </w:p>
    <w:p w14:paraId="76EF2D4F" w14:textId="77777777" w:rsidR="00DB2332" w:rsidRDefault="00DB2332" w:rsidP="00DB2332">
      <w:pPr>
        <w:spacing w:after="160" w:line="259" w:lineRule="auto"/>
        <w:ind w:firstLine="0"/>
        <w:jc w:val="center"/>
        <w:rPr>
          <w:rFonts w:eastAsia="Calibri" w:cs="Times New Roman"/>
          <w:b/>
          <w:color w:val="000000"/>
          <w:sz w:val="28"/>
          <w:szCs w:val="24"/>
        </w:rPr>
      </w:pPr>
    </w:p>
    <w:p w14:paraId="2A39370C" w14:textId="77777777" w:rsidR="00DB2332" w:rsidRDefault="00DB2332" w:rsidP="00DB2332">
      <w:pPr>
        <w:spacing w:after="160" w:line="259" w:lineRule="auto"/>
        <w:ind w:firstLine="0"/>
        <w:jc w:val="center"/>
        <w:rPr>
          <w:rFonts w:eastAsia="Calibri" w:cs="Times New Roman"/>
          <w:b/>
          <w:color w:val="000000"/>
          <w:sz w:val="28"/>
          <w:szCs w:val="24"/>
        </w:rPr>
      </w:pPr>
    </w:p>
    <w:p w14:paraId="05114710" w14:textId="77777777" w:rsidR="00DB2332" w:rsidRDefault="00DB2332" w:rsidP="00DB2332">
      <w:pPr>
        <w:spacing w:after="160" w:line="259" w:lineRule="auto"/>
        <w:ind w:firstLine="0"/>
        <w:jc w:val="center"/>
        <w:rPr>
          <w:rFonts w:eastAsia="Calibri" w:cs="Times New Roman"/>
          <w:b/>
          <w:color w:val="000000"/>
          <w:sz w:val="28"/>
          <w:szCs w:val="24"/>
        </w:rPr>
      </w:pPr>
    </w:p>
    <w:p w14:paraId="62A77828" w14:textId="77777777" w:rsidR="00DB2332" w:rsidRDefault="00DB2332" w:rsidP="00DB2332">
      <w:pPr>
        <w:spacing w:after="160" w:line="259" w:lineRule="auto"/>
        <w:ind w:firstLine="0"/>
        <w:jc w:val="center"/>
        <w:rPr>
          <w:rFonts w:eastAsia="Calibri" w:cs="Times New Roman"/>
          <w:b/>
          <w:color w:val="000000"/>
          <w:sz w:val="28"/>
          <w:szCs w:val="24"/>
        </w:rPr>
      </w:pPr>
    </w:p>
    <w:p w14:paraId="60073EF1" w14:textId="77777777" w:rsidR="00DB2332" w:rsidRDefault="00DB2332" w:rsidP="00DB2332">
      <w:pPr>
        <w:spacing w:after="160" w:line="259" w:lineRule="auto"/>
        <w:ind w:firstLine="0"/>
        <w:jc w:val="center"/>
        <w:rPr>
          <w:rFonts w:eastAsia="Calibri" w:cs="Times New Roman"/>
          <w:b/>
          <w:color w:val="000000"/>
          <w:sz w:val="28"/>
          <w:szCs w:val="24"/>
        </w:rPr>
      </w:pPr>
    </w:p>
    <w:p w14:paraId="429A84C4" w14:textId="77777777" w:rsidR="00DB2332" w:rsidRDefault="00DB2332" w:rsidP="00DB2332">
      <w:pPr>
        <w:spacing w:after="160" w:line="259" w:lineRule="auto"/>
        <w:ind w:firstLine="0"/>
        <w:jc w:val="center"/>
        <w:rPr>
          <w:rFonts w:eastAsia="Calibri" w:cs="Times New Roman"/>
          <w:b/>
          <w:color w:val="000000"/>
          <w:sz w:val="28"/>
          <w:szCs w:val="24"/>
        </w:rPr>
      </w:pPr>
    </w:p>
    <w:p w14:paraId="17B7FB25" w14:textId="77777777" w:rsidR="00DB2332" w:rsidRDefault="00DB2332" w:rsidP="00DB2332">
      <w:pPr>
        <w:spacing w:after="160" w:line="259" w:lineRule="auto"/>
        <w:ind w:firstLine="0"/>
        <w:jc w:val="center"/>
        <w:rPr>
          <w:rFonts w:eastAsia="Calibri" w:cs="Times New Roman"/>
          <w:b/>
          <w:color w:val="000000"/>
          <w:sz w:val="28"/>
          <w:szCs w:val="24"/>
        </w:rPr>
      </w:pPr>
    </w:p>
    <w:p w14:paraId="62BE5464" w14:textId="77777777" w:rsidR="00DB2332" w:rsidRDefault="00DB2332" w:rsidP="00DB2332">
      <w:pPr>
        <w:spacing w:after="160" w:line="259" w:lineRule="auto"/>
        <w:ind w:firstLine="0"/>
        <w:jc w:val="center"/>
        <w:rPr>
          <w:rFonts w:eastAsia="Calibri" w:cs="Times New Roman"/>
          <w:b/>
          <w:color w:val="000000"/>
          <w:sz w:val="28"/>
          <w:szCs w:val="24"/>
        </w:rPr>
      </w:pPr>
    </w:p>
    <w:p w14:paraId="4DCC90C4" w14:textId="77777777" w:rsidR="00DB2332" w:rsidRDefault="00DB2332" w:rsidP="00DB2332">
      <w:pPr>
        <w:spacing w:after="160" w:line="259" w:lineRule="auto"/>
        <w:ind w:firstLine="0"/>
        <w:jc w:val="center"/>
        <w:rPr>
          <w:rFonts w:eastAsia="Calibri" w:cs="Times New Roman"/>
          <w:b/>
          <w:color w:val="000000"/>
          <w:sz w:val="28"/>
          <w:szCs w:val="24"/>
        </w:rPr>
      </w:pPr>
    </w:p>
    <w:p w14:paraId="4B188D89" w14:textId="77777777" w:rsidR="00DB2332" w:rsidRDefault="00DB2332" w:rsidP="00DB2332">
      <w:pPr>
        <w:spacing w:after="160" w:line="259" w:lineRule="auto"/>
        <w:ind w:firstLine="0"/>
        <w:jc w:val="center"/>
        <w:rPr>
          <w:rFonts w:eastAsia="Calibri" w:cs="Times New Roman"/>
          <w:b/>
          <w:color w:val="000000"/>
          <w:sz w:val="28"/>
          <w:szCs w:val="24"/>
        </w:rPr>
      </w:pPr>
    </w:p>
    <w:p w14:paraId="3674288A" w14:textId="77777777" w:rsidR="00DB2332" w:rsidRDefault="00DB2332" w:rsidP="00DB2332">
      <w:pPr>
        <w:spacing w:after="160" w:line="259" w:lineRule="auto"/>
        <w:ind w:firstLine="0"/>
        <w:jc w:val="center"/>
        <w:rPr>
          <w:rFonts w:eastAsia="Calibri" w:cs="Times New Roman"/>
          <w:b/>
          <w:color w:val="000000"/>
          <w:sz w:val="28"/>
          <w:szCs w:val="24"/>
        </w:rPr>
      </w:pPr>
    </w:p>
    <w:p w14:paraId="4A877C3E" w14:textId="77777777" w:rsidR="00DB2332" w:rsidRDefault="00DB2332" w:rsidP="00DB2332">
      <w:pPr>
        <w:spacing w:after="160" w:line="259" w:lineRule="auto"/>
        <w:ind w:firstLine="0"/>
        <w:jc w:val="center"/>
        <w:rPr>
          <w:rFonts w:eastAsia="Calibri" w:cs="Times New Roman"/>
          <w:b/>
          <w:color w:val="000000"/>
          <w:sz w:val="28"/>
          <w:szCs w:val="24"/>
        </w:rPr>
      </w:pPr>
    </w:p>
    <w:p w14:paraId="49D1D850" w14:textId="77777777" w:rsidR="00DB2332" w:rsidRDefault="00DB2332" w:rsidP="00DB2332">
      <w:pPr>
        <w:spacing w:after="160" w:line="259" w:lineRule="auto"/>
        <w:ind w:firstLine="0"/>
        <w:jc w:val="center"/>
        <w:rPr>
          <w:rFonts w:eastAsia="Calibri" w:cs="Times New Roman"/>
          <w:b/>
          <w:color w:val="000000"/>
          <w:sz w:val="28"/>
          <w:szCs w:val="24"/>
        </w:rPr>
      </w:pPr>
    </w:p>
    <w:p w14:paraId="2B5F3AAC" w14:textId="77777777" w:rsidR="00DB2332" w:rsidRDefault="00DB2332" w:rsidP="00DB2332">
      <w:pPr>
        <w:spacing w:after="160" w:line="259" w:lineRule="auto"/>
        <w:ind w:firstLine="0"/>
        <w:jc w:val="center"/>
        <w:rPr>
          <w:rFonts w:eastAsia="Calibri" w:cs="Times New Roman"/>
          <w:b/>
          <w:color w:val="000000"/>
          <w:sz w:val="28"/>
          <w:szCs w:val="24"/>
        </w:rPr>
      </w:pPr>
    </w:p>
    <w:p w14:paraId="52952D0F" w14:textId="77777777" w:rsidR="00DB2332" w:rsidRDefault="00DB2332" w:rsidP="00DB2332">
      <w:pPr>
        <w:spacing w:after="160" w:line="259" w:lineRule="auto"/>
        <w:ind w:firstLine="0"/>
        <w:jc w:val="center"/>
        <w:rPr>
          <w:rFonts w:eastAsia="Calibri" w:cs="Times New Roman"/>
          <w:b/>
          <w:color w:val="000000"/>
          <w:sz w:val="28"/>
          <w:szCs w:val="24"/>
        </w:rPr>
      </w:pPr>
    </w:p>
    <w:p w14:paraId="3D12EAFB" w14:textId="77777777" w:rsidR="00DB2332" w:rsidRDefault="00DB2332" w:rsidP="00DB2332">
      <w:pPr>
        <w:spacing w:after="160" w:line="259" w:lineRule="auto"/>
        <w:ind w:firstLine="0"/>
        <w:jc w:val="center"/>
        <w:rPr>
          <w:rFonts w:eastAsia="Calibri" w:cs="Times New Roman"/>
          <w:b/>
          <w:color w:val="000000"/>
          <w:sz w:val="28"/>
          <w:szCs w:val="24"/>
        </w:rPr>
      </w:pPr>
    </w:p>
    <w:p w14:paraId="7B552517" w14:textId="77777777" w:rsidR="00DB2332" w:rsidRDefault="00DB2332" w:rsidP="00DB2332">
      <w:pPr>
        <w:spacing w:after="160" w:line="259" w:lineRule="auto"/>
        <w:ind w:firstLine="0"/>
        <w:jc w:val="center"/>
        <w:rPr>
          <w:rFonts w:eastAsia="Calibri" w:cs="Times New Roman"/>
          <w:b/>
          <w:color w:val="000000"/>
          <w:sz w:val="28"/>
          <w:szCs w:val="24"/>
        </w:rPr>
      </w:pPr>
    </w:p>
    <w:p w14:paraId="32E9F85E" w14:textId="0775D10F" w:rsidR="00DB2332" w:rsidRPr="00DB2332" w:rsidRDefault="00DB2332" w:rsidP="00DB2332">
      <w:pPr>
        <w:spacing w:after="160" w:line="259" w:lineRule="auto"/>
        <w:ind w:firstLine="0"/>
        <w:jc w:val="center"/>
        <w:rPr>
          <w:rFonts w:eastAsia="Calibri" w:cs="Times New Roman"/>
          <w:bCs/>
          <w:color w:val="000000"/>
          <w:sz w:val="28"/>
          <w:szCs w:val="24"/>
        </w:rPr>
      </w:pPr>
      <w:r w:rsidRPr="00DB2332">
        <w:rPr>
          <w:rFonts w:eastAsia="Calibri" w:cs="Times New Roman"/>
          <w:bCs/>
          <w:color w:val="000000"/>
          <w:sz w:val="28"/>
          <w:szCs w:val="24"/>
        </w:rPr>
        <w:t>Rīga, 2019. gads</w:t>
      </w:r>
      <w:r w:rsidRPr="00DB2332">
        <w:rPr>
          <w:rFonts w:eastAsia="Calibri" w:cs="Times New Roman"/>
          <w:bCs/>
          <w:color w:val="000000"/>
          <w:sz w:val="28"/>
          <w:szCs w:val="24"/>
        </w:rPr>
        <w:br w:type="page"/>
      </w:r>
    </w:p>
    <w:p w14:paraId="73430BA3" w14:textId="77777777" w:rsidR="00243715" w:rsidRDefault="00243715" w:rsidP="00DB2332">
      <w:pPr>
        <w:numPr>
          <w:ilvl w:val="1"/>
          <w:numId w:val="0"/>
        </w:numPr>
        <w:shd w:val="clear" w:color="auto" w:fill="FFFFFF"/>
        <w:spacing w:after="160" w:line="259" w:lineRule="auto"/>
        <w:rPr>
          <w:rFonts w:eastAsia="Calibri" w:cs="Times New Roman"/>
          <w:b/>
          <w:color w:val="000000"/>
          <w:sz w:val="28"/>
          <w:szCs w:val="24"/>
        </w:rPr>
      </w:pPr>
    </w:p>
    <w:p w14:paraId="57087C0D" w14:textId="77777777" w:rsidR="0058175D" w:rsidRPr="00686136" w:rsidRDefault="00DB2332" w:rsidP="00686136">
      <w:pPr>
        <w:jc w:val="center"/>
        <w:rPr>
          <w:b/>
          <w:bCs/>
          <w:sz w:val="28"/>
          <w:szCs w:val="28"/>
        </w:rPr>
      </w:pPr>
      <w:r w:rsidRPr="00686136">
        <w:rPr>
          <w:b/>
          <w:bCs/>
          <w:sz w:val="28"/>
          <w:szCs w:val="28"/>
        </w:rPr>
        <w:t>Saturs</w:t>
      </w:r>
    </w:p>
    <w:sdt>
      <w:sdtPr>
        <w:rPr>
          <w:rFonts w:ascii="Times New Roman" w:eastAsiaTheme="minorHAnsi" w:hAnsi="Times New Roman" w:cstheme="minorBidi"/>
          <w:color w:val="auto"/>
          <w:sz w:val="24"/>
          <w:szCs w:val="22"/>
          <w:lang w:eastAsia="en-US"/>
        </w:rPr>
        <w:id w:val="-1704631685"/>
        <w:docPartObj>
          <w:docPartGallery w:val="Table of Contents"/>
          <w:docPartUnique/>
        </w:docPartObj>
      </w:sdtPr>
      <w:sdtEndPr>
        <w:rPr>
          <w:b/>
          <w:bCs/>
        </w:rPr>
      </w:sdtEndPr>
      <w:sdtContent>
        <w:p w14:paraId="7B8BF2B5" w14:textId="2EA4FFB9" w:rsidR="0058175D" w:rsidRDefault="0058175D">
          <w:pPr>
            <w:pStyle w:val="TOCHeading"/>
          </w:pPr>
        </w:p>
        <w:p w14:paraId="2632A939" w14:textId="77777777" w:rsidR="00911A10" w:rsidRDefault="0058175D">
          <w:pPr>
            <w:pStyle w:val="TOC1"/>
            <w:tabs>
              <w:tab w:val="right" w:leader="dot" w:pos="8296"/>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40113662" w:history="1">
            <w:r w:rsidR="00911A10" w:rsidRPr="00CF60CA">
              <w:rPr>
                <w:rStyle w:val="Hyperlink"/>
                <w:rFonts w:eastAsia="Times New Roman"/>
                <w:noProof/>
              </w:rPr>
              <w:t>Saīsinājumi</w:t>
            </w:r>
            <w:r w:rsidR="00911A10">
              <w:rPr>
                <w:noProof/>
                <w:webHidden/>
              </w:rPr>
              <w:tab/>
            </w:r>
            <w:r w:rsidR="00911A10">
              <w:rPr>
                <w:noProof/>
                <w:webHidden/>
              </w:rPr>
              <w:fldChar w:fldCharType="begin"/>
            </w:r>
            <w:r w:rsidR="00911A10">
              <w:rPr>
                <w:noProof/>
                <w:webHidden/>
              </w:rPr>
              <w:instrText xml:space="preserve"> PAGEREF _Toc40113662 \h </w:instrText>
            </w:r>
            <w:r w:rsidR="00911A10">
              <w:rPr>
                <w:noProof/>
                <w:webHidden/>
              </w:rPr>
            </w:r>
            <w:r w:rsidR="00911A10">
              <w:rPr>
                <w:noProof/>
                <w:webHidden/>
              </w:rPr>
              <w:fldChar w:fldCharType="separate"/>
            </w:r>
            <w:r w:rsidR="00911A10">
              <w:rPr>
                <w:noProof/>
                <w:webHidden/>
              </w:rPr>
              <w:t>3</w:t>
            </w:r>
            <w:r w:rsidR="00911A10">
              <w:rPr>
                <w:noProof/>
                <w:webHidden/>
              </w:rPr>
              <w:fldChar w:fldCharType="end"/>
            </w:r>
          </w:hyperlink>
        </w:p>
        <w:p w14:paraId="0092A91B"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63" w:history="1">
            <w:r w:rsidR="00911A10" w:rsidRPr="00CF60CA">
              <w:rPr>
                <w:rStyle w:val="Hyperlink"/>
                <w:rFonts w:eastAsia="Calibri"/>
                <w:noProof/>
                <w:lang w:eastAsia="lv-LV"/>
              </w:rPr>
              <w:t>Ievads</w:t>
            </w:r>
            <w:r w:rsidR="00911A10">
              <w:rPr>
                <w:noProof/>
                <w:webHidden/>
              </w:rPr>
              <w:tab/>
            </w:r>
            <w:r w:rsidR="00911A10">
              <w:rPr>
                <w:noProof/>
                <w:webHidden/>
              </w:rPr>
              <w:fldChar w:fldCharType="begin"/>
            </w:r>
            <w:r w:rsidR="00911A10">
              <w:rPr>
                <w:noProof/>
                <w:webHidden/>
              </w:rPr>
              <w:instrText xml:space="preserve"> PAGEREF _Toc40113663 \h </w:instrText>
            </w:r>
            <w:r w:rsidR="00911A10">
              <w:rPr>
                <w:noProof/>
                <w:webHidden/>
              </w:rPr>
            </w:r>
            <w:r w:rsidR="00911A10">
              <w:rPr>
                <w:noProof/>
                <w:webHidden/>
              </w:rPr>
              <w:fldChar w:fldCharType="separate"/>
            </w:r>
            <w:r w:rsidR="00911A10">
              <w:rPr>
                <w:noProof/>
                <w:webHidden/>
              </w:rPr>
              <w:t>4</w:t>
            </w:r>
            <w:r w:rsidR="00911A10">
              <w:rPr>
                <w:noProof/>
                <w:webHidden/>
              </w:rPr>
              <w:fldChar w:fldCharType="end"/>
            </w:r>
          </w:hyperlink>
        </w:p>
        <w:p w14:paraId="156E2988"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64" w:history="1">
            <w:r w:rsidR="00911A10" w:rsidRPr="00CF60CA">
              <w:rPr>
                <w:rStyle w:val="Hyperlink"/>
                <w:rFonts w:eastAsia="Calibri"/>
                <w:bCs/>
                <w:noProof/>
              </w:rPr>
              <w:t>1. Pārskats</w:t>
            </w:r>
            <w:r w:rsidR="00911A10" w:rsidRPr="00CF60CA">
              <w:rPr>
                <w:rStyle w:val="Hyperlink"/>
                <w:rFonts w:eastAsia="Calibri"/>
                <w:noProof/>
              </w:rPr>
              <w:t xml:space="preserve"> par ēku fondu valstī</w:t>
            </w:r>
            <w:r w:rsidR="00911A10">
              <w:rPr>
                <w:noProof/>
                <w:webHidden/>
              </w:rPr>
              <w:tab/>
            </w:r>
            <w:r w:rsidR="00911A10">
              <w:rPr>
                <w:noProof/>
                <w:webHidden/>
              </w:rPr>
              <w:fldChar w:fldCharType="begin"/>
            </w:r>
            <w:r w:rsidR="00911A10">
              <w:rPr>
                <w:noProof/>
                <w:webHidden/>
              </w:rPr>
              <w:instrText xml:space="preserve"> PAGEREF _Toc40113664 \h </w:instrText>
            </w:r>
            <w:r w:rsidR="00911A10">
              <w:rPr>
                <w:noProof/>
                <w:webHidden/>
              </w:rPr>
            </w:r>
            <w:r w:rsidR="00911A10">
              <w:rPr>
                <w:noProof/>
                <w:webHidden/>
              </w:rPr>
              <w:fldChar w:fldCharType="separate"/>
            </w:r>
            <w:r w:rsidR="00911A10">
              <w:rPr>
                <w:noProof/>
                <w:webHidden/>
              </w:rPr>
              <w:t>6</w:t>
            </w:r>
            <w:r w:rsidR="00911A10">
              <w:rPr>
                <w:noProof/>
                <w:webHidden/>
              </w:rPr>
              <w:fldChar w:fldCharType="end"/>
            </w:r>
          </w:hyperlink>
        </w:p>
        <w:p w14:paraId="3E3C0D24"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65" w:history="1">
            <w:r w:rsidR="00911A10" w:rsidRPr="00CF60CA">
              <w:rPr>
                <w:rStyle w:val="Hyperlink"/>
                <w:noProof/>
              </w:rPr>
              <w:t>2. Politika un darbības energoefektivitātes veicināšanai</w:t>
            </w:r>
            <w:r w:rsidR="00911A10">
              <w:rPr>
                <w:noProof/>
                <w:webHidden/>
              </w:rPr>
              <w:tab/>
            </w:r>
            <w:r w:rsidR="00911A10">
              <w:rPr>
                <w:noProof/>
                <w:webHidden/>
              </w:rPr>
              <w:fldChar w:fldCharType="begin"/>
            </w:r>
            <w:r w:rsidR="00911A10">
              <w:rPr>
                <w:noProof/>
                <w:webHidden/>
              </w:rPr>
              <w:instrText xml:space="preserve"> PAGEREF _Toc40113665 \h </w:instrText>
            </w:r>
            <w:r w:rsidR="00911A10">
              <w:rPr>
                <w:noProof/>
                <w:webHidden/>
              </w:rPr>
            </w:r>
            <w:r w:rsidR="00911A10">
              <w:rPr>
                <w:noProof/>
                <w:webHidden/>
              </w:rPr>
              <w:fldChar w:fldCharType="separate"/>
            </w:r>
            <w:r w:rsidR="00911A10">
              <w:rPr>
                <w:noProof/>
                <w:webHidden/>
              </w:rPr>
              <w:t>12</w:t>
            </w:r>
            <w:r w:rsidR="00911A10">
              <w:rPr>
                <w:noProof/>
                <w:webHidden/>
              </w:rPr>
              <w:fldChar w:fldCharType="end"/>
            </w:r>
          </w:hyperlink>
        </w:p>
        <w:p w14:paraId="20D0EF0A" w14:textId="77777777" w:rsidR="00911A10" w:rsidRDefault="00D13F6B">
          <w:pPr>
            <w:pStyle w:val="TOC2"/>
            <w:tabs>
              <w:tab w:val="right" w:leader="dot" w:pos="8296"/>
            </w:tabs>
            <w:rPr>
              <w:rFonts w:asciiTheme="minorHAnsi" w:eastAsiaTheme="minorEastAsia" w:hAnsiTheme="minorHAnsi"/>
              <w:noProof/>
              <w:sz w:val="22"/>
              <w:lang w:eastAsia="lv-LV"/>
            </w:rPr>
          </w:pPr>
          <w:hyperlink w:anchor="_Toc40113666" w:history="1">
            <w:r w:rsidR="00911A10" w:rsidRPr="00CF60CA">
              <w:rPr>
                <w:rStyle w:val="Hyperlink"/>
                <w:noProof/>
              </w:rPr>
              <w:t>2.1. Rentabla pieeja ēku atjaunošanai</w:t>
            </w:r>
            <w:r w:rsidR="00911A10">
              <w:rPr>
                <w:noProof/>
                <w:webHidden/>
              </w:rPr>
              <w:tab/>
            </w:r>
            <w:r w:rsidR="00911A10">
              <w:rPr>
                <w:noProof/>
                <w:webHidden/>
              </w:rPr>
              <w:fldChar w:fldCharType="begin"/>
            </w:r>
            <w:r w:rsidR="00911A10">
              <w:rPr>
                <w:noProof/>
                <w:webHidden/>
              </w:rPr>
              <w:instrText xml:space="preserve"> PAGEREF _Toc40113666 \h </w:instrText>
            </w:r>
            <w:r w:rsidR="00911A10">
              <w:rPr>
                <w:noProof/>
                <w:webHidden/>
              </w:rPr>
            </w:r>
            <w:r w:rsidR="00911A10">
              <w:rPr>
                <w:noProof/>
                <w:webHidden/>
              </w:rPr>
              <w:fldChar w:fldCharType="separate"/>
            </w:r>
            <w:r w:rsidR="00911A10">
              <w:rPr>
                <w:noProof/>
                <w:webHidden/>
              </w:rPr>
              <w:t>12</w:t>
            </w:r>
            <w:r w:rsidR="00911A10">
              <w:rPr>
                <w:noProof/>
                <w:webHidden/>
              </w:rPr>
              <w:fldChar w:fldCharType="end"/>
            </w:r>
          </w:hyperlink>
        </w:p>
        <w:p w14:paraId="0A6F2369" w14:textId="77777777" w:rsidR="00911A10" w:rsidRDefault="00D13F6B">
          <w:pPr>
            <w:pStyle w:val="TOC2"/>
            <w:tabs>
              <w:tab w:val="right" w:leader="dot" w:pos="8296"/>
            </w:tabs>
            <w:rPr>
              <w:rFonts w:asciiTheme="minorHAnsi" w:eastAsiaTheme="minorEastAsia" w:hAnsiTheme="minorHAnsi"/>
              <w:noProof/>
              <w:sz w:val="22"/>
              <w:lang w:eastAsia="lv-LV"/>
            </w:rPr>
          </w:pPr>
          <w:hyperlink w:anchor="_Toc40113667" w:history="1">
            <w:r w:rsidR="00911A10" w:rsidRPr="00CF60CA">
              <w:rPr>
                <w:rStyle w:val="Hyperlink"/>
                <w:noProof/>
              </w:rPr>
              <w:t>2.2. Politika un darbības ēku rentablai un pakāpeniski pilnīgai atjaunošanai</w:t>
            </w:r>
            <w:r w:rsidR="00911A10">
              <w:rPr>
                <w:noProof/>
                <w:webHidden/>
              </w:rPr>
              <w:tab/>
            </w:r>
            <w:r w:rsidR="00911A10">
              <w:rPr>
                <w:noProof/>
                <w:webHidden/>
              </w:rPr>
              <w:fldChar w:fldCharType="begin"/>
            </w:r>
            <w:r w:rsidR="00911A10">
              <w:rPr>
                <w:noProof/>
                <w:webHidden/>
              </w:rPr>
              <w:instrText xml:space="preserve"> PAGEREF _Toc40113667 \h </w:instrText>
            </w:r>
            <w:r w:rsidR="00911A10">
              <w:rPr>
                <w:noProof/>
                <w:webHidden/>
              </w:rPr>
            </w:r>
            <w:r w:rsidR="00911A10">
              <w:rPr>
                <w:noProof/>
                <w:webHidden/>
              </w:rPr>
              <w:fldChar w:fldCharType="separate"/>
            </w:r>
            <w:r w:rsidR="00911A10">
              <w:rPr>
                <w:noProof/>
                <w:webHidden/>
              </w:rPr>
              <w:t>18</w:t>
            </w:r>
            <w:r w:rsidR="00911A10">
              <w:rPr>
                <w:noProof/>
                <w:webHidden/>
              </w:rPr>
              <w:fldChar w:fldCharType="end"/>
            </w:r>
          </w:hyperlink>
        </w:p>
        <w:p w14:paraId="64AE1F46" w14:textId="77777777" w:rsidR="00911A10" w:rsidRDefault="00D13F6B">
          <w:pPr>
            <w:pStyle w:val="TOC2"/>
            <w:tabs>
              <w:tab w:val="right" w:leader="dot" w:pos="8296"/>
            </w:tabs>
            <w:rPr>
              <w:rFonts w:asciiTheme="minorHAnsi" w:eastAsiaTheme="minorEastAsia" w:hAnsiTheme="minorHAnsi"/>
              <w:noProof/>
              <w:sz w:val="22"/>
              <w:lang w:eastAsia="lv-LV"/>
            </w:rPr>
          </w:pPr>
          <w:hyperlink w:anchor="_Toc40113668" w:history="1">
            <w:r w:rsidR="00911A10" w:rsidRPr="00CF60CA">
              <w:rPr>
                <w:rStyle w:val="Hyperlink"/>
                <w:noProof/>
              </w:rPr>
              <w:t>2.3. Ēku fonds ar vissliktākajiem rādītājiem, atšķirīgām pušu interesēm un tirgus nepilnībām. Darbības enerģētiskās nabadzības mazināšanai</w:t>
            </w:r>
            <w:r w:rsidR="00911A10">
              <w:rPr>
                <w:noProof/>
                <w:webHidden/>
              </w:rPr>
              <w:tab/>
            </w:r>
            <w:r w:rsidR="00911A10">
              <w:rPr>
                <w:noProof/>
                <w:webHidden/>
              </w:rPr>
              <w:fldChar w:fldCharType="begin"/>
            </w:r>
            <w:r w:rsidR="00911A10">
              <w:rPr>
                <w:noProof/>
                <w:webHidden/>
              </w:rPr>
              <w:instrText xml:space="preserve"> PAGEREF _Toc40113668 \h </w:instrText>
            </w:r>
            <w:r w:rsidR="00911A10">
              <w:rPr>
                <w:noProof/>
                <w:webHidden/>
              </w:rPr>
            </w:r>
            <w:r w:rsidR="00911A10">
              <w:rPr>
                <w:noProof/>
                <w:webHidden/>
              </w:rPr>
              <w:fldChar w:fldCharType="separate"/>
            </w:r>
            <w:r w:rsidR="00911A10">
              <w:rPr>
                <w:noProof/>
                <w:webHidden/>
              </w:rPr>
              <w:t>26</w:t>
            </w:r>
            <w:r w:rsidR="00911A10">
              <w:rPr>
                <w:noProof/>
                <w:webHidden/>
              </w:rPr>
              <w:fldChar w:fldCharType="end"/>
            </w:r>
          </w:hyperlink>
        </w:p>
        <w:p w14:paraId="06F2C01C" w14:textId="77777777" w:rsidR="00911A10" w:rsidRDefault="00D13F6B">
          <w:pPr>
            <w:pStyle w:val="TOC2"/>
            <w:tabs>
              <w:tab w:val="right" w:leader="dot" w:pos="8296"/>
            </w:tabs>
            <w:rPr>
              <w:rFonts w:asciiTheme="minorHAnsi" w:eastAsiaTheme="minorEastAsia" w:hAnsiTheme="minorHAnsi"/>
              <w:noProof/>
              <w:sz w:val="22"/>
              <w:lang w:eastAsia="lv-LV"/>
            </w:rPr>
          </w:pPr>
          <w:hyperlink w:anchor="_Toc40113669" w:history="1">
            <w:r w:rsidR="00911A10" w:rsidRPr="00CF60CA">
              <w:rPr>
                <w:rStyle w:val="Hyperlink"/>
                <w:noProof/>
              </w:rPr>
              <w:t>2.4. Valsts iniciatīvas, veicinot viedas tehnoloģijas un labi savienotas ēkas un kopienas, kā arī prasmes un izglītību būvniecības un energoefektivitātes nozarēs</w:t>
            </w:r>
            <w:r w:rsidR="00911A10">
              <w:rPr>
                <w:noProof/>
                <w:webHidden/>
              </w:rPr>
              <w:tab/>
            </w:r>
            <w:r w:rsidR="00911A10">
              <w:rPr>
                <w:noProof/>
                <w:webHidden/>
              </w:rPr>
              <w:fldChar w:fldCharType="begin"/>
            </w:r>
            <w:r w:rsidR="00911A10">
              <w:rPr>
                <w:noProof/>
                <w:webHidden/>
              </w:rPr>
              <w:instrText xml:space="preserve"> PAGEREF _Toc40113669 \h </w:instrText>
            </w:r>
            <w:r w:rsidR="00911A10">
              <w:rPr>
                <w:noProof/>
                <w:webHidden/>
              </w:rPr>
            </w:r>
            <w:r w:rsidR="00911A10">
              <w:rPr>
                <w:noProof/>
                <w:webHidden/>
              </w:rPr>
              <w:fldChar w:fldCharType="separate"/>
            </w:r>
            <w:r w:rsidR="00911A10">
              <w:rPr>
                <w:noProof/>
                <w:webHidden/>
              </w:rPr>
              <w:t>31</w:t>
            </w:r>
            <w:r w:rsidR="00911A10">
              <w:rPr>
                <w:noProof/>
                <w:webHidden/>
              </w:rPr>
              <w:fldChar w:fldCharType="end"/>
            </w:r>
          </w:hyperlink>
        </w:p>
        <w:p w14:paraId="29C0B96E"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70" w:history="1">
            <w:r w:rsidR="00911A10" w:rsidRPr="00CF60CA">
              <w:rPr>
                <w:rStyle w:val="Hyperlink"/>
                <w:noProof/>
              </w:rPr>
              <w:t>3. Ceļvedis</w:t>
            </w:r>
            <w:r w:rsidR="00911A10">
              <w:rPr>
                <w:noProof/>
                <w:webHidden/>
              </w:rPr>
              <w:tab/>
            </w:r>
            <w:r w:rsidR="00911A10">
              <w:rPr>
                <w:noProof/>
                <w:webHidden/>
              </w:rPr>
              <w:fldChar w:fldCharType="begin"/>
            </w:r>
            <w:r w:rsidR="00911A10">
              <w:rPr>
                <w:noProof/>
                <w:webHidden/>
              </w:rPr>
              <w:instrText xml:space="preserve"> PAGEREF _Toc40113670 \h </w:instrText>
            </w:r>
            <w:r w:rsidR="00911A10">
              <w:rPr>
                <w:noProof/>
                <w:webHidden/>
              </w:rPr>
            </w:r>
            <w:r w:rsidR="00911A10">
              <w:rPr>
                <w:noProof/>
                <w:webHidden/>
              </w:rPr>
              <w:fldChar w:fldCharType="separate"/>
            </w:r>
            <w:r w:rsidR="00911A10">
              <w:rPr>
                <w:noProof/>
                <w:webHidden/>
              </w:rPr>
              <w:t>35</w:t>
            </w:r>
            <w:r w:rsidR="00911A10">
              <w:rPr>
                <w:noProof/>
                <w:webHidden/>
              </w:rPr>
              <w:fldChar w:fldCharType="end"/>
            </w:r>
          </w:hyperlink>
        </w:p>
        <w:p w14:paraId="619680D5"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71" w:history="1">
            <w:r w:rsidR="00911A10" w:rsidRPr="00CF60CA">
              <w:rPr>
                <w:rStyle w:val="Hyperlink"/>
                <w:noProof/>
              </w:rPr>
              <w:t>4. Atbalsts ēku energoefektivitātes mērķu sasniegšanai</w:t>
            </w:r>
            <w:r w:rsidR="00911A10">
              <w:rPr>
                <w:noProof/>
                <w:webHidden/>
              </w:rPr>
              <w:tab/>
            </w:r>
            <w:r w:rsidR="00911A10">
              <w:rPr>
                <w:noProof/>
                <w:webHidden/>
              </w:rPr>
              <w:fldChar w:fldCharType="begin"/>
            </w:r>
            <w:r w:rsidR="00911A10">
              <w:rPr>
                <w:noProof/>
                <w:webHidden/>
              </w:rPr>
              <w:instrText xml:space="preserve"> PAGEREF _Toc40113671 \h </w:instrText>
            </w:r>
            <w:r w:rsidR="00911A10">
              <w:rPr>
                <w:noProof/>
                <w:webHidden/>
              </w:rPr>
            </w:r>
            <w:r w:rsidR="00911A10">
              <w:rPr>
                <w:noProof/>
                <w:webHidden/>
              </w:rPr>
              <w:fldChar w:fldCharType="separate"/>
            </w:r>
            <w:r w:rsidR="00911A10">
              <w:rPr>
                <w:noProof/>
                <w:webHidden/>
              </w:rPr>
              <w:t>49</w:t>
            </w:r>
            <w:r w:rsidR="00911A10">
              <w:rPr>
                <w:noProof/>
                <w:webHidden/>
              </w:rPr>
              <w:fldChar w:fldCharType="end"/>
            </w:r>
          </w:hyperlink>
        </w:p>
        <w:p w14:paraId="65D95D58"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72" w:history="1">
            <w:r w:rsidR="00911A10" w:rsidRPr="00CF60CA">
              <w:rPr>
                <w:rStyle w:val="Hyperlink"/>
                <w:noProof/>
              </w:rPr>
              <w:t>1. pielikums</w:t>
            </w:r>
            <w:r w:rsidR="00911A10">
              <w:rPr>
                <w:noProof/>
                <w:webHidden/>
              </w:rPr>
              <w:tab/>
            </w:r>
            <w:r w:rsidR="00911A10">
              <w:rPr>
                <w:noProof/>
                <w:webHidden/>
              </w:rPr>
              <w:fldChar w:fldCharType="begin"/>
            </w:r>
            <w:r w:rsidR="00911A10">
              <w:rPr>
                <w:noProof/>
                <w:webHidden/>
              </w:rPr>
              <w:instrText xml:space="preserve"> PAGEREF _Toc40113672 \h </w:instrText>
            </w:r>
            <w:r w:rsidR="00911A10">
              <w:rPr>
                <w:noProof/>
                <w:webHidden/>
              </w:rPr>
            </w:r>
            <w:r w:rsidR="00911A10">
              <w:rPr>
                <w:noProof/>
                <w:webHidden/>
              </w:rPr>
              <w:fldChar w:fldCharType="separate"/>
            </w:r>
            <w:r w:rsidR="00911A10">
              <w:rPr>
                <w:noProof/>
                <w:webHidden/>
              </w:rPr>
              <w:t>56</w:t>
            </w:r>
            <w:r w:rsidR="00911A10">
              <w:rPr>
                <w:noProof/>
                <w:webHidden/>
              </w:rPr>
              <w:fldChar w:fldCharType="end"/>
            </w:r>
          </w:hyperlink>
        </w:p>
        <w:p w14:paraId="5EDEDD5F" w14:textId="77777777" w:rsidR="00911A10" w:rsidRDefault="00D13F6B">
          <w:pPr>
            <w:pStyle w:val="TOC1"/>
            <w:tabs>
              <w:tab w:val="right" w:leader="dot" w:pos="8296"/>
            </w:tabs>
            <w:rPr>
              <w:rFonts w:asciiTheme="minorHAnsi" w:eastAsiaTheme="minorEastAsia" w:hAnsiTheme="minorHAnsi"/>
              <w:noProof/>
              <w:sz w:val="22"/>
              <w:lang w:eastAsia="lv-LV"/>
            </w:rPr>
          </w:pPr>
          <w:hyperlink w:anchor="_Toc40113673" w:history="1">
            <w:r w:rsidR="00911A10" w:rsidRPr="00CF60CA">
              <w:rPr>
                <w:rStyle w:val="Hyperlink"/>
                <w:noProof/>
              </w:rPr>
              <w:t>2. pielikums</w:t>
            </w:r>
            <w:r w:rsidR="00911A10">
              <w:rPr>
                <w:noProof/>
                <w:webHidden/>
              </w:rPr>
              <w:tab/>
            </w:r>
            <w:r w:rsidR="00911A10">
              <w:rPr>
                <w:noProof/>
                <w:webHidden/>
              </w:rPr>
              <w:fldChar w:fldCharType="begin"/>
            </w:r>
            <w:r w:rsidR="00911A10">
              <w:rPr>
                <w:noProof/>
                <w:webHidden/>
              </w:rPr>
              <w:instrText xml:space="preserve"> PAGEREF _Toc40113673 \h </w:instrText>
            </w:r>
            <w:r w:rsidR="00911A10">
              <w:rPr>
                <w:noProof/>
                <w:webHidden/>
              </w:rPr>
            </w:r>
            <w:r w:rsidR="00911A10">
              <w:rPr>
                <w:noProof/>
                <w:webHidden/>
              </w:rPr>
              <w:fldChar w:fldCharType="separate"/>
            </w:r>
            <w:r w:rsidR="00911A10">
              <w:rPr>
                <w:noProof/>
                <w:webHidden/>
              </w:rPr>
              <w:t>59</w:t>
            </w:r>
            <w:r w:rsidR="00911A10">
              <w:rPr>
                <w:noProof/>
                <w:webHidden/>
              </w:rPr>
              <w:fldChar w:fldCharType="end"/>
            </w:r>
          </w:hyperlink>
        </w:p>
        <w:p w14:paraId="42EB10DA" w14:textId="15D72E2A" w:rsidR="0058175D" w:rsidRDefault="0058175D">
          <w:r>
            <w:rPr>
              <w:b/>
              <w:bCs/>
            </w:rPr>
            <w:fldChar w:fldCharType="end"/>
          </w:r>
        </w:p>
      </w:sdtContent>
    </w:sdt>
    <w:p w14:paraId="75AD4444" w14:textId="1F59E73B" w:rsidR="00DB2332" w:rsidRDefault="00DB2332" w:rsidP="0058175D">
      <w:pPr>
        <w:pStyle w:val="Heading1"/>
        <w:rPr>
          <w:rFonts w:eastAsia="Calibri"/>
        </w:rPr>
      </w:pPr>
      <w:r>
        <w:rPr>
          <w:rFonts w:eastAsia="Calibri"/>
        </w:rPr>
        <w:br w:type="page"/>
      </w:r>
    </w:p>
    <w:p w14:paraId="7633F2E8" w14:textId="1CEC2E46" w:rsidR="00A15C92" w:rsidRPr="00A15C92" w:rsidRDefault="00A15C92" w:rsidP="00A15C92">
      <w:pPr>
        <w:pStyle w:val="Heading1"/>
        <w:jc w:val="left"/>
        <w:rPr>
          <w:rFonts w:eastAsia="Times New Roman"/>
        </w:rPr>
      </w:pPr>
      <w:bookmarkStart w:id="3" w:name="_Toc40113662"/>
      <w:r>
        <w:rPr>
          <w:rFonts w:eastAsia="Times New Roman"/>
        </w:rPr>
        <w:lastRenderedPageBreak/>
        <w:t>Saīsinājumi</w:t>
      </w:r>
      <w:bookmarkEnd w:id="3"/>
    </w:p>
    <w:tbl>
      <w:tblPr>
        <w:tblStyle w:val="TableGrid1"/>
        <w:tblW w:w="0" w:type="auto"/>
        <w:tblLook w:val="04A0" w:firstRow="1" w:lastRow="0" w:firstColumn="1" w:lastColumn="0" w:noHBand="0" w:noVBand="1"/>
      </w:tblPr>
      <w:tblGrid>
        <w:gridCol w:w="4194"/>
        <w:gridCol w:w="4328"/>
      </w:tblGrid>
      <w:tr w:rsidR="00A15C92" w:rsidRPr="004F68B1" w14:paraId="4909F066" w14:textId="77777777" w:rsidTr="00916CCF">
        <w:tc>
          <w:tcPr>
            <w:tcW w:w="4788" w:type="dxa"/>
          </w:tcPr>
          <w:p w14:paraId="41FAB24E"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AER</w:t>
            </w:r>
          </w:p>
        </w:tc>
        <w:tc>
          <w:tcPr>
            <w:tcW w:w="4788" w:type="dxa"/>
          </w:tcPr>
          <w:p w14:paraId="4997364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Atjaunojamie energoresursi</w:t>
            </w:r>
          </w:p>
        </w:tc>
      </w:tr>
      <w:tr w:rsidR="00A41DD3" w:rsidRPr="004F68B1" w14:paraId="48DB226C" w14:textId="77777777" w:rsidTr="00916CCF">
        <w:tc>
          <w:tcPr>
            <w:tcW w:w="4788" w:type="dxa"/>
          </w:tcPr>
          <w:p w14:paraId="446A4471" w14:textId="64252A13"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rPr>
              <w:t>ALTUM</w:t>
            </w:r>
          </w:p>
        </w:tc>
        <w:tc>
          <w:tcPr>
            <w:tcW w:w="4788" w:type="dxa"/>
          </w:tcPr>
          <w:p w14:paraId="3BD08069" w14:textId="3DB10FDF"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lang w:val="lv-LV"/>
              </w:rPr>
              <w:t>AS "Attīstības finanšu institūcija Altum"</w:t>
            </w:r>
          </w:p>
        </w:tc>
      </w:tr>
      <w:tr w:rsidR="00A15C92" w:rsidRPr="004F68B1" w14:paraId="187B90C5" w14:textId="77777777" w:rsidTr="00916CCF">
        <w:tc>
          <w:tcPr>
            <w:tcW w:w="4788" w:type="dxa"/>
          </w:tcPr>
          <w:p w14:paraId="1D58522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ANO</w:t>
            </w:r>
          </w:p>
        </w:tc>
        <w:tc>
          <w:tcPr>
            <w:tcW w:w="4788" w:type="dxa"/>
          </w:tcPr>
          <w:p w14:paraId="60542E2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Apvienoto nāciju organizācija</w:t>
            </w:r>
          </w:p>
        </w:tc>
      </w:tr>
      <w:tr w:rsidR="00A15C92" w:rsidRPr="004F68B1" w14:paraId="0DA841F3" w14:textId="77777777" w:rsidTr="00916CCF">
        <w:tc>
          <w:tcPr>
            <w:tcW w:w="4788" w:type="dxa"/>
          </w:tcPr>
          <w:p w14:paraId="576DA00B"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BIS</w:t>
            </w:r>
          </w:p>
        </w:tc>
        <w:tc>
          <w:tcPr>
            <w:tcW w:w="4788" w:type="dxa"/>
          </w:tcPr>
          <w:p w14:paraId="23A1B4F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Būvniecības informācijas sistēma</w:t>
            </w:r>
          </w:p>
        </w:tc>
      </w:tr>
      <w:tr w:rsidR="00A15C92" w:rsidRPr="004F68B1" w14:paraId="01842478" w14:textId="77777777" w:rsidTr="00916CCF">
        <w:tc>
          <w:tcPr>
            <w:tcW w:w="4788" w:type="dxa"/>
          </w:tcPr>
          <w:p w14:paraId="0AF6AF1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CFLA</w:t>
            </w:r>
          </w:p>
        </w:tc>
        <w:tc>
          <w:tcPr>
            <w:tcW w:w="4788" w:type="dxa"/>
          </w:tcPr>
          <w:p w14:paraId="34A6E3F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Centrālā finanšu un līgumu aģentūra</w:t>
            </w:r>
          </w:p>
        </w:tc>
      </w:tr>
      <w:tr w:rsidR="00A15C92" w:rsidRPr="004F68B1" w14:paraId="06C9DBBE" w14:textId="77777777" w:rsidTr="00916CCF">
        <w:tc>
          <w:tcPr>
            <w:tcW w:w="4788" w:type="dxa"/>
          </w:tcPr>
          <w:p w14:paraId="4577C9BD"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EEZ</w:t>
            </w:r>
          </w:p>
        </w:tc>
        <w:tc>
          <w:tcPr>
            <w:tcW w:w="4788" w:type="dxa"/>
          </w:tcPr>
          <w:p w14:paraId="1F832FB4"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ekonomiskā zona</w:t>
            </w:r>
          </w:p>
        </w:tc>
      </w:tr>
      <w:tr w:rsidR="00A41DD3" w:rsidRPr="004F68B1" w14:paraId="521F264E" w14:textId="77777777" w:rsidTr="00916CCF">
        <w:tc>
          <w:tcPr>
            <w:tcW w:w="4788" w:type="dxa"/>
          </w:tcPr>
          <w:p w14:paraId="28D16BDF" w14:textId="16875051"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rPr>
              <w:t>EIKC</w:t>
            </w:r>
          </w:p>
        </w:tc>
        <w:tc>
          <w:tcPr>
            <w:tcW w:w="4788" w:type="dxa"/>
          </w:tcPr>
          <w:p w14:paraId="052406A2" w14:textId="72812FCB" w:rsidR="00A41DD3" w:rsidRPr="004F68B1" w:rsidRDefault="00A41DD3" w:rsidP="004F68B1">
            <w:pPr>
              <w:spacing w:after="160" w:line="256" w:lineRule="auto"/>
              <w:ind w:firstLine="0"/>
              <w:jc w:val="left"/>
              <w:rPr>
                <w:rFonts w:eastAsia="Calibri" w:cs="Times New Roman"/>
                <w:sz w:val="22"/>
              </w:rPr>
            </w:pPr>
            <w:r w:rsidRPr="004F68B1">
              <w:rPr>
                <w:rFonts w:eastAsia="Calibri" w:cs="Times New Roman"/>
                <w:sz w:val="22"/>
                <w:lang w:val="lv-LV"/>
              </w:rPr>
              <w:t>Eiropas Investīciju konsultāciju centrs</w:t>
            </w:r>
          </w:p>
        </w:tc>
      </w:tr>
      <w:tr w:rsidR="00D4126D" w:rsidRPr="004F68B1" w14:paraId="60BD803C" w14:textId="77777777" w:rsidTr="00916CCF">
        <w:tc>
          <w:tcPr>
            <w:tcW w:w="4788" w:type="dxa"/>
          </w:tcPr>
          <w:p w14:paraId="5158FA9A" w14:textId="0EA09EDC" w:rsidR="00D4126D" w:rsidRPr="004F68B1" w:rsidRDefault="00D4126D" w:rsidP="004F68B1">
            <w:pPr>
              <w:spacing w:after="160" w:line="256" w:lineRule="auto"/>
              <w:ind w:firstLine="0"/>
              <w:jc w:val="left"/>
              <w:rPr>
                <w:rFonts w:eastAsia="Calibri" w:cs="Times New Roman"/>
                <w:sz w:val="22"/>
              </w:rPr>
            </w:pPr>
            <w:r w:rsidRPr="004F68B1">
              <w:rPr>
                <w:rFonts w:eastAsia="Calibri" w:cs="Times New Roman"/>
                <w:sz w:val="22"/>
              </w:rPr>
              <w:t>EK</w:t>
            </w:r>
          </w:p>
        </w:tc>
        <w:tc>
          <w:tcPr>
            <w:tcW w:w="4788" w:type="dxa"/>
          </w:tcPr>
          <w:p w14:paraId="5D92B884" w14:textId="0E12A536" w:rsidR="00D4126D" w:rsidRPr="004F68B1" w:rsidRDefault="00D4126D" w:rsidP="004F68B1">
            <w:pPr>
              <w:spacing w:after="160" w:line="256" w:lineRule="auto"/>
              <w:ind w:firstLine="0"/>
              <w:jc w:val="left"/>
              <w:rPr>
                <w:rFonts w:eastAsia="Calibri" w:cs="Times New Roman"/>
                <w:sz w:val="22"/>
              </w:rPr>
            </w:pPr>
            <w:r w:rsidRPr="004F68B1">
              <w:rPr>
                <w:rFonts w:eastAsia="Calibri" w:cs="Times New Roman"/>
                <w:sz w:val="22"/>
              </w:rPr>
              <w:t>Eiropas Komisija</w:t>
            </w:r>
          </w:p>
        </w:tc>
      </w:tr>
      <w:tr w:rsidR="00A15C92" w:rsidRPr="004F68B1" w14:paraId="6CE1F65D" w14:textId="77777777" w:rsidTr="00916CCF">
        <w:tc>
          <w:tcPr>
            <w:tcW w:w="4788" w:type="dxa"/>
          </w:tcPr>
          <w:p w14:paraId="08FFC93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EKII</w:t>
            </w:r>
          </w:p>
        </w:tc>
        <w:tc>
          <w:tcPr>
            <w:tcW w:w="4788" w:type="dxa"/>
          </w:tcPr>
          <w:p w14:paraId="57D6F7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Emisijas kvotu izsolīšanas instruments</w:t>
            </w:r>
          </w:p>
        </w:tc>
      </w:tr>
      <w:tr w:rsidR="00A15C92" w:rsidRPr="004F68B1" w14:paraId="31EB3E41" w14:textId="77777777" w:rsidTr="00916CCF">
        <w:tc>
          <w:tcPr>
            <w:tcW w:w="4788" w:type="dxa"/>
          </w:tcPr>
          <w:p w14:paraId="33B53A35"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EM</w:t>
            </w:r>
          </w:p>
        </w:tc>
        <w:tc>
          <w:tcPr>
            <w:tcW w:w="4788" w:type="dxa"/>
          </w:tcPr>
          <w:p w14:paraId="4A86D6CC"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Ekonomikas ministrija</w:t>
            </w:r>
          </w:p>
        </w:tc>
      </w:tr>
      <w:tr w:rsidR="00A15C92" w:rsidRPr="004F68B1" w14:paraId="7D9CCC4B" w14:textId="77777777" w:rsidTr="00916CCF">
        <w:tc>
          <w:tcPr>
            <w:tcW w:w="4788" w:type="dxa"/>
          </w:tcPr>
          <w:p w14:paraId="28C01DE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EPL</w:t>
            </w:r>
          </w:p>
        </w:tc>
        <w:tc>
          <w:tcPr>
            <w:tcW w:w="4788" w:type="dxa"/>
          </w:tcPr>
          <w:p w14:paraId="6D47FC0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Energopakalpojumu līgums</w:t>
            </w:r>
          </w:p>
        </w:tc>
      </w:tr>
      <w:tr w:rsidR="00A15C92" w:rsidRPr="004F68B1" w14:paraId="465F4498" w14:textId="77777777" w:rsidTr="00916CCF">
        <w:tc>
          <w:tcPr>
            <w:tcW w:w="4788" w:type="dxa"/>
          </w:tcPr>
          <w:p w14:paraId="0356502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ERAB</w:t>
            </w:r>
          </w:p>
        </w:tc>
        <w:tc>
          <w:tcPr>
            <w:tcW w:w="4788" w:type="dxa"/>
          </w:tcPr>
          <w:p w14:paraId="214DF290"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rekonstrukcijas un attīstības banka</w:t>
            </w:r>
          </w:p>
        </w:tc>
      </w:tr>
      <w:tr w:rsidR="00A15C92" w:rsidRPr="004F68B1" w14:paraId="523FA770" w14:textId="77777777" w:rsidTr="00916CCF">
        <w:tc>
          <w:tcPr>
            <w:tcW w:w="4788" w:type="dxa"/>
          </w:tcPr>
          <w:p w14:paraId="4FD7639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ERAF</w:t>
            </w:r>
          </w:p>
        </w:tc>
        <w:tc>
          <w:tcPr>
            <w:tcW w:w="4788" w:type="dxa"/>
          </w:tcPr>
          <w:p w14:paraId="1514990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reģionālās attīstības fonds</w:t>
            </w:r>
          </w:p>
        </w:tc>
      </w:tr>
      <w:tr w:rsidR="00A15C92" w:rsidRPr="004F68B1" w14:paraId="66DD6BD0" w14:textId="77777777" w:rsidTr="00916CCF">
        <w:tc>
          <w:tcPr>
            <w:tcW w:w="4788" w:type="dxa"/>
          </w:tcPr>
          <w:p w14:paraId="6F07643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ES</w:t>
            </w:r>
          </w:p>
        </w:tc>
        <w:tc>
          <w:tcPr>
            <w:tcW w:w="4788" w:type="dxa"/>
          </w:tcPr>
          <w:p w14:paraId="099CFE88"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savienība</w:t>
            </w:r>
          </w:p>
        </w:tc>
      </w:tr>
      <w:tr w:rsidR="00A15C92" w:rsidRPr="004F68B1" w14:paraId="31255FD7" w14:textId="77777777" w:rsidTr="00916CCF">
        <w:tc>
          <w:tcPr>
            <w:tcW w:w="4788" w:type="dxa"/>
          </w:tcPr>
          <w:p w14:paraId="577E048B"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ESKO</w:t>
            </w:r>
          </w:p>
        </w:tc>
        <w:tc>
          <w:tcPr>
            <w:tcW w:w="4788" w:type="dxa"/>
          </w:tcPr>
          <w:p w14:paraId="18813D9D"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Energoservisa uzņēmums</w:t>
            </w:r>
          </w:p>
        </w:tc>
      </w:tr>
      <w:tr w:rsidR="00A15C92" w:rsidRPr="004F68B1" w14:paraId="09042B3B" w14:textId="77777777" w:rsidTr="00916CCF">
        <w:tc>
          <w:tcPr>
            <w:tcW w:w="4788" w:type="dxa"/>
          </w:tcPr>
          <w:p w14:paraId="01DA909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EUA</w:t>
            </w:r>
          </w:p>
        </w:tc>
        <w:tc>
          <w:tcPr>
            <w:tcW w:w="4788" w:type="dxa"/>
          </w:tcPr>
          <w:p w14:paraId="38EA211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savienības emisijas kvotas</w:t>
            </w:r>
          </w:p>
        </w:tc>
      </w:tr>
      <w:tr w:rsidR="00A15C92" w:rsidRPr="004F68B1" w14:paraId="1FDB64E8" w14:textId="77777777" w:rsidTr="00916CCF">
        <w:tc>
          <w:tcPr>
            <w:tcW w:w="4788" w:type="dxa"/>
          </w:tcPr>
          <w:p w14:paraId="7FFB1F9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EUAA</w:t>
            </w:r>
          </w:p>
        </w:tc>
        <w:tc>
          <w:tcPr>
            <w:tcW w:w="4788" w:type="dxa"/>
          </w:tcPr>
          <w:p w14:paraId="5FF6F32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Eiropas savienības aviācijas emisijas kvotas</w:t>
            </w:r>
          </w:p>
        </w:tc>
      </w:tr>
      <w:tr w:rsidR="00A15C92" w:rsidRPr="004F68B1" w14:paraId="69E6CC9F" w14:textId="77777777" w:rsidTr="00916CCF">
        <w:tc>
          <w:tcPr>
            <w:tcW w:w="4788" w:type="dxa"/>
          </w:tcPr>
          <w:p w14:paraId="3EBAD92B"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KEP2020</w:t>
            </w:r>
          </w:p>
        </w:tc>
        <w:tc>
          <w:tcPr>
            <w:tcW w:w="4788" w:type="dxa"/>
          </w:tcPr>
          <w:p w14:paraId="212A2C00"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Eiropadomes 2007. gada 2. maija prezidentvalsts secinājumi</w:t>
            </w:r>
          </w:p>
        </w:tc>
      </w:tr>
      <w:tr w:rsidR="00A15C92" w:rsidRPr="004F68B1" w14:paraId="7D49D7DB" w14:textId="77777777" w:rsidTr="00916CCF">
        <w:tc>
          <w:tcPr>
            <w:tcW w:w="4788" w:type="dxa"/>
          </w:tcPr>
          <w:p w14:paraId="5644DAAF"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KEPS2030</w:t>
            </w:r>
          </w:p>
        </w:tc>
        <w:tc>
          <w:tcPr>
            <w:tcW w:w="4788" w:type="dxa"/>
          </w:tcPr>
          <w:p w14:paraId="2A864D22"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Eiropadomes 2014. gada 24. oktobra secinājumi “Klimata un enerģētikas politikas satvars laikposmam līdz 2030. gadam”</w:t>
            </w:r>
          </w:p>
        </w:tc>
      </w:tr>
      <w:tr w:rsidR="00A15C92" w:rsidRPr="004F68B1" w14:paraId="5AD7473E" w14:textId="77777777" w:rsidTr="00916CCF">
        <w:tc>
          <w:tcPr>
            <w:tcW w:w="4788" w:type="dxa"/>
          </w:tcPr>
          <w:p w14:paraId="14EAE9D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KF</w:t>
            </w:r>
          </w:p>
        </w:tc>
        <w:tc>
          <w:tcPr>
            <w:tcW w:w="4788" w:type="dxa"/>
          </w:tcPr>
          <w:p w14:paraId="1319AB8F"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Kohēzijas fonds</w:t>
            </w:r>
          </w:p>
        </w:tc>
      </w:tr>
      <w:tr w:rsidR="00A15C92" w:rsidRPr="004F68B1" w14:paraId="28AE282F" w14:textId="77777777" w:rsidTr="00916CCF">
        <w:tc>
          <w:tcPr>
            <w:tcW w:w="4788" w:type="dxa"/>
          </w:tcPr>
          <w:p w14:paraId="0FD4FB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LIAA</w:t>
            </w:r>
          </w:p>
        </w:tc>
        <w:tc>
          <w:tcPr>
            <w:tcW w:w="4788" w:type="dxa"/>
          </w:tcPr>
          <w:p w14:paraId="78C13F81"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Latvijas investīciju un attīstības aģentūra</w:t>
            </w:r>
          </w:p>
        </w:tc>
      </w:tr>
      <w:tr w:rsidR="00A15C92" w:rsidRPr="004F68B1" w14:paraId="72789AD5" w14:textId="77777777" w:rsidTr="00916CCF">
        <w:tc>
          <w:tcPr>
            <w:tcW w:w="4788" w:type="dxa"/>
          </w:tcPr>
          <w:p w14:paraId="3C485157"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MK</w:t>
            </w:r>
          </w:p>
        </w:tc>
        <w:tc>
          <w:tcPr>
            <w:tcW w:w="4788" w:type="dxa"/>
          </w:tcPr>
          <w:p w14:paraId="3D654E46"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Ministru kabinets</w:t>
            </w:r>
          </w:p>
        </w:tc>
      </w:tr>
      <w:tr w:rsidR="00A15C92" w:rsidRPr="004F68B1" w14:paraId="3A707411" w14:textId="77777777" w:rsidTr="00916CCF">
        <w:tc>
          <w:tcPr>
            <w:tcW w:w="4788" w:type="dxa"/>
          </w:tcPr>
          <w:p w14:paraId="17D8E18E"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NAP2027</w:t>
            </w:r>
          </w:p>
        </w:tc>
        <w:tc>
          <w:tcPr>
            <w:tcW w:w="4788" w:type="dxa"/>
          </w:tcPr>
          <w:p w14:paraId="7651C7F2" w14:textId="4926A91F" w:rsidR="00A15C92" w:rsidRPr="004F68B1" w:rsidRDefault="00C70860" w:rsidP="004F68B1">
            <w:pPr>
              <w:spacing w:after="160" w:line="256" w:lineRule="auto"/>
              <w:ind w:firstLine="0"/>
              <w:jc w:val="left"/>
              <w:rPr>
                <w:rFonts w:eastAsia="Calibri" w:cs="Times New Roman"/>
                <w:sz w:val="22"/>
              </w:rPr>
            </w:pPr>
            <w:r w:rsidRPr="004F68B1">
              <w:rPr>
                <w:rFonts w:eastAsia="Calibri" w:cs="Times New Roman"/>
                <w:sz w:val="22"/>
              </w:rPr>
              <w:t>Latvijas n</w:t>
            </w:r>
            <w:r w:rsidR="00A15C92" w:rsidRPr="004F68B1">
              <w:rPr>
                <w:rFonts w:eastAsia="Calibri" w:cs="Times New Roman"/>
                <w:sz w:val="22"/>
              </w:rPr>
              <w:t xml:space="preserve">acionālais attīstības </w:t>
            </w:r>
            <w:r w:rsidRPr="004F68B1">
              <w:rPr>
                <w:rFonts w:eastAsia="Calibri" w:cs="Times New Roman"/>
                <w:sz w:val="22"/>
              </w:rPr>
              <w:t>plans 2021-2027. gadam</w:t>
            </w:r>
          </w:p>
        </w:tc>
      </w:tr>
      <w:tr w:rsidR="00A15C92" w:rsidRPr="004F68B1" w14:paraId="7DD931C4" w14:textId="77777777" w:rsidTr="00916CCF">
        <w:tc>
          <w:tcPr>
            <w:tcW w:w="4788" w:type="dxa"/>
          </w:tcPr>
          <w:p w14:paraId="07219269"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NĪVKIS</w:t>
            </w:r>
          </w:p>
        </w:tc>
        <w:tc>
          <w:tcPr>
            <w:tcW w:w="4788" w:type="dxa"/>
          </w:tcPr>
          <w:p w14:paraId="2DFA7EA4"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Valsts zemes dienesta Nekustamā īpašuma valsts kadastra informācijas sistēma</w:t>
            </w:r>
          </w:p>
        </w:tc>
      </w:tr>
      <w:tr w:rsidR="00A15C92" w:rsidRPr="004F68B1" w14:paraId="1838F03B" w14:textId="77777777" w:rsidTr="00916CCF">
        <w:tc>
          <w:tcPr>
            <w:tcW w:w="4788" w:type="dxa"/>
          </w:tcPr>
          <w:p w14:paraId="10572464"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PVN</w:t>
            </w:r>
          </w:p>
        </w:tc>
        <w:tc>
          <w:tcPr>
            <w:tcW w:w="4788" w:type="dxa"/>
          </w:tcPr>
          <w:p w14:paraId="7A1BD14A"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Pievienotās vērtības nodoklis</w:t>
            </w:r>
          </w:p>
        </w:tc>
      </w:tr>
      <w:tr w:rsidR="00A15C92" w:rsidRPr="004F68B1" w14:paraId="332B4E14" w14:textId="77777777" w:rsidTr="00916CCF">
        <w:trPr>
          <w:trHeight w:val="788"/>
        </w:trPr>
        <w:tc>
          <w:tcPr>
            <w:tcW w:w="4788" w:type="dxa"/>
          </w:tcPr>
          <w:p w14:paraId="5B64D415"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VARAM</w:t>
            </w:r>
          </w:p>
        </w:tc>
        <w:tc>
          <w:tcPr>
            <w:tcW w:w="4788" w:type="dxa"/>
          </w:tcPr>
          <w:p w14:paraId="462922DD" w14:textId="77777777" w:rsidR="00A15C92" w:rsidRPr="004F68B1" w:rsidRDefault="00A15C92" w:rsidP="004F68B1">
            <w:pPr>
              <w:spacing w:after="160" w:line="256" w:lineRule="auto"/>
              <w:ind w:firstLine="0"/>
              <w:jc w:val="left"/>
              <w:rPr>
                <w:rFonts w:eastAsia="Calibri" w:cs="Times New Roman"/>
                <w:sz w:val="22"/>
              </w:rPr>
            </w:pPr>
            <w:r w:rsidRPr="004F68B1">
              <w:rPr>
                <w:rFonts w:eastAsia="Calibri" w:cs="Times New Roman"/>
                <w:sz w:val="22"/>
              </w:rPr>
              <w:t>Vides aizsardzības un reģionālās attīstības ministrija</w:t>
            </w:r>
          </w:p>
        </w:tc>
      </w:tr>
    </w:tbl>
    <w:p w14:paraId="1951DEB5" w14:textId="7C58B7BE" w:rsidR="00A15C92" w:rsidRDefault="00A15C92">
      <w:pPr>
        <w:spacing w:after="160" w:line="259" w:lineRule="auto"/>
        <w:ind w:firstLine="0"/>
        <w:jc w:val="left"/>
        <w:rPr>
          <w:rFonts w:eastAsia="Calibri" w:cstheme="majorBidi"/>
          <w:b/>
          <w:color w:val="000000" w:themeColor="text1"/>
          <w:sz w:val="28"/>
          <w:szCs w:val="32"/>
          <w:lang w:eastAsia="lv-LV"/>
        </w:rPr>
      </w:pPr>
    </w:p>
    <w:p w14:paraId="6637E69E" w14:textId="6000C9FD" w:rsidR="008626A6" w:rsidRPr="008626A6" w:rsidRDefault="008626A6" w:rsidP="0058175D">
      <w:pPr>
        <w:pStyle w:val="Heading1"/>
        <w:rPr>
          <w:rFonts w:eastAsia="Calibri"/>
          <w:lang w:eastAsia="lv-LV"/>
        </w:rPr>
      </w:pPr>
      <w:bookmarkStart w:id="4" w:name="_Toc40113663"/>
      <w:r w:rsidRPr="008626A6">
        <w:rPr>
          <w:rFonts w:eastAsia="Calibri"/>
          <w:lang w:eastAsia="lv-LV"/>
        </w:rPr>
        <w:lastRenderedPageBreak/>
        <w:t>Ievads</w:t>
      </w:r>
      <w:bookmarkEnd w:id="4"/>
    </w:p>
    <w:p w14:paraId="04B4AFB9" w14:textId="77777777" w:rsidR="008626A6" w:rsidRDefault="008626A6" w:rsidP="00DB2332">
      <w:pPr>
        <w:rPr>
          <w:rFonts w:eastAsia="Calibri" w:cs="Times New Roman"/>
          <w:szCs w:val="24"/>
          <w:lang w:eastAsia="lv-LV"/>
        </w:rPr>
      </w:pPr>
    </w:p>
    <w:p w14:paraId="34E861C9" w14:textId="5030B306" w:rsidR="00DB2332" w:rsidRPr="00DB2332" w:rsidRDefault="00DB2332" w:rsidP="00DB2332">
      <w:pPr>
        <w:rPr>
          <w:rFonts w:eastAsia="Calibri" w:cs="Times New Roman"/>
          <w:b/>
          <w:color w:val="000000"/>
          <w:sz w:val="28"/>
          <w:szCs w:val="24"/>
        </w:rPr>
      </w:pPr>
      <w:r w:rsidRPr="00DB2332">
        <w:rPr>
          <w:rFonts w:eastAsia="Calibri" w:cs="Times New Roman"/>
          <w:szCs w:val="24"/>
          <w:lang w:eastAsia="lv-LV"/>
        </w:rPr>
        <w:t>Saskaņā ar Eiropas Parlamenta un Padomes direktīvas 2010/31/ES (2010.gada 19.maijs) par ēku energoefektivitāti, kas grozīta ar Direktīvu 2018/844 (2018.gada 30.maijs) un Regulu 2018/1999 (2018.gada 11.decembris), Latvijai kā Eiropas Savienības (turpmāk – ES) dalībvalstij ir jāizstrādā ēku ilgtermiņa stratēģiju,</w:t>
      </w:r>
      <w:r w:rsidRPr="00DB2332">
        <w:rPr>
          <w:rFonts w:ascii="Arial Unicode MS" w:eastAsia="Arial Unicode MS" w:hAnsi="Arial Unicode MS" w:cs="Arial Unicode MS" w:hint="eastAsia"/>
          <w:color w:val="444444"/>
          <w:sz w:val="21"/>
          <w:szCs w:val="21"/>
          <w:shd w:val="clear" w:color="auto" w:fill="FFFFFF"/>
        </w:rPr>
        <w:t xml:space="preserve"> </w:t>
      </w:r>
      <w:r w:rsidRPr="00DB2332">
        <w:rPr>
          <w:rFonts w:eastAsia="Calibri" w:cs="Times New Roman" w:hint="eastAsia"/>
          <w:szCs w:val="24"/>
          <w:lang w:eastAsia="lv-LV"/>
        </w:rPr>
        <w:t>ar ko veicina nacionālā dzīvojamo un nedzīvojamo ēku (gan publisko, gan privāto) fonda renovāciju, lai šis fonds līdz 2050. gadam kļūtu par sevišķi energoefektīvu un dekarbonizētu ēku fondu, veicinot esošo ēku izmaksefektīvu pārveidošanu par gandrīz nulles enerģijas ēkām</w:t>
      </w:r>
      <w:r w:rsidR="00C66D60">
        <w:rPr>
          <w:rFonts w:eastAsia="Calibri" w:cs="Times New Roman"/>
          <w:szCs w:val="24"/>
          <w:lang w:eastAsia="lv-LV"/>
        </w:rPr>
        <w:t>.</w:t>
      </w:r>
    </w:p>
    <w:p w14:paraId="51FC1D22" w14:textId="77777777" w:rsidR="00DB2332" w:rsidRPr="00DB2332" w:rsidRDefault="00DB2332" w:rsidP="00DB2332">
      <w:pPr>
        <w:keepLines/>
        <w:rPr>
          <w:rFonts w:eastAsia="Calibri" w:cs="Times New Roman"/>
          <w:szCs w:val="24"/>
          <w:lang w:eastAsia="lv-LV"/>
        </w:rPr>
      </w:pPr>
    </w:p>
    <w:p w14:paraId="4FF67545" w14:textId="72852A40" w:rsidR="00DB2332" w:rsidRPr="00DB2332" w:rsidRDefault="00DB2332" w:rsidP="00DB2332">
      <w:pPr>
        <w:keepLines/>
        <w:rPr>
          <w:rFonts w:eastAsia="Calibri" w:cs="Times New Roman"/>
          <w:szCs w:val="24"/>
          <w:lang w:eastAsia="lv-LV"/>
        </w:rPr>
      </w:pPr>
      <w:r w:rsidRPr="00DB2332">
        <w:rPr>
          <w:rFonts w:eastAsia="Calibri" w:cs="Times New Roman"/>
          <w:szCs w:val="24"/>
          <w:lang w:eastAsia="lv-LV"/>
        </w:rPr>
        <w:t xml:space="preserve">Direktīvas 2010/31/ES 2.a pants nosaka ka </w:t>
      </w:r>
      <w:r w:rsidR="00C66D60">
        <w:rPr>
          <w:rFonts w:eastAsia="Calibri" w:cs="Times New Roman"/>
          <w:szCs w:val="24"/>
          <w:lang w:eastAsia="lv-LV"/>
        </w:rPr>
        <w:t>s</w:t>
      </w:r>
      <w:r w:rsidRPr="00DB2332">
        <w:rPr>
          <w:rFonts w:eastAsia="Calibri" w:cs="Times New Roman"/>
          <w:szCs w:val="24"/>
          <w:lang w:eastAsia="lv-LV"/>
        </w:rPr>
        <w:t>tratēģijā jāiekļauj:</w:t>
      </w:r>
    </w:p>
    <w:p w14:paraId="3CFDC2B1" w14:textId="77777777" w:rsidR="00DB2332" w:rsidRPr="00DB2332" w:rsidRDefault="00DB2332" w:rsidP="00DB2332">
      <w:pPr>
        <w:keepLines/>
        <w:rPr>
          <w:rFonts w:eastAsia="Calibri" w:cs="Times New Roman"/>
          <w:szCs w:val="24"/>
          <w:lang w:eastAsia="lv-LV"/>
        </w:rPr>
      </w:pPr>
    </w:p>
    <w:p w14:paraId="6E22C5FB" w14:textId="77777777" w:rsidR="00DB2332" w:rsidRPr="00DB2332" w:rsidRDefault="00DB2332" w:rsidP="00DB2332">
      <w:pPr>
        <w:rPr>
          <w:rFonts w:cs="Times New Roman"/>
        </w:rPr>
      </w:pPr>
      <w:r w:rsidRPr="00DB2332">
        <w:rPr>
          <w:rFonts w:cs="Times New Roman"/>
        </w:rPr>
        <w:t>a) pārskatu par ēku fondu valstī, balstoties, attiecīgā gadījumā, uz statistikas izlasi un atjaunoto ēku sagaidāmo īpatsvaru 2020. gadā;</w:t>
      </w:r>
    </w:p>
    <w:p w14:paraId="47122B8A" w14:textId="77777777" w:rsidR="00DB2332" w:rsidRPr="00DB2332" w:rsidRDefault="00DB2332" w:rsidP="00DB2332">
      <w:pPr>
        <w:rPr>
          <w:rFonts w:cs="Times New Roman"/>
        </w:rPr>
      </w:pPr>
      <w:r w:rsidRPr="00DB2332">
        <w:rPr>
          <w:rFonts w:cs="Times New Roman"/>
        </w:rPr>
        <w:t>b) rentablu atjaunošanas pieeju noteikšanu atkarībā no ēkas veida un klimatiskās joslas, apsverot iespējamus svarīgus atspērienbrīžus, ja tādi ir, ēkas dzīves ciklā;</w:t>
      </w:r>
    </w:p>
    <w:p w14:paraId="1F1D22A1" w14:textId="77777777" w:rsidR="00DB2332" w:rsidRPr="00DB2332" w:rsidRDefault="00DB2332" w:rsidP="00DB2332">
      <w:pPr>
        <w:rPr>
          <w:rFonts w:cs="Times New Roman"/>
        </w:rPr>
      </w:pPr>
      <w:r w:rsidRPr="00DB2332">
        <w:rPr>
          <w:rFonts w:cs="Times New Roman"/>
        </w:rPr>
        <w:t>c) politiku un darbības ar mērķi stimulēt ēku rentablu pilnīgu atjaunošanu, tostarp pakāpenisku pilnīgu atjaunošanu, un atbalstīt mērķtiecīgus rentablus pasākumus un atjaunošanu, piemēram, ieviešot fakultatīvu ēku atjaunošanas pasu sistēmu;</w:t>
      </w:r>
    </w:p>
    <w:p w14:paraId="3BC637A1" w14:textId="77777777" w:rsidR="00DB2332" w:rsidRPr="00DB2332" w:rsidRDefault="00DB2332" w:rsidP="00DB2332">
      <w:pPr>
        <w:rPr>
          <w:rFonts w:cs="Times New Roman"/>
        </w:rPr>
      </w:pPr>
      <w:r w:rsidRPr="00DB2332">
        <w:rPr>
          <w:rFonts w:cs="Times New Roman"/>
        </w:rPr>
        <w:t>d) pārskatu par politiku un darbībām, kas vērstas uz tiem sava ēku fonda segmentiem, kuriem ir vissliktākie rādītāji, atšķirīgas motivācijas dilemmām un tirgus nepilnībām, un izklāstu par attiecīgām valsts darbībām, ar kurām sekmē enerģētiskās nabadzības mazināšanu;</w:t>
      </w:r>
    </w:p>
    <w:p w14:paraId="3E50FDB8" w14:textId="77777777" w:rsidR="00DB2332" w:rsidRPr="00DB2332" w:rsidRDefault="00DB2332" w:rsidP="00DB2332">
      <w:pPr>
        <w:rPr>
          <w:rFonts w:cs="Times New Roman"/>
        </w:rPr>
      </w:pPr>
      <w:r w:rsidRPr="00DB2332">
        <w:rPr>
          <w:rFonts w:cs="Times New Roman"/>
        </w:rPr>
        <w:t>e) politiku un darbības, kas vērstas uz visām publiskajām ēkām;</w:t>
      </w:r>
    </w:p>
    <w:p w14:paraId="44225AB4" w14:textId="77777777" w:rsidR="00DB2332" w:rsidRPr="00DB2332" w:rsidRDefault="00DB2332" w:rsidP="00DB2332">
      <w:pPr>
        <w:rPr>
          <w:rFonts w:cs="Times New Roman"/>
        </w:rPr>
      </w:pPr>
      <w:r w:rsidRPr="00DB2332">
        <w:rPr>
          <w:rFonts w:cs="Times New Roman"/>
        </w:rPr>
        <w:t>f) pārskatu par valsts iniciatīvām, kuru mērķis ir veicināt viedas tehnoloģijas un labi savienotas ēkas un kopienas, kā arī prasmes un izglītību būvniecības un energoefektivitātes nozarēs; un</w:t>
      </w:r>
    </w:p>
    <w:p w14:paraId="74FE8394" w14:textId="77777777" w:rsidR="00DB2332" w:rsidRPr="00DB2332" w:rsidRDefault="00DB2332" w:rsidP="00DB2332">
      <w:pPr>
        <w:rPr>
          <w:rFonts w:cs="Times New Roman"/>
        </w:rPr>
      </w:pPr>
      <w:r w:rsidRPr="00DB2332">
        <w:rPr>
          <w:rFonts w:cs="Times New Roman"/>
        </w:rPr>
        <w:t>g) uz pierādījumiem balstītas aplēses par paredzētajiem enerģijas ietaupījumiem un plašākiem ieguvumiem, piemēram, saistībā ar veselību, drošumu un gaisa kvalitāti.</w:t>
      </w:r>
    </w:p>
    <w:p w14:paraId="630ABCF3" w14:textId="77777777" w:rsidR="00DB2332" w:rsidRPr="00DB2332" w:rsidRDefault="00DB2332" w:rsidP="00DB2332">
      <w:pPr>
        <w:rPr>
          <w:rFonts w:cs="Times New Roman"/>
        </w:rPr>
      </w:pPr>
      <w:r w:rsidRPr="00DB2332">
        <w:rPr>
          <w:rFonts w:cs="Times New Roman"/>
        </w:rPr>
        <w:t>2.  Savā ilgtermiņa atjaunošanas stratēģijā katra dalībvalsts iekļauj ceļvedi ar pasākumiem un vietējā līmenī noteiktiem izmērāmiem progresa rādītājiem, lai valstī nodrošinātu augstas energoefektivitātes un dekarbonizētu ēku fondu un lai veicinātu esošo ēku rentablu pārveidošanu par gandrīz nulles enerģijas ēkām, nolūkā līdz 2050. gadam sasniegt izvirzīto ilgtermiņa mērķi, proti, samazināt siltumnīcefekta gāzu emisijas Savienībā par 80–95 % salīdzinājumā ar 1990. gada līmeni. Ceļvedī iekļauj indikatīvus atskaites punktus 2030., 2040. un 2050. gadam un precizē, kā tie palīdz sasniegt Savienības energoefektivitātes mērķus saskaņā ar Direktīvu 2012/27/ES.</w:t>
      </w:r>
    </w:p>
    <w:p w14:paraId="2DFF9D9B" w14:textId="77777777" w:rsidR="00DB2332" w:rsidRPr="00DB2332" w:rsidRDefault="00DB2332" w:rsidP="00DB2332">
      <w:pPr>
        <w:rPr>
          <w:rFonts w:cs="Times New Roman"/>
        </w:rPr>
      </w:pPr>
      <w:r w:rsidRPr="00DB2332">
        <w:rPr>
          <w:rFonts w:cs="Times New Roman"/>
        </w:rPr>
        <w:t>3.  Lai atbalstītu to, ka tiek mobilizēti ieguldījumi 1. punktā minēto mērķu sasniegšanai vajadzīgajā atjaunošanā, dalībvalstis atvieglo piekļuvi piemērotiem mehānismiem, kas ļauj:</w:t>
      </w:r>
    </w:p>
    <w:p w14:paraId="424E094B" w14:textId="77777777" w:rsidR="00DB2332" w:rsidRPr="00DB2332" w:rsidRDefault="00DB2332" w:rsidP="00DB2332">
      <w:pPr>
        <w:rPr>
          <w:rFonts w:cs="Times New Roman"/>
        </w:rPr>
      </w:pPr>
      <w:r w:rsidRPr="00DB2332">
        <w:rPr>
          <w:rFonts w:cs="Times New Roman"/>
        </w:rPr>
        <w:t>a) apvienot projektus grupās, tostarp pa ieguldījumu platformām vai grupām un pa mazo un vidējo uzņēmumu konsorcijiem, lai nodrošinātu piekļuves iespējas investoriem, kā arī paketes veida risinājumus iespējamiem klientiem;</w:t>
      </w:r>
    </w:p>
    <w:p w14:paraId="46C74EBF" w14:textId="77777777" w:rsidR="00DB2332" w:rsidRPr="00DB2332" w:rsidRDefault="00DB2332" w:rsidP="00DB2332">
      <w:pPr>
        <w:rPr>
          <w:rFonts w:cs="Times New Roman"/>
        </w:rPr>
      </w:pPr>
      <w:r w:rsidRPr="00DB2332">
        <w:rPr>
          <w:rFonts w:cs="Times New Roman"/>
        </w:rPr>
        <w:t>b) mazināt energoefektivitātes darbību šķietamo riskantumu investoriem un privātajam sektoram;</w:t>
      </w:r>
    </w:p>
    <w:p w14:paraId="6724E0AF" w14:textId="77777777" w:rsidR="00DB2332" w:rsidRPr="00DB2332" w:rsidRDefault="00DB2332" w:rsidP="00DB2332">
      <w:pPr>
        <w:rPr>
          <w:rFonts w:cs="Times New Roman"/>
        </w:rPr>
      </w:pPr>
      <w:r w:rsidRPr="00DB2332">
        <w:rPr>
          <w:rFonts w:cs="Times New Roman"/>
        </w:rPr>
        <w:t>c) izmantot publisko finansējumu, lai tādējādi piesaistītu papildu ieguldījumus no privātā sektora vai novērstu konkrētas tirgus nepilnības;</w:t>
      </w:r>
    </w:p>
    <w:p w14:paraId="0CCC779D" w14:textId="77777777" w:rsidR="00DB2332" w:rsidRPr="00DB2332" w:rsidRDefault="00DB2332" w:rsidP="00DB2332">
      <w:pPr>
        <w:rPr>
          <w:rFonts w:cs="Times New Roman"/>
        </w:rPr>
      </w:pPr>
      <w:r w:rsidRPr="00DB2332">
        <w:rPr>
          <w:rFonts w:cs="Times New Roman"/>
        </w:rPr>
        <w:lastRenderedPageBreak/>
        <w:t>d) virzīt ieguldījumus uz energoefektīvu publisko ēku fondu saskaņā ar </w:t>
      </w:r>
      <w:r w:rsidRPr="00DB2332">
        <w:rPr>
          <w:rFonts w:cs="Times New Roman"/>
          <w:i/>
          <w:iCs/>
        </w:rPr>
        <w:t>Eurostat</w:t>
      </w:r>
      <w:r w:rsidRPr="00DB2332">
        <w:rPr>
          <w:rFonts w:cs="Times New Roman"/>
        </w:rPr>
        <w:t> norādījumiem; un</w:t>
      </w:r>
    </w:p>
    <w:p w14:paraId="1B1573F1" w14:textId="77777777" w:rsidR="00DB2332" w:rsidRPr="00DB2332" w:rsidRDefault="00DB2332" w:rsidP="00DB2332">
      <w:pPr>
        <w:rPr>
          <w:rFonts w:cs="Times New Roman"/>
        </w:rPr>
      </w:pPr>
      <w:r w:rsidRPr="00DB2332">
        <w:rPr>
          <w:rFonts w:cs="Times New Roman"/>
        </w:rPr>
        <w:t>e) izveidot pieejamus un pārredzamus konsultāciju rīkus, piemēram, vienas pieturas aģentūras patērētājiem un energokonsultāciju pakalpojumus, lai informētu par attiecīgiem ar energoefektivitāti saistītiem atjaunošanas pasākumiem un finanšu instrumentiem.</w:t>
      </w:r>
    </w:p>
    <w:p w14:paraId="210D96FB" w14:textId="77777777" w:rsidR="00DB2332" w:rsidRPr="00DB2332" w:rsidRDefault="00DB2332" w:rsidP="00DB2332">
      <w:pPr>
        <w:rPr>
          <w:rFonts w:cs="Times New Roman"/>
        </w:rPr>
      </w:pPr>
      <w:r w:rsidRPr="00DB2332">
        <w:rPr>
          <w:rFonts w:cs="Times New Roman"/>
        </w:rPr>
        <w:t>4.  Komisija apkopo un izplata – vismaz valsts iestādēm – informāciju par paraugpraksi attiecībā uz veiksmīgām publiskā un privātā finansējuma shēmām ar energoefektivitāti saistītiem atjaunošanas pasākumiem, kā arī informāciju par shēmām mazapjoma energoefektivitātes atjaunošanas projektu apvienošanai grupās. Komisija apzina un izplata informāciju par paraugpraksi attiecībā uz finanšu stimuliem atjaunošanai no patērētāju viedokļa, ņemot vērā izmaksefektivitātes atšķirības starp dalībvalstīm.</w:t>
      </w:r>
    </w:p>
    <w:p w14:paraId="2165D807" w14:textId="77777777" w:rsidR="00DB2332" w:rsidRPr="00DB2332" w:rsidRDefault="00DB2332" w:rsidP="00DB2332">
      <w:pPr>
        <w:rPr>
          <w:rFonts w:cs="Times New Roman"/>
        </w:rPr>
      </w:pPr>
      <w:r w:rsidRPr="00DB2332">
        <w:rPr>
          <w:rFonts w:cs="Times New Roman"/>
        </w:rPr>
        <w:t>5.  Lai atbalstītu savas ilgtermiņa atjaunošanas stratēģijas izstrādi, katra dalībvalsts pirms savas ilgtermiņa atjaunošanas stratēģijas iesniegšanas Komisijai par to rīko sabiedrisko apspriešanu. Katra dalībvalsts savai ilgtermiņa atjaunošanas stratēģijai pielikumā pievieno savas sabiedriskās apspriešanas rezultātu kopsavilkumu.</w:t>
      </w:r>
    </w:p>
    <w:p w14:paraId="5B1D4AE6" w14:textId="77777777" w:rsidR="00DB2332" w:rsidRPr="00DB2332" w:rsidRDefault="00DB2332" w:rsidP="00DB2332">
      <w:pPr>
        <w:rPr>
          <w:rFonts w:cs="Times New Roman"/>
        </w:rPr>
      </w:pPr>
      <w:r w:rsidRPr="00DB2332">
        <w:rPr>
          <w:rFonts w:cs="Times New Roman"/>
        </w:rPr>
        <w:t>Katra dalībvalsts nosaka kārtību, kādā tās ilgtermiņa atjaunošanas stratēģijas īstenošanas laikā iekļaujošā veidā notiek apspriešanās.</w:t>
      </w:r>
    </w:p>
    <w:p w14:paraId="0DCF48E7" w14:textId="77777777" w:rsidR="00DB2332" w:rsidRPr="00DB2332" w:rsidRDefault="00DB2332" w:rsidP="00DB2332">
      <w:pPr>
        <w:rPr>
          <w:rFonts w:cs="Times New Roman"/>
        </w:rPr>
      </w:pPr>
      <w:r w:rsidRPr="00DB2332">
        <w:rPr>
          <w:rFonts w:cs="Times New Roman"/>
        </w:rPr>
        <w:t>6.  Savas ilgtermiņa atjaunošanas stratēģijas pielikumā katra dalībvalsts pievieno sīkāku informāciju par savas visnesenākās ilgtermiņa atjaunošanas stratēģijas īstenošanu, tostarp par plānoto politiku un darbībām.</w:t>
      </w:r>
    </w:p>
    <w:p w14:paraId="642C763F" w14:textId="77777777" w:rsidR="00DB2332" w:rsidRPr="00DB2332" w:rsidRDefault="00DB2332" w:rsidP="00DB2332">
      <w:pPr>
        <w:rPr>
          <w:rFonts w:cs="Times New Roman"/>
        </w:rPr>
      </w:pPr>
      <w:r w:rsidRPr="00DB2332">
        <w:rPr>
          <w:rFonts w:cs="Times New Roman"/>
        </w:rPr>
        <w:t>7.  Katra dalībvalsts var izmantot savu ilgtermiņa atjaunošanas stratēģiju, lai pievērstos ugunsdrošībai un riskiem saistībā ar spēcīgu seismisko aktivitāti, kas ietekmē ar energoefektivitāti saistītus atjaunošanas pasākumus un ēku mūža ilgumu.</w:t>
      </w:r>
    </w:p>
    <w:p w14:paraId="18C12ECC" w14:textId="77777777" w:rsidR="00DB2332" w:rsidRPr="00DB2332" w:rsidRDefault="00DB2332" w:rsidP="00DB2332"/>
    <w:p w14:paraId="462D0EC4" w14:textId="77777777" w:rsidR="00DB2332" w:rsidRPr="00DB2332" w:rsidRDefault="00DB2332" w:rsidP="00DB2332">
      <w:r w:rsidRPr="00DB2332">
        <w:t>Atbilstoši Eiropas Komisijas ieteikumu 2019/786 (2019.gada 8.maijs) par ēku renovāciju 2.3.1. apakšpunktam, dalībvalstis savā ilgtermiņa renovācijas stratēģijā ietver esošos elementus, kā arī jaunos, kas noteikti Direktīvas 2010/31/ES 2.a pantā.</w:t>
      </w:r>
    </w:p>
    <w:p w14:paraId="7C448FE1" w14:textId="499C5A0E" w:rsidR="00DB2332" w:rsidRDefault="00DB2332">
      <w:pPr>
        <w:spacing w:after="160" w:line="259" w:lineRule="auto"/>
        <w:ind w:firstLine="0"/>
        <w:jc w:val="left"/>
        <w:rPr>
          <w:rFonts w:eastAsia="Calibri" w:cs="Times New Roman"/>
          <w:b/>
          <w:color w:val="000000"/>
          <w:sz w:val="28"/>
          <w:szCs w:val="24"/>
        </w:rPr>
      </w:pPr>
    </w:p>
    <w:p w14:paraId="08C17692" w14:textId="77777777" w:rsidR="00DB2332" w:rsidRDefault="00DB2332">
      <w:pPr>
        <w:spacing w:after="160" w:line="259" w:lineRule="auto"/>
        <w:ind w:firstLine="0"/>
        <w:jc w:val="left"/>
        <w:rPr>
          <w:rFonts w:eastAsia="Calibri" w:cs="Times New Roman"/>
          <w:b/>
          <w:color w:val="000000"/>
          <w:sz w:val="28"/>
          <w:szCs w:val="24"/>
        </w:rPr>
      </w:pPr>
      <w:r>
        <w:rPr>
          <w:rFonts w:eastAsia="Calibri" w:cs="Times New Roman"/>
          <w:b/>
          <w:color w:val="000000"/>
          <w:sz w:val="28"/>
          <w:szCs w:val="24"/>
        </w:rPr>
        <w:br w:type="page"/>
      </w:r>
    </w:p>
    <w:p w14:paraId="2ADA29C4" w14:textId="6E3C3E12" w:rsidR="005C4BB7" w:rsidRPr="005C4BB7" w:rsidRDefault="00151A93" w:rsidP="00151A93">
      <w:pPr>
        <w:pStyle w:val="Heading1"/>
        <w:rPr>
          <w:rFonts w:eastAsia="Calibri"/>
        </w:rPr>
      </w:pPr>
      <w:bookmarkStart w:id="5" w:name="_Toc40113664"/>
      <w:r w:rsidRPr="00151A93">
        <w:rPr>
          <w:rFonts w:eastAsia="Calibri"/>
          <w:bCs/>
        </w:rPr>
        <w:lastRenderedPageBreak/>
        <w:t xml:space="preserve">1. </w:t>
      </w:r>
      <w:r w:rsidR="005C4BB7" w:rsidRPr="00151A93">
        <w:rPr>
          <w:rFonts w:eastAsia="Calibri"/>
          <w:bCs/>
        </w:rPr>
        <w:t>Pārskats</w:t>
      </w:r>
      <w:r w:rsidR="005C4BB7" w:rsidRPr="005C4BB7">
        <w:rPr>
          <w:rFonts w:eastAsia="Calibri"/>
        </w:rPr>
        <w:t xml:space="preserve"> par ēku fondu valstī</w:t>
      </w:r>
      <w:bookmarkEnd w:id="5"/>
    </w:p>
    <w:bookmarkEnd w:id="0"/>
    <w:bookmarkEnd w:id="1"/>
    <w:p w14:paraId="16318F83" w14:textId="4F8525C5" w:rsidR="00011E42" w:rsidRPr="00D04220" w:rsidRDefault="00011E42" w:rsidP="00D04220">
      <w:pPr>
        <w:numPr>
          <w:ilvl w:val="1"/>
          <w:numId w:val="0"/>
        </w:numPr>
        <w:shd w:val="clear" w:color="auto" w:fill="FFFFFF"/>
        <w:spacing w:after="160" w:line="259" w:lineRule="auto"/>
        <w:rPr>
          <w:rFonts w:eastAsia="Calibri" w:cs="Times New Roman"/>
          <w:color w:val="000000"/>
          <w:szCs w:val="24"/>
          <w:u w:val="single"/>
        </w:rPr>
      </w:pPr>
    </w:p>
    <w:p w14:paraId="065B3F14" w14:textId="242B78B7" w:rsidR="00011E42" w:rsidRDefault="00011E42" w:rsidP="00011E42">
      <w:pPr>
        <w:keepLines/>
        <w:ind w:firstLine="851"/>
        <w:contextualSpacing/>
        <w:rPr>
          <w:rFonts w:eastAsia="Calibri" w:cs="Times New Roman"/>
          <w:szCs w:val="24"/>
          <w:lang w:eastAsia="lv-LV"/>
        </w:rPr>
      </w:pPr>
      <w:r w:rsidRPr="00011E42">
        <w:rPr>
          <w:rFonts w:eastAsia="Calibri" w:cs="Times New Roman"/>
          <w:szCs w:val="24"/>
          <w:lang w:eastAsia="lv-LV"/>
        </w:rPr>
        <w:t xml:space="preserve">Dzīvojamo un nedzīvojamo ēku vecums var tikt iedalīts periodos atbilstoši to siltumtehniskajam raksturojumam. Dažādu ēkas būvniecības periodu raksturojums apkopots </w:t>
      </w:r>
      <w:r w:rsidR="002E315E" w:rsidRPr="00A15C92">
        <w:rPr>
          <w:rFonts w:eastAsia="Calibri" w:cs="Times New Roman"/>
          <w:szCs w:val="24"/>
          <w:lang w:eastAsia="lv-LV"/>
        </w:rPr>
        <w:t>1</w:t>
      </w:r>
      <w:r w:rsidRPr="00A15C92">
        <w:rPr>
          <w:rFonts w:eastAsia="Calibri" w:cs="Times New Roman"/>
          <w:szCs w:val="24"/>
          <w:lang w:eastAsia="lv-LV"/>
        </w:rPr>
        <w:t>.tabulā.</w:t>
      </w:r>
    </w:p>
    <w:p w14:paraId="758F955D" w14:textId="77777777" w:rsidR="00011E42" w:rsidRPr="00011E42" w:rsidRDefault="00011E42" w:rsidP="00011E42">
      <w:pPr>
        <w:keepLines/>
        <w:ind w:firstLine="851"/>
        <w:contextualSpacing/>
        <w:rPr>
          <w:rFonts w:eastAsia="Calibri" w:cs="Times New Roman"/>
          <w:szCs w:val="24"/>
          <w:lang w:eastAsia="lv-LV"/>
        </w:rPr>
      </w:pPr>
    </w:p>
    <w:p w14:paraId="20620C58" w14:textId="74B0314F" w:rsidR="00011E42" w:rsidRPr="002E315E" w:rsidRDefault="002E315E" w:rsidP="0023440A">
      <w:pPr>
        <w:keepNext/>
        <w:ind w:firstLine="0"/>
        <w:rPr>
          <w:rFonts w:eastAsia="Calibri" w:cs="Times New Roman"/>
          <w:iCs/>
          <w:szCs w:val="24"/>
        </w:rPr>
      </w:pPr>
      <w:r w:rsidRPr="00A15C92">
        <w:rPr>
          <w:rFonts w:eastAsia="Calibri" w:cs="Times New Roman"/>
          <w:iCs/>
          <w:szCs w:val="24"/>
        </w:rPr>
        <w:t>1</w:t>
      </w:r>
      <w:r w:rsidR="00011E42" w:rsidRPr="00A15C92">
        <w:rPr>
          <w:rFonts w:eastAsia="Calibri" w:cs="Times New Roman"/>
          <w:iCs/>
          <w:szCs w:val="24"/>
        </w:rPr>
        <w:t>.tabula.</w:t>
      </w:r>
      <w:r w:rsidR="00011E42" w:rsidRPr="002E315E">
        <w:rPr>
          <w:rFonts w:eastAsia="Calibri" w:cs="Times New Roman"/>
          <w:iCs/>
          <w:szCs w:val="24"/>
        </w:rPr>
        <w:t xml:space="preserve"> Ēku būvniecības periods un siltumtehniskais raksturojums</w:t>
      </w:r>
    </w:p>
    <w:p w14:paraId="6E10E3D5" w14:textId="77777777" w:rsidR="00973D5C" w:rsidRPr="00973D5C" w:rsidRDefault="00973D5C" w:rsidP="00011E42">
      <w:pPr>
        <w:keepNext/>
        <w:ind w:firstLine="851"/>
        <w:jc w:val="center"/>
        <w:rPr>
          <w:rFonts w:eastAsia="Calibri" w:cs="Times New Roman"/>
          <w:iCs/>
          <w:szCs w:val="24"/>
          <w:u w:val="single"/>
        </w:rPr>
      </w:pP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825"/>
      </w:tblGrid>
      <w:tr w:rsidR="00011E42" w:rsidRPr="00011E42" w14:paraId="13AF35DD" w14:textId="77777777" w:rsidTr="00011E42">
        <w:trPr>
          <w:trHeight w:val="796"/>
        </w:trPr>
        <w:tc>
          <w:tcPr>
            <w:tcW w:w="1620" w:type="dxa"/>
            <w:shd w:val="clear" w:color="auto" w:fill="auto"/>
          </w:tcPr>
          <w:p w14:paraId="6C8053AC" w14:textId="77777777" w:rsidR="00011E42" w:rsidRPr="00011E42" w:rsidRDefault="00011E42" w:rsidP="00011E42">
            <w:pPr>
              <w:keepLines/>
              <w:spacing w:before="60"/>
              <w:ind w:firstLine="0"/>
              <w:jc w:val="center"/>
              <w:rPr>
                <w:rFonts w:eastAsia="Calibri" w:cs="Times New Roman"/>
                <w:sz w:val="20"/>
                <w:szCs w:val="24"/>
                <w:lang w:eastAsia="lv-LV"/>
              </w:rPr>
            </w:pPr>
            <w:r w:rsidRPr="00011E42">
              <w:rPr>
                <w:rFonts w:eastAsia="Calibri" w:cs="Times New Roman"/>
                <w:sz w:val="20"/>
                <w:szCs w:val="24"/>
                <w:lang w:eastAsia="lv-LV"/>
              </w:rPr>
              <w:t>Ēkas būvniecības periods</w:t>
            </w:r>
          </w:p>
        </w:tc>
        <w:tc>
          <w:tcPr>
            <w:tcW w:w="6825" w:type="dxa"/>
            <w:shd w:val="clear" w:color="auto" w:fill="auto"/>
          </w:tcPr>
          <w:p w14:paraId="1216E72C" w14:textId="77777777" w:rsidR="00011E42" w:rsidRPr="00011E42" w:rsidRDefault="00011E42" w:rsidP="00011E42">
            <w:pPr>
              <w:keepLines/>
              <w:spacing w:before="60"/>
              <w:ind w:firstLine="0"/>
              <w:jc w:val="center"/>
              <w:rPr>
                <w:rFonts w:eastAsia="Calibri" w:cs="Times New Roman"/>
                <w:sz w:val="20"/>
                <w:szCs w:val="24"/>
                <w:lang w:eastAsia="lv-LV"/>
              </w:rPr>
            </w:pPr>
            <w:r w:rsidRPr="00011E42">
              <w:rPr>
                <w:rFonts w:eastAsia="Calibri" w:cs="Times New Roman"/>
                <w:sz w:val="20"/>
                <w:szCs w:val="24"/>
                <w:lang w:eastAsia="lv-LV"/>
              </w:rPr>
              <w:t>Ēkas siltumtehniskais raksturojums</w:t>
            </w:r>
          </w:p>
        </w:tc>
      </w:tr>
      <w:tr w:rsidR="00011E42" w:rsidRPr="00011E42" w14:paraId="6C04FA48" w14:textId="77777777" w:rsidTr="00011E42">
        <w:trPr>
          <w:trHeight w:val="541"/>
        </w:trPr>
        <w:tc>
          <w:tcPr>
            <w:tcW w:w="1620" w:type="dxa"/>
            <w:shd w:val="clear" w:color="auto" w:fill="auto"/>
          </w:tcPr>
          <w:p w14:paraId="43B21F93"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līdz 1940. gadam</w:t>
            </w:r>
          </w:p>
        </w:tc>
        <w:tc>
          <w:tcPr>
            <w:tcW w:w="6825" w:type="dxa"/>
            <w:shd w:val="clear" w:color="auto" w:fill="auto"/>
          </w:tcPr>
          <w:p w14:paraId="23721E6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Pirmskara laika apbūve, pārsvarā no koka lauku teritorijās, ķieģeļu mūra - pilsētās. Vairums ēku ir līdz diviem stāviem. </w:t>
            </w:r>
          </w:p>
        </w:tc>
      </w:tr>
      <w:tr w:rsidR="00011E42" w:rsidRPr="00011E42" w14:paraId="6EDA1867" w14:textId="77777777" w:rsidTr="00011E42">
        <w:trPr>
          <w:trHeight w:val="796"/>
        </w:trPr>
        <w:tc>
          <w:tcPr>
            <w:tcW w:w="1620" w:type="dxa"/>
            <w:shd w:val="clear" w:color="auto" w:fill="auto"/>
          </w:tcPr>
          <w:p w14:paraId="16028416"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1941. – 1960.g.</w:t>
            </w:r>
          </w:p>
        </w:tc>
        <w:tc>
          <w:tcPr>
            <w:tcW w:w="6825" w:type="dxa"/>
            <w:shd w:val="clear" w:color="auto" w:fill="auto"/>
          </w:tcPr>
          <w:p w14:paraId="7991F111"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Pēckara laika apbūve, periodam raksturīga laba kvalitāte, pārsvarā ķieģeļu ēkas, dzīvojamo sektoru raksturo pēc Staļina laika tipveida projektiem būvētās ķieģeļu ēkas. </w:t>
            </w:r>
          </w:p>
        </w:tc>
      </w:tr>
      <w:tr w:rsidR="00011E42" w:rsidRPr="00011E42" w14:paraId="0CE62384" w14:textId="77777777" w:rsidTr="00011E42">
        <w:trPr>
          <w:trHeight w:val="1035"/>
        </w:trPr>
        <w:tc>
          <w:tcPr>
            <w:tcW w:w="1620" w:type="dxa"/>
            <w:shd w:val="clear" w:color="auto" w:fill="auto"/>
          </w:tcPr>
          <w:p w14:paraId="3FE711BE"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1961. – 1979.g.</w:t>
            </w:r>
          </w:p>
        </w:tc>
        <w:tc>
          <w:tcPr>
            <w:tcW w:w="6825" w:type="dxa"/>
            <w:shd w:val="clear" w:color="auto" w:fill="auto"/>
          </w:tcPr>
          <w:p w14:paraId="1EA0764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Plaši uzsākta tipveida būvniecība, dzīvojamo ēku sektorā uzsākti 316. un 318. sērijas projekti (tā sauktās „Hruščovkas”), 464. sērija, uzsākta arī 467., 103. un 104. sērijas ēku būvniecība, perioda beigās 602. sērija. Kā ārsienu materiāls plaši izmantoti māla ķieģeli, gāzbetons, keramzītbetons, </w:t>
            </w:r>
          </w:p>
        </w:tc>
      </w:tr>
      <w:tr w:rsidR="00011E42" w:rsidRPr="00011E42" w14:paraId="0682EDE5" w14:textId="77777777" w:rsidTr="00011E42">
        <w:trPr>
          <w:trHeight w:val="1035"/>
        </w:trPr>
        <w:tc>
          <w:tcPr>
            <w:tcW w:w="1620" w:type="dxa"/>
            <w:shd w:val="clear" w:color="auto" w:fill="auto"/>
          </w:tcPr>
          <w:p w14:paraId="73ED2863"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1980. – 1991.g.</w:t>
            </w:r>
          </w:p>
        </w:tc>
        <w:tc>
          <w:tcPr>
            <w:tcW w:w="6825" w:type="dxa"/>
            <w:shd w:val="clear" w:color="auto" w:fill="auto"/>
          </w:tcPr>
          <w:p w14:paraId="6C3348F6"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Jaunas prasības projektēšanā noteiktas PSRS būvnormatīvā „Norobežojošo konstrukciju siltumtehnika”</w:t>
            </w:r>
            <w:r w:rsidRPr="00011E42">
              <w:rPr>
                <w:rFonts w:eastAsia="Calibri" w:cs="Times New Roman"/>
                <w:sz w:val="20"/>
                <w:szCs w:val="24"/>
                <w:vertAlign w:val="superscript"/>
                <w:lang w:eastAsia="lv-LV"/>
              </w:rPr>
              <w:footnoteReference w:id="1"/>
            </w:r>
            <w:r w:rsidRPr="00011E42">
              <w:rPr>
                <w:rFonts w:eastAsia="Calibri" w:cs="Times New Roman"/>
                <w:sz w:val="20"/>
                <w:szCs w:val="24"/>
                <w:lang w:eastAsia="lv-LV"/>
              </w:rPr>
              <w:t>. Uzsākta 119. sērijas ēku būvniecība, kā arī realizēta virkne specprojektu, dominē dzelzsbetona un keramzītbetona lielpaneļu ēku būvniecība.</w:t>
            </w:r>
          </w:p>
        </w:tc>
      </w:tr>
      <w:tr w:rsidR="00011E42" w:rsidRPr="00011E42" w14:paraId="1E7FD145" w14:textId="77777777" w:rsidTr="00011E42">
        <w:trPr>
          <w:trHeight w:val="780"/>
        </w:trPr>
        <w:tc>
          <w:tcPr>
            <w:tcW w:w="1620" w:type="dxa"/>
            <w:shd w:val="clear" w:color="auto" w:fill="auto"/>
          </w:tcPr>
          <w:p w14:paraId="67ED2CA7" w14:textId="77777777" w:rsidR="00011E42" w:rsidRPr="00011E42" w:rsidRDefault="00011E42" w:rsidP="00011E42">
            <w:pPr>
              <w:keepLines/>
              <w:spacing w:before="60"/>
              <w:ind w:firstLine="0"/>
              <w:jc w:val="left"/>
              <w:rPr>
                <w:rFonts w:eastAsia="Calibri" w:cs="Times New Roman"/>
                <w:sz w:val="20"/>
                <w:szCs w:val="24"/>
                <w:lang w:eastAsia="lv-LV"/>
              </w:rPr>
            </w:pPr>
            <w:r w:rsidRPr="00011E42">
              <w:rPr>
                <w:rFonts w:eastAsia="Calibri" w:cs="Times New Roman"/>
                <w:sz w:val="20"/>
                <w:szCs w:val="24"/>
                <w:lang w:eastAsia="lv-LV"/>
              </w:rPr>
              <w:t>1992. – 2002.g.</w:t>
            </w:r>
          </w:p>
        </w:tc>
        <w:tc>
          <w:tcPr>
            <w:tcW w:w="6825" w:type="dxa"/>
            <w:shd w:val="clear" w:color="auto" w:fill="auto"/>
          </w:tcPr>
          <w:p w14:paraId="10D6E0EE" w14:textId="77777777" w:rsidR="00011E42" w:rsidRPr="00011E42" w:rsidRDefault="00011E42" w:rsidP="00011E42">
            <w:pPr>
              <w:keepLines/>
              <w:spacing w:before="60"/>
              <w:ind w:firstLine="0"/>
              <w:rPr>
                <w:rFonts w:eastAsia="Calibri" w:cs="Times New Roman"/>
                <w:sz w:val="20"/>
                <w:szCs w:val="24"/>
                <w:lang w:eastAsia="lv-LV"/>
              </w:rPr>
            </w:pPr>
            <w:r w:rsidRPr="00011E42">
              <w:rPr>
                <w:rFonts w:eastAsia="Calibri" w:cs="Times New Roman"/>
                <w:sz w:val="20"/>
                <w:szCs w:val="24"/>
                <w:lang w:eastAsia="lv-LV"/>
              </w:rPr>
              <w:t xml:space="preserve">Tipveida ēku būvniecība praktiski pārtraukta. Ar Latvijas Republikas Arhitektūras un celtniecības ministrijas 1991. gada 12. septembra pavēli Nr.68 būtiski paaugstinātas prasības ēku norobežojošām konstrukcijām. </w:t>
            </w:r>
          </w:p>
        </w:tc>
      </w:tr>
      <w:tr w:rsidR="00011E42" w:rsidRPr="00011E42" w14:paraId="5AC8459A" w14:textId="77777777" w:rsidTr="00011E42">
        <w:trPr>
          <w:trHeight w:val="1290"/>
        </w:trPr>
        <w:tc>
          <w:tcPr>
            <w:tcW w:w="1620" w:type="dxa"/>
            <w:shd w:val="clear" w:color="auto" w:fill="auto"/>
          </w:tcPr>
          <w:p w14:paraId="288C107F"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4"/>
                <w:lang w:eastAsia="lv-LV"/>
              </w:rPr>
              <w:t>2003. – 2014.g.</w:t>
            </w:r>
          </w:p>
        </w:tc>
        <w:tc>
          <w:tcPr>
            <w:tcW w:w="6825" w:type="dxa"/>
            <w:shd w:val="clear" w:color="auto" w:fill="auto"/>
          </w:tcPr>
          <w:p w14:paraId="2061961B" w14:textId="5B7820C5"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Stājas spēkā LBN 002-01 Ēku norobežojošo konstrukciju siltumtehnika, ar kuru noteiktas siltumtehniskās prasības ēku norobežojošām konstrukcijām. Šajā periodā parādās ēkas ar lielām stiklotām virsmām, kādēļ attiecīgajām ēkām LBN prasību izpilde parasti netiek nodrošināta, tiesa, dzīvojamo ēku sektorā dominējoša stikloto virsmu pielietošana ēkas arhitektūrā nav raksturīga.</w:t>
            </w:r>
          </w:p>
        </w:tc>
      </w:tr>
      <w:tr w:rsidR="00011E42" w:rsidRPr="00011E42" w14:paraId="69393C88" w14:textId="77777777" w:rsidTr="00011E42">
        <w:trPr>
          <w:trHeight w:val="1768"/>
        </w:trPr>
        <w:tc>
          <w:tcPr>
            <w:tcW w:w="1620" w:type="dxa"/>
            <w:shd w:val="clear" w:color="auto" w:fill="auto"/>
          </w:tcPr>
          <w:p w14:paraId="5022FCD6"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0"/>
                <w:lang w:eastAsia="lv-LV"/>
              </w:rPr>
              <w:t>no 2015.g.</w:t>
            </w:r>
          </w:p>
        </w:tc>
        <w:tc>
          <w:tcPr>
            <w:tcW w:w="6825" w:type="dxa"/>
            <w:shd w:val="clear" w:color="auto" w:fill="auto"/>
          </w:tcPr>
          <w:p w14:paraId="694A7A0D" w14:textId="77777777"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Stājas spēkā LBN 002-15 (LBN 002-01 grozījumi)  Ar grozījumiem noteiktas stingrākas siltumtehniskās prasības ēku norobežojošām konstrukcijām. 2015.gada 11.novembrī veikti grozījumi 2013.gada 9.jūlija Ministru kabineta (turpmāk – MK) noteikumi Nr.383 “Noteikumi par ēku energosertifikāciju”, kur noteikts minimāli pieļaujamais līmenis apkurei gan atjaunojamām/pārbūvējamām ēkām, gan jaunbūvēm, kā arī prasības pakāpeniskai jaunbūvju pārejai uz gandrīz nulles enerģijas ēkām.</w:t>
            </w:r>
          </w:p>
        </w:tc>
      </w:tr>
      <w:tr w:rsidR="00011E42" w:rsidRPr="00011E42" w14:paraId="1C18A586" w14:textId="77777777" w:rsidTr="00011E42">
        <w:trPr>
          <w:trHeight w:val="541"/>
        </w:trPr>
        <w:tc>
          <w:tcPr>
            <w:tcW w:w="1620" w:type="dxa"/>
            <w:shd w:val="clear" w:color="auto" w:fill="auto"/>
          </w:tcPr>
          <w:p w14:paraId="53D41841" w14:textId="77777777" w:rsidR="00011E42" w:rsidRPr="00011E42" w:rsidRDefault="00011E42" w:rsidP="00011E42">
            <w:pPr>
              <w:keepLines/>
              <w:spacing w:before="60"/>
              <w:ind w:firstLine="0"/>
              <w:jc w:val="left"/>
              <w:rPr>
                <w:rFonts w:eastAsia="Calibri" w:cs="Times New Roman"/>
                <w:sz w:val="20"/>
                <w:szCs w:val="20"/>
                <w:lang w:eastAsia="lv-LV"/>
              </w:rPr>
            </w:pPr>
            <w:r w:rsidRPr="00011E42">
              <w:rPr>
                <w:rFonts w:eastAsia="Calibri" w:cs="Times New Roman"/>
                <w:sz w:val="20"/>
                <w:szCs w:val="20"/>
                <w:lang w:eastAsia="lv-LV"/>
              </w:rPr>
              <w:t>no 2019.g.</w:t>
            </w:r>
          </w:p>
        </w:tc>
        <w:tc>
          <w:tcPr>
            <w:tcW w:w="6825" w:type="dxa"/>
            <w:shd w:val="clear" w:color="auto" w:fill="auto"/>
          </w:tcPr>
          <w:p w14:paraId="0AB35035" w14:textId="77777777" w:rsidR="00011E42" w:rsidRPr="00011E42" w:rsidRDefault="00011E42" w:rsidP="00011E42">
            <w:pPr>
              <w:keepLines/>
              <w:spacing w:before="60"/>
              <w:ind w:firstLine="0"/>
              <w:rPr>
                <w:rFonts w:eastAsia="Calibri" w:cs="Times New Roman"/>
                <w:sz w:val="20"/>
                <w:szCs w:val="20"/>
                <w:lang w:eastAsia="lv-LV"/>
              </w:rPr>
            </w:pPr>
            <w:r w:rsidRPr="00011E42">
              <w:rPr>
                <w:rFonts w:eastAsia="Calibri" w:cs="Times New Roman"/>
                <w:sz w:val="20"/>
                <w:szCs w:val="20"/>
                <w:lang w:eastAsia="lv-LV"/>
              </w:rPr>
              <w:t>No 2019.gada visām valsts un pašvaldību īpašuma jaunbūvēm un no 2021.gada visām jaunbūvēm jābūt gandrīz nulles enerģijas ēkām.</w:t>
            </w:r>
          </w:p>
        </w:tc>
      </w:tr>
    </w:tbl>
    <w:p w14:paraId="7892B5DB" w14:textId="77777777" w:rsidR="0052720A" w:rsidRDefault="0052720A"/>
    <w:p w14:paraId="2F578AE5" w14:textId="77777777" w:rsidR="00011E42" w:rsidRDefault="00011E42"/>
    <w:p w14:paraId="4C78423E" w14:textId="0055F60D" w:rsidR="00011E42" w:rsidRDefault="00011E42"/>
    <w:p w14:paraId="1238B392" w14:textId="77777777" w:rsidR="00011E42" w:rsidRDefault="00011E42" w:rsidP="002C2B62">
      <w:pPr>
        <w:numPr>
          <w:ilvl w:val="1"/>
          <w:numId w:val="0"/>
        </w:numPr>
        <w:shd w:val="clear" w:color="auto" w:fill="FFFFFF"/>
        <w:spacing w:after="160" w:line="259" w:lineRule="auto"/>
        <w:rPr>
          <w:rFonts w:eastAsia="Calibri" w:cs="Times New Roman"/>
          <w:color w:val="000000"/>
          <w:sz w:val="28"/>
          <w:szCs w:val="24"/>
        </w:rPr>
      </w:pPr>
      <w:bookmarkStart w:id="6" w:name="_Toc480527950"/>
      <w:bookmarkStart w:id="7" w:name="_Toc491870903"/>
    </w:p>
    <w:p w14:paraId="1C56A6F3" w14:textId="2409D371" w:rsidR="00C13694" w:rsidRPr="00C13694" w:rsidRDefault="00B759A1" w:rsidP="00C13694">
      <w:pPr>
        <w:keepLines/>
        <w:ind w:firstLine="851"/>
        <w:rPr>
          <w:rFonts w:eastAsia="Calibri" w:cs="Times New Roman"/>
        </w:rPr>
      </w:pPr>
      <w:r w:rsidRPr="00B759A1">
        <w:rPr>
          <w:rFonts w:eastAsia="Calibri" w:cs="Times New Roman"/>
          <w:szCs w:val="24"/>
          <w:lang w:eastAsia="lv-LV"/>
        </w:rPr>
        <w:lastRenderedPageBreak/>
        <w:t xml:space="preserve">Ēku sektorā </w:t>
      </w:r>
      <w:r w:rsidR="00A922AF">
        <w:rPr>
          <w:rFonts w:eastAsia="Calibri" w:cs="Times New Roman"/>
          <w:szCs w:val="24"/>
          <w:lang w:eastAsia="lv-LV"/>
        </w:rPr>
        <w:t xml:space="preserve">(mājsaimniecībās) </w:t>
      </w:r>
      <w:r w:rsidRPr="00B759A1">
        <w:rPr>
          <w:rFonts w:eastAsia="Calibri" w:cs="Times New Roman"/>
          <w:szCs w:val="24"/>
          <w:lang w:eastAsia="lv-LV"/>
        </w:rPr>
        <w:t xml:space="preserve">patērētā enerģija veido līdz </w:t>
      </w:r>
      <w:r w:rsidR="00A922AF">
        <w:rPr>
          <w:rFonts w:eastAsia="Calibri" w:cs="Times New Roman"/>
          <w:szCs w:val="24"/>
          <w:lang w:eastAsia="lv-LV"/>
        </w:rPr>
        <w:t>3</w:t>
      </w:r>
      <w:r w:rsidRPr="00B759A1">
        <w:rPr>
          <w:rFonts w:eastAsia="Calibri" w:cs="Times New Roman"/>
          <w:szCs w:val="24"/>
          <w:lang w:eastAsia="lv-LV"/>
        </w:rPr>
        <w:t>0% no vis</w:t>
      </w:r>
      <w:r w:rsidR="00A922AF">
        <w:rPr>
          <w:rFonts w:eastAsia="Calibri" w:cs="Times New Roman"/>
          <w:szCs w:val="24"/>
          <w:lang w:eastAsia="lv-LV"/>
        </w:rPr>
        <w:t>as enerģētikas jomas</w:t>
      </w:r>
      <w:r w:rsidRPr="00B759A1">
        <w:rPr>
          <w:rFonts w:eastAsia="Calibri" w:cs="Times New Roman"/>
          <w:szCs w:val="24"/>
          <w:lang w:eastAsia="lv-LV"/>
        </w:rPr>
        <w:t>, tādēļ ēku sektors ietver ievērojamu potenciālu kopējo energoefektivitātes mērķu sasniegšanā.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atjaunošana, uzlabojot to energoefektivitāti.</w:t>
      </w:r>
      <w:r w:rsidRPr="00B759A1">
        <w:rPr>
          <w:rFonts w:eastAsia="Calibri" w:cs="Times New Roman"/>
        </w:rPr>
        <w:t xml:space="preserve"> </w:t>
      </w:r>
      <w:r w:rsidR="00B1054A">
        <w:rPr>
          <w:rFonts w:eastAsia="Calibri" w:cs="Times New Roman"/>
        </w:rPr>
        <w:t>T</w:t>
      </w:r>
      <w:r w:rsidR="00547F20">
        <w:rPr>
          <w:rFonts w:eastAsia="Calibri" w:cs="Times New Roman"/>
        </w:rPr>
        <w:t>omēr</w:t>
      </w:r>
      <w:r w:rsidR="00B1054A">
        <w:rPr>
          <w:rFonts w:eastAsia="Calibri" w:cs="Times New Roman"/>
        </w:rPr>
        <w:t xml:space="preserve"> jāuzsver arī esošais dzīvojamo un nedzīvojamo ēku nolietojums. Atbilstoši Valsts zemes dienesta sniegtajiem datiem, dzīvojamo māju kopējais nolietojums procentos ir – 38.9%, savukārt nedzīvojamo ēku nolietojums 41%. </w:t>
      </w:r>
    </w:p>
    <w:p w14:paraId="657E8366" w14:textId="77777777" w:rsidR="002F2A4E" w:rsidRDefault="002F2A4E" w:rsidP="00C13694">
      <w:pPr>
        <w:widowControl w:val="0"/>
        <w:ind w:firstLine="0"/>
        <w:rPr>
          <w:rFonts w:eastAsia="Times New Roman" w:cs="Times New Roman"/>
          <w:color w:val="000000"/>
          <w:szCs w:val="24"/>
          <w:lang w:eastAsia="lv-LV"/>
        </w:rPr>
      </w:pPr>
    </w:p>
    <w:p w14:paraId="46A333C0" w14:textId="26206AEE" w:rsidR="00034AF0" w:rsidRDefault="002E315E" w:rsidP="00C13694">
      <w:pPr>
        <w:widowControl w:val="0"/>
        <w:ind w:firstLine="0"/>
        <w:rPr>
          <w:rFonts w:eastAsia="Times New Roman" w:cs="Times New Roman"/>
          <w:color w:val="000000"/>
          <w:szCs w:val="24"/>
          <w:lang w:eastAsia="lv-LV"/>
        </w:rPr>
      </w:pPr>
      <w:r w:rsidRPr="0023440A">
        <w:rPr>
          <w:rFonts w:eastAsia="Times New Roman" w:cs="Times New Roman"/>
          <w:color w:val="000000"/>
          <w:szCs w:val="24"/>
          <w:lang w:eastAsia="lv-LV"/>
        </w:rPr>
        <w:t>2. tabula</w:t>
      </w:r>
      <w:r w:rsidR="0023440A">
        <w:rPr>
          <w:rFonts w:eastAsia="Times New Roman" w:cs="Times New Roman"/>
          <w:color w:val="000000"/>
          <w:szCs w:val="24"/>
          <w:lang w:eastAsia="lv-LV"/>
        </w:rPr>
        <w:t>.</w:t>
      </w:r>
      <w:r w:rsidRPr="0023440A">
        <w:rPr>
          <w:rFonts w:eastAsia="Times New Roman" w:cs="Times New Roman"/>
          <w:color w:val="000000"/>
          <w:szCs w:val="24"/>
          <w:lang w:eastAsia="lv-LV"/>
        </w:rPr>
        <w:t xml:space="preserve"> </w:t>
      </w:r>
      <w:r w:rsidR="00034AF0" w:rsidRPr="0023440A">
        <w:rPr>
          <w:rFonts w:eastAsia="Times New Roman" w:cs="Times New Roman"/>
          <w:color w:val="000000"/>
          <w:szCs w:val="24"/>
          <w:lang w:eastAsia="lv-LV"/>
        </w:rPr>
        <w:t>Dzīvojamo un nedzīvojamo ēku, inženierbūvju skaits un platība</w:t>
      </w:r>
      <w:r w:rsidR="00C13694" w:rsidRPr="00A15C92">
        <w:rPr>
          <w:rFonts w:eastAsia="Calibri" w:cs="Times New Roman"/>
          <w:iCs/>
          <w:szCs w:val="24"/>
          <w:vertAlign w:val="superscript"/>
        </w:rPr>
        <w:footnoteReference w:id="2"/>
      </w:r>
    </w:p>
    <w:p w14:paraId="44B2F12C" w14:textId="77777777" w:rsidR="000C3493" w:rsidRPr="00C13694" w:rsidRDefault="000C3493" w:rsidP="00C13694">
      <w:pPr>
        <w:widowControl w:val="0"/>
        <w:ind w:firstLine="0"/>
        <w:rPr>
          <w:rFonts w:eastAsia="Calibri" w:cs="Times New Roman"/>
        </w:rPr>
      </w:pPr>
    </w:p>
    <w:tbl>
      <w:tblPr>
        <w:tblW w:w="10986" w:type="dxa"/>
        <w:tblInd w:w="-1352" w:type="dxa"/>
        <w:tblLook w:val="04A0" w:firstRow="1" w:lastRow="0" w:firstColumn="1" w:lastColumn="0" w:noHBand="0" w:noVBand="1"/>
      </w:tblPr>
      <w:tblGrid>
        <w:gridCol w:w="577"/>
        <w:gridCol w:w="684"/>
        <w:gridCol w:w="4816"/>
        <w:gridCol w:w="916"/>
        <w:gridCol w:w="878"/>
        <w:gridCol w:w="1066"/>
        <w:gridCol w:w="1066"/>
        <w:gridCol w:w="983"/>
      </w:tblGrid>
      <w:tr w:rsidR="00034AF0" w:rsidRPr="00B069B9" w14:paraId="16603552" w14:textId="77777777" w:rsidTr="00081C04">
        <w:trPr>
          <w:trHeight w:val="648"/>
        </w:trPr>
        <w:tc>
          <w:tcPr>
            <w:tcW w:w="577" w:type="dxa"/>
            <w:tcBorders>
              <w:top w:val="single" w:sz="8" w:space="0" w:color="auto"/>
              <w:left w:val="single" w:sz="8" w:space="0" w:color="auto"/>
              <w:bottom w:val="nil"/>
              <w:right w:val="single" w:sz="8" w:space="0" w:color="auto"/>
            </w:tcBorders>
            <w:shd w:val="clear" w:color="auto" w:fill="auto"/>
            <w:vAlign w:val="center"/>
            <w:hideMark/>
          </w:tcPr>
          <w:p w14:paraId="7E052AC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Nr.</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473949"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Kods</w:t>
            </w:r>
          </w:p>
        </w:tc>
        <w:tc>
          <w:tcPr>
            <w:tcW w:w="4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6D7E75"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Galvenais lietošanas veids</w:t>
            </w:r>
          </w:p>
        </w:tc>
        <w:tc>
          <w:tcPr>
            <w:tcW w:w="9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993FA5"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Ēku (būvju) skaits</w:t>
            </w:r>
          </w:p>
        </w:tc>
        <w:tc>
          <w:tcPr>
            <w:tcW w:w="8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B8192"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Platība, milj. m2</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1695C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no kopējā būvju skaita</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7CE808"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no kopējās platības</w:t>
            </w:r>
          </w:p>
        </w:tc>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E5499"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Būve dabā neeksistē</w:t>
            </w:r>
          </w:p>
        </w:tc>
      </w:tr>
      <w:tr w:rsidR="00034AF0" w:rsidRPr="00B069B9" w14:paraId="5046BF2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3EA4610"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p.k.</w:t>
            </w:r>
          </w:p>
        </w:tc>
        <w:tc>
          <w:tcPr>
            <w:tcW w:w="684" w:type="dxa"/>
            <w:vMerge/>
            <w:tcBorders>
              <w:top w:val="single" w:sz="8" w:space="0" w:color="auto"/>
              <w:left w:val="single" w:sz="8" w:space="0" w:color="auto"/>
              <w:bottom w:val="single" w:sz="8" w:space="0" w:color="000000"/>
              <w:right w:val="single" w:sz="8" w:space="0" w:color="auto"/>
            </w:tcBorders>
            <w:vAlign w:val="center"/>
            <w:hideMark/>
          </w:tcPr>
          <w:p w14:paraId="4D8E7AED"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4816" w:type="dxa"/>
            <w:vMerge/>
            <w:tcBorders>
              <w:top w:val="single" w:sz="8" w:space="0" w:color="auto"/>
              <w:left w:val="single" w:sz="8" w:space="0" w:color="auto"/>
              <w:bottom w:val="single" w:sz="8" w:space="0" w:color="000000"/>
              <w:right w:val="single" w:sz="8" w:space="0" w:color="auto"/>
            </w:tcBorders>
            <w:vAlign w:val="center"/>
            <w:hideMark/>
          </w:tcPr>
          <w:p w14:paraId="6E0EA8E4"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916" w:type="dxa"/>
            <w:vMerge/>
            <w:tcBorders>
              <w:top w:val="single" w:sz="8" w:space="0" w:color="auto"/>
              <w:left w:val="single" w:sz="8" w:space="0" w:color="auto"/>
              <w:bottom w:val="single" w:sz="8" w:space="0" w:color="000000"/>
              <w:right w:val="single" w:sz="8" w:space="0" w:color="auto"/>
            </w:tcBorders>
            <w:vAlign w:val="center"/>
            <w:hideMark/>
          </w:tcPr>
          <w:p w14:paraId="43722804"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878" w:type="dxa"/>
            <w:vMerge/>
            <w:tcBorders>
              <w:top w:val="single" w:sz="8" w:space="0" w:color="auto"/>
              <w:left w:val="single" w:sz="8" w:space="0" w:color="auto"/>
              <w:bottom w:val="single" w:sz="8" w:space="0" w:color="000000"/>
              <w:right w:val="single" w:sz="8" w:space="0" w:color="auto"/>
            </w:tcBorders>
            <w:vAlign w:val="center"/>
            <w:hideMark/>
          </w:tcPr>
          <w:p w14:paraId="0D75FE98"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14:paraId="02B4B83B"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14:paraId="6A0C6CF3" w14:textId="77777777" w:rsidR="00034AF0" w:rsidRPr="00B069B9" w:rsidRDefault="00034AF0" w:rsidP="00081C04">
            <w:pPr>
              <w:ind w:firstLine="0"/>
              <w:jc w:val="left"/>
              <w:rPr>
                <w:rFonts w:eastAsia="Times New Roman" w:cs="Times New Roman"/>
                <w:b/>
                <w:bCs/>
                <w:color w:val="000000"/>
                <w:sz w:val="20"/>
                <w:szCs w:val="20"/>
                <w:lang w:eastAsia="lv-LV"/>
              </w:rPr>
            </w:pPr>
          </w:p>
        </w:tc>
        <w:tc>
          <w:tcPr>
            <w:tcW w:w="983" w:type="dxa"/>
            <w:vMerge/>
            <w:tcBorders>
              <w:top w:val="single" w:sz="8" w:space="0" w:color="auto"/>
              <w:left w:val="single" w:sz="8" w:space="0" w:color="auto"/>
              <w:bottom w:val="single" w:sz="8" w:space="0" w:color="000000"/>
              <w:right w:val="single" w:sz="8" w:space="0" w:color="auto"/>
            </w:tcBorders>
            <w:vAlign w:val="center"/>
            <w:hideMark/>
          </w:tcPr>
          <w:p w14:paraId="79BC84FC" w14:textId="77777777" w:rsidR="00034AF0" w:rsidRPr="00B069B9" w:rsidRDefault="00034AF0" w:rsidP="00081C04">
            <w:pPr>
              <w:ind w:firstLine="0"/>
              <w:jc w:val="left"/>
              <w:rPr>
                <w:rFonts w:eastAsia="Times New Roman" w:cs="Times New Roman"/>
                <w:b/>
                <w:bCs/>
                <w:color w:val="000000"/>
                <w:sz w:val="20"/>
                <w:szCs w:val="20"/>
                <w:lang w:eastAsia="lv-LV"/>
              </w:rPr>
            </w:pPr>
          </w:p>
        </w:tc>
      </w:tr>
      <w:tr w:rsidR="00034AF0" w:rsidRPr="00B069B9" w14:paraId="61B9EC16"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520A5C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c>
          <w:tcPr>
            <w:tcW w:w="684" w:type="dxa"/>
            <w:tcBorders>
              <w:top w:val="nil"/>
              <w:left w:val="nil"/>
              <w:bottom w:val="single" w:sz="8" w:space="0" w:color="auto"/>
              <w:right w:val="single" w:sz="8" w:space="0" w:color="auto"/>
            </w:tcBorders>
            <w:shd w:val="clear" w:color="auto" w:fill="auto"/>
            <w:vAlign w:val="center"/>
            <w:hideMark/>
          </w:tcPr>
          <w:p w14:paraId="1084458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1110</w:t>
            </w:r>
          </w:p>
        </w:tc>
        <w:tc>
          <w:tcPr>
            <w:tcW w:w="4816" w:type="dxa"/>
            <w:tcBorders>
              <w:top w:val="nil"/>
              <w:left w:val="nil"/>
              <w:bottom w:val="single" w:sz="8" w:space="0" w:color="auto"/>
              <w:right w:val="single" w:sz="8" w:space="0" w:color="auto"/>
            </w:tcBorders>
            <w:shd w:val="clear" w:color="auto" w:fill="auto"/>
            <w:noWrap/>
            <w:vAlign w:val="center"/>
            <w:hideMark/>
          </w:tcPr>
          <w:p w14:paraId="3D6CAA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Viena dzīvokļa mājas</w:t>
            </w:r>
          </w:p>
        </w:tc>
        <w:tc>
          <w:tcPr>
            <w:tcW w:w="916" w:type="dxa"/>
            <w:tcBorders>
              <w:top w:val="nil"/>
              <w:left w:val="nil"/>
              <w:bottom w:val="single" w:sz="8" w:space="0" w:color="auto"/>
              <w:right w:val="single" w:sz="8" w:space="0" w:color="auto"/>
            </w:tcBorders>
            <w:shd w:val="clear" w:color="auto" w:fill="auto"/>
            <w:noWrap/>
            <w:vAlign w:val="center"/>
            <w:hideMark/>
          </w:tcPr>
          <w:p w14:paraId="0CCA7C6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309929</w:t>
            </w:r>
          </w:p>
        </w:tc>
        <w:tc>
          <w:tcPr>
            <w:tcW w:w="878" w:type="dxa"/>
            <w:tcBorders>
              <w:top w:val="nil"/>
              <w:left w:val="nil"/>
              <w:bottom w:val="single" w:sz="8" w:space="0" w:color="auto"/>
              <w:right w:val="single" w:sz="8" w:space="0" w:color="auto"/>
            </w:tcBorders>
            <w:shd w:val="clear" w:color="auto" w:fill="auto"/>
            <w:noWrap/>
            <w:vAlign w:val="center"/>
            <w:hideMark/>
          </w:tcPr>
          <w:p w14:paraId="4F12A03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36.50</w:t>
            </w:r>
          </w:p>
        </w:tc>
        <w:tc>
          <w:tcPr>
            <w:tcW w:w="1066" w:type="dxa"/>
            <w:tcBorders>
              <w:top w:val="nil"/>
              <w:left w:val="nil"/>
              <w:bottom w:val="single" w:sz="8" w:space="0" w:color="auto"/>
              <w:right w:val="single" w:sz="8" w:space="0" w:color="auto"/>
            </w:tcBorders>
            <w:shd w:val="clear" w:color="auto" w:fill="auto"/>
            <w:vAlign w:val="center"/>
            <w:hideMark/>
          </w:tcPr>
          <w:p w14:paraId="1899CF1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22.091%</w:t>
            </w:r>
          </w:p>
        </w:tc>
        <w:tc>
          <w:tcPr>
            <w:tcW w:w="1066" w:type="dxa"/>
            <w:tcBorders>
              <w:top w:val="nil"/>
              <w:left w:val="nil"/>
              <w:bottom w:val="single" w:sz="8" w:space="0" w:color="auto"/>
              <w:right w:val="single" w:sz="8" w:space="0" w:color="auto"/>
            </w:tcBorders>
            <w:shd w:val="clear" w:color="auto" w:fill="auto"/>
            <w:vAlign w:val="center"/>
            <w:hideMark/>
          </w:tcPr>
          <w:p w14:paraId="5FAADFD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17.666%</w:t>
            </w:r>
          </w:p>
        </w:tc>
        <w:tc>
          <w:tcPr>
            <w:tcW w:w="983" w:type="dxa"/>
            <w:tcBorders>
              <w:top w:val="nil"/>
              <w:left w:val="nil"/>
              <w:bottom w:val="single" w:sz="8" w:space="0" w:color="auto"/>
              <w:right w:val="single" w:sz="8" w:space="0" w:color="auto"/>
            </w:tcBorders>
            <w:shd w:val="clear" w:color="auto" w:fill="auto"/>
            <w:vAlign w:val="center"/>
            <w:hideMark/>
          </w:tcPr>
          <w:p w14:paraId="395A8C0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655</w:t>
            </w:r>
          </w:p>
        </w:tc>
      </w:tr>
      <w:tr w:rsidR="00034AF0" w:rsidRPr="00B069B9" w14:paraId="23DF0ED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4A2ED2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w:t>
            </w:r>
          </w:p>
        </w:tc>
        <w:tc>
          <w:tcPr>
            <w:tcW w:w="684" w:type="dxa"/>
            <w:tcBorders>
              <w:top w:val="nil"/>
              <w:left w:val="nil"/>
              <w:bottom w:val="single" w:sz="8" w:space="0" w:color="auto"/>
              <w:right w:val="single" w:sz="8" w:space="0" w:color="auto"/>
            </w:tcBorders>
            <w:shd w:val="clear" w:color="auto" w:fill="auto"/>
            <w:vAlign w:val="center"/>
            <w:hideMark/>
          </w:tcPr>
          <w:p w14:paraId="6970868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1121</w:t>
            </w:r>
          </w:p>
        </w:tc>
        <w:tc>
          <w:tcPr>
            <w:tcW w:w="4816" w:type="dxa"/>
            <w:tcBorders>
              <w:top w:val="nil"/>
              <w:left w:val="nil"/>
              <w:bottom w:val="single" w:sz="8" w:space="0" w:color="auto"/>
              <w:right w:val="single" w:sz="8" w:space="0" w:color="auto"/>
            </w:tcBorders>
            <w:shd w:val="clear" w:color="auto" w:fill="auto"/>
            <w:noWrap/>
            <w:vAlign w:val="center"/>
            <w:hideMark/>
          </w:tcPr>
          <w:p w14:paraId="1CE5939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Divu dzīvokļu mājas</w:t>
            </w:r>
          </w:p>
        </w:tc>
        <w:tc>
          <w:tcPr>
            <w:tcW w:w="916" w:type="dxa"/>
            <w:tcBorders>
              <w:top w:val="nil"/>
              <w:left w:val="nil"/>
              <w:bottom w:val="single" w:sz="8" w:space="0" w:color="auto"/>
              <w:right w:val="single" w:sz="8" w:space="0" w:color="auto"/>
            </w:tcBorders>
            <w:shd w:val="clear" w:color="auto" w:fill="auto"/>
            <w:noWrap/>
            <w:vAlign w:val="center"/>
            <w:hideMark/>
          </w:tcPr>
          <w:p w14:paraId="2E5C5B6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13938</w:t>
            </w:r>
          </w:p>
        </w:tc>
        <w:tc>
          <w:tcPr>
            <w:tcW w:w="878" w:type="dxa"/>
            <w:tcBorders>
              <w:top w:val="nil"/>
              <w:left w:val="nil"/>
              <w:bottom w:val="single" w:sz="8" w:space="0" w:color="auto"/>
              <w:right w:val="single" w:sz="8" w:space="0" w:color="auto"/>
            </w:tcBorders>
            <w:shd w:val="clear" w:color="auto" w:fill="auto"/>
            <w:noWrap/>
            <w:vAlign w:val="center"/>
            <w:hideMark/>
          </w:tcPr>
          <w:p w14:paraId="282A695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2.20</w:t>
            </w:r>
          </w:p>
        </w:tc>
        <w:tc>
          <w:tcPr>
            <w:tcW w:w="1066" w:type="dxa"/>
            <w:tcBorders>
              <w:top w:val="nil"/>
              <w:left w:val="nil"/>
              <w:bottom w:val="single" w:sz="8" w:space="0" w:color="auto"/>
              <w:right w:val="single" w:sz="8" w:space="0" w:color="auto"/>
            </w:tcBorders>
            <w:shd w:val="clear" w:color="auto" w:fill="auto"/>
            <w:vAlign w:val="center"/>
            <w:hideMark/>
          </w:tcPr>
          <w:p w14:paraId="7E16EA1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0.993%</w:t>
            </w:r>
          </w:p>
        </w:tc>
        <w:tc>
          <w:tcPr>
            <w:tcW w:w="1066" w:type="dxa"/>
            <w:tcBorders>
              <w:top w:val="nil"/>
              <w:left w:val="nil"/>
              <w:bottom w:val="single" w:sz="8" w:space="0" w:color="auto"/>
              <w:right w:val="single" w:sz="8" w:space="0" w:color="auto"/>
            </w:tcBorders>
            <w:shd w:val="clear" w:color="auto" w:fill="auto"/>
            <w:vAlign w:val="center"/>
            <w:hideMark/>
          </w:tcPr>
          <w:p w14:paraId="501E7D5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1.066%</w:t>
            </w:r>
          </w:p>
        </w:tc>
        <w:tc>
          <w:tcPr>
            <w:tcW w:w="983" w:type="dxa"/>
            <w:tcBorders>
              <w:top w:val="nil"/>
              <w:left w:val="nil"/>
              <w:bottom w:val="single" w:sz="8" w:space="0" w:color="auto"/>
              <w:right w:val="single" w:sz="8" w:space="0" w:color="auto"/>
            </w:tcBorders>
            <w:shd w:val="clear" w:color="auto" w:fill="auto"/>
            <w:vAlign w:val="center"/>
            <w:hideMark/>
          </w:tcPr>
          <w:p w14:paraId="3CBC6E4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w:t>
            </w:r>
          </w:p>
        </w:tc>
      </w:tr>
      <w:tr w:rsidR="00034AF0" w:rsidRPr="00B069B9" w14:paraId="3FD6FF8E"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F49AD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w:t>
            </w:r>
          </w:p>
        </w:tc>
        <w:tc>
          <w:tcPr>
            <w:tcW w:w="684" w:type="dxa"/>
            <w:tcBorders>
              <w:top w:val="nil"/>
              <w:left w:val="nil"/>
              <w:bottom w:val="single" w:sz="8" w:space="0" w:color="auto"/>
              <w:right w:val="single" w:sz="8" w:space="0" w:color="auto"/>
            </w:tcBorders>
            <w:shd w:val="clear" w:color="auto" w:fill="auto"/>
            <w:vAlign w:val="center"/>
            <w:hideMark/>
          </w:tcPr>
          <w:p w14:paraId="08909A2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1122</w:t>
            </w:r>
          </w:p>
        </w:tc>
        <w:tc>
          <w:tcPr>
            <w:tcW w:w="4816" w:type="dxa"/>
            <w:tcBorders>
              <w:top w:val="nil"/>
              <w:left w:val="nil"/>
              <w:bottom w:val="single" w:sz="8" w:space="0" w:color="auto"/>
              <w:right w:val="single" w:sz="8" w:space="0" w:color="auto"/>
            </w:tcBorders>
            <w:shd w:val="clear" w:color="auto" w:fill="auto"/>
            <w:noWrap/>
            <w:vAlign w:val="center"/>
            <w:hideMark/>
          </w:tcPr>
          <w:p w14:paraId="2E75AD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Triju un vairāku dzīvokļu mājas</w:t>
            </w:r>
          </w:p>
        </w:tc>
        <w:tc>
          <w:tcPr>
            <w:tcW w:w="916" w:type="dxa"/>
            <w:tcBorders>
              <w:top w:val="nil"/>
              <w:left w:val="nil"/>
              <w:bottom w:val="single" w:sz="8" w:space="0" w:color="auto"/>
              <w:right w:val="single" w:sz="8" w:space="0" w:color="auto"/>
            </w:tcBorders>
            <w:shd w:val="clear" w:color="auto" w:fill="auto"/>
            <w:noWrap/>
            <w:vAlign w:val="center"/>
            <w:hideMark/>
          </w:tcPr>
          <w:p w14:paraId="737C5CA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39477</w:t>
            </w:r>
          </w:p>
        </w:tc>
        <w:tc>
          <w:tcPr>
            <w:tcW w:w="878" w:type="dxa"/>
            <w:tcBorders>
              <w:top w:val="nil"/>
              <w:left w:val="nil"/>
              <w:bottom w:val="single" w:sz="8" w:space="0" w:color="auto"/>
              <w:right w:val="single" w:sz="8" w:space="0" w:color="auto"/>
            </w:tcBorders>
            <w:shd w:val="clear" w:color="auto" w:fill="auto"/>
            <w:noWrap/>
            <w:vAlign w:val="center"/>
            <w:hideMark/>
          </w:tcPr>
          <w:p w14:paraId="04FB74D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51.55</w:t>
            </w:r>
          </w:p>
        </w:tc>
        <w:tc>
          <w:tcPr>
            <w:tcW w:w="1066" w:type="dxa"/>
            <w:tcBorders>
              <w:top w:val="nil"/>
              <w:left w:val="nil"/>
              <w:bottom w:val="single" w:sz="8" w:space="0" w:color="auto"/>
              <w:right w:val="single" w:sz="8" w:space="0" w:color="auto"/>
            </w:tcBorders>
            <w:shd w:val="clear" w:color="auto" w:fill="auto"/>
            <w:vAlign w:val="center"/>
            <w:hideMark/>
          </w:tcPr>
          <w:p w14:paraId="3DBD636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2.814%</w:t>
            </w:r>
          </w:p>
        </w:tc>
        <w:tc>
          <w:tcPr>
            <w:tcW w:w="1066" w:type="dxa"/>
            <w:tcBorders>
              <w:top w:val="nil"/>
              <w:left w:val="nil"/>
              <w:bottom w:val="single" w:sz="8" w:space="0" w:color="auto"/>
              <w:right w:val="single" w:sz="8" w:space="0" w:color="auto"/>
            </w:tcBorders>
            <w:shd w:val="clear" w:color="auto" w:fill="auto"/>
            <w:vAlign w:val="center"/>
            <w:hideMark/>
          </w:tcPr>
          <w:p w14:paraId="259B01F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24.953%</w:t>
            </w:r>
          </w:p>
        </w:tc>
        <w:tc>
          <w:tcPr>
            <w:tcW w:w="983" w:type="dxa"/>
            <w:tcBorders>
              <w:top w:val="nil"/>
              <w:left w:val="nil"/>
              <w:bottom w:val="single" w:sz="8" w:space="0" w:color="auto"/>
              <w:right w:val="single" w:sz="8" w:space="0" w:color="auto"/>
            </w:tcBorders>
            <w:shd w:val="clear" w:color="auto" w:fill="auto"/>
            <w:vAlign w:val="center"/>
            <w:hideMark/>
          </w:tcPr>
          <w:p w14:paraId="46A8411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30</w:t>
            </w:r>
          </w:p>
        </w:tc>
      </w:tr>
      <w:tr w:rsidR="00034AF0" w:rsidRPr="00B069B9" w14:paraId="4AA17C84"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616B46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w:t>
            </w:r>
          </w:p>
        </w:tc>
        <w:tc>
          <w:tcPr>
            <w:tcW w:w="684" w:type="dxa"/>
            <w:tcBorders>
              <w:top w:val="nil"/>
              <w:left w:val="nil"/>
              <w:bottom w:val="single" w:sz="8" w:space="0" w:color="auto"/>
              <w:right w:val="single" w:sz="8" w:space="0" w:color="auto"/>
            </w:tcBorders>
            <w:shd w:val="clear" w:color="auto" w:fill="auto"/>
            <w:vAlign w:val="center"/>
            <w:hideMark/>
          </w:tcPr>
          <w:p w14:paraId="201336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1130</w:t>
            </w:r>
          </w:p>
        </w:tc>
        <w:tc>
          <w:tcPr>
            <w:tcW w:w="4816" w:type="dxa"/>
            <w:tcBorders>
              <w:top w:val="nil"/>
              <w:left w:val="nil"/>
              <w:bottom w:val="single" w:sz="8" w:space="0" w:color="auto"/>
              <w:right w:val="single" w:sz="8" w:space="0" w:color="auto"/>
            </w:tcBorders>
            <w:shd w:val="clear" w:color="auto" w:fill="auto"/>
            <w:noWrap/>
            <w:vAlign w:val="center"/>
            <w:hideMark/>
          </w:tcPr>
          <w:p w14:paraId="1C2FBAD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Dažādu sociālo grupu kopdzīvojamās mājas</w:t>
            </w:r>
          </w:p>
        </w:tc>
        <w:tc>
          <w:tcPr>
            <w:tcW w:w="916" w:type="dxa"/>
            <w:tcBorders>
              <w:top w:val="nil"/>
              <w:left w:val="nil"/>
              <w:bottom w:val="single" w:sz="8" w:space="0" w:color="auto"/>
              <w:right w:val="single" w:sz="8" w:space="0" w:color="auto"/>
            </w:tcBorders>
            <w:shd w:val="clear" w:color="auto" w:fill="auto"/>
            <w:noWrap/>
            <w:vAlign w:val="center"/>
            <w:hideMark/>
          </w:tcPr>
          <w:p w14:paraId="6E202E5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647</w:t>
            </w:r>
          </w:p>
        </w:tc>
        <w:tc>
          <w:tcPr>
            <w:tcW w:w="878" w:type="dxa"/>
            <w:tcBorders>
              <w:top w:val="nil"/>
              <w:left w:val="nil"/>
              <w:bottom w:val="single" w:sz="8" w:space="0" w:color="auto"/>
              <w:right w:val="single" w:sz="8" w:space="0" w:color="auto"/>
            </w:tcBorders>
            <w:shd w:val="clear" w:color="auto" w:fill="auto"/>
            <w:noWrap/>
            <w:vAlign w:val="center"/>
            <w:hideMark/>
          </w:tcPr>
          <w:p w14:paraId="639E7DB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0.83</w:t>
            </w:r>
          </w:p>
        </w:tc>
        <w:tc>
          <w:tcPr>
            <w:tcW w:w="1066" w:type="dxa"/>
            <w:tcBorders>
              <w:top w:val="nil"/>
              <w:left w:val="nil"/>
              <w:bottom w:val="single" w:sz="8" w:space="0" w:color="auto"/>
              <w:right w:val="single" w:sz="8" w:space="0" w:color="auto"/>
            </w:tcBorders>
            <w:shd w:val="clear" w:color="auto" w:fill="auto"/>
            <w:vAlign w:val="center"/>
            <w:hideMark/>
          </w:tcPr>
          <w:p w14:paraId="5249EC0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0.046%</w:t>
            </w:r>
          </w:p>
        </w:tc>
        <w:tc>
          <w:tcPr>
            <w:tcW w:w="1066" w:type="dxa"/>
            <w:tcBorders>
              <w:top w:val="nil"/>
              <w:left w:val="nil"/>
              <w:bottom w:val="single" w:sz="8" w:space="0" w:color="auto"/>
              <w:right w:val="single" w:sz="8" w:space="0" w:color="auto"/>
            </w:tcBorders>
            <w:shd w:val="clear" w:color="auto" w:fill="auto"/>
            <w:vAlign w:val="center"/>
            <w:hideMark/>
          </w:tcPr>
          <w:p w14:paraId="78F005B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0.404%</w:t>
            </w:r>
          </w:p>
        </w:tc>
        <w:tc>
          <w:tcPr>
            <w:tcW w:w="983" w:type="dxa"/>
            <w:tcBorders>
              <w:top w:val="nil"/>
              <w:left w:val="nil"/>
              <w:bottom w:val="single" w:sz="8" w:space="0" w:color="auto"/>
              <w:right w:val="single" w:sz="8" w:space="0" w:color="auto"/>
            </w:tcBorders>
            <w:shd w:val="clear" w:color="auto" w:fill="auto"/>
            <w:vAlign w:val="center"/>
            <w:hideMark/>
          </w:tcPr>
          <w:p w14:paraId="2B17C9B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r>
      <w:tr w:rsidR="00034AF0" w:rsidRPr="00B069B9" w14:paraId="06C4BF43"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32BF6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Dzīvojamās mājas kopā</w:t>
            </w:r>
          </w:p>
        </w:tc>
        <w:tc>
          <w:tcPr>
            <w:tcW w:w="916" w:type="dxa"/>
            <w:tcBorders>
              <w:top w:val="nil"/>
              <w:left w:val="nil"/>
              <w:bottom w:val="single" w:sz="8" w:space="0" w:color="auto"/>
              <w:right w:val="single" w:sz="8" w:space="0" w:color="auto"/>
            </w:tcBorders>
            <w:shd w:val="clear" w:color="auto" w:fill="auto"/>
            <w:noWrap/>
            <w:vAlign w:val="center"/>
            <w:hideMark/>
          </w:tcPr>
          <w:p w14:paraId="25E5980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363991</w:t>
            </w:r>
          </w:p>
        </w:tc>
        <w:tc>
          <w:tcPr>
            <w:tcW w:w="878" w:type="dxa"/>
            <w:tcBorders>
              <w:top w:val="nil"/>
              <w:left w:val="nil"/>
              <w:bottom w:val="single" w:sz="8" w:space="0" w:color="auto"/>
              <w:right w:val="single" w:sz="8" w:space="0" w:color="auto"/>
            </w:tcBorders>
            <w:shd w:val="clear" w:color="auto" w:fill="auto"/>
            <w:noWrap/>
            <w:vAlign w:val="center"/>
            <w:hideMark/>
          </w:tcPr>
          <w:p w14:paraId="7406149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91.08</w:t>
            </w:r>
          </w:p>
        </w:tc>
        <w:tc>
          <w:tcPr>
            <w:tcW w:w="1066" w:type="dxa"/>
            <w:tcBorders>
              <w:top w:val="nil"/>
              <w:left w:val="nil"/>
              <w:bottom w:val="single" w:sz="8" w:space="0" w:color="auto"/>
              <w:right w:val="single" w:sz="8" w:space="0" w:color="auto"/>
            </w:tcBorders>
            <w:shd w:val="clear" w:color="auto" w:fill="auto"/>
            <w:vAlign w:val="center"/>
            <w:hideMark/>
          </w:tcPr>
          <w:p w14:paraId="284FD838"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25.945%</w:t>
            </w:r>
          </w:p>
        </w:tc>
        <w:tc>
          <w:tcPr>
            <w:tcW w:w="1066" w:type="dxa"/>
            <w:tcBorders>
              <w:top w:val="nil"/>
              <w:left w:val="nil"/>
              <w:bottom w:val="single" w:sz="8" w:space="0" w:color="auto"/>
              <w:right w:val="single" w:sz="8" w:space="0" w:color="auto"/>
            </w:tcBorders>
            <w:shd w:val="clear" w:color="auto" w:fill="auto"/>
            <w:vAlign w:val="center"/>
            <w:hideMark/>
          </w:tcPr>
          <w:p w14:paraId="1A269238"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44.089%</w:t>
            </w:r>
          </w:p>
        </w:tc>
        <w:tc>
          <w:tcPr>
            <w:tcW w:w="983" w:type="dxa"/>
            <w:tcBorders>
              <w:top w:val="nil"/>
              <w:left w:val="nil"/>
              <w:bottom w:val="single" w:sz="8" w:space="0" w:color="auto"/>
              <w:right w:val="single" w:sz="8" w:space="0" w:color="auto"/>
            </w:tcBorders>
            <w:shd w:val="clear" w:color="auto" w:fill="auto"/>
            <w:vAlign w:val="center"/>
            <w:hideMark/>
          </w:tcPr>
          <w:p w14:paraId="54C438D2" w14:textId="77777777" w:rsidR="00034AF0" w:rsidRPr="00B069B9" w:rsidRDefault="00034AF0" w:rsidP="00081C04">
            <w:pPr>
              <w:ind w:firstLine="0"/>
              <w:jc w:val="center"/>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699</w:t>
            </w:r>
          </w:p>
        </w:tc>
      </w:tr>
      <w:tr w:rsidR="00034AF0" w:rsidRPr="00B069B9" w14:paraId="6A888620"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4EA21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w:t>
            </w:r>
          </w:p>
        </w:tc>
        <w:tc>
          <w:tcPr>
            <w:tcW w:w="684" w:type="dxa"/>
            <w:tcBorders>
              <w:top w:val="nil"/>
              <w:left w:val="nil"/>
              <w:bottom w:val="single" w:sz="8" w:space="0" w:color="auto"/>
              <w:right w:val="single" w:sz="8" w:space="0" w:color="auto"/>
            </w:tcBorders>
            <w:shd w:val="clear" w:color="auto" w:fill="auto"/>
            <w:vAlign w:val="center"/>
            <w:hideMark/>
          </w:tcPr>
          <w:p w14:paraId="650822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1211</w:t>
            </w:r>
          </w:p>
        </w:tc>
        <w:tc>
          <w:tcPr>
            <w:tcW w:w="4816" w:type="dxa"/>
            <w:tcBorders>
              <w:top w:val="nil"/>
              <w:left w:val="nil"/>
              <w:bottom w:val="single" w:sz="8" w:space="0" w:color="auto"/>
              <w:right w:val="single" w:sz="8" w:space="0" w:color="auto"/>
            </w:tcBorders>
            <w:shd w:val="clear" w:color="auto" w:fill="auto"/>
            <w:noWrap/>
            <w:vAlign w:val="center"/>
            <w:hideMark/>
          </w:tcPr>
          <w:p w14:paraId="0431AF6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Viesnīcu ēkas</w:t>
            </w:r>
          </w:p>
        </w:tc>
        <w:tc>
          <w:tcPr>
            <w:tcW w:w="916" w:type="dxa"/>
            <w:tcBorders>
              <w:top w:val="nil"/>
              <w:left w:val="nil"/>
              <w:bottom w:val="single" w:sz="8" w:space="0" w:color="auto"/>
              <w:right w:val="single" w:sz="8" w:space="0" w:color="auto"/>
            </w:tcBorders>
            <w:shd w:val="clear" w:color="auto" w:fill="auto"/>
            <w:noWrap/>
            <w:vAlign w:val="center"/>
            <w:hideMark/>
          </w:tcPr>
          <w:p w14:paraId="0123B8B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2928</w:t>
            </w:r>
          </w:p>
        </w:tc>
        <w:tc>
          <w:tcPr>
            <w:tcW w:w="878" w:type="dxa"/>
            <w:tcBorders>
              <w:top w:val="nil"/>
              <w:left w:val="nil"/>
              <w:bottom w:val="single" w:sz="8" w:space="0" w:color="auto"/>
              <w:right w:val="single" w:sz="8" w:space="0" w:color="auto"/>
            </w:tcBorders>
            <w:shd w:val="clear" w:color="auto" w:fill="auto"/>
            <w:noWrap/>
            <w:vAlign w:val="center"/>
            <w:hideMark/>
          </w:tcPr>
          <w:p w14:paraId="5271652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2.35</w:t>
            </w:r>
          </w:p>
        </w:tc>
        <w:tc>
          <w:tcPr>
            <w:tcW w:w="1066" w:type="dxa"/>
            <w:tcBorders>
              <w:top w:val="nil"/>
              <w:left w:val="nil"/>
              <w:bottom w:val="single" w:sz="8" w:space="0" w:color="auto"/>
              <w:right w:val="single" w:sz="8" w:space="0" w:color="auto"/>
            </w:tcBorders>
            <w:shd w:val="clear" w:color="auto" w:fill="auto"/>
            <w:vAlign w:val="center"/>
            <w:hideMark/>
          </w:tcPr>
          <w:p w14:paraId="6343210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0.209%</w:t>
            </w:r>
          </w:p>
        </w:tc>
        <w:tc>
          <w:tcPr>
            <w:tcW w:w="1066" w:type="dxa"/>
            <w:tcBorders>
              <w:top w:val="nil"/>
              <w:left w:val="nil"/>
              <w:bottom w:val="single" w:sz="8" w:space="0" w:color="auto"/>
              <w:right w:val="single" w:sz="8" w:space="0" w:color="auto"/>
            </w:tcBorders>
            <w:shd w:val="clear" w:color="auto" w:fill="auto"/>
            <w:vAlign w:val="center"/>
            <w:hideMark/>
          </w:tcPr>
          <w:p w14:paraId="2156D8E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1.139%</w:t>
            </w:r>
          </w:p>
        </w:tc>
        <w:tc>
          <w:tcPr>
            <w:tcW w:w="983" w:type="dxa"/>
            <w:tcBorders>
              <w:top w:val="nil"/>
              <w:left w:val="nil"/>
              <w:bottom w:val="single" w:sz="8" w:space="0" w:color="auto"/>
              <w:right w:val="single" w:sz="8" w:space="0" w:color="auto"/>
            </w:tcBorders>
            <w:shd w:val="clear" w:color="auto" w:fill="auto"/>
            <w:vAlign w:val="center"/>
            <w:hideMark/>
          </w:tcPr>
          <w:p w14:paraId="1BCB8A6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w:t>
            </w:r>
          </w:p>
        </w:tc>
      </w:tr>
      <w:tr w:rsidR="00034AF0" w:rsidRPr="00B069B9" w14:paraId="4A11845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28E602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w:t>
            </w:r>
          </w:p>
        </w:tc>
        <w:tc>
          <w:tcPr>
            <w:tcW w:w="684" w:type="dxa"/>
            <w:tcBorders>
              <w:top w:val="nil"/>
              <w:left w:val="nil"/>
              <w:bottom w:val="single" w:sz="8" w:space="0" w:color="auto"/>
              <w:right w:val="single" w:sz="8" w:space="0" w:color="auto"/>
            </w:tcBorders>
            <w:shd w:val="clear" w:color="auto" w:fill="auto"/>
            <w:vAlign w:val="center"/>
            <w:hideMark/>
          </w:tcPr>
          <w:p w14:paraId="7B0A98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1212</w:t>
            </w:r>
          </w:p>
        </w:tc>
        <w:tc>
          <w:tcPr>
            <w:tcW w:w="4816" w:type="dxa"/>
            <w:tcBorders>
              <w:top w:val="nil"/>
              <w:left w:val="nil"/>
              <w:bottom w:val="single" w:sz="8" w:space="0" w:color="auto"/>
              <w:right w:val="single" w:sz="8" w:space="0" w:color="auto"/>
            </w:tcBorders>
            <w:shd w:val="clear" w:color="auto" w:fill="auto"/>
            <w:noWrap/>
            <w:vAlign w:val="center"/>
            <w:hideMark/>
          </w:tcPr>
          <w:p w14:paraId="6077D7D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Citas īslaicīgas apmešanās ēkas</w:t>
            </w:r>
          </w:p>
        </w:tc>
        <w:tc>
          <w:tcPr>
            <w:tcW w:w="916" w:type="dxa"/>
            <w:tcBorders>
              <w:top w:val="nil"/>
              <w:left w:val="nil"/>
              <w:bottom w:val="single" w:sz="8" w:space="0" w:color="auto"/>
              <w:right w:val="single" w:sz="8" w:space="0" w:color="auto"/>
            </w:tcBorders>
            <w:shd w:val="clear" w:color="auto" w:fill="auto"/>
            <w:noWrap/>
            <w:vAlign w:val="center"/>
            <w:hideMark/>
          </w:tcPr>
          <w:p w14:paraId="709FC75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2804</w:t>
            </w:r>
          </w:p>
        </w:tc>
        <w:tc>
          <w:tcPr>
            <w:tcW w:w="878" w:type="dxa"/>
            <w:tcBorders>
              <w:top w:val="nil"/>
              <w:left w:val="nil"/>
              <w:bottom w:val="single" w:sz="8" w:space="0" w:color="auto"/>
              <w:right w:val="single" w:sz="8" w:space="0" w:color="auto"/>
            </w:tcBorders>
            <w:shd w:val="clear" w:color="auto" w:fill="auto"/>
            <w:noWrap/>
            <w:vAlign w:val="center"/>
            <w:hideMark/>
          </w:tcPr>
          <w:p w14:paraId="3CAF40F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0.42</w:t>
            </w:r>
          </w:p>
        </w:tc>
        <w:tc>
          <w:tcPr>
            <w:tcW w:w="1066" w:type="dxa"/>
            <w:tcBorders>
              <w:top w:val="nil"/>
              <w:left w:val="nil"/>
              <w:bottom w:val="single" w:sz="8" w:space="0" w:color="auto"/>
              <w:right w:val="single" w:sz="8" w:space="0" w:color="auto"/>
            </w:tcBorders>
            <w:shd w:val="clear" w:color="auto" w:fill="auto"/>
            <w:vAlign w:val="center"/>
            <w:hideMark/>
          </w:tcPr>
          <w:p w14:paraId="2A5B9D4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0.200%</w:t>
            </w:r>
          </w:p>
        </w:tc>
        <w:tc>
          <w:tcPr>
            <w:tcW w:w="1066" w:type="dxa"/>
            <w:tcBorders>
              <w:top w:val="nil"/>
              <w:left w:val="nil"/>
              <w:bottom w:val="single" w:sz="8" w:space="0" w:color="auto"/>
              <w:right w:val="single" w:sz="8" w:space="0" w:color="auto"/>
            </w:tcBorders>
            <w:shd w:val="clear" w:color="auto" w:fill="auto"/>
            <w:vAlign w:val="center"/>
            <w:hideMark/>
          </w:tcPr>
          <w:p w14:paraId="17AE191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0.201%</w:t>
            </w:r>
          </w:p>
        </w:tc>
        <w:tc>
          <w:tcPr>
            <w:tcW w:w="983" w:type="dxa"/>
            <w:tcBorders>
              <w:top w:val="nil"/>
              <w:left w:val="nil"/>
              <w:bottom w:val="single" w:sz="8" w:space="0" w:color="auto"/>
              <w:right w:val="single" w:sz="8" w:space="0" w:color="auto"/>
            </w:tcBorders>
            <w:shd w:val="clear" w:color="auto" w:fill="auto"/>
            <w:vAlign w:val="center"/>
            <w:hideMark/>
          </w:tcPr>
          <w:p w14:paraId="0D0669B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37</w:t>
            </w:r>
          </w:p>
        </w:tc>
      </w:tr>
      <w:tr w:rsidR="00034AF0" w:rsidRPr="00B069B9" w14:paraId="50203E4D"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D0DE92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w:t>
            </w:r>
          </w:p>
        </w:tc>
        <w:tc>
          <w:tcPr>
            <w:tcW w:w="684" w:type="dxa"/>
            <w:tcBorders>
              <w:top w:val="nil"/>
              <w:left w:val="nil"/>
              <w:bottom w:val="single" w:sz="8" w:space="0" w:color="auto"/>
              <w:right w:val="single" w:sz="8" w:space="0" w:color="auto"/>
            </w:tcBorders>
            <w:shd w:val="clear" w:color="auto" w:fill="auto"/>
            <w:vAlign w:val="center"/>
            <w:hideMark/>
          </w:tcPr>
          <w:p w14:paraId="39B71D5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1220</w:t>
            </w:r>
          </w:p>
        </w:tc>
        <w:tc>
          <w:tcPr>
            <w:tcW w:w="4816" w:type="dxa"/>
            <w:tcBorders>
              <w:top w:val="nil"/>
              <w:left w:val="nil"/>
              <w:bottom w:val="single" w:sz="8" w:space="0" w:color="auto"/>
              <w:right w:val="single" w:sz="8" w:space="0" w:color="auto"/>
            </w:tcBorders>
            <w:shd w:val="clear" w:color="auto" w:fill="auto"/>
            <w:noWrap/>
            <w:vAlign w:val="center"/>
            <w:hideMark/>
          </w:tcPr>
          <w:p w14:paraId="40ED831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Biroju ēkas</w:t>
            </w:r>
          </w:p>
        </w:tc>
        <w:tc>
          <w:tcPr>
            <w:tcW w:w="916" w:type="dxa"/>
            <w:tcBorders>
              <w:top w:val="nil"/>
              <w:left w:val="nil"/>
              <w:bottom w:val="single" w:sz="8" w:space="0" w:color="auto"/>
              <w:right w:val="single" w:sz="8" w:space="0" w:color="auto"/>
            </w:tcBorders>
            <w:shd w:val="clear" w:color="auto" w:fill="auto"/>
            <w:noWrap/>
            <w:vAlign w:val="center"/>
            <w:hideMark/>
          </w:tcPr>
          <w:p w14:paraId="72CA3C0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7124</w:t>
            </w:r>
          </w:p>
        </w:tc>
        <w:tc>
          <w:tcPr>
            <w:tcW w:w="878" w:type="dxa"/>
            <w:tcBorders>
              <w:top w:val="nil"/>
              <w:left w:val="nil"/>
              <w:bottom w:val="single" w:sz="8" w:space="0" w:color="auto"/>
              <w:right w:val="single" w:sz="8" w:space="0" w:color="auto"/>
            </w:tcBorders>
            <w:shd w:val="clear" w:color="auto" w:fill="auto"/>
            <w:noWrap/>
            <w:vAlign w:val="center"/>
            <w:hideMark/>
          </w:tcPr>
          <w:p w14:paraId="536DC75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6.53</w:t>
            </w:r>
          </w:p>
        </w:tc>
        <w:tc>
          <w:tcPr>
            <w:tcW w:w="1066" w:type="dxa"/>
            <w:tcBorders>
              <w:top w:val="nil"/>
              <w:left w:val="nil"/>
              <w:bottom w:val="single" w:sz="8" w:space="0" w:color="auto"/>
              <w:right w:val="single" w:sz="8" w:space="0" w:color="auto"/>
            </w:tcBorders>
            <w:shd w:val="clear" w:color="auto" w:fill="auto"/>
            <w:vAlign w:val="center"/>
            <w:hideMark/>
          </w:tcPr>
          <w:p w14:paraId="3586072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0.508%</w:t>
            </w:r>
          </w:p>
        </w:tc>
        <w:tc>
          <w:tcPr>
            <w:tcW w:w="1066" w:type="dxa"/>
            <w:tcBorders>
              <w:top w:val="nil"/>
              <w:left w:val="nil"/>
              <w:bottom w:val="single" w:sz="8" w:space="0" w:color="auto"/>
              <w:right w:val="single" w:sz="8" w:space="0" w:color="auto"/>
            </w:tcBorders>
            <w:shd w:val="clear" w:color="auto" w:fill="auto"/>
            <w:vAlign w:val="center"/>
            <w:hideMark/>
          </w:tcPr>
          <w:p w14:paraId="71CCA71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3.162%</w:t>
            </w:r>
          </w:p>
        </w:tc>
        <w:tc>
          <w:tcPr>
            <w:tcW w:w="983" w:type="dxa"/>
            <w:tcBorders>
              <w:top w:val="nil"/>
              <w:left w:val="nil"/>
              <w:bottom w:val="single" w:sz="8" w:space="0" w:color="auto"/>
              <w:right w:val="single" w:sz="8" w:space="0" w:color="auto"/>
            </w:tcBorders>
            <w:shd w:val="clear" w:color="auto" w:fill="auto"/>
            <w:vAlign w:val="center"/>
            <w:hideMark/>
          </w:tcPr>
          <w:p w14:paraId="53326A2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w:t>
            </w:r>
          </w:p>
        </w:tc>
      </w:tr>
      <w:tr w:rsidR="00034AF0" w:rsidRPr="00B069B9" w14:paraId="0B81A3D5"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002F6C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w:t>
            </w:r>
          </w:p>
        </w:tc>
        <w:tc>
          <w:tcPr>
            <w:tcW w:w="684" w:type="dxa"/>
            <w:tcBorders>
              <w:top w:val="nil"/>
              <w:left w:val="nil"/>
              <w:bottom w:val="single" w:sz="8" w:space="0" w:color="auto"/>
              <w:right w:val="single" w:sz="8" w:space="0" w:color="auto"/>
            </w:tcBorders>
            <w:shd w:val="clear" w:color="auto" w:fill="auto"/>
            <w:vAlign w:val="center"/>
            <w:hideMark/>
          </w:tcPr>
          <w:p w14:paraId="0CC1EBD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1230</w:t>
            </w:r>
          </w:p>
        </w:tc>
        <w:tc>
          <w:tcPr>
            <w:tcW w:w="4816" w:type="dxa"/>
            <w:tcBorders>
              <w:top w:val="nil"/>
              <w:left w:val="nil"/>
              <w:bottom w:val="single" w:sz="8" w:space="0" w:color="auto"/>
              <w:right w:val="single" w:sz="8" w:space="0" w:color="auto"/>
            </w:tcBorders>
            <w:shd w:val="clear" w:color="auto" w:fill="auto"/>
            <w:noWrap/>
            <w:vAlign w:val="center"/>
            <w:hideMark/>
          </w:tcPr>
          <w:p w14:paraId="0682404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Vairumtirdzniecības un mazumtirdzniecības ēkas</w:t>
            </w:r>
          </w:p>
        </w:tc>
        <w:tc>
          <w:tcPr>
            <w:tcW w:w="916" w:type="dxa"/>
            <w:tcBorders>
              <w:top w:val="nil"/>
              <w:left w:val="nil"/>
              <w:bottom w:val="single" w:sz="8" w:space="0" w:color="auto"/>
              <w:right w:val="single" w:sz="8" w:space="0" w:color="auto"/>
            </w:tcBorders>
            <w:shd w:val="clear" w:color="auto" w:fill="auto"/>
            <w:noWrap/>
            <w:vAlign w:val="center"/>
            <w:hideMark/>
          </w:tcPr>
          <w:p w14:paraId="4DE88D9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8089</w:t>
            </w:r>
          </w:p>
        </w:tc>
        <w:tc>
          <w:tcPr>
            <w:tcW w:w="878" w:type="dxa"/>
            <w:tcBorders>
              <w:top w:val="nil"/>
              <w:left w:val="nil"/>
              <w:bottom w:val="single" w:sz="8" w:space="0" w:color="auto"/>
              <w:right w:val="single" w:sz="8" w:space="0" w:color="auto"/>
            </w:tcBorders>
            <w:shd w:val="clear" w:color="auto" w:fill="auto"/>
            <w:noWrap/>
            <w:vAlign w:val="center"/>
            <w:hideMark/>
          </w:tcPr>
          <w:p w14:paraId="6D8C20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5.08</w:t>
            </w:r>
          </w:p>
        </w:tc>
        <w:tc>
          <w:tcPr>
            <w:tcW w:w="1066" w:type="dxa"/>
            <w:tcBorders>
              <w:top w:val="nil"/>
              <w:left w:val="nil"/>
              <w:bottom w:val="single" w:sz="8" w:space="0" w:color="auto"/>
              <w:right w:val="single" w:sz="8" w:space="0" w:color="auto"/>
            </w:tcBorders>
            <w:shd w:val="clear" w:color="auto" w:fill="auto"/>
            <w:vAlign w:val="center"/>
            <w:hideMark/>
          </w:tcPr>
          <w:p w14:paraId="33C67F7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0.577%</w:t>
            </w:r>
          </w:p>
        </w:tc>
        <w:tc>
          <w:tcPr>
            <w:tcW w:w="1066" w:type="dxa"/>
            <w:tcBorders>
              <w:top w:val="nil"/>
              <w:left w:val="nil"/>
              <w:bottom w:val="single" w:sz="8" w:space="0" w:color="auto"/>
              <w:right w:val="single" w:sz="8" w:space="0" w:color="auto"/>
            </w:tcBorders>
            <w:shd w:val="clear" w:color="auto" w:fill="auto"/>
            <w:vAlign w:val="center"/>
            <w:hideMark/>
          </w:tcPr>
          <w:p w14:paraId="611523B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2.461%</w:t>
            </w:r>
          </w:p>
        </w:tc>
        <w:tc>
          <w:tcPr>
            <w:tcW w:w="983" w:type="dxa"/>
            <w:tcBorders>
              <w:top w:val="nil"/>
              <w:left w:val="nil"/>
              <w:bottom w:val="single" w:sz="8" w:space="0" w:color="auto"/>
              <w:right w:val="single" w:sz="8" w:space="0" w:color="auto"/>
            </w:tcBorders>
            <w:shd w:val="clear" w:color="auto" w:fill="auto"/>
            <w:vAlign w:val="center"/>
            <w:hideMark/>
          </w:tcPr>
          <w:p w14:paraId="0309014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48</w:t>
            </w:r>
          </w:p>
        </w:tc>
      </w:tr>
      <w:tr w:rsidR="00034AF0" w:rsidRPr="00B069B9" w14:paraId="1D5353EB"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776E2F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9</w:t>
            </w:r>
          </w:p>
        </w:tc>
        <w:tc>
          <w:tcPr>
            <w:tcW w:w="684" w:type="dxa"/>
            <w:tcBorders>
              <w:top w:val="nil"/>
              <w:left w:val="nil"/>
              <w:bottom w:val="single" w:sz="8" w:space="0" w:color="auto"/>
              <w:right w:val="single" w:sz="8" w:space="0" w:color="auto"/>
            </w:tcBorders>
            <w:shd w:val="clear" w:color="auto" w:fill="auto"/>
            <w:vAlign w:val="center"/>
            <w:hideMark/>
          </w:tcPr>
          <w:p w14:paraId="76EE249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1241</w:t>
            </w:r>
          </w:p>
        </w:tc>
        <w:tc>
          <w:tcPr>
            <w:tcW w:w="4816" w:type="dxa"/>
            <w:tcBorders>
              <w:top w:val="nil"/>
              <w:left w:val="nil"/>
              <w:bottom w:val="single" w:sz="8" w:space="0" w:color="auto"/>
              <w:right w:val="single" w:sz="8" w:space="0" w:color="auto"/>
            </w:tcBorders>
            <w:shd w:val="clear" w:color="auto" w:fill="auto"/>
            <w:noWrap/>
            <w:vAlign w:val="center"/>
            <w:hideMark/>
          </w:tcPr>
          <w:p w14:paraId="28FEA40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Sakaru ēkas, stacijas, termināļi un ar tām saistītās ēkas</w:t>
            </w:r>
          </w:p>
        </w:tc>
        <w:tc>
          <w:tcPr>
            <w:tcW w:w="916" w:type="dxa"/>
            <w:tcBorders>
              <w:top w:val="nil"/>
              <w:left w:val="nil"/>
              <w:bottom w:val="single" w:sz="8" w:space="0" w:color="auto"/>
              <w:right w:val="single" w:sz="8" w:space="0" w:color="auto"/>
            </w:tcBorders>
            <w:shd w:val="clear" w:color="auto" w:fill="auto"/>
            <w:noWrap/>
            <w:vAlign w:val="center"/>
            <w:hideMark/>
          </w:tcPr>
          <w:p w14:paraId="4BE6839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2670</w:t>
            </w:r>
          </w:p>
        </w:tc>
        <w:tc>
          <w:tcPr>
            <w:tcW w:w="878" w:type="dxa"/>
            <w:tcBorders>
              <w:top w:val="nil"/>
              <w:left w:val="nil"/>
              <w:bottom w:val="single" w:sz="8" w:space="0" w:color="auto"/>
              <w:right w:val="single" w:sz="8" w:space="0" w:color="auto"/>
            </w:tcBorders>
            <w:shd w:val="clear" w:color="auto" w:fill="auto"/>
            <w:noWrap/>
            <w:vAlign w:val="center"/>
            <w:hideMark/>
          </w:tcPr>
          <w:p w14:paraId="65523D4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0.88</w:t>
            </w:r>
          </w:p>
        </w:tc>
        <w:tc>
          <w:tcPr>
            <w:tcW w:w="1066" w:type="dxa"/>
            <w:tcBorders>
              <w:top w:val="nil"/>
              <w:left w:val="nil"/>
              <w:bottom w:val="single" w:sz="8" w:space="0" w:color="auto"/>
              <w:right w:val="single" w:sz="8" w:space="0" w:color="auto"/>
            </w:tcBorders>
            <w:shd w:val="clear" w:color="auto" w:fill="auto"/>
            <w:vAlign w:val="center"/>
            <w:hideMark/>
          </w:tcPr>
          <w:p w14:paraId="1F0579F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0.190%</w:t>
            </w:r>
          </w:p>
        </w:tc>
        <w:tc>
          <w:tcPr>
            <w:tcW w:w="1066" w:type="dxa"/>
            <w:tcBorders>
              <w:top w:val="nil"/>
              <w:left w:val="nil"/>
              <w:bottom w:val="single" w:sz="8" w:space="0" w:color="auto"/>
              <w:right w:val="single" w:sz="8" w:space="0" w:color="auto"/>
            </w:tcBorders>
            <w:shd w:val="clear" w:color="auto" w:fill="auto"/>
            <w:vAlign w:val="center"/>
            <w:hideMark/>
          </w:tcPr>
          <w:p w14:paraId="3025339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0.425%</w:t>
            </w:r>
          </w:p>
        </w:tc>
        <w:tc>
          <w:tcPr>
            <w:tcW w:w="983" w:type="dxa"/>
            <w:tcBorders>
              <w:top w:val="nil"/>
              <w:left w:val="nil"/>
              <w:bottom w:val="single" w:sz="8" w:space="0" w:color="auto"/>
              <w:right w:val="single" w:sz="8" w:space="0" w:color="auto"/>
            </w:tcBorders>
            <w:shd w:val="clear" w:color="auto" w:fill="auto"/>
            <w:vAlign w:val="center"/>
            <w:hideMark/>
          </w:tcPr>
          <w:p w14:paraId="1E39753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24</w:t>
            </w:r>
          </w:p>
        </w:tc>
      </w:tr>
      <w:tr w:rsidR="00034AF0" w:rsidRPr="00B069B9" w14:paraId="3D9B125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0C71F0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w:t>
            </w:r>
          </w:p>
        </w:tc>
        <w:tc>
          <w:tcPr>
            <w:tcW w:w="684" w:type="dxa"/>
            <w:tcBorders>
              <w:top w:val="nil"/>
              <w:left w:val="nil"/>
              <w:bottom w:val="single" w:sz="8" w:space="0" w:color="auto"/>
              <w:right w:val="single" w:sz="8" w:space="0" w:color="auto"/>
            </w:tcBorders>
            <w:shd w:val="clear" w:color="auto" w:fill="auto"/>
            <w:vAlign w:val="center"/>
            <w:hideMark/>
          </w:tcPr>
          <w:p w14:paraId="11FE6CB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1242</w:t>
            </w:r>
          </w:p>
        </w:tc>
        <w:tc>
          <w:tcPr>
            <w:tcW w:w="4816" w:type="dxa"/>
            <w:tcBorders>
              <w:top w:val="nil"/>
              <w:left w:val="nil"/>
              <w:bottom w:val="single" w:sz="8" w:space="0" w:color="auto"/>
              <w:right w:val="single" w:sz="8" w:space="0" w:color="auto"/>
            </w:tcBorders>
            <w:shd w:val="clear" w:color="auto" w:fill="auto"/>
            <w:noWrap/>
            <w:vAlign w:val="center"/>
            <w:hideMark/>
          </w:tcPr>
          <w:p w14:paraId="689E920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Garāžu ēkas</w:t>
            </w:r>
          </w:p>
        </w:tc>
        <w:tc>
          <w:tcPr>
            <w:tcW w:w="916" w:type="dxa"/>
            <w:tcBorders>
              <w:top w:val="nil"/>
              <w:left w:val="nil"/>
              <w:bottom w:val="single" w:sz="8" w:space="0" w:color="auto"/>
              <w:right w:val="single" w:sz="8" w:space="0" w:color="auto"/>
            </w:tcBorders>
            <w:shd w:val="clear" w:color="auto" w:fill="auto"/>
            <w:noWrap/>
            <w:vAlign w:val="center"/>
            <w:hideMark/>
          </w:tcPr>
          <w:p w14:paraId="2654408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11793</w:t>
            </w:r>
          </w:p>
        </w:tc>
        <w:tc>
          <w:tcPr>
            <w:tcW w:w="878" w:type="dxa"/>
            <w:tcBorders>
              <w:top w:val="nil"/>
              <w:left w:val="nil"/>
              <w:bottom w:val="single" w:sz="8" w:space="0" w:color="auto"/>
              <w:right w:val="single" w:sz="8" w:space="0" w:color="auto"/>
            </w:tcBorders>
            <w:shd w:val="clear" w:color="auto" w:fill="auto"/>
            <w:noWrap/>
            <w:vAlign w:val="center"/>
            <w:hideMark/>
          </w:tcPr>
          <w:p w14:paraId="093C40C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4.07</w:t>
            </w:r>
          </w:p>
        </w:tc>
        <w:tc>
          <w:tcPr>
            <w:tcW w:w="1066" w:type="dxa"/>
            <w:tcBorders>
              <w:top w:val="nil"/>
              <w:left w:val="nil"/>
              <w:bottom w:val="single" w:sz="8" w:space="0" w:color="auto"/>
              <w:right w:val="single" w:sz="8" w:space="0" w:color="auto"/>
            </w:tcBorders>
            <w:shd w:val="clear" w:color="auto" w:fill="auto"/>
            <w:vAlign w:val="center"/>
            <w:hideMark/>
          </w:tcPr>
          <w:p w14:paraId="678ED66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0.841%</w:t>
            </w:r>
          </w:p>
        </w:tc>
        <w:tc>
          <w:tcPr>
            <w:tcW w:w="1066" w:type="dxa"/>
            <w:tcBorders>
              <w:top w:val="nil"/>
              <w:left w:val="nil"/>
              <w:bottom w:val="single" w:sz="8" w:space="0" w:color="auto"/>
              <w:right w:val="single" w:sz="8" w:space="0" w:color="auto"/>
            </w:tcBorders>
            <w:shd w:val="clear" w:color="auto" w:fill="auto"/>
            <w:vAlign w:val="center"/>
            <w:hideMark/>
          </w:tcPr>
          <w:p w14:paraId="6DC5319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1.970%</w:t>
            </w:r>
          </w:p>
        </w:tc>
        <w:tc>
          <w:tcPr>
            <w:tcW w:w="983" w:type="dxa"/>
            <w:tcBorders>
              <w:top w:val="nil"/>
              <w:left w:val="nil"/>
              <w:bottom w:val="single" w:sz="8" w:space="0" w:color="auto"/>
              <w:right w:val="single" w:sz="8" w:space="0" w:color="auto"/>
            </w:tcBorders>
            <w:shd w:val="clear" w:color="auto" w:fill="auto"/>
            <w:vAlign w:val="center"/>
            <w:hideMark/>
          </w:tcPr>
          <w:p w14:paraId="410D7DA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32</w:t>
            </w:r>
          </w:p>
        </w:tc>
      </w:tr>
      <w:tr w:rsidR="00034AF0" w:rsidRPr="00B069B9" w14:paraId="0CB842D9"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11A774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w:t>
            </w:r>
          </w:p>
        </w:tc>
        <w:tc>
          <w:tcPr>
            <w:tcW w:w="684" w:type="dxa"/>
            <w:tcBorders>
              <w:top w:val="nil"/>
              <w:left w:val="nil"/>
              <w:bottom w:val="single" w:sz="8" w:space="0" w:color="auto"/>
              <w:right w:val="single" w:sz="8" w:space="0" w:color="auto"/>
            </w:tcBorders>
            <w:shd w:val="clear" w:color="auto" w:fill="auto"/>
            <w:vAlign w:val="center"/>
            <w:hideMark/>
          </w:tcPr>
          <w:p w14:paraId="6F5FC8E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1251</w:t>
            </w:r>
          </w:p>
        </w:tc>
        <w:tc>
          <w:tcPr>
            <w:tcW w:w="4816" w:type="dxa"/>
            <w:tcBorders>
              <w:top w:val="nil"/>
              <w:left w:val="nil"/>
              <w:bottom w:val="single" w:sz="8" w:space="0" w:color="auto"/>
              <w:right w:val="single" w:sz="8" w:space="0" w:color="auto"/>
            </w:tcBorders>
            <w:shd w:val="clear" w:color="auto" w:fill="auto"/>
            <w:noWrap/>
            <w:vAlign w:val="center"/>
            <w:hideMark/>
          </w:tcPr>
          <w:p w14:paraId="48ABDA8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Rūpnieciskās ražošanas ēkas</w:t>
            </w:r>
          </w:p>
        </w:tc>
        <w:tc>
          <w:tcPr>
            <w:tcW w:w="916" w:type="dxa"/>
            <w:tcBorders>
              <w:top w:val="nil"/>
              <w:left w:val="nil"/>
              <w:bottom w:val="single" w:sz="8" w:space="0" w:color="auto"/>
              <w:right w:val="single" w:sz="8" w:space="0" w:color="auto"/>
            </w:tcBorders>
            <w:shd w:val="clear" w:color="auto" w:fill="auto"/>
            <w:noWrap/>
            <w:vAlign w:val="center"/>
            <w:hideMark/>
          </w:tcPr>
          <w:p w14:paraId="03EC504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32976</w:t>
            </w:r>
          </w:p>
        </w:tc>
        <w:tc>
          <w:tcPr>
            <w:tcW w:w="878" w:type="dxa"/>
            <w:tcBorders>
              <w:top w:val="nil"/>
              <w:left w:val="nil"/>
              <w:bottom w:val="single" w:sz="8" w:space="0" w:color="auto"/>
              <w:right w:val="single" w:sz="8" w:space="0" w:color="auto"/>
            </w:tcBorders>
            <w:shd w:val="clear" w:color="auto" w:fill="auto"/>
            <w:noWrap/>
            <w:vAlign w:val="center"/>
            <w:hideMark/>
          </w:tcPr>
          <w:p w14:paraId="1BD093B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18.21</w:t>
            </w:r>
          </w:p>
        </w:tc>
        <w:tc>
          <w:tcPr>
            <w:tcW w:w="1066" w:type="dxa"/>
            <w:tcBorders>
              <w:top w:val="nil"/>
              <w:left w:val="nil"/>
              <w:bottom w:val="single" w:sz="8" w:space="0" w:color="auto"/>
              <w:right w:val="single" w:sz="8" w:space="0" w:color="auto"/>
            </w:tcBorders>
            <w:shd w:val="clear" w:color="auto" w:fill="auto"/>
            <w:vAlign w:val="center"/>
            <w:hideMark/>
          </w:tcPr>
          <w:p w14:paraId="2BBF270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2.350%</w:t>
            </w:r>
          </w:p>
        </w:tc>
        <w:tc>
          <w:tcPr>
            <w:tcW w:w="1066" w:type="dxa"/>
            <w:tcBorders>
              <w:top w:val="nil"/>
              <w:left w:val="nil"/>
              <w:bottom w:val="single" w:sz="8" w:space="0" w:color="auto"/>
              <w:right w:val="single" w:sz="8" w:space="0" w:color="auto"/>
            </w:tcBorders>
            <w:shd w:val="clear" w:color="auto" w:fill="auto"/>
            <w:vAlign w:val="center"/>
            <w:hideMark/>
          </w:tcPr>
          <w:p w14:paraId="5F49DC3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8.813%</w:t>
            </w:r>
          </w:p>
        </w:tc>
        <w:tc>
          <w:tcPr>
            <w:tcW w:w="983" w:type="dxa"/>
            <w:tcBorders>
              <w:top w:val="nil"/>
              <w:left w:val="nil"/>
              <w:bottom w:val="single" w:sz="8" w:space="0" w:color="auto"/>
              <w:right w:val="single" w:sz="8" w:space="0" w:color="auto"/>
            </w:tcBorders>
            <w:shd w:val="clear" w:color="auto" w:fill="auto"/>
            <w:vAlign w:val="center"/>
            <w:hideMark/>
          </w:tcPr>
          <w:p w14:paraId="2F91F0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211</w:t>
            </w:r>
          </w:p>
        </w:tc>
      </w:tr>
      <w:tr w:rsidR="00034AF0" w:rsidRPr="00B069B9" w14:paraId="01989C7F"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3E9376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w:t>
            </w:r>
          </w:p>
        </w:tc>
        <w:tc>
          <w:tcPr>
            <w:tcW w:w="684" w:type="dxa"/>
            <w:tcBorders>
              <w:top w:val="nil"/>
              <w:left w:val="nil"/>
              <w:bottom w:val="single" w:sz="8" w:space="0" w:color="auto"/>
              <w:right w:val="single" w:sz="8" w:space="0" w:color="auto"/>
            </w:tcBorders>
            <w:shd w:val="clear" w:color="auto" w:fill="auto"/>
            <w:vAlign w:val="center"/>
            <w:hideMark/>
          </w:tcPr>
          <w:p w14:paraId="74FF499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1252</w:t>
            </w:r>
          </w:p>
        </w:tc>
        <w:tc>
          <w:tcPr>
            <w:tcW w:w="4816" w:type="dxa"/>
            <w:tcBorders>
              <w:top w:val="nil"/>
              <w:left w:val="nil"/>
              <w:bottom w:val="single" w:sz="8" w:space="0" w:color="auto"/>
              <w:right w:val="single" w:sz="8" w:space="0" w:color="auto"/>
            </w:tcBorders>
            <w:shd w:val="clear" w:color="auto" w:fill="auto"/>
            <w:noWrap/>
            <w:vAlign w:val="center"/>
            <w:hideMark/>
          </w:tcPr>
          <w:p w14:paraId="00B6807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Rezervuāri, bunkuri, silosi un noliktavas</w:t>
            </w:r>
          </w:p>
        </w:tc>
        <w:tc>
          <w:tcPr>
            <w:tcW w:w="916" w:type="dxa"/>
            <w:tcBorders>
              <w:top w:val="nil"/>
              <w:left w:val="nil"/>
              <w:bottom w:val="single" w:sz="8" w:space="0" w:color="auto"/>
              <w:right w:val="single" w:sz="8" w:space="0" w:color="auto"/>
            </w:tcBorders>
            <w:shd w:val="clear" w:color="auto" w:fill="auto"/>
            <w:noWrap/>
            <w:vAlign w:val="center"/>
            <w:hideMark/>
          </w:tcPr>
          <w:p w14:paraId="746B3D0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17384</w:t>
            </w:r>
          </w:p>
        </w:tc>
        <w:tc>
          <w:tcPr>
            <w:tcW w:w="878" w:type="dxa"/>
            <w:tcBorders>
              <w:top w:val="nil"/>
              <w:left w:val="nil"/>
              <w:bottom w:val="single" w:sz="8" w:space="0" w:color="auto"/>
              <w:right w:val="single" w:sz="8" w:space="0" w:color="auto"/>
            </w:tcBorders>
            <w:shd w:val="clear" w:color="auto" w:fill="auto"/>
            <w:noWrap/>
            <w:vAlign w:val="center"/>
            <w:hideMark/>
          </w:tcPr>
          <w:p w14:paraId="51103F2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9.07</w:t>
            </w:r>
          </w:p>
        </w:tc>
        <w:tc>
          <w:tcPr>
            <w:tcW w:w="1066" w:type="dxa"/>
            <w:tcBorders>
              <w:top w:val="nil"/>
              <w:left w:val="nil"/>
              <w:bottom w:val="single" w:sz="8" w:space="0" w:color="auto"/>
              <w:right w:val="single" w:sz="8" w:space="0" w:color="auto"/>
            </w:tcBorders>
            <w:shd w:val="clear" w:color="auto" w:fill="auto"/>
            <w:vAlign w:val="center"/>
            <w:hideMark/>
          </w:tcPr>
          <w:p w14:paraId="7753C7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1.239%</w:t>
            </w:r>
          </w:p>
        </w:tc>
        <w:tc>
          <w:tcPr>
            <w:tcW w:w="1066" w:type="dxa"/>
            <w:tcBorders>
              <w:top w:val="nil"/>
              <w:left w:val="nil"/>
              <w:bottom w:val="single" w:sz="8" w:space="0" w:color="auto"/>
              <w:right w:val="single" w:sz="8" w:space="0" w:color="auto"/>
            </w:tcBorders>
            <w:shd w:val="clear" w:color="auto" w:fill="auto"/>
            <w:vAlign w:val="center"/>
            <w:hideMark/>
          </w:tcPr>
          <w:p w14:paraId="640E28C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4.393%</w:t>
            </w:r>
          </w:p>
        </w:tc>
        <w:tc>
          <w:tcPr>
            <w:tcW w:w="983" w:type="dxa"/>
            <w:tcBorders>
              <w:top w:val="nil"/>
              <w:left w:val="nil"/>
              <w:bottom w:val="single" w:sz="8" w:space="0" w:color="auto"/>
              <w:right w:val="single" w:sz="8" w:space="0" w:color="auto"/>
            </w:tcBorders>
            <w:shd w:val="clear" w:color="auto" w:fill="auto"/>
            <w:vAlign w:val="center"/>
            <w:hideMark/>
          </w:tcPr>
          <w:p w14:paraId="0E3E283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234</w:t>
            </w:r>
          </w:p>
        </w:tc>
      </w:tr>
      <w:tr w:rsidR="00034AF0" w:rsidRPr="00B069B9" w14:paraId="6F5F7C7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6B86C8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w:t>
            </w:r>
          </w:p>
        </w:tc>
        <w:tc>
          <w:tcPr>
            <w:tcW w:w="684" w:type="dxa"/>
            <w:tcBorders>
              <w:top w:val="nil"/>
              <w:left w:val="nil"/>
              <w:bottom w:val="single" w:sz="8" w:space="0" w:color="auto"/>
              <w:right w:val="single" w:sz="8" w:space="0" w:color="auto"/>
            </w:tcBorders>
            <w:shd w:val="clear" w:color="auto" w:fill="auto"/>
            <w:vAlign w:val="center"/>
            <w:hideMark/>
          </w:tcPr>
          <w:p w14:paraId="7C297B2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1261</w:t>
            </w:r>
          </w:p>
        </w:tc>
        <w:tc>
          <w:tcPr>
            <w:tcW w:w="4816" w:type="dxa"/>
            <w:tcBorders>
              <w:top w:val="nil"/>
              <w:left w:val="nil"/>
              <w:bottom w:val="single" w:sz="8" w:space="0" w:color="auto"/>
              <w:right w:val="single" w:sz="8" w:space="0" w:color="auto"/>
            </w:tcBorders>
            <w:shd w:val="clear" w:color="auto" w:fill="auto"/>
            <w:noWrap/>
            <w:vAlign w:val="center"/>
            <w:hideMark/>
          </w:tcPr>
          <w:p w14:paraId="5E67286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Ēkas plašizklaides pasākumiem</w:t>
            </w:r>
          </w:p>
        </w:tc>
        <w:tc>
          <w:tcPr>
            <w:tcW w:w="916" w:type="dxa"/>
            <w:tcBorders>
              <w:top w:val="nil"/>
              <w:left w:val="nil"/>
              <w:bottom w:val="single" w:sz="8" w:space="0" w:color="auto"/>
              <w:right w:val="single" w:sz="8" w:space="0" w:color="auto"/>
            </w:tcBorders>
            <w:shd w:val="clear" w:color="auto" w:fill="auto"/>
            <w:noWrap/>
            <w:vAlign w:val="center"/>
            <w:hideMark/>
          </w:tcPr>
          <w:p w14:paraId="3685634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1223</w:t>
            </w:r>
          </w:p>
        </w:tc>
        <w:tc>
          <w:tcPr>
            <w:tcW w:w="878" w:type="dxa"/>
            <w:tcBorders>
              <w:top w:val="nil"/>
              <w:left w:val="nil"/>
              <w:bottom w:val="single" w:sz="8" w:space="0" w:color="auto"/>
              <w:right w:val="single" w:sz="8" w:space="0" w:color="auto"/>
            </w:tcBorders>
            <w:shd w:val="clear" w:color="auto" w:fill="auto"/>
            <w:noWrap/>
            <w:vAlign w:val="center"/>
            <w:hideMark/>
          </w:tcPr>
          <w:p w14:paraId="363DE08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1.19</w:t>
            </w:r>
          </w:p>
        </w:tc>
        <w:tc>
          <w:tcPr>
            <w:tcW w:w="1066" w:type="dxa"/>
            <w:tcBorders>
              <w:top w:val="nil"/>
              <w:left w:val="nil"/>
              <w:bottom w:val="single" w:sz="8" w:space="0" w:color="auto"/>
              <w:right w:val="single" w:sz="8" w:space="0" w:color="auto"/>
            </w:tcBorders>
            <w:shd w:val="clear" w:color="auto" w:fill="auto"/>
            <w:vAlign w:val="center"/>
            <w:hideMark/>
          </w:tcPr>
          <w:p w14:paraId="7EDA5C3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0.087%</w:t>
            </w:r>
          </w:p>
        </w:tc>
        <w:tc>
          <w:tcPr>
            <w:tcW w:w="1066" w:type="dxa"/>
            <w:tcBorders>
              <w:top w:val="nil"/>
              <w:left w:val="nil"/>
              <w:bottom w:val="single" w:sz="8" w:space="0" w:color="auto"/>
              <w:right w:val="single" w:sz="8" w:space="0" w:color="auto"/>
            </w:tcBorders>
            <w:shd w:val="clear" w:color="auto" w:fill="auto"/>
            <w:vAlign w:val="center"/>
            <w:hideMark/>
          </w:tcPr>
          <w:p w14:paraId="1A0FF83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0.577%</w:t>
            </w:r>
          </w:p>
        </w:tc>
        <w:tc>
          <w:tcPr>
            <w:tcW w:w="983" w:type="dxa"/>
            <w:tcBorders>
              <w:top w:val="nil"/>
              <w:left w:val="nil"/>
              <w:bottom w:val="single" w:sz="8" w:space="0" w:color="auto"/>
              <w:right w:val="single" w:sz="8" w:space="0" w:color="auto"/>
            </w:tcBorders>
            <w:shd w:val="clear" w:color="auto" w:fill="auto"/>
            <w:vAlign w:val="center"/>
            <w:hideMark/>
          </w:tcPr>
          <w:p w14:paraId="71B2B1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6310B30A"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D363519"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14</w:t>
            </w:r>
          </w:p>
        </w:tc>
        <w:tc>
          <w:tcPr>
            <w:tcW w:w="684" w:type="dxa"/>
            <w:tcBorders>
              <w:top w:val="nil"/>
              <w:left w:val="nil"/>
              <w:bottom w:val="single" w:sz="8" w:space="0" w:color="auto"/>
              <w:right w:val="single" w:sz="8" w:space="0" w:color="auto"/>
            </w:tcBorders>
            <w:shd w:val="clear" w:color="auto" w:fill="auto"/>
            <w:vAlign w:val="center"/>
            <w:hideMark/>
          </w:tcPr>
          <w:p w14:paraId="639FDA8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1262</w:t>
            </w:r>
          </w:p>
        </w:tc>
        <w:tc>
          <w:tcPr>
            <w:tcW w:w="4816" w:type="dxa"/>
            <w:tcBorders>
              <w:top w:val="nil"/>
              <w:left w:val="nil"/>
              <w:bottom w:val="single" w:sz="8" w:space="0" w:color="auto"/>
              <w:right w:val="single" w:sz="8" w:space="0" w:color="auto"/>
            </w:tcBorders>
            <w:shd w:val="clear" w:color="auto" w:fill="auto"/>
            <w:noWrap/>
            <w:vAlign w:val="center"/>
            <w:hideMark/>
          </w:tcPr>
          <w:p w14:paraId="068F036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Muzeji un bibliotēkas</w:t>
            </w:r>
          </w:p>
        </w:tc>
        <w:tc>
          <w:tcPr>
            <w:tcW w:w="916" w:type="dxa"/>
            <w:tcBorders>
              <w:top w:val="nil"/>
              <w:left w:val="nil"/>
              <w:bottom w:val="single" w:sz="8" w:space="0" w:color="auto"/>
              <w:right w:val="single" w:sz="8" w:space="0" w:color="auto"/>
            </w:tcBorders>
            <w:shd w:val="clear" w:color="auto" w:fill="auto"/>
            <w:noWrap/>
            <w:vAlign w:val="center"/>
            <w:hideMark/>
          </w:tcPr>
          <w:p w14:paraId="3781324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587</w:t>
            </w:r>
          </w:p>
        </w:tc>
        <w:tc>
          <w:tcPr>
            <w:tcW w:w="878" w:type="dxa"/>
            <w:tcBorders>
              <w:top w:val="nil"/>
              <w:left w:val="nil"/>
              <w:bottom w:val="single" w:sz="8" w:space="0" w:color="auto"/>
              <w:right w:val="single" w:sz="8" w:space="0" w:color="auto"/>
            </w:tcBorders>
            <w:shd w:val="clear" w:color="auto" w:fill="auto"/>
            <w:noWrap/>
            <w:vAlign w:val="center"/>
            <w:hideMark/>
          </w:tcPr>
          <w:p w14:paraId="72735ED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0.49</w:t>
            </w:r>
          </w:p>
        </w:tc>
        <w:tc>
          <w:tcPr>
            <w:tcW w:w="1066" w:type="dxa"/>
            <w:tcBorders>
              <w:top w:val="nil"/>
              <w:left w:val="nil"/>
              <w:bottom w:val="single" w:sz="8" w:space="0" w:color="auto"/>
              <w:right w:val="single" w:sz="8" w:space="0" w:color="auto"/>
            </w:tcBorders>
            <w:shd w:val="clear" w:color="auto" w:fill="auto"/>
            <w:vAlign w:val="center"/>
            <w:hideMark/>
          </w:tcPr>
          <w:p w14:paraId="4F09E75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0.042%</w:t>
            </w:r>
          </w:p>
        </w:tc>
        <w:tc>
          <w:tcPr>
            <w:tcW w:w="1066" w:type="dxa"/>
            <w:tcBorders>
              <w:top w:val="nil"/>
              <w:left w:val="nil"/>
              <w:bottom w:val="single" w:sz="8" w:space="0" w:color="auto"/>
              <w:right w:val="single" w:sz="8" w:space="0" w:color="auto"/>
            </w:tcBorders>
            <w:shd w:val="clear" w:color="auto" w:fill="auto"/>
            <w:vAlign w:val="center"/>
            <w:hideMark/>
          </w:tcPr>
          <w:p w14:paraId="49FC1BD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0.238%</w:t>
            </w:r>
          </w:p>
        </w:tc>
        <w:tc>
          <w:tcPr>
            <w:tcW w:w="983" w:type="dxa"/>
            <w:tcBorders>
              <w:top w:val="nil"/>
              <w:left w:val="nil"/>
              <w:bottom w:val="single" w:sz="8" w:space="0" w:color="auto"/>
              <w:right w:val="single" w:sz="8" w:space="0" w:color="auto"/>
            </w:tcBorders>
            <w:shd w:val="clear" w:color="auto" w:fill="auto"/>
            <w:vAlign w:val="center"/>
            <w:hideMark/>
          </w:tcPr>
          <w:p w14:paraId="67C3F16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w:t>
            </w:r>
          </w:p>
        </w:tc>
      </w:tr>
      <w:tr w:rsidR="00034AF0" w:rsidRPr="00B069B9" w14:paraId="4F607B3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2B1706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15</w:t>
            </w:r>
          </w:p>
        </w:tc>
        <w:tc>
          <w:tcPr>
            <w:tcW w:w="684" w:type="dxa"/>
            <w:tcBorders>
              <w:top w:val="nil"/>
              <w:left w:val="nil"/>
              <w:bottom w:val="single" w:sz="8" w:space="0" w:color="auto"/>
              <w:right w:val="single" w:sz="8" w:space="0" w:color="auto"/>
            </w:tcBorders>
            <w:shd w:val="clear" w:color="auto" w:fill="auto"/>
            <w:vAlign w:val="center"/>
            <w:hideMark/>
          </w:tcPr>
          <w:p w14:paraId="3C33181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1263</w:t>
            </w:r>
          </w:p>
        </w:tc>
        <w:tc>
          <w:tcPr>
            <w:tcW w:w="4816" w:type="dxa"/>
            <w:tcBorders>
              <w:top w:val="nil"/>
              <w:left w:val="nil"/>
              <w:bottom w:val="single" w:sz="8" w:space="0" w:color="auto"/>
              <w:right w:val="single" w:sz="8" w:space="0" w:color="auto"/>
            </w:tcBorders>
            <w:shd w:val="clear" w:color="auto" w:fill="auto"/>
            <w:noWrap/>
            <w:vAlign w:val="center"/>
            <w:hideMark/>
          </w:tcPr>
          <w:p w14:paraId="0F2FBB9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Skolas, universitātes un zinātniskajai pētniecībai paredzētās ēkas</w:t>
            </w:r>
          </w:p>
        </w:tc>
        <w:tc>
          <w:tcPr>
            <w:tcW w:w="916" w:type="dxa"/>
            <w:tcBorders>
              <w:top w:val="nil"/>
              <w:left w:val="nil"/>
              <w:bottom w:val="single" w:sz="8" w:space="0" w:color="auto"/>
              <w:right w:val="single" w:sz="8" w:space="0" w:color="auto"/>
            </w:tcBorders>
            <w:shd w:val="clear" w:color="auto" w:fill="auto"/>
            <w:noWrap/>
            <w:vAlign w:val="center"/>
            <w:hideMark/>
          </w:tcPr>
          <w:p w14:paraId="353C612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3791</w:t>
            </w:r>
          </w:p>
        </w:tc>
        <w:tc>
          <w:tcPr>
            <w:tcW w:w="878" w:type="dxa"/>
            <w:tcBorders>
              <w:top w:val="nil"/>
              <w:left w:val="nil"/>
              <w:bottom w:val="single" w:sz="8" w:space="0" w:color="auto"/>
              <w:right w:val="single" w:sz="8" w:space="0" w:color="auto"/>
            </w:tcBorders>
            <w:shd w:val="clear" w:color="auto" w:fill="auto"/>
            <w:noWrap/>
            <w:vAlign w:val="center"/>
            <w:hideMark/>
          </w:tcPr>
          <w:p w14:paraId="6867F21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6.93</w:t>
            </w:r>
          </w:p>
        </w:tc>
        <w:tc>
          <w:tcPr>
            <w:tcW w:w="1066" w:type="dxa"/>
            <w:tcBorders>
              <w:top w:val="nil"/>
              <w:left w:val="nil"/>
              <w:bottom w:val="single" w:sz="8" w:space="0" w:color="auto"/>
              <w:right w:val="single" w:sz="8" w:space="0" w:color="auto"/>
            </w:tcBorders>
            <w:shd w:val="clear" w:color="auto" w:fill="auto"/>
            <w:vAlign w:val="center"/>
            <w:hideMark/>
          </w:tcPr>
          <w:p w14:paraId="76BECC1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0.270%</w:t>
            </w:r>
          </w:p>
        </w:tc>
        <w:tc>
          <w:tcPr>
            <w:tcW w:w="1066" w:type="dxa"/>
            <w:tcBorders>
              <w:top w:val="nil"/>
              <w:left w:val="nil"/>
              <w:bottom w:val="single" w:sz="8" w:space="0" w:color="auto"/>
              <w:right w:val="single" w:sz="8" w:space="0" w:color="auto"/>
            </w:tcBorders>
            <w:shd w:val="clear" w:color="auto" w:fill="auto"/>
            <w:vAlign w:val="center"/>
            <w:hideMark/>
          </w:tcPr>
          <w:p w14:paraId="10A8A4F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3.354%</w:t>
            </w:r>
          </w:p>
        </w:tc>
        <w:tc>
          <w:tcPr>
            <w:tcW w:w="983" w:type="dxa"/>
            <w:tcBorders>
              <w:top w:val="nil"/>
              <w:left w:val="nil"/>
              <w:bottom w:val="single" w:sz="8" w:space="0" w:color="auto"/>
              <w:right w:val="single" w:sz="8" w:space="0" w:color="auto"/>
            </w:tcBorders>
            <w:shd w:val="clear" w:color="auto" w:fill="auto"/>
            <w:vAlign w:val="center"/>
            <w:hideMark/>
          </w:tcPr>
          <w:p w14:paraId="30CD4F1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w:t>
            </w:r>
          </w:p>
        </w:tc>
      </w:tr>
      <w:tr w:rsidR="00034AF0" w:rsidRPr="00B069B9" w14:paraId="402086E5"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3633CC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16</w:t>
            </w:r>
          </w:p>
        </w:tc>
        <w:tc>
          <w:tcPr>
            <w:tcW w:w="684" w:type="dxa"/>
            <w:tcBorders>
              <w:top w:val="nil"/>
              <w:left w:val="nil"/>
              <w:bottom w:val="single" w:sz="8" w:space="0" w:color="auto"/>
              <w:right w:val="single" w:sz="8" w:space="0" w:color="auto"/>
            </w:tcBorders>
            <w:shd w:val="clear" w:color="auto" w:fill="auto"/>
            <w:vAlign w:val="center"/>
            <w:hideMark/>
          </w:tcPr>
          <w:p w14:paraId="5120662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1264</w:t>
            </w:r>
          </w:p>
        </w:tc>
        <w:tc>
          <w:tcPr>
            <w:tcW w:w="4816" w:type="dxa"/>
            <w:tcBorders>
              <w:top w:val="nil"/>
              <w:left w:val="nil"/>
              <w:bottom w:val="single" w:sz="8" w:space="0" w:color="auto"/>
              <w:right w:val="single" w:sz="8" w:space="0" w:color="auto"/>
            </w:tcBorders>
            <w:shd w:val="clear" w:color="auto" w:fill="auto"/>
            <w:noWrap/>
            <w:vAlign w:val="center"/>
            <w:hideMark/>
          </w:tcPr>
          <w:p w14:paraId="62FCC72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Ārstniecības vai veselības aprūpes iestāžu ēkas</w:t>
            </w:r>
          </w:p>
        </w:tc>
        <w:tc>
          <w:tcPr>
            <w:tcW w:w="916" w:type="dxa"/>
            <w:tcBorders>
              <w:top w:val="nil"/>
              <w:left w:val="nil"/>
              <w:bottom w:val="single" w:sz="8" w:space="0" w:color="auto"/>
              <w:right w:val="single" w:sz="8" w:space="0" w:color="auto"/>
            </w:tcBorders>
            <w:shd w:val="clear" w:color="auto" w:fill="auto"/>
            <w:noWrap/>
            <w:vAlign w:val="center"/>
            <w:hideMark/>
          </w:tcPr>
          <w:p w14:paraId="1671183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1340</w:t>
            </w:r>
          </w:p>
        </w:tc>
        <w:tc>
          <w:tcPr>
            <w:tcW w:w="878" w:type="dxa"/>
            <w:tcBorders>
              <w:top w:val="nil"/>
              <w:left w:val="nil"/>
              <w:bottom w:val="single" w:sz="8" w:space="0" w:color="auto"/>
              <w:right w:val="single" w:sz="8" w:space="0" w:color="auto"/>
            </w:tcBorders>
            <w:shd w:val="clear" w:color="auto" w:fill="auto"/>
            <w:noWrap/>
            <w:vAlign w:val="center"/>
            <w:hideMark/>
          </w:tcPr>
          <w:p w14:paraId="0BBA787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2.02</w:t>
            </w:r>
          </w:p>
        </w:tc>
        <w:tc>
          <w:tcPr>
            <w:tcW w:w="1066" w:type="dxa"/>
            <w:tcBorders>
              <w:top w:val="nil"/>
              <w:left w:val="nil"/>
              <w:bottom w:val="single" w:sz="8" w:space="0" w:color="auto"/>
              <w:right w:val="single" w:sz="8" w:space="0" w:color="auto"/>
            </w:tcBorders>
            <w:shd w:val="clear" w:color="auto" w:fill="auto"/>
            <w:vAlign w:val="center"/>
            <w:hideMark/>
          </w:tcPr>
          <w:p w14:paraId="0BABD3C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0.096%</w:t>
            </w:r>
          </w:p>
        </w:tc>
        <w:tc>
          <w:tcPr>
            <w:tcW w:w="1066" w:type="dxa"/>
            <w:tcBorders>
              <w:top w:val="nil"/>
              <w:left w:val="nil"/>
              <w:bottom w:val="single" w:sz="8" w:space="0" w:color="auto"/>
              <w:right w:val="single" w:sz="8" w:space="0" w:color="auto"/>
            </w:tcBorders>
            <w:shd w:val="clear" w:color="auto" w:fill="auto"/>
            <w:vAlign w:val="center"/>
            <w:hideMark/>
          </w:tcPr>
          <w:p w14:paraId="59E7763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0.980%</w:t>
            </w:r>
          </w:p>
        </w:tc>
        <w:tc>
          <w:tcPr>
            <w:tcW w:w="983" w:type="dxa"/>
            <w:tcBorders>
              <w:top w:val="nil"/>
              <w:left w:val="nil"/>
              <w:bottom w:val="single" w:sz="8" w:space="0" w:color="auto"/>
              <w:right w:val="single" w:sz="8" w:space="0" w:color="auto"/>
            </w:tcBorders>
            <w:shd w:val="clear" w:color="auto" w:fill="auto"/>
            <w:vAlign w:val="center"/>
            <w:hideMark/>
          </w:tcPr>
          <w:p w14:paraId="1FB00E4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w:t>
            </w:r>
          </w:p>
        </w:tc>
      </w:tr>
      <w:tr w:rsidR="00034AF0" w:rsidRPr="00B069B9" w14:paraId="293491B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E3D58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17</w:t>
            </w:r>
          </w:p>
        </w:tc>
        <w:tc>
          <w:tcPr>
            <w:tcW w:w="684" w:type="dxa"/>
            <w:tcBorders>
              <w:top w:val="nil"/>
              <w:left w:val="nil"/>
              <w:bottom w:val="single" w:sz="8" w:space="0" w:color="auto"/>
              <w:right w:val="single" w:sz="8" w:space="0" w:color="auto"/>
            </w:tcBorders>
            <w:shd w:val="clear" w:color="auto" w:fill="auto"/>
            <w:vAlign w:val="center"/>
            <w:hideMark/>
          </w:tcPr>
          <w:p w14:paraId="5182BFA8"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1265</w:t>
            </w:r>
          </w:p>
        </w:tc>
        <w:tc>
          <w:tcPr>
            <w:tcW w:w="4816" w:type="dxa"/>
            <w:tcBorders>
              <w:top w:val="nil"/>
              <w:left w:val="nil"/>
              <w:bottom w:val="single" w:sz="8" w:space="0" w:color="auto"/>
              <w:right w:val="single" w:sz="8" w:space="0" w:color="auto"/>
            </w:tcBorders>
            <w:shd w:val="clear" w:color="auto" w:fill="auto"/>
            <w:noWrap/>
            <w:vAlign w:val="center"/>
            <w:hideMark/>
          </w:tcPr>
          <w:p w14:paraId="1FFF6B4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Sporta ēkas</w:t>
            </w:r>
          </w:p>
        </w:tc>
        <w:tc>
          <w:tcPr>
            <w:tcW w:w="916" w:type="dxa"/>
            <w:tcBorders>
              <w:top w:val="nil"/>
              <w:left w:val="nil"/>
              <w:bottom w:val="single" w:sz="8" w:space="0" w:color="auto"/>
              <w:right w:val="single" w:sz="8" w:space="0" w:color="auto"/>
            </w:tcBorders>
            <w:shd w:val="clear" w:color="auto" w:fill="auto"/>
            <w:noWrap/>
            <w:vAlign w:val="center"/>
            <w:hideMark/>
          </w:tcPr>
          <w:p w14:paraId="24C3FF3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1048</w:t>
            </w:r>
          </w:p>
        </w:tc>
        <w:tc>
          <w:tcPr>
            <w:tcW w:w="878" w:type="dxa"/>
            <w:tcBorders>
              <w:top w:val="nil"/>
              <w:left w:val="nil"/>
              <w:bottom w:val="single" w:sz="8" w:space="0" w:color="auto"/>
              <w:right w:val="single" w:sz="8" w:space="0" w:color="auto"/>
            </w:tcBorders>
            <w:shd w:val="clear" w:color="auto" w:fill="auto"/>
            <w:noWrap/>
            <w:vAlign w:val="center"/>
            <w:hideMark/>
          </w:tcPr>
          <w:p w14:paraId="0E232B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1.24</w:t>
            </w:r>
          </w:p>
        </w:tc>
        <w:tc>
          <w:tcPr>
            <w:tcW w:w="1066" w:type="dxa"/>
            <w:tcBorders>
              <w:top w:val="nil"/>
              <w:left w:val="nil"/>
              <w:bottom w:val="single" w:sz="8" w:space="0" w:color="auto"/>
              <w:right w:val="single" w:sz="8" w:space="0" w:color="auto"/>
            </w:tcBorders>
            <w:shd w:val="clear" w:color="auto" w:fill="auto"/>
            <w:vAlign w:val="center"/>
            <w:hideMark/>
          </w:tcPr>
          <w:p w14:paraId="765778C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0.075%</w:t>
            </w:r>
          </w:p>
        </w:tc>
        <w:tc>
          <w:tcPr>
            <w:tcW w:w="1066" w:type="dxa"/>
            <w:tcBorders>
              <w:top w:val="nil"/>
              <w:left w:val="nil"/>
              <w:bottom w:val="single" w:sz="8" w:space="0" w:color="auto"/>
              <w:right w:val="single" w:sz="8" w:space="0" w:color="auto"/>
            </w:tcBorders>
            <w:shd w:val="clear" w:color="auto" w:fill="auto"/>
            <w:vAlign w:val="center"/>
            <w:hideMark/>
          </w:tcPr>
          <w:p w14:paraId="14C272C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0.602%</w:t>
            </w:r>
          </w:p>
        </w:tc>
        <w:tc>
          <w:tcPr>
            <w:tcW w:w="983" w:type="dxa"/>
            <w:tcBorders>
              <w:top w:val="nil"/>
              <w:left w:val="nil"/>
              <w:bottom w:val="single" w:sz="8" w:space="0" w:color="auto"/>
              <w:right w:val="single" w:sz="8" w:space="0" w:color="auto"/>
            </w:tcBorders>
            <w:shd w:val="clear" w:color="auto" w:fill="auto"/>
            <w:vAlign w:val="center"/>
            <w:hideMark/>
          </w:tcPr>
          <w:p w14:paraId="02B9B3D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w:t>
            </w:r>
          </w:p>
        </w:tc>
      </w:tr>
      <w:tr w:rsidR="00034AF0" w:rsidRPr="00B069B9" w14:paraId="2CCCDC31"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0C6570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18</w:t>
            </w:r>
          </w:p>
        </w:tc>
        <w:tc>
          <w:tcPr>
            <w:tcW w:w="684" w:type="dxa"/>
            <w:tcBorders>
              <w:top w:val="nil"/>
              <w:left w:val="nil"/>
              <w:bottom w:val="single" w:sz="8" w:space="0" w:color="auto"/>
              <w:right w:val="single" w:sz="8" w:space="0" w:color="auto"/>
            </w:tcBorders>
            <w:shd w:val="clear" w:color="auto" w:fill="auto"/>
            <w:vAlign w:val="center"/>
            <w:hideMark/>
          </w:tcPr>
          <w:p w14:paraId="3405473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1271</w:t>
            </w:r>
          </w:p>
        </w:tc>
        <w:tc>
          <w:tcPr>
            <w:tcW w:w="4816" w:type="dxa"/>
            <w:tcBorders>
              <w:top w:val="nil"/>
              <w:left w:val="nil"/>
              <w:bottom w:val="single" w:sz="8" w:space="0" w:color="auto"/>
              <w:right w:val="single" w:sz="8" w:space="0" w:color="auto"/>
            </w:tcBorders>
            <w:shd w:val="clear" w:color="auto" w:fill="auto"/>
            <w:noWrap/>
            <w:vAlign w:val="center"/>
            <w:hideMark/>
          </w:tcPr>
          <w:p w14:paraId="498AC2A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Lauku saimniecību nedzīvojamās ēkas</w:t>
            </w:r>
          </w:p>
        </w:tc>
        <w:tc>
          <w:tcPr>
            <w:tcW w:w="916" w:type="dxa"/>
            <w:tcBorders>
              <w:top w:val="nil"/>
              <w:left w:val="nil"/>
              <w:bottom w:val="single" w:sz="8" w:space="0" w:color="auto"/>
              <w:right w:val="single" w:sz="8" w:space="0" w:color="auto"/>
            </w:tcBorders>
            <w:shd w:val="clear" w:color="auto" w:fill="auto"/>
            <w:noWrap/>
            <w:vAlign w:val="center"/>
            <w:hideMark/>
          </w:tcPr>
          <w:p w14:paraId="6B5981A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85003</w:t>
            </w:r>
          </w:p>
        </w:tc>
        <w:tc>
          <w:tcPr>
            <w:tcW w:w="878" w:type="dxa"/>
            <w:tcBorders>
              <w:top w:val="nil"/>
              <w:left w:val="nil"/>
              <w:bottom w:val="single" w:sz="8" w:space="0" w:color="auto"/>
              <w:right w:val="single" w:sz="8" w:space="0" w:color="auto"/>
            </w:tcBorders>
            <w:shd w:val="clear" w:color="auto" w:fill="auto"/>
            <w:noWrap/>
            <w:vAlign w:val="center"/>
            <w:hideMark/>
          </w:tcPr>
          <w:p w14:paraId="63D0352A"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23.17</w:t>
            </w:r>
          </w:p>
        </w:tc>
        <w:tc>
          <w:tcPr>
            <w:tcW w:w="1066" w:type="dxa"/>
            <w:tcBorders>
              <w:top w:val="nil"/>
              <w:left w:val="nil"/>
              <w:bottom w:val="single" w:sz="8" w:space="0" w:color="auto"/>
              <w:right w:val="single" w:sz="8" w:space="0" w:color="auto"/>
            </w:tcBorders>
            <w:shd w:val="clear" w:color="auto" w:fill="auto"/>
            <w:vAlign w:val="center"/>
            <w:hideMark/>
          </w:tcPr>
          <w:p w14:paraId="4594875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6.059%</w:t>
            </w:r>
          </w:p>
        </w:tc>
        <w:tc>
          <w:tcPr>
            <w:tcW w:w="1066" w:type="dxa"/>
            <w:tcBorders>
              <w:top w:val="nil"/>
              <w:left w:val="nil"/>
              <w:bottom w:val="single" w:sz="8" w:space="0" w:color="auto"/>
              <w:right w:val="single" w:sz="8" w:space="0" w:color="auto"/>
            </w:tcBorders>
            <w:shd w:val="clear" w:color="auto" w:fill="auto"/>
            <w:vAlign w:val="center"/>
            <w:hideMark/>
          </w:tcPr>
          <w:p w14:paraId="6E19E555"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11.217%</w:t>
            </w:r>
          </w:p>
        </w:tc>
        <w:tc>
          <w:tcPr>
            <w:tcW w:w="983" w:type="dxa"/>
            <w:tcBorders>
              <w:top w:val="nil"/>
              <w:left w:val="nil"/>
              <w:bottom w:val="single" w:sz="8" w:space="0" w:color="auto"/>
              <w:right w:val="single" w:sz="8" w:space="0" w:color="auto"/>
            </w:tcBorders>
            <w:shd w:val="clear" w:color="auto" w:fill="auto"/>
            <w:vAlign w:val="center"/>
            <w:hideMark/>
          </w:tcPr>
          <w:p w14:paraId="727FD2F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455</w:t>
            </w:r>
          </w:p>
        </w:tc>
      </w:tr>
      <w:tr w:rsidR="00034AF0" w:rsidRPr="00B069B9" w14:paraId="67D03D58"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A281FE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19</w:t>
            </w:r>
          </w:p>
        </w:tc>
        <w:tc>
          <w:tcPr>
            <w:tcW w:w="684" w:type="dxa"/>
            <w:tcBorders>
              <w:top w:val="nil"/>
              <w:left w:val="nil"/>
              <w:bottom w:val="single" w:sz="8" w:space="0" w:color="auto"/>
              <w:right w:val="single" w:sz="8" w:space="0" w:color="auto"/>
            </w:tcBorders>
            <w:shd w:val="clear" w:color="auto" w:fill="auto"/>
            <w:vAlign w:val="center"/>
            <w:hideMark/>
          </w:tcPr>
          <w:p w14:paraId="005C2A6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1272</w:t>
            </w:r>
          </w:p>
        </w:tc>
        <w:tc>
          <w:tcPr>
            <w:tcW w:w="4816" w:type="dxa"/>
            <w:tcBorders>
              <w:top w:val="nil"/>
              <w:left w:val="nil"/>
              <w:bottom w:val="single" w:sz="8" w:space="0" w:color="auto"/>
              <w:right w:val="single" w:sz="8" w:space="0" w:color="auto"/>
            </w:tcBorders>
            <w:shd w:val="clear" w:color="auto" w:fill="auto"/>
            <w:noWrap/>
            <w:vAlign w:val="center"/>
            <w:hideMark/>
          </w:tcPr>
          <w:p w14:paraId="6AD24F5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Kulta ēkas</w:t>
            </w:r>
          </w:p>
        </w:tc>
        <w:tc>
          <w:tcPr>
            <w:tcW w:w="916" w:type="dxa"/>
            <w:tcBorders>
              <w:top w:val="nil"/>
              <w:left w:val="nil"/>
              <w:bottom w:val="single" w:sz="8" w:space="0" w:color="auto"/>
              <w:right w:val="single" w:sz="8" w:space="0" w:color="auto"/>
            </w:tcBorders>
            <w:shd w:val="clear" w:color="auto" w:fill="auto"/>
            <w:noWrap/>
            <w:vAlign w:val="center"/>
            <w:hideMark/>
          </w:tcPr>
          <w:p w14:paraId="213B55E4"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1355</w:t>
            </w:r>
          </w:p>
        </w:tc>
        <w:tc>
          <w:tcPr>
            <w:tcW w:w="878" w:type="dxa"/>
            <w:tcBorders>
              <w:top w:val="nil"/>
              <w:left w:val="nil"/>
              <w:bottom w:val="single" w:sz="8" w:space="0" w:color="auto"/>
              <w:right w:val="single" w:sz="8" w:space="0" w:color="auto"/>
            </w:tcBorders>
            <w:shd w:val="clear" w:color="auto" w:fill="auto"/>
            <w:noWrap/>
            <w:vAlign w:val="center"/>
            <w:hideMark/>
          </w:tcPr>
          <w:p w14:paraId="7C5AC90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0.44</w:t>
            </w:r>
          </w:p>
        </w:tc>
        <w:tc>
          <w:tcPr>
            <w:tcW w:w="1066" w:type="dxa"/>
            <w:tcBorders>
              <w:top w:val="nil"/>
              <w:left w:val="nil"/>
              <w:bottom w:val="single" w:sz="8" w:space="0" w:color="auto"/>
              <w:right w:val="single" w:sz="8" w:space="0" w:color="auto"/>
            </w:tcBorders>
            <w:shd w:val="clear" w:color="auto" w:fill="auto"/>
            <w:vAlign w:val="center"/>
            <w:hideMark/>
          </w:tcPr>
          <w:p w14:paraId="41DF943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0.097%</w:t>
            </w:r>
          </w:p>
        </w:tc>
        <w:tc>
          <w:tcPr>
            <w:tcW w:w="1066" w:type="dxa"/>
            <w:tcBorders>
              <w:top w:val="nil"/>
              <w:left w:val="nil"/>
              <w:bottom w:val="single" w:sz="8" w:space="0" w:color="auto"/>
              <w:right w:val="single" w:sz="8" w:space="0" w:color="auto"/>
            </w:tcBorders>
            <w:shd w:val="clear" w:color="auto" w:fill="auto"/>
            <w:vAlign w:val="center"/>
            <w:hideMark/>
          </w:tcPr>
          <w:p w14:paraId="39451CE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0.211%</w:t>
            </w:r>
          </w:p>
        </w:tc>
        <w:tc>
          <w:tcPr>
            <w:tcW w:w="983" w:type="dxa"/>
            <w:tcBorders>
              <w:top w:val="nil"/>
              <w:left w:val="nil"/>
              <w:bottom w:val="single" w:sz="8" w:space="0" w:color="auto"/>
              <w:right w:val="single" w:sz="8" w:space="0" w:color="auto"/>
            </w:tcBorders>
            <w:shd w:val="clear" w:color="auto" w:fill="auto"/>
            <w:vAlign w:val="center"/>
            <w:hideMark/>
          </w:tcPr>
          <w:p w14:paraId="2B72A27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4EE0B24D"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CE520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20</w:t>
            </w:r>
          </w:p>
        </w:tc>
        <w:tc>
          <w:tcPr>
            <w:tcW w:w="684" w:type="dxa"/>
            <w:tcBorders>
              <w:top w:val="nil"/>
              <w:left w:val="nil"/>
              <w:bottom w:val="single" w:sz="8" w:space="0" w:color="auto"/>
              <w:right w:val="single" w:sz="8" w:space="0" w:color="auto"/>
            </w:tcBorders>
            <w:shd w:val="clear" w:color="auto" w:fill="auto"/>
            <w:vAlign w:val="center"/>
            <w:hideMark/>
          </w:tcPr>
          <w:p w14:paraId="182EAAF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1273</w:t>
            </w:r>
          </w:p>
        </w:tc>
        <w:tc>
          <w:tcPr>
            <w:tcW w:w="4816" w:type="dxa"/>
            <w:tcBorders>
              <w:top w:val="nil"/>
              <w:left w:val="nil"/>
              <w:bottom w:val="single" w:sz="8" w:space="0" w:color="auto"/>
              <w:right w:val="single" w:sz="8" w:space="0" w:color="auto"/>
            </w:tcBorders>
            <w:shd w:val="clear" w:color="auto" w:fill="auto"/>
            <w:noWrap/>
            <w:vAlign w:val="center"/>
            <w:hideMark/>
          </w:tcPr>
          <w:p w14:paraId="5160C0CF"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Kultūrvēsturiskie objekti</w:t>
            </w:r>
          </w:p>
        </w:tc>
        <w:tc>
          <w:tcPr>
            <w:tcW w:w="916" w:type="dxa"/>
            <w:tcBorders>
              <w:top w:val="nil"/>
              <w:left w:val="nil"/>
              <w:bottom w:val="single" w:sz="8" w:space="0" w:color="auto"/>
              <w:right w:val="single" w:sz="8" w:space="0" w:color="auto"/>
            </w:tcBorders>
            <w:shd w:val="clear" w:color="auto" w:fill="auto"/>
            <w:noWrap/>
            <w:vAlign w:val="center"/>
            <w:hideMark/>
          </w:tcPr>
          <w:p w14:paraId="07D1963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61</w:t>
            </w:r>
          </w:p>
        </w:tc>
        <w:tc>
          <w:tcPr>
            <w:tcW w:w="878" w:type="dxa"/>
            <w:tcBorders>
              <w:top w:val="nil"/>
              <w:left w:val="nil"/>
              <w:bottom w:val="single" w:sz="8" w:space="0" w:color="auto"/>
              <w:right w:val="single" w:sz="8" w:space="0" w:color="auto"/>
            </w:tcBorders>
            <w:shd w:val="clear" w:color="auto" w:fill="auto"/>
            <w:noWrap/>
            <w:vAlign w:val="center"/>
            <w:hideMark/>
          </w:tcPr>
          <w:p w14:paraId="0E7BE392"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0.06</w:t>
            </w:r>
          </w:p>
        </w:tc>
        <w:tc>
          <w:tcPr>
            <w:tcW w:w="1066" w:type="dxa"/>
            <w:tcBorders>
              <w:top w:val="nil"/>
              <w:left w:val="nil"/>
              <w:bottom w:val="single" w:sz="8" w:space="0" w:color="auto"/>
              <w:right w:val="single" w:sz="8" w:space="0" w:color="auto"/>
            </w:tcBorders>
            <w:shd w:val="clear" w:color="auto" w:fill="auto"/>
            <w:vAlign w:val="center"/>
            <w:hideMark/>
          </w:tcPr>
          <w:p w14:paraId="41D5FEA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0.004%</w:t>
            </w:r>
          </w:p>
        </w:tc>
        <w:tc>
          <w:tcPr>
            <w:tcW w:w="1066" w:type="dxa"/>
            <w:tcBorders>
              <w:top w:val="nil"/>
              <w:left w:val="nil"/>
              <w:bottom w:val="single" w:sz="8" w:space="0" w:color="auto"/>
              <w:right w:val="single" w:sz="8" w:space="0" w:color="auto"/>
            </w:tcBorders>
            <w:shd w:val="clear" w:color="auto" w:fill="auto"/>
            <w:vAlign w:val="center"/>
            <w:hideMark/>
          </w:tcPr>
          <w:p w14:paraId="49962EDE"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0.028%</w:t>
            </w:r>
          </w:p>
        </w:tc>
        <w:tc>
          <w:tcPr>
            <w:tcW w:w="983" w:type="dxa"/>
            <w:tcBorders>
              <w:top w:val="nil"/>
              <w:left w:val="nil"/>
              <w:bottom w:val="single" w:sz="8" w:space="0" w:color="auto"/>
              <w:right w:val="single" w:sz="8" w:space="0" w:color="auto"/>
            </w:tcBorders>
            <w:shd w:val="clear" w:color="auto" w:fill="auto"/>
            <w:vAlign w:val="center"/>
            <w:hideMark/>
          </w:tcPr>
          <w:p w14:paraId="2190E65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0</w:t>
            </w:r>
          </w:p>
        </w:tc>
      </w:tr>
      <w:tr w:rsidR="00034AF0" w:rsidRPr="00B069B9" w14:paraId="11B1D892"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D251E00"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21</w:t>
            </w:r>
          </w:p>
        </w:tc>
        <w:tc>
          <w:tcPr>
            <w:tcW w:w="684" w:type="dxa"/>
            <w:tcBorders>
              <w:top w:val="nil"/>
              <w:left w:val="nil"/>
              <w:bottom w:val="single" w:sz="8" w:space="0" w:color="auto"/>
              <w:right w:val="single" w:sz="8" w:space="0" w:color="auto"/>
            </w:tcBorders>
            <w:shd w:val="clear" w:color="auto" w:fill="auto"/>
            <w:vAlign w:val="center"/>
            <w:hideMark/>
          </w:tcPr>
          <w:p w14:paraId="33FC9A4D"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1274</w:t>
            </w:r>
          </w:p>
        </w:tc>
        <w:tc>
          <w:tcPr>
            <w:tcW w:w="4816" w:type="dxa"/>
            <w:tcBorders>
              <w:top w:val="nil"/>
              <w:left w:val="nil"/>
              <w:bottom w:val="single" w:sz="8" w:space="0" w:color="auto"/>
              <w:right w:val="single" w:sz="8" w:space="0" w:color="auto"/>
            </w:tcBorders>
            <w:shd w:val="clear" w:color="auto" w:fill="auto"/>
            <w:noWrap/>
            <w:vAlign w:val="center"/>
            <w:hideMark/>
          </w:tcPr>
          <w:p w14:paraId="7CB84D91"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Citas, iepriekš neklasificētas ēkas</w:t>
            </w:r>
          </w:p>
        </w:tc>
        <w:tc>
          <w:tcPr>
            <w:tcW w:w="916" w:type="dxa"/>
            <w:tcBorders>
              <w:top w:val="nil"/>
              <w:left w:val="nil"/>
              <w:bottom w:val="single" w:sz="8" w:space="0" w:color="auto"/>
              <w:right w:val="single" w:sz="8" w:space="0" w:color="auto"/>
            </w:tcBorders>
            <w:shd w:val="clear" w:color="auto" w:fill="auto"/>
            <w:noWrap/>
            <w:vAlign w:val="center"/>
            <w:hideMark/>
          </w:tcPr>
          <w:p w14:paraId="4584AC76"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826671</w:t>
            </w:r>
          </w:p>
        </w:tc>
        <w:tc>
          <w:tcPr>
            <w:tcW w:w="878" w:type="dxa"/>
            <w:tcBorders>
              <w:top w:val="nil"/>
              <w:left w:val="nil"/>
              <w:bottom w:val="single" w:sz="8" w:space="0" w:color="auto"/>
              <w:right w:val="single" w:sz="8" w:space="0" w:color="auto"/>
            </w:tcBorders>
            <w:shd w:val="clear" w:color="auto" w:fill="auto"/>
            <w:noWrap/>
            <w:vAlign w:val="center"/>
            <w:hideMark/>
          </w:tcPr>
          <w:p w14:paraId="0DD8FD37"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33.34</w:t>
            </w:r>
          </w:p>
        </w:tc>
        <w:tc>
          <w:tcPr>
            <w:tcW w:w="1066" w:type="dxa"/>
            <w:tcBorders>
              <w:top w:val="nil"/>
              <w:left w:val="nil"/>
              <w:bottom w:val="single" w:sz="8" w:space="0" w:color="auto"/>
              <w:right w:val="single" w:sz="8" w:space="0" w:color="auto"/>
            </w:tcBorders>
            <w:shd w:val="clear" w:color="auto" w:fill="auto"/>
            <w:vAlign w:val="center"/>
            <w:hideMark/>
          </w:tcPr>
          <w:p w14:paraId="5876F25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58.924%</w:t>
            </w:r>
          </w:p>
        </w:tc>
        <w:tc>
          <w:tcPr>
            <w:tcW w:w="1066" w:type="dxa"/>
            <w:tcBorders>
              <w:top w:val="nil"/>
              <w:left w:val="nil"/>
              <w:bottom w:val="single" w:sz="8" w:space="0" w:color="auto"/>
              <w:right w:val="single" w:sz="8" w:space="0" w:color="auto"/>
            </w:tcBorders>
            <w:shd w:val="clear" w:color="auto" w:fill="auto"/>
            <w:vAlign w:val="center"/>
            <w:hideMark/>
          </w:tcPr>
          <w:p w14:paraId="663C82EB"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16.139%</w:t>
            </w:r>
          </w:p>
        </w:tc>
        <w:tc>
          <w:tcPr>
            <w:tcW w:w="983" w:type="dxa"/>
            <w:tcBorders>
              <w:top w:val="nil"/>
              <w:left w:val="nil"/>
              <w:bottom w:val="single" w:sz="8" w:space="0" w:color="auto"/>
              <w:right w:val="single" w:sz="8" w:space="0" w:color="auto"/>
            </w:tcBorders>
            <w:shd w:val="clear" w:color="auto" w:fill="auto"/>
            <w:vAlign w:val="center"/>
            <w:hideMark/>
          </w:tcPr>
          <w:p w14:paraId="3A7766DC"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7748</w:t>
            </w:r>
          </w:p>
        </w:tc>
      </w:tr>
      <w:tr w:rsidR="00034AF0" w:rsidRPr="00B069B9" w14:paraId="20676E40"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CE19ED"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Nedzīvojamās ēkas kopā</w:t>
            </w:r>
          </w:p>
        </w:tc>
        <w:tc>
          <w:tcPr>
            <w:tcW w:w="916" w:type="dxa"/>
            <w:tcBorders>
              <w:top w:val="nil"/>
              <w:left w:val="nil"/>
              <w:bottom w:val="nil"/>
              <w:right w:val="single" w:sz="8" w:space="0" w:color="auto"/>
            </w:tcBorders>
            <w:shd w:val="clear" w:color="auto" w:fill="auto"/>
            <w:noWrap/>
            <w:vAlign w:val="center"/>
            <w:hideMark/>
          </w:tcPr>
          <w:p w14:paraId="73C57E79"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1006847</w:t>
            </w:r>
          </w:p>
        </w:tc>
        <w:tc>
          <w:tcPr>
            <w:tcW w:w="878" w:type="dxa"/>
            <w:tcBorders>
              <w:top w:val="nil"/>
              <w:left w:val="nil"/>
              <w:bottom w:val="single" w:sz="8" w:space="0" w:color="auto"/>
              <w:right w:val="single" w:sz="8" w:space="0" w:color="auto"/>
            </w:tcBorders>
            <w:shd w:val="clear" w:color="auto" w:fill="auto"/>
            <w:noWrap/>
            <w:vAlign w:val="center"/>
            <w:hideMark/>
          </w:tcPr>
          <w:p w14:paraId="7A91DF04"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115.50</w:t>
            </w:r>
          </w:p>
        </w:tc>
        <w:tc>
          <w:tcPr>
            <w:tcW w:w="1066" w:type="dxa"/>
            <w:tcBorders>
              <w:top w:val="nil"/>
              <w:left w:val="nil"/>
              <w:bottom w:val="single" w:sz="8" w:space="0" w:color="auto"/>
              <w:right w:val="single" w:sz="8" w:space="0" w:color="auto"/>
            </w:tcBorders>
            <w:shd w:val="clear" w:color="auto" w:fill="auto"/>
            <w:vAlign w:val="center"/>
            <w:hideMark/>
          </w:tcPr>
          <w:p w14:paraId="49258E6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71.766%</w:t>
            </w:r>
          </w:p>
        </w:tc>
        <w:tc>
          <w:tcPr>
            <w:tcW w:w="1066" w:type="dxa"/>
            <w:tcBorders>
              <w:top w:val="nil"/>
              <w:left w:val="nil"/>
              <w:bottom w:val="single" w:sz="8" w:space="0" w:color="auto"/>
              <w:right w:val="single" w:sz="8" w:space="0" w:color="auto"/>
            </w:tcBorders>
            <w:shd w:val="clear" w:color="auto" w:fill="auto"/>
            <w:vAlign w:val="center"/>
            <w:hideMark/>
          </w:tcPr>
          <w:p w14:paraId="40D5835A"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55.911%</w:t>
            </w:r>
          </w:p>
        </w:tc>
        <w:tc>
          <w:tcPr>
            <w:tcW w:w="983" w:type="dxa"/>
            <w:tcBorders>
              <w:top w:val="nil"/>
              <w:left w:val="nil"/>
              <w:bottom w:val="single" w:sz="8" w:space="0" w:color="auto"/>
              <w:right w:val="single" w:sz="8" w:space="0" w:color="auto"/>
            </w:tcBorders>
            <w:shd w:val="clear" w:color="auto" w:fill="auto"/>
            <w:vAlign w:val="center"/>
            <w:hideMark/>
          </w:tcPr>
          <w:p w14:paraId="5A1CDD6C"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8829</w:t>
            </w:r>
          </w:p>
        </w:tc>
      </w:tr>
      <w:tr w:rsidR="00034AF0" w:rsidRPr="00B069B9" w14:paraId="76DEC223" w14:textId="77777777" w:rsidTr="00081C04">
        <w:trPr>
          <w:trHeight w:val="29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AFD43F3" w14:textId="77777777" w:rsidR="00034AF0" w:rsidRPr="00B069B9" w:rsidRDefault="00034AF0" w:rsidP="00081C04">
            <w:pPr>
              <w:ind w:firstLine="0"/>
              <w:jc w:val="center"/>
              <w:rPr>
                <w:rFonts w:eastAsia="Times New Roman" w:cs="Times New Roman"/>
                <w:color w:val="000000"/>
                <w:sz w:val="20"/>
                <w:szCs w:val="20"/>
                <w:lang w:eastAsia="lv-LV"/>
              </w:rPr>
            </w:pPr>
            <w:r w:rsidRPr="00B069B9">
              <w:rPr>
                <w:rFonts w:eastAsia="Times New Roman" w:cs="Times New Roman"/>
                <w:color w:val="000000"/>
                <w:sz w:val="20"/>
                <w:szCs w:val="20"/>
                <w:lang w:eastAsia="lv-LV"/>
              </w:rPr>
              <w:t>22</w:t>
            </w:r>
          </w:p>
        </w:tc>
        <w:tc>
          <w:tcPr>
            <w:tcW w:w="5500" w:type="dxa"/>
            <w:gridSpan w:val="2"/>
            <w:tcBorders>
              <w:top w:val="single" w:sz="8" w:space="0" w:color="auto"/>
              <w:left w:val="nil"/>
              <w:bottom w:val="single" w:sz="8" w:space="0" w:color="auto"/>
              <w:right w:val="single" w:sz="8" w:space="0" w:color="000000"/>
            </w:tcBorders>
            <w:shd w:val="clear" w:color="auto" w:fill="auto"/>
            <w:vAlign w:val="center"/>
            <w:hideMark/>
          </w:tcPr>
          <w:p w14:paraId="21248BAF"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Inženierbūves kopā</w:t>
            </w:r>
          </w:p>
        </w:tc>
        <w:tc>
          <w:tcPr>
            <w:tcW w:w="916" w:type="dxa"/>
            <w:tcBorders>
              <w:top w:val="single" w:sz="8" w:space="0" w:color="auto"/>
              <w:left w:val="nil"/>
              <w:bottom w:val="single" w:sz="8" w:space="0" w:color="auto"/>
              <w:right w:val="single" w:sz="8" w:space="0" w:color="auto"/>
            </w:tcBorders>
            <w:shd w:val="clear" w:color="auto" w:fill="auto"/>
            <w:noWrap/>
            <w:vAlign w:val="center"/>
            <w:hideMark/>
          </w:tcPr>
          <w:p w14:paraId="120F7A37"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32116</w:t>
            </w:r>
          </w:p>
        </w:tc>
        <w:tc>
          <w:tcPr>
            <w:tcW w:w="878" w:type="dxa"/>
            <w:tcBorders>
              <w:top w:val="nil"/>
              <w:left w:val="nil"/>
              <w:bottom w:val="single" w:sz="8" w:space="0" w:color="auto"/>
              <w:right w:val="single" w:sz="8" w:space="0" w:color="auto"/>
            </w:tcBorders>
            <w:shd w:val="clear" w:color="auto" w:fill="auto"/>
            <w:noWrap/>
            <w:vAlign w:val="center"/>
            <w:hideMark/>
          </w:tcPr>
          <w:p w14:paraId="76D047F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w:t>
            </w:r>
          </w:p>
        </w:tc>
        <w:tc>
          <w:tcPr>
            <w:tcW w:w="1066" w:type="dxa"/>
            <w:tcBorders>
              <w:top w:val="nil"/>
              <w:left w:val="nil"/>
              <w:bottom w:val="single" w:sz="8" w:space="0" w:color="auto"/>
              <w:right w:val="single" w:sz="8" w:space="0" w:color="auto"/>
            </w:tcBorders>
            <w:shd w:val="clear" w:color="auto" w:fill="auto"/>
            <w:vAlign w:val="center"/>
            <w:hideMark/>
          </w:tcPr>
          <w:p w14:paraId="2F65296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2.289%</w:t>
            </w:r>
          </w:p>
        </w:tc>
        <w:tc>
          <w:tcPr>
            <w:tcW w:w="1066" w:type="dxa"/>
            <w:tcBorders>
              <w:top w:val="nil"/>
              <w:left w:val="nil"/>
              <w:bottom w:val="single" w:sz="8" w:space="0" w:color="auto"/>
              <w:right w:val="single" w:sz="8" w:space="0" w:color="auto"/>
            </w:tcBorders>
            <w:shd w:val="clear" w:color="auto" w:fill="auto"/>
            <w:vAlign w:val="center"/>
            <w:hideMark/>
          </w:tcPr>
          <w:p w14:paraId="56F2B65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 </w:t>
            </w:r>
          </w:p>
        </w:tc>
        <w:tc>
          <w:tcPr>
            <w:tcW w:w="983" w:type="dxa"/>
            <w:tcBorders>
              <w:top w:val="nil"/>
              <w:left w:val="nil"/>
              <w:bottom w:val="single" w:sz="8" w:space="0" w:color="auto"/>
              <w:right w:val="single" w:sz="8" w:space="0" w:color="auto"/>
            </w:tcBorders>
            <w:shd w:val="clear" w:color="auto" w:fill="auto"/>
            <w:vAlign w:val="center"/>
            <w:hideMark/>
          </w:tcPr>
          <w:p w14:paraId="384980CB"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240</w:t>
            </w:r>
          </w:p>
        </w:tc>
      </w:tr>
      <w:tr w:rsidR="00034AF0" w:rsidRPr="00B069B9" w14:paraId="1BA50424" w14:textId="77777777" w:rsidTr="00081C04">
        <w:trPr>
          <w:trHeight w:val="295"/>
        </w:trPr>
        <w:tc>
          <w:tcPr>
            <w:tcW w:w="60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ACAA31D"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Kopā</w:t>
            </w:r>
          </w:p>
        </w:tc>
        <w:tc>
          <w:tcPr>
            <w:tcW w:w="916" w:type="dxa"/>
            <w:tcBorders>
              <w:top w:val="nil"/>
              <w:left w:val="nil"/>
              <w:bottom w:val="single" w:sz="8" w:space="0" w:color="auto"/>
              <w:right w:val="single" w:sz="8" w:space="0" w:color="auto"/>
            </w:tcBorders>
            <w:shd w:val="clear" w:color="auto" w:fill="auto"/>
            <w:noWrap/>
            <w:vAlign w:val="center"/>
            <w:hideMark/>
          </w:tcPr>
          <w:p w14:paraId="2AE066AE"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1402954</w:t>
            </w:r>
          </w:p>
        </w:tc>
        <w:tc>
          <w:tcPr>
            <w:tcW w:w="878" w:type="dxa"/>
            <w:tcBorders>
              <w:top w:val="nil"/>
              <w:left w:val="nil"/>
              <w:bottom w:val="single" w:sz="8" w:space="0" w:color="auto"/>
              <w:right w:val="single" w:sz="8" w:space="0" w:color="auto"/>
            </w:tcBorders>
            <w:shd w:val="clear" w:color="auto" w:fill="auto"/>
            <w:noWrap/>
            <w:vAlign w:val="center"/>
            <w:hideMark/>
          </w:tcPr>
          <w:p w14:paraId="7DCFDE33"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206.58</w:t>
            </w:r>
          </w:p>
        </w:tc>
        <w:tc>
          <w:tcPr>
            <w:tcW w:w="1066" w:type="dxa"/>
            <w:tcBorders>
              <w:top w:val="nil"/>
              <w:left w:val="nil"/>
              <w:bottom w:val="single" w:sz="8" w:space="0" w:color="auto"/>
              <w:right w:val="single" w:sz="8" w:space="0" w:color="auto"/>
            </w:tcBorders>
            <w:shd w:val="clear" w:color="auto" w:fill="auto"/>
            <w:vAlign w:val="center"/>
            <w:hideMark/>
          </w:tcPr>
          <w:p w14:paraId="2A8C453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100.000%</w:t>
            </w:r>
          </w:p>
        </w:tc>
        <w:tc>
          <w:tcPr>
            <w:tcW w:w="1066" w:type="dxa"/>
            <w:tcBorders>
              <w:top w:val="nil"/>
              <w:left w:val="nil"/>
              <w:bottom w:val="single" w:sz="8" w:space="0" w:color="auto"/>
              <w:right w:val="single" w:sz="8" w:space="0" w:color="auto"/>
            </w:tcBorders>
            <w:shd w:val="clear" w:color="auto" w:fill="auto"/>
            <w:vAlign w:val="center"/>
            <w:hideMark/>
          </w:tcPr>
          <w:p w14:paraId="62470340"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100.000%</w:t>
            </w:r>
          </w:p>
        </w:tc>
        <w:tc>
          <w:tcPr>
            <w:tcW w:w="983" w:type="dxa"/>
            <w:tcBorders>
              <w:top w:val="nil"/>
              <w:left w:val="nil"/>
              <w:bottom w:val="single" w:sz="8" w:space="0" w:color="auto"/>
              <w:right w:val="single" w:sz="8" w:space="0" w:color="auto"/>
            </w:tcBorders>
            <w:shd w:val="clear" w:color="auto" w:fill="auto"/>
            <w:vAlign w:val="center"/>
            <w:hideMark/>
          </w:tcPr>
          <w:p w14:paraId="59548CA9" w14:textId="77777777" w:rsidR="00034AF0" w:rsidRPr="00B069B9" w:rsidRDefault="00034AF0" w:rsidP="00081C04">
            <w:pPr>
              <w:ind w:firstLine="0"/>
              <w:jc w:val="right"/>
              <w:rPr>
                <w:rFonts w:eastAsia="Times New Roman" w:cs="Times New Roman"/>
                <w:b/>
                <w:bCs/>
                <w:color w:val="000000"/>
                <w:sz w:val="20"/>
                <w:szCs w:val="20"/>
                <w:lang w:eastAsia="lv-LV"/>
              </w:rPr>
            </w:pPr>
            <w:r w:rsidRPr="00B069B9">
              <w:rPr>
                <w:rFonts w:eastAsia="Times New Roman" w:cs="Times New Roman"/>
                <w:b/>
                <w:bCs/>
                <w:color w:val="000000"/>
                <w:sz w:val="20"/>
                <w:szCs w:val="20"/>
                <w:lang w:eastAsia="lv-LV"/>
              </w:rPr>
              <w:t>9768</w:t>
            </w:r>
          </w:p>
        </w:tc>
      </w:tr>
    </w:tbl>
    <w:p w14:paraId="773FC3AF" w14:textId="26DF6EA3" w:rsidR="002F2A4E" w:rsidRDefault="002F2A4E" w:rsidP="00911A10">
      <w:pPr>
        <w:ind w:firstLine="0"/>
        <w:rPr>
          <w:rFonts w:eastAsia="Calibri" w:cs="Times New Roman"/>
          <w:color w:val="000000"/>
          <w:szCs w:val="24"/>
        </w:rPr>
      </w:pPr>
    </w:p>
    <w:p w14:paraId="666B9230" w14:textId="4183C595" w:rsidR="0032322E" w:rsidRPr="0023440A" w:rsidRDefault="002E315E" w:rsidP="00973D5C">
      <w:pPr>
        <w:ind w:firstLine="0"/>
        <w:rPr>
          <w:rFonts w:eastAsia="Calibri" w:cs="Times New Roman"/>
          <w:color w:val="000000"/>
          <w:szCs w:val="24"/>
        </w:rPr>
      </w:pPr>
      <w:r w:rsidRPr="0023440A">
        <w:rPr>
          <w:rFonts w:eastAsia="Calibri" w:cs="Times New Roman"/>
          <w:color w:val="000000"/>
          <w:szCs w:val="24"/>
        </w:rPr>
        <w:lastRenderedPageBreak/>
        <w:t xml:space="preserve">3. tabula. </w:t>
      </w:r>
      <w:r w:rsidR="0032322E" w:rsidRPr="0023440A">
        <w:rPr>
          <w:rFonts w:eastAsia="Calibri" w:cs="Times New Roman"/>
          <w:color w:val="000000"/>
          <w:szCs w:val="24"/>
        </w:rPr>
        <w:t>Ēku iedalījums pēc to īpašumtiesībām</w:t>
      </w:r>
    </w:p>
    <w:p w14:paraId="75651826" w14:textId="77777777" w:rsidR="00973D5C" w:rsidRDefault="00973D5C" w:rsidP="00973D5C">
      <w:pPr>
        <w:ind w:firstLine="0"/>
        <w:rPr>
          <w:rFonts w:eastAsia="Calibri" w:cs="Times New Roman"/>
          <w:b/>
          <w:bCs/>
          <w:color w:val="000000"/>
          <w:sz w:val="28"/>
          <w:szCs w:val="24"/>
        </w:rPr>
      </w:pPr>
    </w:p>
    <w:tbl>
      <w:tblPr>
        <w:tblW w:w="10101" w:type="dxa"/>
        <w:tblInd w:w="-1286" w:type="dxa"/>
        <w:tblLook w:val="04A0" w:firstRow="1" w:lastRow="0" w:firstColumn="1" w:lastColumn="0" w:noHBand="0" w:noVBand="1"/>
      </w:tblPr>
      <w:tblGrid>
        <w:gridCol w:w="3663"/>
        <w:gridCol w:w="960"/>
        <w:gridCol w:w="1028"/>
        <w:gridCol w:w="1150"/>
        <w:gridCol w:w="960"/>
        <w:gridCol w:w="1033"/>
        <w:gridCol w:w="1307"/>
      </w:tblGrid>
      <w:tr w:rsidR="00A276B2" w:rsidRPr="0032322E" w14:paraId="222AE639" w14:textId="77777777" w:rsidTr="00A276B2">
        <w:trPr>
          <w:trHeight w:val="328"/>
        </w:trPr>
        <w:tc>
          <w:tcPr>
            <w:tcW w:w="366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A59A3F" w14:textId="77777777" w:rsidR="00A276B2" w:rsidRPr="0032322E" w:rsidRDefault="00A276B2" w:rsidP="00A276B2">
            <w:pPr>
              <w:ind w:firstLine="0"/>
              <w:jc w:val="right"/>
              <w:rPr>
                <w:rFonts w:eastAsia="Times New Roman" w:cs="Times New Roman"/>
                <w:color w:val="000000"/>
                <w:sz w:val="20"/>
                <w:szCs w:val="20"/>
                <w:lang w:eastAsia="lv-LV"/>
              </w:rPr>
            </w:pPr>
            <w:r w:rsidRPr="0032322E">
              <w:rPr>
                <w:rFonts w:eastAsia="Times New Roman" w:cs="Times New Roman"/>
                <w:color w:val="000000"/>
                <w:sz w:val="20"/>
                <w:szCs w:val="20"/>
                <w:lang w:eastAsia="lv-LV"/>
              </w:rPr>
              <w:t>Īpašnieks</w:t>
            </w:r>
          </w:p>
        </w:tc>
        <w:tc>
          <w:tcPr>
            <w:tcW w:w="960" w:type="dxa"/>
            <w:vMerge w:val="restart"/>
            <w:tcBorders>
              <w:top w:val="single" w:sz="8" w:space="0" w:color="auto"/>
              <w:left w:val="nil"/>
              <w:right w:val="single" w:sz="8" w:space="0" w:color="auto"/>
            </w:tcBorders>
            <w:shd w:val="clear" w:color="auto" w:fill="auto"/>
            <w:vAlign w:val="center"/>
            <w:hideMark/>
          </w:tcPr>
          <w:p w14:paraId="671B2559"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Fiziska persona</w:t>
            </w:r>
          </w:p>
        </w:tc>
        <w:tc>
          <w:tcPr>
            <w:tcW w:w="1028" w:type="dxa"/>
            <w:vMerge w:val="restart"/>
            <w:tcBorders>
              <w:top w:val="single" w:sz="8" w:space="0" w:color="auto"/>
              <w:left w:val="nil"/>
              <w:right w:val="single" w:sz="8" w:space="0" w:color="auto"/>
            </w:tcBorders>
            <w:shd w:val="clear" w:color="auto" w:fill="auto"/>
            <w:vAlign w:val="center"/>
            <w:hideMark/>
          </w:tcPr>
          <w:p w14:paraId="1774A598"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Juridiska persona</w:t>
            </w:r>
          </w:p>
        </w:tc>
        <w:tc>
          <w:tcPr>
            <w:tcW w:w="1150" w:type="dxa"/>
            <w:vMerge w:val="restart"/>
            <w:tcBorders>
              <w:top w:val="single" w:sz="8" w:space="0" w:color="auto"/>
              <w:left w:val="nil"/>
              <w:right w:val="single" w:sz="8" w:space="0" w:color="auto"/>
            </w:tcBorders>
            <w:shd w:val="clear" w:color="auto" w:fill="auto"/>
            <w:vAlign w:val="center"/>
            <w:hideMark/>
          </w:tcPr>
          <w:p w14:paraId="71017F06"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Pašvaldība</w:t>
            </w:r>
          </w:p>
        </w:tc>
        <w:tc>
          <w:tcPr>
            <w:tcW w:w="960" w:type="dxa"/>
            <w:vMerge w:val="restart"/>
            <w:tcBorders>
              <w:top w:val="single" w:sz="8" w:space="0" w:color="auto"/>
              <w:left w:val="nil"/>
              <w:right w:val="single" w:sz="8" w:space="0" w:color="auto"/>
            </w:tcBorders>
            <w:shd w:val="clear" w:color="auto" w:fill="auto"/>
            <w:vAlign w:val="center"/>
            <w:hideMark/>
          </w:tcPr>
          <w:p w14:paraId="6172FBF8"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Valsts</w:t>
            </w:r>
          </w:p>
        </w:tc>
        <w:tc>
          <w:tcPr>
            <w:tcW w:w="1033" w:type="dxa"/>
            <w:vMerge w:val="restart"/>
            <w:tcBorders>
              <w:top w:val="single" w:sz="8" w:space="0" w:color="auto"/>
              <w:left w:val="nil"/>
              <w:right w:val="single" w:sz="8" w:space="0" w:color="auto"/>
            </w:tcBorders>
            <w:shd w:val="clear" w:color="auto" w:fill="auto"/>
            <w:vAlign w:val="center"/>
            <w:hideMark/>
          </w:tcPr>
          <w:p w14:paraId="13393D6D" w14:textId="77777777" w:rsidR="00A276B2" w:rsidRPr="0032322E" w:rsidRDefault="00A276B2" w:rsidP="00A276B2">
            <w:pPr>
              <w:ind w:firstLine="0"/>
              <w:jc w:val="center"/>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Jaukta piederība</w:t>
            </w:r>
          </w:p>
        </w:tc>
        <w:tc>
          <w:tcPr>
            <w:tcW w:w="13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689C85C" w14:textId="77777777" w:rsidR="00A276B2" w:rsidRPr="0032322E" w:rsidRDefault="00A276B2" w:rsidP="00A276B2">
            <w:pPr>
              <w:ind w:firstLine="0"/>
              <w:jc w:val="center"/>
              <w:rPr>
                <w:rFonts w:eastAsia="Times New Roman" w:cs="Times New Roman"/>
                <w:b/>
                <w:bCs/>
                <w:color w:val="000000"/>
                <w:sz w:val="20"/>
                <w:szCs w:val="20"/>
                <w:lang w:eastAsia="lv-LV"/>
              </w:rPr>
            </w:pPr>
            <w:r>
              <w:rPr>
                <w:b/>
                <w:bCs/>
                <w:color w:val="000000"/>
                <w:sz w:val="20"/>
                <w:szCs w:val="20"/>
              </w:rPr>
              <w:t>Kopā</w:t>
            </w:r>
          </w:p>
          <w:p w14:paraId="15F63A65" w14:textId="52B5F967" w:rsidR="00A276B2" w:rsidRPr="0032322E" w:rsidRDefault="00A276B2" w:rsidP="00A276B2">
            <w:pPr>
              <w:ind w:firstLine="0"/>
              <w:rPr>
                <w:rFonts w:eastAsia="Times New Roman" w:cs="Times New Roman"/>
                <w:b/>
                <w:bCs/>
                <w:color w:val="000000"/>
                <w:sz w:val="20"/>
                <w:szCs w:val="20"/>
                <w:lang w:eastAsia="lv-LV"/>
              </w:rPr>
            </w:pPr>
          </w:p>
        </w:tc>
      </w:tr>
      <w:tr w:rsidR="00A276B2" w:rsidRPr="0032322E" w14:paraId="58D517CC" w14:textId="6945674A" w:rsidTr="00A276B2">
        <w:trPr>
          <w:trHeight w:val="54"/>
        </w:trPr>
        <w:tc>
          <w:tcPr>
            <w:tcW w:w="366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0C6024E" w14:textId="1E11D582" w:rsidR="00A276B2" w:rsidRPr="0032322E" w:rsidRDefault="00A276B2" w:rsidP="00A276B2">
            <w:pPr>
              <w:ind w:firstLine="0"/>
              <w:jc w:val="left"/>
              <w:rPr>
                <w:rFonts w:eastAsia="Times New Roman" w:cs="Times New Roman"/>
                <w:color w:val="000000"/>
                <w:sz w:val="20"/>
                <w:szCs w:val="20"/>
                <w:lang w:eastAsia="lv-LV"/>
              </w:rPr>
            </w:pPr>
            <w:r>
              <w:rPr>
                <w:rFonts w:eastAsia="Times New Roman" w:cs="Times New Roman"/>
                <w:color w:val="000000"/>
                <w:sz w:val="20"/>
                <w:szCs w:val="20"/>
                <w:lang w:eastAsia="lv-LV"/>
              </w:rPr>
              <w:t>Dzīvojamās mājas tips</w:t>
            </w:r>
          </w:p>
        </w:tc>
        <w:tc>
          <w:tcPr>
            <w:tcW w:w="960" w:type="dxa"/>
            <w:vMerge/>
            <w:tcBorders>
              <w:left w:val="nil"/>
              <w:bottom w:val="single" w:sz="8" w:space="0" w:color="auto"/>
              <w:right w:val="single" w:sz="8" w:space="0" w:color="auto"/>
            </w:tcBorders>
            <w:shd w:val="clear" w:color="auto" w:fill="auto"/>
            <w:vAlign w:val="center"/>
          </w:tcPr>
          <w:p w14:paraId="7753631E"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028" w:type="dxa"/>
            <w:vMerge/>
            <w:tcBorders>
              <w:left w:val="nil"/>
              <w:bottom w:val="single" w:sz="8" w:space="0" w:color="auto"/>
              <w:right w:val="single" w:sz="8" w:space="0" w:color="auto"/>
            </w:tcBorders>
            <w:shd w:val="clear" w:color="auto" w:fill="auto"/>
            <w:vAlign w:val="center"/>
          </w:tcPr>
          <w:p w14:paraId="550E6E9B"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150" w:type="dxa"/>
            <w:vMerge/>
            <w:tcBorders>
              <w:left w:val="nil"/>
              <w:bottom w:val="single" w:sz="8" w:space="0" w:color="auto"/>
              <w:right w:val="single" w:sz="8" w:space="0" w:color="auto"/>
            </w:tcBorders>
            <w:shd w:val="clear" w:color="auto" w:fill="auto"/>
            <w:vAlign w:val="center"/>
          </w:tcPr>
          <w:p w14:paraId="25B62220"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960" w:type="dxa"/>
            <w:vMerge/>
            <w:tcBorders>
              <w:left w:val="nil"/>
              <w:bottom w:val="single" w:sz="8" w:space="0" w:color="auto"/>
              <w:right w:val="single" w:sz="8" w:space="0" w:color="auto"/>
            </w:tcBorders>
            <w:shd w:val="clear" w:color="auto" w:fill="auto"/>
            <w:vAlign w:val="center"/>
          </w:tcPr>
          <w:p w14:paraId="5747FC17"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033" w:type="dxa"/>
            <w:vMerge/>
            <w:tcBorders>
              <w:left w:val="nil"/>
              <w:bottom w:val="single" w:sz="8" w:space="0" w:color="auto"/>
              <w:right w:val="single" w:sz="8" w:space="0" w:color="auto"/>
            </w:tcBorders>
            <w:shd w:val="clear" w:color="auto" w:fill="auto"/>
            <w:vAlign w:val="center"/>
          </w:tcPr>
          <w:p w14:paraId="7F9EEFB8" w14:textId="77777777" w:rsidR="00A276B2" w:rsidRPr="0032322E" w:rsidRDefault="00A276B2" w:rsidP="00A276B2">
            <w:pPr>
              <w:ind w:firstLine="0"/>
              <w:jc w:val="center"/>
              <w:rPr>
                <w:rFonts w:eastAsia="Times New Roman" w:cs="Times New Roman"/>
                <w:b/>
                <w:bCs/>
                <w:color w:val="000000"/>
                <w:sz w:val="20"/>
                <w:szCs w:val="20"/>
                <w:lang w:eastAsia="lv-LV"/>
              </w:rPr>
            </w:pPr>
          </w:p>
        </w:tc>
        <w:tc>
          <w:tcPr>
            <w:tcW w:w="1307" w:type="dxa"/>
            <w:vMerge/>
            <w:tcBorders>
              <w:top w:val="nil"/>
              <w:left w:val="single" w:sz="8" w:space="0" w:color="auto"/>
              <w:bottom w:val="single" w:sz="8" w:space="0" w:color="auto"/>
              <w:right w:val="single" w:sz="8" w:space="0" w:color="auto"/>
            </w:tcBorders>
            <w:shd w:val="clear" w:color="auto" w:fill="auto"/>
            <w:vAlign w:val="center"/>
          </w:tcPr>
          <w:p w14:paraId="0F5F5F3B" w14:textId="77777777" w:rsidR="00A276B2" w:rsidRPr="0032322E" w:rsidRDefault="00A276B2" w:rsidP="00A276B2">
            <w:pPr>
              <w:ind w:firstLine="0"/>
              <w:jc w:val="center"/>
              <w:rPr>
                <w:rFonts w:eastAsia="Times New Roman" w:cs="Times New Roman"/>
                <w:b/>
                <w:bCs/>
                <w:color w:val="000000"/>
                <w:sz w:val="20"/>
                <w:szCs w:val="20"/>
                <w:lang w:eastAsia="lv-LV"/>
              </w:rPr>
            </w:pPr>
          </w:p>
        </w:tc>
      </w:tr>
      <w:tr w:rsidR="00A276B2" w:rsidRPr="00BF12CB" w14:paraId="786795ED" w14:textId="5C07CECD"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36771194"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Viena dzīvokļa mājas</w:t>
            </w:r>
          </w:p>
        </w:tc>
        <w:tc>
          <w:tcPr>
            <w:tcW w:w="960" w:type="dxa"/>
            <w:tcBorders>
              <w:top w:val="nil"/>
              <w:left w:val="nil"/>
              <w:bottom w:val="single" w:sz="8" w:space="0" w:color="auto"/>
              <w:right w:val="single" w:sz="8" w:space="0" w:color="auto"/>
            </w:tcBorders>
            <w:shd w:val="clear" w:color="auto" w:fill="auto"/>
            <w:noWrap/>
            <w:vAlign w:val="bottom"/>
            <w:hideMark/>
          </w:tcPr>
          <w:p w14:paraId="10EA33D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287608</w:t>
            </w:r>
          </w:p>
        </w:tc>
        <w:tc>
          <w:tcPr>
            <w:tcW w:w="1028" w:type="dxa"/>
            <w:tcBorders>
              <w:top w:val="nil"/>
              <w:left w:val="nil"/>
              <w:bottom w:val="single" w:sz="8" w:space="0" w:color="auto"/>
              <w:right w:val="single" w:sz="8" w:space="0" w:color="auto"/>
            </w:tcBorders>
            <w:shd w:val="clear" w:color="auto" w:fill="auto"/>
            <w:noWrap/>
            <w:vAlign w:val="bottom"/>
            <w:hideMark/>
          </w:tcPr>
          <w:p w14:paraId="7E7326AA"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8082</w:t>
            </w:r>
          </w:p>
        </w:tc>
        <w:tc>
          <w:tcPr>
            <w:tcW w:w="1150" w:type="dxa"/>
            <w:tcBorders>
              <w:top w:val="nil"/>
              <w:left w:val="nil"/>
              <w:bottom w:val="single" w:sz="8" w:space="0" w:color="auto"/>
              <w:right w:val="single" w:sz="8" w:space="0" w:color="auto"/>
            </w:tcBorders>
            <w:shd w:val="clear" w:color="auto" w:fill="auto"/>
            <w:noWrap/>
            <w:vAlign w:val="bottom"/>
            <w:hideMark/>
          </w:tcPr>
          <w:p w14:paraId="514B34B3"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1304</w:t>
            </w:r>
          </w:p>
        </w:tc>
        <w:tc>
          <w:tcPr>
            <w:tcW w:w="960" w:type="dxa"/>
            <w:tcBorders>
              <w:top w:val="nil"/>
              <w:left w:val="nil"/>
              <w:bottom w:val="single" w:sz="8" w:space="0" w:color="auto"/>
              <w:right w:val="single" w:sz="8" w:space="0" w:color="auto"/>
            </w:tcBorders>
            <w:shd w:val="clear" w:color="auto" w:fill="auto"/>
            <w:noWrap/>
            <w:vAlign w:val="bottom"/>
            <w:hideMark/>
          </w:tcPr>
          <w:p w14:paraId="03B46D9F"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100</w:t>
            </w:r>
          </w:p>
        </w:tc>
        <w:tc>
          <w:tcPr>
            <w:tcW w:w="1033" w:type="dxa"/>
            <w:tcBorders>
              <w:top w:val="nil"/>
              <w:left w:val="nil"/>
              <w:bottom w:val="single" w:sz="8" w:space="0" w:color="auto"/>
              <w:right w:val="single" w:sz="8" w:space="0" w:color="auto"/>
            </w:tcBorders>
            <w:shd w:val="clear" w:color="auto" w:fill="auto"/>
            <w:noWrap/>
            <w:vAlign w:val="bottom"/>
            <w:hideMark/>
          </w:tcPr>
          <w:p w14:paraId="563C56AA"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826</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13D205A9" w14:textId="7348975F"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309582</w:t>
            </w:r>
          </w:p>
        </w:tc>
      </w:tr>
      <w:tr w:rsidR="00A276B2" w:rsidRPr="00BF12CB" w14:paraId="0016A169" w14:textId="406C3BE3"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38EFA381"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Divu dzīvokļu mājas</w:t>
            </w:r>
          </w:p>
        </w:tc>
        <w:tc>
          <w:tcPr>
            <w:tcW w:w="960" w:type="dxa"/>
            <w:tcBorders>
              <w:top w:val="nil"/>
              <w:left w:val="nil"/>
              <w:bottom w:val="single" w:sz="8" w:space="0" w:color="auto"/>
              <w:right w:val="single" w:sz="8" w:space="0" w:color="auto"/>
            </w:tcBorders>
            <w:shd w:val="clear" w:color="auto" w:fill="auto"/>
            <w:noWrap/>
            <w:vAlign w:val="bottom"/>
            <w:hideMark/>
          </w:tcPr>
          <w:p w14:paraId="5C604FD2"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9915</w:t>
            </w:r>
          </w:p>
        </w:tc>
        <w:tc>
          <w:tcPr>
            <w:tcW w:w="1028" w:type="dxa"/>
            <w:tcBorders>
              <w:top w:val="nil"/>
              <w:left w:val="nil"/>
              <w:bottom w:val="single" w:sz="8" w:space="0" w:color="auto"/>
              <w:right w:val="single" w:sz="8" w:space="0" w:color="auto"/>
            </w:tcBorders>
            <w:shd w:val="clear" w:color="auto" w:fill="auto"/>
            <w:noWrap/>
            <w:vAlign w:val="bottom"/>
            <w:hideMark/>
          </w:tcPr>
          <w:p w14:paraId="25958321"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609</w:t>
            </w:r>
          </w:p>
        </w:tc>
        <w:tc>
          <w:tcPr>
            <w:tcW w:w="1150" w:type="dxa"/>
            <w:tcBorders>
              <w:top w:val="nil"/>
              <w:left w:val="nil"/>
              <w:bottom w:val="single" w:sz="8" w:space="0" w:color="auto"/>
              <w:right w:val="single" w:sz="8" w:space="0" w:color="auto"/>
            </w:tcBorders>
            <w:shd w:val="clear" w:color="auto" w:fill="auto"/>
            <w:noWrap/>
            <w:vAlign w:val="bottom"/>
            <w:hideMark/>
          </w:tcPr>
          <w:p w14:paraId="34FFFAC7"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961</w:t>
            </w:r>
          </w:p>
        </w:tc>
        <w:tc>
          <w:tcPr>
            <w:tcW w:w="960" w:type="dxa"/>
            <w:tcBorders>
              <w:top w:val="nil"/>
              <w:left w:val="nil"/>
              <w:bottom w:val="single" w:sz="8" w:space="0" w:color="auto"/>
              <w:right w:val="single" w:sz="8" w:space="0" w:color="auto"/>
            </w:tcBorders>
            <w:shd w:val="clear" w:color="auto" w:fill="auto"/>
            <w:noWrap/>
            <w:vAlign w:val="bottom"/>
            <w:hideMark/>
          </w:tcPr>
          <w:p w14:paraId="6A0459E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11</w:t>
            </w:r>
          </w:p>
        </w:tc>
        <w:tc>
          <w:tcPr>
            <w:tcW w:w="1033" w:type="dxa"/>
            <w:tcBorders>
              <w:top w:val="nil"/>
              <w:left w:val="nil"/>
              <w:bottom w:val="single" w:sz="8" w:space="0" w:color="auto"/>
              <w:right w:val="single" w:sz="8" w:space="0" w:color="auto"/>
            </w:tcBorders>
            <w:shd w:val="clear" w:color="auto" w:fill="auto"/>
            <w:noWrap/>
            <w:vAlign w:val="bottom"/>
            <w:hideMark/>
          </w:tcPr>
          <w:p w14:paraId="027EC092"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229</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641504CB" w14:textId="0F61256A"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11846</w:t>
            </w:r>
          </w:p>
        </w:tc>
      </w:tr>
      <w:tr w:rsidR="00A276B2" w:rsidRPr="00BF12CB" w14:paraId="03C04657" w14:textId="1C1E22A2"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7F3AEDBE"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Triju un vairāku dzīvokļu mājas</w:t>
            </w:r>
          </w:p>
        </w:tc>
        <w:tc>
          <w:tcPr>
            <w:tcW w:w="960" w:type="dxa"/>
            <w:tcBorders>
              <w:top w:val="nil"/>
              <w:left w:val="nil"/>
              <w:bottom w:val="single" w:sz="8" w:space="0" w:color="auto"/>
              <w:right w:val="single" w:sz="8" w:space="0" w:color="auto"/>
            </w:tcBorders>
            <w:shd w:val="clear" w:color="auto" w:fill="auto"/>
            <w:noWrap/>
            <w:vAlign w:val="bottom"/>
            <w:hideMark/>
          </w:tcPr>
          <w:p w14:paraId="12BF7F80"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9738</w:t>
            </w:r>
          </w:p>
        </w:tc>
        <w:tc>
          <w:tcPr>
            <w:tcW w:w="1028" w:type="dxa"/>
            <w:tcBorders>
              <w:top w:val="nil"/>
              <w:left w:val="nil"/>
              <w:bottom w:val="single" w:sz="8" w:space="0" w:color="auto"/>
              <w:right w:val="single" w:sz="8" w:space="0" w:color="auto"/>
            </w:tcBorders>
            <w:shd w:val="clear" w:color="auto" w:fill="auto"/>
            <w:noWrap/>
            <w:vAlign w:val="bottom"/>
            <w:hideMark/>
          </w:tcPr>
          <w:p w14:paraId="09C3CE16"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4112</w:t>
            </w:r>
          </w:p>
        </w:tc>
        <w:tc>
          <w:tcPr>
            <w:tcW w:w="1150" w:type="dxa"/>
            <w:tcBorders>
              <w:top w:val="nil"/>
              <w:left w:val="nil"/>
              <w:bottom w:val="single" w:sz="8" w:space="0" w:color="auto"/>
              <w:right w:val="single" w:sz="8" w:space="0" w:color="auto"/>
            </w:tcBorders>
            <w:shd w:val="clear" w:color="auto" w:fill="auto"/>
            <w:noWrap/>
            <w:vAlign w:val="bottom"/>
            <w:hideMark/>
          </w:tcPr>
          <w:p w14:paraId="394B08E8"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15573</w:t>
            </w:r>
          </w:p>
        </w:tc>
        <w:tc>
          <w:tcPr>
            <w:tcW w:w="960" w:type="dxa"/>
            <w:tcBorders>
              <w:top w:val="nil"/>
              <w:left w:val="nil"/>
              <w:bottom w:val="single" w:sz="8" w:space="0" w:color="auto"/>
              <w:right w:val="single" w:sz="8" w:space="0" w:color="auto"/>
            </w:tcBorders>
            <w:shd w:val="clear" w:color="auto" w:fill="auto"/>
            <w:noWrap/>
            <w:vAlign w:val="bottom"/>
            <w:hideMark/>
          </w:tcPr>
          <w:p w14:paraId="664F9D2C"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79</w:t>
            </w:r>
          </w:p>
        </w:tc>
        <w:tc>
          <w:tcPr>
            <w:tcW w:w="1033" w:type="dxa"/>
            <w:tcBorders>
              <w:top w:val="nil"/>
              <w:left w:val="nil"/>
              <w:bottom w:val="single" w:sz="8" w:space="0" w:color="auto"/>
              <w:right w:val="single" w:sz="8" w:space="0" w:color="auto"/>
            </w:tcBorders>
            <w:shd w:val="clear" w:color="auto" w:fill="auto"/>
            <w:noWrap/>
            <w:vAlign w:val="bottom"/>
            <w:hideMark/>
          </w:tcPr>
          <w:p w14:paraId="158CDE60"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994</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076D9218" w14:textId="60F2676B"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30849</w:t>
            </w:r>
          </w:p>
        </w:tc>
      </w:tr>
      <w:tr w:rsidR="00A276B2" w:rsidRPr="00BF12CB" w14:paraId="0A3A9858" w14:textId="2D369DC8" w:rsidTr="00A276B2">
        <w:trPr>
          <w:trHeight w:val="315"/>
        </w:trPr>
        <w:tc>
          <w:tcPr>
            <w:tcW w:w="3663" w:type="dxa"/>
            <w:tcBorders>
              <w:top w:val="nil"/>
              <w:left w:val="single" w:sz="8" w:space="0" w:color="auto"/>
              <w:bottom w:val="single" w:sz="8" w:space="0" w:color="auto"/>
              <w:right w:val="single" w:sz="8" w:space="0" w:color="auto"/>
            </w:tcBorders>
            <w:shd w:val="clear" w:color="auto" w:fill="auto"/>
            <w:noWrap/>
            <w:vAlign w:val="center"/>
            <w:hideMark/>
          </w:tcPr>
          <w:p w14:paraId="025721CB" w14:textId="77777777" w:rsidR="00A276B2" w:rsidRPr="0032322E" w:rsidRDefault="00A276B2" w:rsidP="00A276B2">
            <w:pPr>
              <w:ind w:firstLine="0"/>
              <w:jc w:val="left"/>
              <w:rPr>
                <w:rFonts w:eastAsia="Times New Roman" w:cs="Times New Roman"/>
                <w:b/>
                <w:bCs/>
                <w:color w:val="000000"/>
                <w:sz w:val="20"/>
                <w:szCs w:val="20"/>
                <w:lang w:eastAsia="lv-LV"/>
              </w:rPr>
            </w:pPr>
            <w:r w:rsidRPr="0032322E">
              <w:rPr>
                <w:rFonts w:eastAsia="Times New Roman" w:cs="Times New Roman"/>
                <w:b/>
                <w:bCs/>
                <w:color w:val="000000"/>
                <w:sz w:val="20"/>
                <w:szCs w:val="20"/>
                <w:lang w:eastAsia="lv-LV"/>
              </w:rPr>
              <w:t>Dažādu sociālo grupu kopdzīvojamās mājas</w:t>
            </w:r>
          </w:p>
        </w:tc>
        <w:tc>
          <w:tcPr>
            <w:tcW w:w="960" w:type="dxa"/>
            <w:tcBorders>
              <w:top w:val="nil"/>
              <w:left w:val="nil"/>
              <w:bottom w:val="single" w:sz="8" w:space="0" w:color="auto"/>
              <w:right w:val="single" w:sz="8" w:space="0" w:color="auto"/>
            </w:tcBorders>
            <w:shd w:val="clear" w:color="auto" w:fill="auto"/>
            <w:noWrap/>
            <w:vAlign w:val="bottom"/>
            <w:hideMark/>
          </w:tcPr>
          <w:p w14:paraId="63B82656"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77</w:t>
            </w:r>
          </w:p>
        </w:tc>
        <w:tc>
          <w:tcPr>
            <w:tcW w:w="1028" w:type="dxa"/>
            <w:tcBorders>
              <w:top w:val="nil"/>
              <w:left w:val="nil"/>
              <w:bottom w:val="single" w:sz="8" w:space="0" w:color="auto"/>
              <w:right w:val="single" w:sz="8" w:space="0" w:color="auto"/>
            </w:tcBorders>
            <w:shd w:val="clear" w:color="auto" w:fill="auto"/>
            <w:noWrap/>
            <w:vAlign w:val="bottom"/>
            <w:hideMark/>
          </w:tcPr>
          <w:p w14:paraId="60E1B8DE"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148</w:t>
            </w:r>
          </w:p>
        </w:tc>
        <w:tc>
          <w:tcPr>
            <w:tcW w:w="1150" w:type="dxa"/>
            <w:tcBorders>
              <w:top w:val="nil"/>
              <w:left w:val="nil"/>
              <w:bottom w:val="single" w:sz="8" w:space="0" w:color="auto"/>
              <w:right w:val="single" w:sz="8" w:space="0" w:color="auto"/>
            </w:tcBorders>
            <w:shd w:val="clear" w:color="auto" w:fill="auto"/>
            <w:noWrap/>
            <w:vAlign w:val="bottom"/>
            <w:hideMark/>
          </w:tcPr>
          <w:p w14:paraId="55E0D77B"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311</w:t>
            </w:r>
          </w:p>
        </w:tc>
        <w:tc>
          <w:tcPr>
            <w:tcW w:w="960" w:type="dxa"/>
            <w:tcBorders>
              <w:top w:val="nil"/>
              <w:left w:val="nil"/>
              <w:bottom w:val="single" w:sz="8" w:space="0" w:color="auto"/>
              <w:right w:val="single" w:sz="8" w:space="0" w:color="auto"/>
            </w:tcBorders>
            <w:shd w:val="clear" w:color="auto" w:fill="auto"/>
            <w:noWrap/>
            <w:vAlign w:val="bottom"/>
            <w:hideMark/>
          </w:tcPr>
          <w:p w14:paraId="702CB4F1"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79</w:t>
            </w:r>
          </w:p>
        </w:tc>
        <w:tc>
          <w:tcPr>
            <w:tcW w:w="1033" w:type="dxa"/>
            <w:tcBorders>
              <w:top w:val="nil"/>
              <w:left w:val="nil"/>
              <w:bottom w:val="single" w:sz="8" w:space="0" w:color="auto"/>
              <w:right w:val="single" w:sz="8" w:space="0" w:color="auto"/>
            </w:tcBorders>
            <w:shd w:val="clear" w:color="auto" w:fill="auto"/>
            <w:noWrap/>
            <w:vAlign w:val="bottom"/>
            <w:hideMark/>
          </w:tcPr>
          <w:p w14:paraId="26553A8D" w14:textId="77777777" w:rsidR="00A276B2" w:rsidRPr="00BF12CB" w:rsidRDefault="00A276B2" w:rsidP="00A276B2">
            <w:pPr>
              <w:ind w:firstLine="0"/>
              <w:jc w:val="right"/>
              <w:rPr>
                <w:rFonts w:eastAsia="Times New Roman" w:cs="Times New Roman"/>
                <w:color w:val="000000"/>
                <w:sz w:val="20"/>
                <w:szCs w:val="20"/>
                <w:lang w:eastAsia="lv-LV"/>
              </w:rPr>
            </w:pPr>
            <w:r w:rsidRPr="00BF12CB">
              <w:rPr>
                <w:rFonts w:eastAsia="Times New Roman" w:cs="Times New Roman"/>
                <w:color w:val="000000"/>
                <w:sz w:val="20"/>
                <w:szCs w:val="20"/>
                <w:lang w:eastAsia="lv-LV"/>
              </w:rPr>
              <w:t>21</w:t>
            </w:r>
          </w:p>
        </w:tc>
        <w:tc>
          <w:tcPr>
            <w:tcW w:w="1307" w:type="dxa"/>
            <w:tcBorders>
              <w:top w:val="nil"/>
              <w:left w:val="single" w:sz="8" w:space="0" w:color="auto"/>
              <w:bottom w:val="single" w:sz="8" w:space="0" w:color="auto"/>
              <w:right w:val="single" w:sz="8" w:space="0" w:color="auto"/>
            </w:tcBorders>
            <w:shd w:val="clear" w:color="auto" w:fill="auto"/>
            <w:noWrap/>
            <w:vAlign w:val="bottom"/>
            <w:hideMark/>
          </w:tcPr>
          <w:p w14:paraId="46D430A1" w14:textId="3849A587" w:rsidR="00A276B2" w:rsidRPr="00BF12CB" w:rsidRDefault="00A276B2" w:rsidP="00A276B2">
            <w:pPr>
              <w:ind w:firstLine="0"/>
              <w:jc w:val="right"/>
              <w:rPr>
                <w:rFonts w:eastAsia="Times New Roman" w:cs="Times New Roman"/>
                <w:color w:val="000000"/>
                <w:sz w:val="20"/>
                <w:szCs w:val="20"/>
                <w:lang w:eastAsia="lv-LV"/>
              </w:rPr>
            </w:pPr>
            <w:r>
              <w:rPr>
                <w:rFonts w:ascii="Calibri" w:hAnsi="Calibri" w:cs="Calibri"/>
                <w:b/>
                <w:bCs/>
                <w:color w:val="000000"/>
                <w:sz w:val="22"/>
              </w:rPr>
              <w:t>646</w:t>
            </w:r>
          </w:p>
        </w:tc>
      </w:tr>
    </w:tbl>
    <w:p w14:paraId="669B98D3" w14:textId="285FB6D8" w:rsidR="0032322E" w:rsidRDefault="0032322E" w:rsidP="00081C04">
      <w:pPr>
        <w:ind w:firstLine="0"/>
        <w:jc w:val="left"/>
        <w:rPr>
          <w:rFonts w:eastAsia="Calibri" w:cs="Times New Roman"/>
          <w:b/>
          <w:bCs/>
          <w:color w:val="000000"/>
          <w:sz w:val="28"/>
          <w:szCs w:val="24"/>
        </w:rPr>
      </w:pPr>
    </w:p>
    <w:bookmarkEnd w:id="6"/>
    <w:bookmarkEnd w:id="7"/>
    <w:p w14:paraId="51574A96" w14:textId="50BECA09" w:rsidR="00C13694" w:rsidRDefault="00C13694" w:rsidP="006D3850">
      <w:pPr>
        <w:rPr>
          <w:rFonts w:eastAsia="Calibri" w:cs="Times New Roman"/>
          <w:szCs w:val="24"/>
        </w:rPr>
      </w:pPr>
      <w:r>
        <w:rPr>
          <w:rFonts w:eastAsia="Calibri" w:cs="Times New Roman"/>
          <w:iCs/>
          <w:szCs w:val="24"/>
        </w:rPr>
        <w:t xml:space="preserve">Atbilstoši 2. tabulai, </w:t>
      </w:r>
      <w:r w:rsidRPr="00B759A1">
        <w:rPr>
          <w:rFonts w:eastAsia="Calibri" w:cs="Times New Roman"/>
          <w:iCs/>
          <w:szCs w:val="24"/>
        </w:rPr>
        <w:t>NĪVK IS</w:t>
      </w:r>
      <w:r>
        <w:rPr>
          <w:rFonts w:eastAsia="Calibri" w:cs="Times New Roman"/>
          <w:iCs/>
          <w:szCs w:val="24"/>
        </w:rPr>
        <w:t xml:space="preserve"> </w:t>
      </w:r>
      <w:r w:rsidRPr="00B759A1">
        <w:rPr>
          <w:rFonts w:eastAsia="Calibri" w:cs="Times New Roman"/>
          <w:iCs/>
          <w:szCs w:val="24"/>
        </w:rPr>
        <w:t>reģistrētas 1,</w:t>
      </w:r>
      <w:r>
        <w:rPr>
          <w:rFonts w:eastAsia="Calibri" w:cs="Times New Roman"/>
          <w:iCs/>
          <w:szCs w:val="24"/>
        </w:rPr>
        <w:t>4</w:t>
      </w:r>
      <w:r w:rsidRPr="00B759A1">
        <w:rPr>
          <w:rFonts w:eastAsia="Calibri" w:cs="Times New Roman"/>
          <w:iCs/>
          <w:szCs w:val="24"/>
        </w:rPr>
        <w:t xml:space="preserve"> miljoni ēkas, kuru kopējā platība ir 20</w:t>
      </w:r>
      <w:r>
        <w:rPr>
          <w:rFonts w:eastAsia="Calibri" w:cs="Times New Roman"/>
          <w:iCs/>
          <w:szCs w:val="24"/>
        </w:rPr>
        <w:t>6</w:t>
      </w:r>
      <w:r w:rsidRPr="00B759A1">
        <w:rPr>
          <w:rFonts w:eastAsia="Calibri" w:cs="Times New Roman"/>
          <w:iCs/>
          <w:szCs w:val="24"/>
        </w:rPr>
        <w:t>,</w:t>
      </w:r>
      <w:r>
        <w:rPr>
          <w:rFonts w:eastAsia="Calibri" w:cs="Times New Roman"/>
          <w:iCs/>
          <w:szCs w:val="24"/>
        </w:rPr>
        <w:t>58</w:t>
      </w:r>
      <w:r w:rsidRPr="00B759A1">
        <w:rPr>
          <w:rFonts w:eastAsia="Calibri" w:cs="Times New Roman"/>
          <w:iCs/>
          <w:szCs w:val="24"/>
        </w:rPr>
        <w:t xml:space="preserve"> milj. m</w:t>
      </w:r>
      <w:r w:rsidRPr="00B759A1">
        <w:rPr>
          <w:rFonts w:eastAsia="Calibri" w:cs="Times New Roman"/>
          <w:iCs/>
          <w:szCs w:val="24"/>
          <w:vertAlign w:val="superscript"/>
        </w:rPr>
        <w:t>2</w:t>
      </w:r>
      <w:r w:rsidRPr="00B759A1">
        <w:rPr>
          <w:rFonts w:eastAsia="Calibri" w:cs="Times New Roman"/>
          <w:iCs/>
          <w:szCs w:val="24"/>
        </w:rPr>
        <w:t>, t.sk. dažāda tipa palīgēkas</w:t>
      </w:r>
      <w:r>
        <w:rPr>
          <w:rFonts w:eastAsia="Calibri" w:cs="Times New Roman"/>
          <w:iCs/>
          <w:szCs w:val="24"/>
        </w:rPr>
        <w:t>, kuru platība vidēji nepārsniedz 40 m</w:t>
      </w:r>
      <w:r>
        <w:rPr>
          <w:rFonts w:eastAsia="Calibri" w:cs="Times New Roman"/>
          <w:iCs/>
          <w:szCs w:val="24"/>
          <w:vertAlign w:val="superscript"/>
        </w:rPr>
        <w:t>2</w:t>
      </w:r>
      <w:r w:rsidRPr="00B759A1">
        <w:rPr>
          <w:rFonts w:eastAsia="Calibri" w:cs="Times New Roman"/>
          <w:iCs/>
          <w:szCs w:val="24"/>
        </w:rPr>
        <w:t xml:space="preserve">. </w:t>
      </w:r>
      <w:r>
        <w:rPr>
          <w:rFonts w:eastAsia="Calibri" w:cs="Times New Roman"/>
          <w:iCs/>
          <w:szCs w:val="24"/>
        </w:rPr>
        <w:t>N</w:t>
      </w:r>
      <w:r w:rsidRPr="00B759A1">
        <w:rPr>
          <w:rFonts w:eastAsia="Calibri" w:cs="Times New Roman"/>
          <w:iCs/>
          <w:szCs w:val="24"/>
        </w:rPr>
        <w:t>o</w:t>
      </w:r>
      <w:r>
        <w:rPr>
          <w:rFonts w:eastAsia="Calibri" w:cs="Times New Roman"/>
          <w:iCs/>
          <w:szCs w:val="24"/>
        </w:rPr>
        <w:t xml:space="preserve"> visām ēkām</w:t>
      </w:r>
      <w:r w:rsidRPr="00B759A1">
        <w:rPr>
          <w:rFonts w:eastAsia="Calibri" w:cs="Times New Roman"/>
          <w:iCs/>
          <w:szCs w:val="24"/>
        </w:rPr>
        <w:t xml:space="preserve"> 36</w:t>
      </w:r>
      <w:r>
        <w:rPr>
          <w:rFonts w:eastAsia="Calibri" w:cs="Times New Roman"/>
          <w:iCs/>
          <w:szCs w:val="24"/>
        </w:rPr>
        <w:t>3</w:t>
      </w:r>
      <w:r w:rsidRPr="00B759A1">
        <w:rPr>
          <w:rFonts w:eastAsia="Calibri" w:cs="Times New Roman"/>
          <w:iCs/>
          <w:szCs w:val="24"/>
        </w:rPr>
        <w:t>,</w:t>
      </w:r>
      <w:r>
        <w:rPr>
          <w:rFonts w:eastAsia="Calibri" w:cs="Times New Roman"/>
          <w:iCs/>
          <w:szCs w:val="24"/>
        </w:rPr>
        <w:t>9</w:t>
      </w:r>
      <w:r w:rsidRPr="00B759A1">
        <w:rPr>
          <w:rFonts w:eastAsia="Calibri" w:cs="Times New Roman"/>
          <w:iCs/>
          <w:szCs w:val="24"/>
        </w:rPr>
        <w:t xml:space="preserve"> tūkstoši ar kopējo platību 9</w:t>
      </w:r>
      <w:r>
        <w:rPr>
          <w:rFonts w:eastAsia="Calibri" w:cs="Times New Roman"/>
          <w:iCs/>
          <w:szCs w:val="24"/>
        </w:rPr>
        <w:t>1</w:t>
      </w:r>
      <w:r w:rsidRPr="00B759A1">
        <w:rPr>
          <w:rFonts w:eastAsia="Calibri" w:cs="Times New Roman"/>
          <w:iCs/>
          <w:szCs w:val="24"/>
        </w:rPr>
        <w:t>,</w:t>
      </w:r>
      <w:r>
        <w:rPr>
          <w:rFonts w:eastAsia="Calibri" w:cs="Times New Roman"/>
          <w:iCs/>
          <w:szCs w:val="24"/>
        </w:rPr>
        <w:t>08</w:t>
      </w:r>
      <w:r w:rsidRPr="00B759A1">
        <w:rPr>
          <w:rFonts w:eastAsia="Calibri" w:cs="Times New Roman"/>
          <w:iCs/>
          <w:szCs w:val="24"/>
        </w:rPr>
        <w:t xml:space="preserve"> milj. m</w:t>
      </w:r>
      <w:r w:rsidRPr="00B759A1">
        <w:rPr>
          <w:rFonts w:eastAsia="Calibri" w:cs="Times New Roman"/>
          <w:iCs/>
          <w:szCs w:val="24"/>
          <w:vertAlign w:val="superscript"/>
        </w:rPr>
        <w:t>2</w:t>
      </w:r>
      <w:r w:rsidRPr="00B759A1">
        <w:rPr>
          <w:rFonts w:eastAsia="Calibri" w:cs="Times New Roman"/>
          <w:iCs/>
          <w:szCs w:val="24"/>
        </w:rPr>
        <w:t xml:space="preserve"> ir dzīvojamās mājas. </w:t>
      </w:r>
      <w:r w:rsidRPr="00B759A1">
        <w:rPr>
          <w:rFonts w:eastAsia="Calibri" w:cs="Times New Roman"/>
          <w:szCs w:val="24"/>
          <w:lang w:eastAsia="lv-LV"/>
        </w:rPr>
        <w:t xml:space="preserve">Pēc skaita visvairāk – </w:t>
      </w:r>
      <w:r>
        <w:rPr>
          <w:rFonts w:eastAsia="Calibri" w:cs="Times New Roman"/>
          <w:szCs w:val="24"/>
          <w:lang w:eastAsia="lv-LV"/>
        </w:rPr>
        <w:t>22</w:t>
      </w:r>
      <w:r w:rsidRPr="00B759A1">
        <w:rPr>
          <w:rFonts w:eastAsia="Calibri" w:cs="Times New Roman"/>
          <w:szCs w:val="24"/>
          <w:lang w:eastAsia="lv-LV"/>
        </w:rPr>
        <w:t>% ir viena dzīvokļa ēkas (30</w:t>
      </w:r>
      <w:r>
        <w:rPr>
          <w:rFonts w:eastAsia="Calibri" w:cs="Times New Roman"/>
          <w:szCs w:val="24"/>
          <w:lang w:eastAsia="lv-LV"/>
        </w:rPr>
        <w:t>9</w:t>
      </w:r>
      <w:r w:rsidRPr="00B759A1">
        <w:rPr>
          <w:rFonts w:eastAsia="Calibri" w:cs="Times New Roman"/>
          <w:szCs w:val="24"/>
          <w:lang w:eastAsia="lv-LV"/>
        </w:rPr>
        <w:t>.</w:t>
      </w:r>
      <w:r>
        <w:rPr>
          <w:rFonts w:eastAsia="Calibri" w:cs="Times New Roman"/>
          <w:szCs w:val="24"/>
          <w:lang w:eastAsia="lv-LV"/>
        </w:rPr>
        <w:t>9</w:t>
      </w:r>
      <w:r w:rsidRPr="00B759A1">
        <w:rPr>
          <w:rFonts w:eastAsia="Calibri" w:cs="Times New Roman"/>
          <w:szCs w:val="24"/>
          <w:lang w:eastAsia="lv-LV"/>
        </w:rPr>
        <w:t xml:space="preserve"> tūkstoši), taču pēc platības viena dzīvokļa ēku īpatsvars ir tikai </w:t>
      </w:r>
      <w:r>
        <w:rPr>
          <w:rFonts w:eastAsia="Calibri" w:cs="Times New Roman"/>
          <w:szCs w:val="24"/>
          <w:lang w:eastAsia="lv-LV"/>
        </w:rPr>
        <w:t>17.6</w:t>
      </w:r>
      <w:r w:rsidRPr="00B759A1">
        <w:rPr>
          <w:rFonts w:eastAsia="Calibri" w:cs="Times New Roman"/>
          <w:szCs w:val="24"/>
          <w:lang w:eastAsia="lv-LV"/>
        </w:rPr>
        <w:t xml:space="preserve">% un lielāko īpatsvaru – </w:t>
      </w:r>
      <w:r>
        <w:rPr>
          <w:rFonts w:eastAsia="Calibri" w:cs="Times New Roman"/>
          <w:szCs w:val="24"/>
          <w:lang w:eastAsia="lv-LV"/>
        </w:rPr>
        <w:t>24.9</w:t>
      </w:r>
      <w:r w:rsidRPr="00B759A1">
        <w:rPr>
          <w:rFonts w:eastAsia="Calibri" w:cs="Times New Roman"/>
          <w:szCs w:val="24"/>
          <w:lang w:eastAsia="lv-LV"/>
        </w:rPr>
        <w:t>% veido daudzdzīvokļu (triju un vairāku dzīvokļu) ēkas (5</w:t>
      </w:r>
      <w:r>
        <w:rPr>
          <w:rFonts w:eastAsia="Calibri" w:cs="Times New Roman"/>
          <w:szCs w:val="24"/>
          <w:lang w:eastAsia="lv-LV"/>
        </w:rPr>
        <w:t>1</w:t>
      </w:r>
      <w:r w:rsidRPr="00B759A1">
        <w:rPr>
          <w:rFonts w:eastAsia="Calibri" w:cs="Times New Roman"/>
          <w:szCs w:val="24"/>
          <w:lang w:eastAsia="lv-LV"/>
        </w:rPr>
        <w:t>.</w:t>
      </w:r>
      <w:r>
        <w:rPr>
          <w:rFonts w:eastAsia="Calibri" w:cs="Times New Roman"/>
          <w:szCs w:val="24"/>
          <w:lang w:eastAsia="lv-LV"/>
        </w:rPr>
        <w:t>55</w:t>
      </w:r>
      <w:r w:rsidRPr="00B759A1">
        <w:rPr>
          <w:rFonts w:eastAsia="Calibri" w:cs="Times New Roman"/>
          <w:szCs w:val="24"/>
          <w:lang w:eastAsia="lv-LV"/>
        </w:rPr>
        <w:t xml:space="preserve"> milj. m</w:t>
      </w:r>
      <w:r w:rsidRPr="00B759A1">
        <w:rPr>
          <w:rFonts w:eastAsia="Calibri" w:cs="Times New Roman"/>
          <w:szCs w:val="24"/>
          <w:vertAlign w:val="superscript"/>
          <w:lang w:eastAsia="lv-LV"/>
        </w:rPr>
        <w:t>2</w:t>
      </w:r>
      <w:r w:rsidRPr="00B759A1">
        <w:rPr>
          <w:rFonts w:eastAsia="Calibri" w:cs="Times New Roman"/>
          <w:szCs w:val="24"/>
          <w:lang w:eastAsia="lv-LV"/>
        </w:rPr>
        <w:t xml:space="preserve">), kaut arī to skaits veido tikai </w:t>
      </w:r>
      <w:r>
        <w:rPr>
          <w:rFonts w:eastAsia="Calibri" w:cs="Times New Roman"/>
          <w:szCs w:val="24"/>
          <w:lang w:eastAsia="lv-LV"/>
        </w:rPr>
        <w:t>2.81</w:t>
      </w:r>
      <w:r w:rsidRPr="00B759A1">
        <w:rPr>
          <w:rFonts w:eastAsia="Calibri" w:cs="Times New Roman"/>
          <w:szCs w:val="24"/>
          <w:lang w:eastAsia="lv-LV"/>
        </w:rPr>
        <w:t>% (</w:t>
      </w:r>
      <w:r>
        <w:rPr>
          <w:rFonts w:eastAsia="Calibri" w:cs="Times New Roman"/>
          <w:szCs w:val="24"/>
          <w:lang w:eastAsia="lv-LV"/>
        </w:rPr>
        <w:t>39.4</w:t>
      </w:r>
      <w:r w:rsidRPr="00B759A1">
        <w:rPr>
          <w:rFonts w:eastAsia="Calibri" w:cs="Times New Roman"/>
          <w:szCs w:val="24"/>
          <w:lang w:eastAsia="lv-LV"/>
        </w:rPr>
        <w:t xml:space="preserve"> tūkstoši)</w:t>
      </w:r>
      <w:r>
        <w:rPr>
          <w:rFonts w:eastAsia="Calibri" w:cs="Times New Roman"/>
          <w:szCs w:val="24"/>
          <w:lang w:eastAsia="lv-LV"/>
        </w:rPr>
        <w:t xml:space="preserve"> no kopējā dzīvojamo un nedzīvojamo ēku skaita.</w:t>
      </w:r>
    </w:p>
    <w:p w14:paraId="4259A55E" w14:textId="04B1D4B5" w:rsidR="006D3850" w:rsidRDefault="006D3850" w:rsidP="006D3850">
      <w:pPr>
        <w:rPr>
          <w:rFonts w:eastAsia="Calibri" w:cs="Times New Roman"/>
          <w:szCs w:val="24"/>
        </w:rPr>
      </w:pPr>
      <w:r>
        <w:rPr>
          <w:rFonts w:eastAsia="Calibri" w:cs="Times New Roman"/>
          <w:szCs w:val="24"/>
        </w:rPr>
        <w:t>Aplūkojot 4. tabulu, redzams, ka Rīga un Pierīgas reģions veido 44% no kopējā daudzdzīvokļu ēku skaita Latvijā. Vienlaikus jāizceļ, ka Latgalē viena dzīvokļa māju skaits ir pat nedaudz lielāks kā Pierīgas reģionā un</w:t>
      </w:r>
      <w:r w:rsidR="00515712">
        <w:rPr>
          <w:rFonts w:eastAsia="Calibri" w:cs="Times New Roman"/>
          <w:szCs w:val="24"/>
        </w:rPr>
        <w:t xml:space="preserve"> vairāk nekā</w:t>
      </w:r>
      <w:r>
        <w:rPr>
          <w:rFonts w:eastAsia="Calibri" w:cs="Times New Roman"/>
          <w:szCs w:val="24"/>
        </w:rPr>
        <w:t xml:space="preserve"> 2,5 reizes pārsniedz viena </w:t>
      </w:r>
      <w:r w:rsidR="00515712">
        <w:rPr>
          <w:rFonts w:eastAsia="Calibri" w:cs="Times New Roman"/>
          <w:szCs w:val="24"/>
        </w:rPr>
        <w:t>dzīvokļa</w:t>
      </w:r>
      <w:r>
        <w:rPr>
          <w:rFonts w:eastAsia="Calibri" w:cs="Times New Roman"/>
          <w:szCs w:val="24"/>
        </w:rPr>
        <w:t xml:space="preserve"> ēku skaitu Zemgalē.</w:t>
      </w:r>
    </w:p>
    <w:p w14:paraId="6A50C779" w14:textId="77777777" w:rsidR="006D3850" w:rsidRPr="006D3850" w:rsidRDefault="006D3850" w:rsidP="00515712">
      <w:pPr>
        <w:ind w:firstLine="0"/>
        <w:rPr>
          <w:rFonts w:eastAsia="Calibri" w:cs="Times New Roman"/>
          <w:szCs w:val="24"/>
        </w:rPr>
      </w:pPr>
    </w:p>
    <w:p w14:paraId="0F745484" w14:textId="52140456" w:rsidR="00E85672" w:rsidRPr="0023440A" w:rsidRDefault="002E315E" w:rsidP="00973D5C">
      <w:pPr>
        <w:ind w:firstLine="0"/>
        <w:jc w:val="left"/>
      </w:pPr>
      <w:r w:rsidRPr="0023440A">
        <w:t xml:space="preserve">4.tabula. </w:t>
      </w:r>
      <w:r w:rsidR="00E85672" w:rsidRPr="0023440A">
        <w:t xml:space="preserve">Dzīvojamo </w:t>
      </w:r>
      <w:r w:rsidR="00EC35CE">
        <w:t>ēku</w:t>
      </w:r>
      <w:r w:rsidR="00E85672" w:rsidRPr="0023440A">
        <w:t xml:space="preserve"> skaita sadalījums teritoriāli (Latvija, reģioni, republikas nozīmes pilsētas)</w:t>
      </w:r>
    </w:p>
    <w:tbl>
      <w:tblPr>
        <w:tblpPr w:leftFromText="180" w:rightFromText="180" w:vertAnchor="text" w:horzAnchor="page" w:tblpX="2460" w:tblpY="202"/>
        <w:tblW w:w="7240" w:type="dxa"/>
        <w:tblLook w:val="04A0" w:firstRow="1" w:lastRow="0" w:firstColumn="1" w:lastColumn="0" w:noHBand="0" w:noVBand="1"/>
      </w:tblPr>
      <w:tblGrid>
        <w:gridCol w:w="1227"/>
        <w:gridCol w:w="1168"/>
        <w:gridCol w:w="1121"/>
        <w:gridCol w:w="1109"/>
        <w:gridCol w:w="1109"/>
        <w:gridCol w:w="1506"/>
      </w:tblGrid>
      <w:tr w:rsidR="00E85672" w:rsidRPr="00B96CF5" w14:paraId="4EA17063" w14:textId="77777777" w:rsidTr="00E85672">
        <w:trPr>
          <w:trHeight w:val="1035"/>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003F8"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Atrašanās vieta</w:t>
            </w:r>
          </w:p>
        </w:tc>
        <w:tc>
          <w:tcPr>
            <w:tcW w:w="1168" w:type="dxa"/>
            <w:tcBorders>
              <w:top w:val="single" w:sz="8" w:space="0" w:color="auto"/>
              <w:left w:val="nil"/>
              <w:bottom w:val="single" w:sz="8" w:space="0" w:color="auto"/>
              <w:right w:val="single" w:sz="8" w:space="0" w:color="auto"/>
            </w:tcBorders>
            <w:shd w:val="clear" w:color="auto" w:fill="auto"/>
            <w:vAlign w:val="center"/>
            <w:hideMark/>
          </w:tcPr>
          <w:p w14:paraId="0614FAB8" w14:textId="4DDB0A29"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Dzīvojamo māju kopēj</w:t>
            </w:r>
            <w:r w:rsidR="006E570D">
              <w:rPr>
                <w:rFonts w:eastAsia="Times New Roman" w:cs="Times New Roman"/>
                <w:b/>
                <w:bCs/>
                <w:color w:val="000000"/>
                <w:sz w:val="20"/>
                <w:szCs w:val="20"/>
                <w:lang w:eastAsia="lv-LV"/>
              </w:rPr>
              <w:t>ais</w:t>
            </w:r>
            <w:r w:rsidRPr="00B96CF5">
              <w:rPr>
                <w:rFonts w:eastAsia="Times New Roman" w:cs="Times New Roman"/>
                <w:b/>
                <w:bCs/>
                <w:color w:val="000000"/>
                <w:sz w:val="20"/>
                <w:szCs w:val="20"/>
                <w:lang w:eastAsia="lv-LV"/>
              </w:rPr>
              <w:t xml:space="preserve"> </w:t>
            </w:r>
            <w:r w:rsidR="006E570D">
              <w:rPr>
                <w:rFonts w:eastAsia="Times New Roman" w:cs="Times New Roman"/>
                <w:b/>
                <w:bCs/>
                <w:color w:val="000000"/>
                <w:sz w:val="20"/>
                <w:szCs w:val="20"/>
                <w:lang w:eastAsia="lv-LV"/>
              </w:rPr>
              <w:t>skaits</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14:paraId="6DE30C1B"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1 dzīvokļa mājas</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3A54488B"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2 dzīvokļu mājas</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4E6FC327"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3 un vairāk dzīvokļu mājas</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309E9406"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Dažādu sociālo grupu kopdzīvojamās mājas</w:t>
            </w:r>
          </w:p>
        </w:tc>
      </w:tr>
      <w:tr w:rsidR="00E85672" w:rsidRPr="00B96CF5" w14:paraId="0DC78673"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22616760"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Latvija</w:t>
            </w:r>
          </w:p>
        </w:tc>
      </w:tr>
      <w:tr w:rsidR="00E85672" w:rsidRPr="00B96CF5" w14:paraId="329AFCC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A7DA293"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 </w:t>
            </w:r>
          </w:p>
        </w:tc>
        <w:tc>
          <w:tcPr>
            <w:tcW w:w="1168" w:type="dxa"/>
            <w:tcBorders>
              <w:top w:val="nil"/>
              <w:left w:val="nil"/>
              <w:bottom w:val="single" w:sz="8" w:space="0" w:color="auto"/>
              <w:right w:val="single" w:sz="8" w:space="0" w:color="auto"/>
            </w:tcBorders>
            <w:shd w:val="clear" w:color="auto" w:fill="auto"/>
            <w:vAlign w:val="center"/>
            <w:hideMark/>
          </w:tcPr>
          <w:p w14:paraId="00D2AF1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363991</w:t>
            </w:r>
          </w:p>
        </w:tc>
        <w:tc>
          <w:tcPr>
            <w:tcW w:w="1121" w:type="dxa"/>
            <w:tcBorders>
              <w:top w:val="nil"/>
              <w:left w:val="nil"/>
              <w:bottom w:val="single" w:sz="8" w:space="0" w:color="auto"/>
              <w:right w:val="single" w:sz="8" w:space="0" w:color="auto"/>
            </w:tcBorders>
            <w:shd w:val="clear" w:color="auto" w:fill="auto"/>
            <w:vAlign w:val="center"/>
            <w:hideMark/>
          </w:tcPr>
          <w:p w14:paraId="2D94602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309929</w:t>
            </w:r>
          </w:p>
        </w:tc>
        <w:tc>
          <w:tcPr>
            <w:tcW w:w="1109" w:type="dxa"/>
            <w:tcBorders>
              <w:top w:val="nil"/>
              <w:left w:val="nil"/>
              <w:bottom w:val="single" w:sz="8" w:space="0" w:color="auto"/>
              <w:right w:val="single" w:sz="8" w:space="0" w:color="auto"/>
            </w:tcBorders>
            <w:shd w:val="clear" w:color="auto" w:fill="auto"/>
            <w:vAlign w:val="center"/>
            <w:hideMark/>
          </w:tcPr>
          <w:p w14:paraId="3039544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13938</w:t>
            </w:r>
          </w:p>
        </w:tc>
        <w:tc>
          <w:tcPr>
            <w:tcW w:w="1109" w:type="dxa"/>
            <w:tcBorders>
              <w:top w:val="nil"/>
              <w:left w:val="nil"/>
              <w:bottom w:val="single" w:sz="8" w:space="0" w:color="auto"/>
              <w:right w:val="single" w:sz="8" w:space="0" w:color="auto"/>
            </w:tcBorders>
            <w:shd w:val="clear" w:color="auto" w:fill="auto"/>
            <w:vAlign w:val="center"/>
            <w:hideMark/>
          </w:tcPr>
          <w:p w14:paraId="22629E7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39477</w:t>
            </w:r>
          </w:p>
        </w:tc>
        <w:tc>
          <w:tcPr>
            <w:tcW w:w="1506" w:type="dxa"/>
            <w:tcBorders>
              <w:top w:val="nil"/>
              <w:left w:val="nil"/>
              <w:bottom w:val="single" w:sz="8" w:space="0" w:color="auto"/>
              <w:right w:val="single" w:sz="8" w:space="0" w:color="auto"/>
            </w:tcBorders>
            <w:shd w:val="clear" w:color="auto" w:fill="auto"/>
            <w:vAlign w:val="center"/>
            <w:hideMark/>
          </w:tcPr>
          <w:p w14:paraId="3C6610B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647</w:t>
            </w:r>
          </w:p>
        </w:tc>
      </w:tr>
      <w:tr w:rsidR="00E85672" w:rsidRPr="00B96CF5" w14:paraId="7985F127"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E02F5D"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Reģioni</w:t>
            </w:r>
          </w:p>
        </w:tc>
      </w:tr>
      <w:tr w:rsidR="00E85672" w:rsidRPr="00B96CF5" w14:paraId="2B42BE86"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22815470"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Rīgas</w:t>
            </w:r>
          </w:p>
        </w:tc>
        <w:tc>
          <w:tcPr>
            <w:tcW w:w="1168" w:type="dxa"/>
            <w:tcBorders>
              <w:top w:val="nil"/>
              <w:left w:val="nil"/>
              <w:bottom w:val="single" w:sz="8" w:space="0" w:color="auto"/>
              <w:right w:val="single" w:sz="8" w:space="0" w:color="auto"/>
            </w:tcBorders>
            <w:shd w:val="clear" w:color="auto" w:fill="auto"/>
            <w:vAlign w:val="center"/>
            <w:hideMark/>
          </w:tcPr>
          <w:p w14:paraId="56911C7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28768</w:t>
            </w:r>
          </w:p>
        </w:tc>
        <w:tc>
          <w:tcPr>
            <w:tcW w:w="1121" w:type="dxa"/>
            <w:tcBorders>
              <w:top w:val="nil"/>
              <w:left w:val="nil"/>
              <w:bottom w:val="single" w:sz="8" w:space="0" w:color="auto"/>
              <w:right w:val="single" w:sz="8" w:space="0" w:color="auto"/>
            </w:tcBorders>
            <w:shd w:val="clear" w:color="auto" w:fill="auto"/>
            <w:vAlign w:val="center"/>
            <w:hideMark/>
          </w:tcPr>
          <w:p w14:paraId="17FEAC0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14786</w:t>
            </w:r>
          </w:p>
        </w:tc>
        <w:tc>
          <w:tcPr>
            <w:tcW w:w="1109" w:type="dxa"/>
            <w:tcBorders>
              <w:top w:val="nil"/>
              <w:left w:val="nil"/>
              <w:bottom w:val="single" w:sz="8" w:space="0" w:color="auto"/>
              <w:right w:val="single" w:sz="8" w:space="0" w:color="auto"/>
            </w:tcBorders>
            <w:shd w:val="clear" w:color="auto" w:fill="auto"/>
            <w:vAlign w:val="center"/>
            <w:hideMark/>
          </w:tcPr>
          <w:p w14:paraId="201B0A8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2204</w:t>
            </w:r>
          </w:p>
        </w:tc>
        <w:tc>
          <w:tcPr>
            <w:tcW w:w="1109" w:type="dxa"/>
            <w:tcBorders>
              <w:top w:val="nil"/>
              <w:left w:val="nil"/>
              <w:bottom w:val="single" w:sz="8" w:space="0" w:color="auto"/>
              <w:right w:val="single" w:sz="8" w:space="0" w:color="auto"/>
            </w:tcBorders>
            <w:shd w:val="clear" w:color="auto" w:fill="auto"/>
            <w:vAlign w:val="center"/>
            <w:hideMark/>
          </w:tcPr>
          <w:p w14:paraId="486F791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11710</w:t>
            </w:r>
          </w:p>
        </w:tc>
        <w:tc>
          <w:tcPr>
            <w:tcW w:w="1506" w:type="dxa"/>
            <w:tcBorders>
              <w:top w:val="nil"/>
              <w:left w:val="nil"/>
              <w:bottom w:val="single" w:sz="8" w:space="0" w:color="auto"/>
              <w:right w:val="single" w:sz="8" w:space="0" w:color="auto"/>
            </w:tcBorders>
            <w:shd w:val="clear" w:color="auto" w:fill="auto"/>
            <w:vAlign w:val="center"/>
            <w:hideMark/>
          </w:tcPr>
          <w:p w14:paraId="7784587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68</w:t>
            </w:r>
          </w:p>
        </w:tc>
      </w:tr>
      <w:tr w:rsidR="00E85672" w:rsidRPr="00B96CF5" w14:paraId="2923BCB0"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A93E6B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Pierīgas</w:t>
            </w:r>
          </w:p>
        </w:tc>
        <w:tc>
          <w:tcPr>
            <w:tcW w:w="1168" w:type="dxa"/>
            <w:tcBorders>
              <w:top w:val="nil"/>
              <w:left w:val="nil"/>
              <w:bottom w:val="single" w:sz="8" w:space="0" w:color="auto"/>
              <w:right w:val="single" w:sz="8" w:space="0" w:color="auto"/>
            </w:tcBorders>
            <w:shd w:val="clear" w:color="auto" w:fill="auto"/>
            <w:vAlign w:val="center"/>
            <w:hideMark/>
          </w:tcPr>
          <w:p w14:paraId="57077BC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89629</w:t>
            </w:r>
          </w:p>
        </w:tc>
        <w:tc>
          <w:tcPr>
            <w:tcW w:w="1121" w:type="dxa"/>
            <w:tcBorders>
              <w:top w:val="nil"/>
              <w:left w:val="nil"/>
              <w:bottom w:val="single" w:sz="8" w:space="0" w:color="auto"/>
              <w:right w:val="single" w:sz="8" w:space="0" w:color="auto"/>
            </w:tcBorders>
            <w:shd w:val="clear" w:color="auto" w:fill="auto"/>
            <w:vAlign w:val="center"/>
            <w:hideMark/>
          </w:tcPr>
          <w:p w14:paraId="55249E6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81114</w:t>
            </w:r>
          </w:p>
        </w:tc>
        <w:tc>
          <w:tcPr>
            <w:tcW w:w="1109" w:type="dxa"/>
            <w:tcBorders>
              <w:top w:val="nil"/>
              <w:left w:val="nil"/>
              <w:bottom w:val="single" w:sz="8" w:space="0" w:color="auto"/>
              <w:right w:val="single" w:sz="8" w:space="0" w:color="auto"/>
            </w:tcBorders>
            <w:shd w:val="clear" w:color="auto" w:fill="auto"/>
            <w:vAlign w:val="center"/>
            <w:hideMark/>
          </w:tcPr>
          <w:p w14:paraId="78DE44E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2886</w:t>
            </w:r>
          </w:p>
        </w:tc>
        <w:tc>
          <w:tcPr>
            <w:tcW w:w="1109" w:type="dxa"/>
            <w:tcBorders>
              <w:top w:val="nil"/>
              <w:left w:val="nil"/>
              <w:bottom w:val="single" w:sz="8" w:space="0" w:color="auto"/>
              <w:right w:val="single" w:sz="8" w:space="0" w:color="auto"/>
            </w:tcBorders>
            <w:shd w:val="clear" w:color="auto" w:fill="auto"/>
            <w:vAlign w:val="center"/>
            <w:hideMark/>
          </w:tcPr>
          <w:p w14:paraId="0205A66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5513</w:t>
            </w:r>
          </w:p>
        </w:tc>
        <w:tc>
          <w:tcPr>
            <w:tcW w:w="1506" w:type="dxa"/>
            <w:tcBorders>
              <w:top w:val="nil"/>
              <w:left w:val="nil"/>
              <w:bottom w:val="single" w:sz="8" w:space="0" w:color="auto"/>
              <w:right w:val="single" w:sz="8" w:space="0" w:color="auto"/>
            </w:tcBorders>
            <w:shd w:val="clear" w:color="auto" w:fill="auto"/>
            <w:vAlign w:val="center"/>
            <w:hideMark/>
          </w:tcPr>
          <w:p w14:paraId="2DCCE96D"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116</w:t>
            </w:r>
          </w:p>
        </w:tc>
      </w:tr>
      <w:tr w:rsidR="00E85672" w:rsidRPr="00B96CF5" w14:paraId="17E87964"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B0A7E5B"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Vidzemes</w:t>
            </w:r>
          </w:p>
        </w:tc>
        <w:tc>
          <w:tcPr>
            <w:tcW w:w="1168" w:type="dxa"/>
            <w:tcBorders>
              <w:top w:val="nil"/>
              <w:left w:val="nil"/>
              <w:bottom w:val="single" w:sz="8" w:space="0" w:color="auto"/>
              <w:right w:val="single" w:sz="8" w:space="0" w:color="auto"/>
            </w:tcBorders>
            <w:shd w:val="clear" w:color="auto" w:fill="auto"/>
            <w:vAlign w:val="center"/>
            <w:hideMark/>
          </w:tcPr>
          <w:p w14:paraId="3C9E61C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70707</w:t>
            </w:r>
          </w:p>
        </w:tc>
        <w:tc>
          <w:tcPr>
            <w:tcW w:w="1121" w:type="dxa"/>
            <w:tcBorders>
              <w:top w:val="nil"/>
              <w:left w:val="nil"/>
              <w:bottom w:val="single" w:sz="8" w:space="0" w:color="auto"/>
              <w:right w:val="single" w:sz="8" w:space="0" w:color="auto"/>
            </w:tcBorders>
            <w:shd w:val="clear" w:color="auto" w:fill="auto"/>
            <w:vAlign w:val="center"/>
            <w:hideMark/>
          </w:tcPr>
          <w:p w14:paraId="23198D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62748</w:t>
            </w:r>
          </w:p>
        </w:tc>
        <w:tc>
          <w:tcPr>
            <w:tcW w:w="1109" w:type="dxa"/>
            <w:tcBorders>
              <w:top w:val="nil"/>
              <w:left w:val="nil"/>
              <w:bottom w:val="single" w:sz="8" w:space="0" w:color="auto"/>
              <w:right w:val="single" w:sz="8" w:space="0" w:color="auto"/>
            </w:tcBorders>
            <w:shd w:val="clear" w:color="auto" w:fill="auto"/>
            <w:vAlign w:val="center"/>
            <w:hideMark/>
          </w:tcPr>
          <w:p w14:paraId="26674C6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1930</w:t>
            </w:r>
          </w:p>
        </w:tc>
        <w:tc>
          <w:tcPr>
            <w:tcW w:w="1109" w:type="dxa"/>
            <w:tcBorders>
              <w:top w:val="nil"/>
              <w:left w:val="nil"/>
              <w:bottom w:val="single" w:sz="8" w:space="0" w:color="auto"/>
              <w:right w:val="single" w:sz="8" w:space="0" w:color="auto"/>
            </w:tcBorders>
            <w:shd w:val="clear" w:color="auto" w:fill="auto"/>
            <w:vAlign w:val="center"/>
            <w:hideMark/>
          </w:tcPr>
          <w:p w14:paraId="63EB4DA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5860</w:t>
            </w:r>
          </w:p>
        </w:tc>
        <w:tc>
          <w:tcPr>
            <w:tcW w:w="1506" w:type="dxa"/>
            <w:tcBorders>
              <w:top w:val="nil"/>
              <w:left w:val="nil"/>
              <w:bottom w:val="single" w:sz="8" w:space="0" w:color="auto"/>
              <w:right w:val="single" w:sz="8" w:space="0" w:color="auto"/>
            </w:tcBorders>
            <w:shd w:val="clear" w:color="auto" w:fill="auto"/>
            <w:vAlign w:val="center"/>
            <w:hideMark/>
          </w:tcPr>
          <w:p w14:paraId="550E127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169</w:t>
            </w:r>
          </w:p>
        </w:tc>
      </w:tr>
      <w:tr w:rsidR="00E85672" w:rsidRPr="00B96CF5" w14:paraId="0C49182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C85B058"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Kurzemes</w:t>
            </w:r>
          </w:p>
        </w:tc>
        <w:tc>
          <w:tcPr>
            <w:tcW w:w="1168" w:type="dxa"/>
            <w:tcBorders>
              <w:top w:val="nil"/>
              <w:left w:val="nil"/>
              <w:bottom w:val="single" w:sz="8" w:space="0" w:color="auto"/>
              <w:right w:val="single" w:sz="8" w:space="0" w:color="auto"/>
            </w:tcBorders>
            <w:shd w:val="clear" w:color="auto" w:fill="auto"/>
            <w:vAlign w:val="center"/>
            <w:hideMark/>
          </w:tcPr>
          <w:p w14:paraId="3FCAF09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50607</w:t>
            </w:r>
          </w:p>
        </w:tc>
        <w:tc>
          <w:tcPr>
            <w:tcW w:w="1121" w:type="dxa"/>
            <w:tcBorders>
              <w:top w:val="nil"/>
              <w:left w:val="nil"/>
              <w:bottom w:val="single" w:sz="8" w:space="0" w:color="auto"/>
              <w:right w:val="single" w:sz="8" w:space="0" w:color="auto"/>
            </w:tcBorders>
            <w:shd w:val="clear" w:color="auto" w:fill="auto"/>
            <w:vAlign w:val="center"/>
            <w:hideMark/>
          </w:tcPr>
          <w:p w14:paraId="677CBBC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40989</w:t>
            </w:r>
          </w:p>
        </w:tc>
        <w:tc>
          <w:tcPr>
            <w:tcW w:w="1109" w:type="dxa"/>
            <w:tcBorders>
              <w:top w:val="nil"/>
              <w:left w:val="nil"/>
              <w:bottom w:val="single" w:sz="8" w:space="0" w:color="auto"/>
              <w:right w:val="single" w:sz="8" w:space="0" w:color="auto"/>
            </w:tcBorders>
            <w:shd w:val="clear" w:color="auto" w:fill="auto"/>
            <w:vAlign w:val="center"/>
            <w:hideMark/>
          </w:tcPr>
          <w:p w14:paraId="373CA2D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2445</w:t>
            </w:r>
          </w:p>
        </w:tc>
        <w:tc>
          <w:tcPr>
            <w:tcW w:w="1109" w:type="dxa"/>
            <w:tcBorders>
              <w:top w:val="nil"/>
              <w:left w:val="nil"/>
              <w:bottom w:val="single" w:sz="8" w:space="0" w:color="auto"/>
              <w:right w:val="single" w:sz="8" w:space="0" w:color="auto"/>
            </w:tcBorders>
            <w:shd w:val="clear" w:color="auto" w:fill="auto"/>
            <w:vAlign w:val="center"/>
            <w:hideMark/>
          </w:tcPr>
          <w:p w14:paraId="2C404BB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7075</w:t>
            </w:r>
          </w:p>
        </w:tc>
        <w:tc>
          <w:tcPr>
            <w:tcW w:w="1506" w:type="dxa"/>
            <w:tcBorders>
              <w:top w:val="nil"/>
              <w:left w:val="nil"/>
              <w:bottom w:val="single" w:sz="8" w:space="0" w:color="auto"/>
              <w:right w:val="single" w:sz="8" w:space="0" w:color="auto"/>
            </w:tcBorders>
            <w:shd w:val="clear" w:color="auto" w:fill="auto"/>
            <w:vAlign w:val="center"/>
            <w:hideMark/>
          </w:tcPr>
          <w:p w14:paraId="39A50F4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w:t>
            </w:r>
          </w:p>
        </w:tc>
      </w:tr>
      <w:tr w:rsidR="00E85672" w:rsidRPr="00B96CF5" w14:paraId="4239D8C9"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6B304A76"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Zemgales</w:t>
            </w:r>
          </w:p>
        </w:tc>
        <w:tc>
          <w:tcPr>
            <w:tcW w:w="1168" w:type="dxa"/>
            <w:tcBorders>
              <w:top w:val="nil"/>
              <w:left w:val="nil"/>
              <w:bottom w:val="single" w:sz="8" w:space="0" w:color="auto"/>
              <w:right w:val="single" w:sz="8" w:space="0" w:color="auto"/>
            </w:tcBorders>
            <w:shd w:val="clear" w:color="auto" w:fill="auto"/>
            <w:vAlign w:val="center"/>
            <w:hideMark/>
          </w:tcPr>
          <w:p w14:paraId="36A576D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33212</w:t>
            </w:r>
          </w:p>
        </w:tc>
        <w:tc>
          <w:tcPr>
            <w:tcW w:w="1121" w:type="dxa"/>
            <w:tcBorders>
              <w:top w:val="nil"/>
              <w:left w:val="nil"/>
              <w:bottom w:val="single" w:sz="8" w:space="0" w:color="auto"/>
              <w:right w:val="single" w:sz="8" w:space="0" w:color="auto"/>
            </w:tcBorders>
            <w:shd w:val="clear" w:color="auto" w:fill="auto"/>
            <w:vAlign w:val="center"/>
            <w:hideMark/>
          </w:tcPr>
          <w:p w14:paraId="04CD1E8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29047</w:t>
            </w:r>
          </w:p>
        </w:tc>
        <w:tc>
          <w:tcPr>
            <w:tcW w:w="1109" w:type="dxa"/>
            <w:tcBorders>
              <w:top w:val="nil"/>
              <w:left w:val="nil"/>
              <w:bottom w:val="single" w:sz="8" w:space="0" w:color="auto"/>
              <w:right w:val="single" w:sz="8" w:space="0" w:color="auto"/>
            </w:tcBorders>
            <w:shd w:val="clear" w:color="auto" w:fill="auto"/>
            <w:vAlign w:val="center"/>
            <w:hideMark/>
          </w:tcPr>
          <w:p w14:paraId="4C19D82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693</w:t>
            </w:r>
          </w:p>
        </w:tc>
        <w:tc>
          <w:tcPr>
            <w:tcW w:w="1109" w:type="dxa"/>
            <w:tcBorders>
              <w:top w:val="nil"/>
              <w:left w:val="nil"/>
              <w:bottom w:val="single" w:sz="8" w:space="0" w:color="auto"/>
              <w:right w:val="single" w:sz="8" w:space="0" w:color="auto"/>
            </w:tcBorders>
            <w:shd w:val="clear" w:color="auto" w:fill="auto"/>
            <w:vAlign w:val="center"/>
            <w:hideMark/>
          </w:tcPr>
          <w:p w14:paraId="1685E3E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3388</w:t>
            </w:r>
          </w:p>
        </w:tc>
        <w:tc>
          <w:tcPr>
            <w:tcW w:w="1506" w:type="dxa"/>
            <w:tcBorders>
              <w:top w:val="nil"/>
              <w:left w:val="nil"/>
              <w:bottom w:val="single" w:sz="8" w:space="0" w:color="auto"/>
              <w:right w:val="single" w:sz="8" w:space="0" w:color="auto"/>
            </w:tcBorders>
            <w:shd w:val="clear" w:color="auto" w:fill="auto"/>
            <w:vAlign w:val="center"/>
            <w:hideMark/>
          </w:tcPr>
          <w:p w14:paraId="2983D97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84</w:t>
            </w:r>
          </w:p>
        </w:tc>
      </w:tr>
      <w:tr w:rsidR="00E85672" w:rsidRPr="00B96CF5" w14:paraId="7C846ABD"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E5FDA"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Latgales</w:t>
            </w:r>
          </w:p>
        </w:tc>
        <w:tc>
          <w:tcPr>
            <w:tcW w:w="1168" w:type="dxa"/>
            <w:tcBorders>
              <w:top w:val="nil"/>
              <w:left w:val="nil"/>
              <w:bottom w:val="single" w:sz="8" w:space="0" w:color="auto"/>
              <w:right w:val="single" w:sz="8" w:space="0" w:color="auto"/>
            </w:tcBorders>
            <w:shd w:val="clear" w:color="auto" w:fill="auto"/>
            <w:vAlign w:val="center"/>
            <w:hideMark/>
          </w:tcPr>
          <w:p w14:paraId="33EFF6F4"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91068</w:t>
            </w:r>
          </w:p>
        </w:tc>
        <w:tc>
          <w:tcPr>
            <w:tcW w:w="1121" w:type="dxa"/>
            <w:tcBorders>
              <w:top w:val="nil"/>
              <w:left w:val="nil"/>
              <w:bottom w:val="single" w:sz="8" w:space="0" w:color="auto"/>
              <w:right w:val="single" w:sz="8" w:space="0" w:color="auto"/>
            </w:tcBorders>
            <w:shd w:val="clear" w:color="auto" w:fill="auto"/>
            <w:vAlign w:val="center"/>
            <w:hideMark/>
          </w:tcPr>
          <w:p w14:paraId="17E1B06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81245</w:t>
            </w:r>
          </w:p>
        </w:tc>
        <w:tc>
          <w:tcPr>
            <w:tcW w:w="1109" w:type="dxa"/>
            <w:tcBorders>
              <w:top w:val="nil"/>
              <w:left w:val="nil"/>
              <w:bottom w:val="single" w:sz="8" w:space="0" w:color="auto"/>
              <w:right w:val="single" w:sz="8" w:space="0" w:color="auto"/>
            </w:tcBorders>
            <w:shd w:val="clear" w:color="auto" w:fill="auto"/>
            <w:vAlign w:val="center"/>
            <w:hideMark/>
          </w:tcPr>
          <w:p w14:paraId="483A31D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3780</w:t>
            </w:r>
          </w:p>
        </w:tc>
        <w:tc>
          <w:tcPr>
            <w:tcW w:w="1109" w:type="dxa"/>
            <w:tcBorders>
              <w:top w:val="nil"/>
              <w:left w:val="nil"/>
              <w:bottom w:val="single" w:sz="8" w:space="0" w:color="auto"/>
              <w:right w:val="single" w:sz="8" w:space="0" w:color="auto"/>
            </w:tcBorders>
            <w:shd w:val="clear" w:color="auto" w:fill="auto"/>
            <w:vAlign w:val="center"/>
            <w:hideMark/>
          </w:tcPr>
          <w:p w14:paraId="7B97FD8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5931</w:t>
            </w:r>
          </w:p>
        </w:tc>
        <w:tc>
          <w:tcPr>
            <w:tcW w:w="1506" w:type="dxa"/>
            <w:tcBorders>
              <w:top w:val="nil"/>
              <w:left w:val="nil"/>
              <w:bottom w:val="single" w:sz="8" w:space="0" w:color="auto"/>
              <w:right w:val="single" w:sz="8" w:space="0" w:color="auto"/>
            </w:tcBorders>
            <w:shd w:val="clear" w:color="auto" w:fill="auto"/>
            <w:vAlign w:val="center"/>
            <w:hideMark/>
          </w:tcPr>
          <w:p w14:paraId="10E6ACE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112</w:t>
            </w:r>
          </w:p>
        </w:tc>
      </w:tr>
      <w:tr w:rsidR="00E85672" w:rsidRPr="00B96CF5" w14:paraId="38EC04B8" w14:textId="77777777" w:rsidTr="00E85672">
        <w:trPr>
          <w:trHeight w:val="315"/>
        </w:trPr>
        <w:tc>
          <w:tcPr>
            <w:tcW w:w="72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EFFDDC7" w14:textId="77777777" w:rsidR="00E85672" w:rsidRPr="00B96CF5" w:rsidRDefault="00E85672" w:rsidP="00E85672">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Republikas nozīmes pilsētas</w:t>
            </w:r>
          </w:p>
        </w:tc>
      </w:tr>
      <w:tr w:rsidR="00E85672" w:rsidRPr="00B96CF5" w14:paraId="50C20781"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17DD033"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w:t>
            </w:r>
          </w:p>
        </w:tc>
        <w:tc>
          <w:tcPr>
            <w:tcW w:w="1168" w:type="dxa"/>
            <w:tcBorders>
              <w:top w:val="nil"/>
              <w:left w:val="nil"/>
              <w:bottom w:val="single" w:sz="8" w:space="0" w:color="auto"/>
              <w:right w:val="single" w:sz="8" w:space="0" w:color="auto"/>
            </w:tcBorders>
            <w:shd w:val="clear" w:color="auto" w:fill="auto"/>
            <w:vAlign w:val="center"/>
            <w:hideMark/>
          </w:tcPr>
          <w:p w14:paraId="62A907B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28768</w:t>
            </w:r>
          </w:p>
        </w:tc>
        <w:tc>
          <w:tcPr>
            <w:tcW w:w="1121" w:type="dxa"/>
            <w:tcBorders>
              <w:top w:val="nil"/>
              <w:left w:val="nil"/>
              <w:bottom w:val="single" w:sz="8" w:space="0" w:color="auto"/>
              <w:right w:val="single" w:sz="8" w:space="0" w:color="auto"/>
            </w:tcBorders>
            <w:shd w:val="clear" w:color="auto" w:fill="auto"/>
            <w:vAlign w:val="center"/>
            <w:hideMark/>
          </w:tcPr>
          <w:p w14:paraId="0999295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14786</w:t>
            </w:r>
          </w:p>
        </w:tc>
        <w:tc>
          <w:tcPr>
            <w:tcW w:w="1109" w:type="dxa"/>
            <w:tcBorders>
              <w:top w:val="nil"/>
              <w:left w:val="nil"/>
              <w:bottom w:val="single" w:sz="8" w:space="0" w:color="auto"/>
              <w:right w:val="single" w:sz="8" w:space="0" w:color="auto"/>
            </w:tcBorders>
            <w:shd w:val="clear" w:color="auto" w:fill="auto"/>
            <w:vAlign w:val="center"/>
            <w:hideMark/>
          </w:tcPr>
          <w:p w14:paraId="53D36A69"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2204</w:t>
            </w:r>
          </w:p>
        </w:tc>
        <w:tc>
          <w:tcPr>
            <w:tcW w:w="1109" w:type="dxa"/>
            <w:tcBorders>
              <w:top w:val="nil"/>
              <w:left w:val="nil"/>
              <w:bottom w:val="single" w:sz="8" w:space="0" w:color="auto"/>
              <w:right w:val="single" w:sz="8" w:space="0" w:color="auto"/>
            </w:tcBorders>
            <w:shd w:val="clear" w:color="auto" w:fill="auto"/>
            <w:vAlign w:val="center"/>
            <w:hideMark/>
          </w:tcPr>
          <w:p w14:paraId="70A6116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11710</w:t>
            </w:r>
          </w:p>
        </w:tc>
        <w:tc>
          <w:tcPr>
            <w:tcW w:w="1506" w:type="dxa"/>
            <w:tcBorders>
              <w:top w:val="nil"/>
              <w:left w:val="nil"/>
              <w:bottom w:val="single" w:sz="8" w:space="0" w:color="auto"/>
              <w:right w:val="single" w:sz="8" w:space="0" w:color="auto"/>
            </w:tcBorders>
            <w:shd w:val="clear" w:color="auto" w:fill="auto"/>
            <w:vAlign w:val="center"/>
            <w:hideMark/>
          </w:tcPr>
          <w:p w14:paraId="2DF5FB9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68</w:t>
            </w:r>
          </w:p>
        </w:tc>
      </w:tr>
      <w:tr w:rsidR="00E85672" w:rsidRPr="00B96CF5" w14:paraId="30DABACF"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EA6C16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Daugavpils</w:t>
            </w:r>
          </w:p>
        </w:tc>
        <w:tc>
          <w:tcPr>
            <w:tcW w:w="1168" w:type="dxa"/>
            <w:tcBorders>
              <w:top w:val="nil"/>
              <w:left w:val="nil"/>
              <w:bottom w:val="single" w:sz="8" w:space="0" w:color="auto"/>
              <w:right w:val="single" w:sz="8" w:space="0" w:color="auto"/>
            </w:tcBorders>
            <w:shd w:val="clear" w:color="auto" w:fill="auto"/>
            <w:vAlign w:val="center"/>
            <w:hideMark/>
          </w:tcPr>
          <w:p w14:paraId="1E5712B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9836</w:t>
            </w:r>
          </w:p>
        </w:tc>
        <w:tc>
          <w:tcPr>
            <w:tcW w:w="1121" w:type="dxa"/>
            <w:tcBorders>
              <w:top w:val="nil"/>
              <w:left w:val="nil"/>
              <w:bottom w:val="single" w:sz="8" w:space="0" w:color="auto"/>
              <w:right w:val="single" w:sz="8" w:space="0" w:color="auto"/>
            </w:tcBorders>
            <w:shd w:val="clear" w:color="auto" w:fill="auto"/>
            <w:vAlign w:val="center"/>
            <w:hideMark/>
          </w:tcPr>
          <w:p w14:paraId="0D76D9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7072</w:t>
            </w:r>
          </w:p>
        </w:tc>
        <w:tc>
          <w:tcPr>
            <w:tcW w:w="1109" w:type="dxa"/>
            <w:tcBorders>
              <w:top w:val="nil"/>
              <w:left w:val="nil"/>
              <w:bottom w:val="single" w:sz="8" w:space="0" w:color="auto"/>
              <w:right w:val="single" w:sz="8" w:space="0" w:color="auto"/>
            </w:tcBorders>
            <w:shd w:val="clear" w:color="auto" w:fill="auto"/>
            <w:vAlign w:val="center"/>
            <w:hideMark/>
          </w:tcPr>
          <w:p w14:paraId="2393C10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1233</w:t>
            </w:r>
          </w:p>
        </w:tc>
        <w:tc>
          <w:tcPr>
            <w:tcW w:w="1109" w:type="dxa"/>
            <w:tcBorders>
              <w:top w:val="nil"/>
              <w:left w:val="nil"/>
              <w:bottom w:val="single" w:sz="8" w:space="0" w:color="auto"/>
              <w:right w:val="single" w:sz="8" w:space="0" w:color="auto"/>
            </w:tcBorders>
            <w:shd w:val="clear" w:color="auto" w:fill="auto"/>
            <w:vAlign w:val="center"/>
            <w:hideMark/>
          </w:tcPr>
          <w:p w14:paraId="765FFDA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1525</w:t>
            </w:r>
          </w:p>
        </w:tc>
        <w:tc>
          <w:tcPr>
            <w:tcW w:w="1506" w:type="dxa"/>
            <w:tcBorders>
              <w:top w:val="nil"/>
              <w:left w:val="nil"/>
              <w:bottom w:val="single" w:sz="8" w:space="0" w:color="auto"/>
              <w:right w:val="single" w:sz="8" w:space="0" w:color="auto"/>
            </w:tcBorders>
            <w:shd w:val="clear" w:color="auto" w:fill="auto"/>
            <w:vAlign w:val="center"/>
            <w:hideMark/>
          </w:tcPr>
          <w:p w14:paraId="5B92FC0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w:t>
            </w:r>
          </w:p>
        </w:tc>
      </w:tr>
      <w:tr w:rsidR="00E85672" w:rsidRPr="00B96CF5" w14:paraId="1B37DFEB"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23D681F"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Jelgava</w:t>
            </w:r>
          </w:p>
        </w:tc>
        <w:tc>
          <w:tcPr>
            <w:tcW w:w="1168" w:type="dxa"/>
            <w:tcBorders>
              <w:top w:val="nil"/>
              <w:left w:val="nil"/>
              <w:bottom w:val="single" w:sz="8" w:space="0" w:color="auto"/>
              <w:right w:val="single" w:sz="8" w:space="0" w:color="auto"/>
            </w:tcBorders>
            <w:shd w:val="clear" w:color="auto" w:fill="auto"/>
            <w:vAlign w:val="center"/>
            <w:hideMark/>
          </w:tcPr>
          <w:p w14:paraId="18D04DB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8115</w:t>
            </w:r>
          </w:p>
        </w:tc>
        <w:tc>
          <w:tcPr>
            <w:tcW w:w="1121" w:type="dxa"/>
            <w:tcBorders>
              <w:top w:val="nil"/>
              <w:left w:val="nil"/>
              <w:bottom w:val="single" w:sz="8" w:space="0" w:color="auto"/>
              <w:right w:val="single" w:sz="8" w:space="0" w:color="auto"/>
            </w:tcBorders>
            <w:shd w:val="clear" w:color="auto" w:fill="auto"/>
            <w:vAlign w:val="center"/>
            <w:hideMark/>
          </w:tcPr>
          <w:p w14:paraId="0A4176BD"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7331</w:t>
            </w:r>
          </w:p>
        </w:tc>
        <w:tc>
          <w:tcPr>
            <w:tcW w:w="1109" w:type="dxa"/>
            <w:tcBorders>
              <w:top w:val="nil"/>
              <w:left w:val="nil"/>
              <w:bottom w:val="single" w:sz="8" w:space="0" w:color="auto"/>
              <w:right w:val="single" w:sz="8" w:space="0" w:color="auto"/>
            </w:tcBorders>
            <w:shd w:val="clear" w:color="auto" w:fill="auto"/>
            <w:vAlign w:val="center"/>
            <w:hideMark/>
          </w:tcPr>
          <w:p w14:paraId="0C74F8A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w:t>
            </w:r>
          </w:p>
        </w:tc>
        <w:tc>
          <w:tcPr>
            <w:tcW w:w="1109" w:type="dxa"/>
            <w:tcBorders>
              <w:top w:val="nil"/>
              <w:left w:val="nil"/>
              <w:bottom w:val="single" w:sz="8" w:space="0" w:color="auto"/>
              <w:right w:val="single" w:sz="8" w:space="0" w:color="auto"/>
            </w:tcBorders>
            <w:shd w:val="clear" w:color="auto" w:fill="auto"/>
            <w:vAlign w:val="center"/>
            <w:hideMark/>
          </w:tcPr>
          <w:p w14:paraId="7E7480F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695</w:t>
            </w:r>
          </w:p>
        </w:tc>
        <w:tc>
          <w:tcPr>
            <w:tcW w:w="1506" w:type="dxa"/>
            <w:tcBorders>
              <w:top w:val="nil"/>
              <w:left w:val="nil"/>
              <w:bottom w:val="single" w:sz="8" w:space="0" w:color="auto"/>
              <w:right w:val="single" w:sz="8" w:space="0" w:color="auto"/>
            </w:tcBorders>
            <w:shd w:val="clear" w:color="auto" w:fill="auto"/>
            <w:vAlign w:val="center"/>
            <w:hideMark/>
          </w:tcPr>
          <w:p w14:paraId="5683D96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20</w:t>
            </w:r>
          </w:p>
        </w:tc>
      </w:tr>
      <w:tr w:rsidR="00E85672" w:rsidRPr="00B96CF5" w14:paraId="26F4C68B"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996073F"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Jēkabpils</w:t>
            </w:r>
          </w:p>
        </w:tc>
        <w:tc>
          <w:tcPr>
            <w:tcW w:w="1168" w:type="dxa"/>
            <w:tcBorders>
              <w:top w:val="nil"/>
              <w:left w:val="nil"/>
              <w:bottom w:val="single" w:sz="8" w:space="0" w:color="auto"/>
              <w:right w:val="single" w:sz="8" w:space="0" w:color="auto"/>
            </w:tcBorders>
            <w:shd w:val="clear" w:color="auto" w:fill="auto"/>
            <w:vAlign w:val="center"/>
            <w:hideMark/>
          </w:tcPr>
          <w:p w14:paraId="1BA0E3A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3044</w:t>
            </w:r>
          </w:p>
        </w:tc>
        <w:tc>
          <w:tcPr>
            <w:tcW w:w="1121" w:type="dxa"/>
            <w:tcBorders>
              <w:top w:val="nil"/>
              <w:left w:val="nil"/>
              <w:bottom w:val="single" w:sz="8" w:space="0" w:color="auto"/>
              <w:right w:val="single" w:sz="8" w:space="0" w:color="auto"/>
            </w:tcBorders>
            <w:shd w:val="clear" w:color="auto" w:fill="auto"/>
            <w:vAlign w:val="center"/>
            <w:hideMark/>
          </w:tcPr>
          <w:p w14:paraId="064ABA31"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2491</w:t>
            </w:r>
          </w:p>
        </w:tc>
        <w:tc>
          <w:tcPr>
            <w:tcW w:w="1109" w:type="dxa"/>
            <w:tcBorders>
              <w:top w:val="nil"/>
              <w:left w:val="nil"/>
              <w:bottom w:val="single" w:sz="8" w:space="0" w:color="auto"/>
              <w:right w:val="single" w:sz="8" w:space="0" w:color="auto"/>
            </w:tcBorders>
            <w:shd w:val="clear" w:color="auto" w:fill="auto"/>
            <w:vAlign w:val="center"/>
            <w:hideMark/>
          </w:tcPr>
          <w:p w14:paraId="7BD59D9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168</w:t>
            </w:r>
          </w:p>
        </w:tc>
        <w:tc>
          <w:tcPr>
            <w:tcW w:w="1109" w:type="dxa"/>
            <w:tcBorders>
              <w:top w:val="nil"/>
              <w:left w:val="nil"/>
              <w:bottom w:val="single" w:sz="8" w:space="0" w:color="auto"/>
              <w:right w:val="single" w:sz="8" w:space="0" w:color="auto"/>
            </w:tcBorders>
            <w:shd w:val="clear" w:color="auto" w:fill="auto"/>
            <w:vAlign w:val="center"/>
            <w:hideMark/>
          </w:tcPr>
          <w:p w14:paraId="4D0AFDF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377</w:t>
            </w:r>
          </w:p>
        </w:tc>
        <w:tc>
          <w:tcPr>
            <w:tcW w:w="1506" w:type="dxa"/>
            <w:tcBorders>
              <w:top w:val="nil"/>
              <w:left w:val="nil"/>
              <w:bottom w:val="single" w:sz="8" w:space="0" w:color="auto"/>
              <w:right w:val="single" w:sz="8" w:space="0" w:color="auto"/>
            </w:tcBorders>
            <w:shd w:val="clear" w:color="auto" w:fill="auto"/>
            <w:vAlign w:val="center"/>
            <w:hideMark/>
          </w:tcPr>
          <w:p w14:paraId="39BD1C5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w:t>
            </w:r>
          </w:p>
        </w:tc>
      </w:tr>
      <w:tr w:rsidR="00E85672" w:rsidRPr="00B96CF5" w14:paraId="5F86B1C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77177EC"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Jūrmala</w:t>
            </w:r>
          </w:p>
        </w:tc>
        <w:tc>
          <w:tcPr>
            <w:tcW w:w="1168" w:type="dxa"/>
            <w:tcBorders>
              <w:top w:val="nil"/>
              <w:left w:val="nil"/>
              <w:bottom w:val="single" w:sz="8" w:space="0" w:color="auto"/>
              <w:right w:val="single" w:sz="8" w:space="0" w:color="auto"/>
            </w:tcBorders>
            <w:shd w:val="clear" w:color="auto" w:fill="auto"/>
            <w:vAlign w:val="center"/>
            <w:hideMark/>
          </w:tcPr>
          <w:p w14:paraId="77125FC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9859</w:t>
            </w:r>
          </w:p>
        </w:tc>
        <w:tc>
          <w:tcPr>
            <w:tcW w:w="1121" w:type="dxa"/>
            <w:tcBorders>
              <w:top w:val="nil"/>
              <w:left w:val="nil"/>
              <w:bottom w:val="single" w:sz="8" w:space="0" w:color="auto"/>
              <w:right w:val="single" w:sz="8" w:space="0" w:color="auto"/>
            </w:tcBorders>
            <w:shd w:val="clear" w:color="auto" w:fill="auto"/>
            <w:vAlign w:val="center"/>
            <w:hideMark/>
          </w:tcPr>
          <w:p w14:paraId="16F0C38A"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8069</w:t>
            </w:r>
          </w:p>
        </w:tc>
        <w:tc>
          <w:tcPr>
            <w:tcW w:w="1109" w:type="dxa"/>
            <w:tcBorders>
              <w:top w:val="nil"/>
              <w:left w:val="nil"/>
              <w:bottom w:val="single" w:sz="8" w:space="0" w:color="auto"/>
              <w:right w:val="single" w:sz="8" w:space="0" w:color="auto"/>
            </w:tcBorders>
            <w:shd w:val="clear" w:color="auto" w:fill="auto"/>
            <w:vAlign w:val="center"/>
            <w:hideMark/>
          </w:tcPr>
          <w:p w14:paraId="2D8A36D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714</w:t>
            </w:r>
          </w:p>
        </w:tc>
        <w:tc>
          <w:tcPr>
            <w:tcW w:w="1109" w:type="dxa"/>
            <w:tcBorders>
              <w:top w:val="nil"/>
              <w:left w:val="nil"/>
              <w:bottom w:val="single" w:sz="8" w:space="0" w:color="auto"/>
              <w:right w:val="single" w:sz="8" w:space="0" w:color="auto"/>
            </w:tcBorders>
            <w:shd w:val="clear" w:color="auto" w:fill="auto"/>
            <w:vAlign w:val="center"/>
            <w:hideMark/>
          </w:tcPr>
          <w:p w14:paraId="2A658D7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1047</w:t>
            </w:r>
          </w:p>
        </w:tc>
        <w:tc>
          <w:tcPr>
            <w:tcW w:w="1506" w:type="dxa"/>
            <w:tcBorders>
              <w:top w:val="nil"/>
              <w:left w:val="nil"/>
              <w:bottom w:val="single" w:sz="8" w:space="0" w:color="auto"/>
              <w:right w:val="single" w:sz="8" w:space="0" w:color="auto"/>
            </w:tcBorders>
            <w:shd w:val="clear" w:color="auto" w:fill="auto"/>
            <w:vAlign w:val="center"/>
            <w:hideMark/>
          </w:tcPr>
          <w:p w14:paraId="14F03DF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29</w:t>
            </w:r>
          </w:p>
        </w:tc>
      </w:tr>
      <w:tr w:rsidR="00E85672" w:rsidRPr="00B96CF5" w14:paraId="31E31E9F"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D5F1933"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Liepāja</w:t>
            </w:r>
          </w:p>
        </w:tc>
        <w:tc>
          <w:tcPr>
            <w:tcW w:w="1168" w:type="dxa"/>
            <w:tcBorders>
              <w:top w:val="nil"/>
              <w:left w:val="nil"/>
              <w:bottom w:val="single" w:sz="8" w:space="0" w:color="auto"/>
              <w:right w:val="single" w:sz="8" w:space="0" w:color="auto"/>
            </w:tcBorders>
            <w:shd w:val="clear" w:color="auto" w:fill="auto"/>
            <w:vAlign w:val="center"/>
            <w:hideMark/>
          </w:tcPr>
          <w:p w14:paraId="5456A7A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5268</w:t>
            </w:r>
          </w:p>
        </w:tc>
        <w:tc>
          <w:tcPr>
            <w:tcW w:w="1121" w:type="dxa"/>
            <w:tcBorders>
              <w:top w:val="nil"/>
              <w:left w:val="nil"/>
              <w:bottom w:val="single" w:sz="8" w:space="0" w:color="auto"/>
              <w:right w:val="single" w:sz="8" w:space="0" w:color="auto"/>
            </w:tcBorders>
            <w:shd w:val="clear" w:color="auto" w:fill="auto"/>
            <w:vAlign w:val="center"/>
            <w:hideMark/>
          </w:tcPr>
          <w:p w14:paraId="1B6B4BC7"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2788</w:t>
            </w:r>
          </w:p>
        </w:tc>
        <w:tc>
          <w:tcPr>
            <w:tcW w:w="1109" w:type="dxa"/>
            <w:tcBorders>
              <w:top w:val="nil"/>
              <w:left w:val="nil"/>
              <w:bottom w:val="single" w:sz="8" w:space="0" w:color="auto"/>
              <w:right w:val="single" w:sz="8" w:space="0" w:color="auto"/>
            </w:tcBorders>
            <w:shd w:val="clear" w:color="auto" w:fill="auto"/>
            <w:vAlign w:val="center"/>
            <w:hideMark/>
          </w:tcPr>
          <w:p w14:paraId="7E46C00B"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399</w:t>
            </w:r>
          </w:p>
        </w:tc>
        <w:tc>
          <w:tcPr>
            <w:tcW w:w="1109" w:type="dxa"/>
            <w:tcBorders>
              <w:top w:val="nil"/>
              <w:left w:val="nil"/>
              <w:bottom w:val="single" w:sz="8" w:space="0" w:color="auto"/>
              <w:right w:val="single" w:sz="8" w:space="0" w:color="auto"/>
            </w:tcBorders>
            <w:shd w:val="clear" w:color="auto" w:fill="auto"/>
            <w:vAlign w:val="center"/>
            <w:hideMark/>
          </w:tcPr>
          <w:p w14:paraId="7B42736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2070</w:t>
            </w:r>
          </w:p>
        </w:tc>
        <w:tc>
          <w:tcPr>
            <w:tcW w:w="1506" w:type="dxa"/>
            <w:tcBorders>
              <w:top w:val="nil"/>
              <w:left w:val="nil"/>
              <w:bottom w:val="single" w:sz="8" w:space="0" w:color="auto"/>
              <w:right w:val="single" w:sz="8" w:space="0" w:color="auto"/>
            </w:tcBorders>
            <w:shd w:val="clear" w:color="auto" w:fill="auto"/>
            <w:vAlign w:val="center"/>
            <w:hideMark/>
          </w:tcPr>
          <w:p w14:paraId="3F516D8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w:t>
            </w:r>
          </w:p>
        </w:tc>
      </w:tr>
      <w:tr w:rsidR="00E85672" w:rsidRPr="00B96CF5" w14:paraId="40D38157"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711A800B"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Rēzekne</w:t>
            </w:r>
          </w:p>
        </w:tc>
        <w:tc>
          <w:tcPr>
            <w:tcW w:w="1168" w:type="dxa"/>
            <w:tcBorders>
              <w:top w:val="nil"/>
              <w:left w:val="nil"/>
              <w:bottom w:val="single" w:sz="8" w:space="0" w:color="auto"/>
              <w:right w:val="single" w:sz="8" w:space="0" w:color="auto"/>
            </w:tcBorders>
            <w:shd w:val="clear" w:color="auto" w:fill="auto"/>
            <w:vAlign w:val="center"/>
            <w:hideMark/>
          </w:tcPr>
          <w:p w14:paraId="20AF0E60"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3050</w:t>
            </w:r>
          </w:p>
        </w:tc>
        <w:tc>
          <w:tcPr>
            <w:tcW w:w="1121" w:type="dxa"/>
            <w:tcBorders>
              <w:top w:val="nil"/>
              <w:left w:val="nil"/>
              <w:bottom w:val="single" w:sz="8" w:space="0" w:color="auto"/>
              <w:right w:val="single" w:sz="8" w:space="0" w:color="auto"/>
            </w:tcBorders>
            <w:shd w:val="clear" w:color="auto" w:fill="auto"/>
            <w:vAlign w:val="center"/>
            <w:hideMark/>
          </w:tcPr>
          <w:p w14:paraId="76C72D6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2119</w:t>
            </w:r>
          </w:p>
        </w:tc>
        <w:tc>
          <w:tcPr>
            <w:tcW w:w="1109" w:type="dxa"/>
            <w:tcBorders>
              <w:top w:val="nil"/>
              <w:left w:val="nil"/>
              <w:bottom w:val="single" w:sz="8" w:space="0" w:color="auto"/>
              <w:right w:val="single" w:sz="8" w:space="0" w:color="auto"/>
            </w:tcBorders>
            <w:shd w:val="clear" w:color="auto" w:fill="auto"/>
            <w:vAlign w:val="center"/>
            <w:hideMark/>
          </w:tcPr>
          <w:p w14:paraId="5225888E"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432</w:t>
            </w:r>
          </w:p>
        </w:tc>
        <w:tc>
          <w:tcPr>
            <w:tcW w:w="1109" w:type="dxa"/>
            <w:tcBorders>
              <w:top w:val="nil"/>
              <w:left w:val="nil"/>
              <w:bottom w:val="single" w:sz="8" w:space="0" w:color="auto"/>
              <w:right w:val="single" w:sz="8" w:space="0" w:color="auto"/>
            </w:tcBorders>
            <w:shd w:val="clear" w:color="auto" w:fill="auto"/>
            <w:vAlign w:val="center"/>
            <w:hideMark/>
          </w:tcPr>
          <w:p w14:paraId="04F49C0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491</w:t>
            </w:r>
          </w:p>
        </w:tc>
        <w:tc>
          <w:tcPr>
            <w:tcW w:w="1506" w:type="dxa"/>
            <w:tcBorders>
              <w:top w:val="nil"/>
              <w:left w:val="nil"/>
              <w:bottom w:val="single" w:sz="8" w:space="0" w:color="auto"/>
              <w:right w:val="single" w:sz="8" w:space="0" w:color="auto"/>
            </w:tcBorders>
            <w:shd w:val="clear" w:color="auto" w:fill="auto"/>
            <w:vAlign w:val="center"/>
            <w:hideMark/>
          </w:tcPr>
          <w:p w14:paraId="3711CC3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w:t>
            </w:r>
          </w:p>
        </w:tc>
      </w:tr>
      <w:tr w:rsidR="00E85672" w:rsidRPr="00B96CF5" w14:paraId="467B3CCD"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0D15C505"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lastRenderedPageBreak/>
              <w:t>Valmiera</w:t>
            </w:r>
          </w:p>
        </w:tc>
        <w:tc>
          <w:tcPr>
            <w:tcW w:w="1168" w:type="dxa"/>
            <w:tcBorders>
              <w:top w:val="nil"/>
              <w:left w:val="nil"/>
              <w:bottom w:val="single" w:sz="8" w:space="0" w:color="auto"/>
              <w:right w:val="single" w:sz="8" w:space="0" w:color="auto"/>
            </w:tcBorders>
            <w:shd w:val="clear" w:color="auto" w:fill="auto"/>
            <w:vAlign w:val="center"/>
            <w:hideMark/>
          </w:tcPr>
          <w:p w14:paraId="1733FF33"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2683</w:t>
            </w:r>
          </w:p>
        </w:tc>
        <w:tc>
          <w:tcPr>
            <w:tcW w:w="1121" w:type="dxa"/>
            <w:tcBorders>
              <w:top w:val="nil"/>
              <w:left w:val="nil"/>
              <w:bottom w:val="single" w:sz="8" w:space="0" w:color="auto"/>
              <w:right w:val="single" w:sz="8" w:space="0" w:color="auto"/>
            </w:tcBorders>
            <w:shd w:val="clear" w:color="auto" w:fill="auto"/>
            <w:vAlign w:val="center"/>
            <w:hideMark/>
          </w:tcPr>
          <w:p w14:paraId="40D20BB6"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2120</w:t>
            </w:r>
          </w:p>
        </w:tc>
        <w:tc>
          <w:tcPr>
            <w:tcW w:w="1109" w:type="dxa"/>
            <w:tcBorders>
              <w:top w:val="nil"/>
              <w:left w:val="nil"/>
              <w:bottom w:val="single" w:sz="8" w:space="0" w:color="auto"/>
              <w:right w:val="single" w:sz="8" w:space="0" w:color="auto"/>
            </w:tcBorders>
            <w:shd w:val="clear" w:color="auto" w:fill="auto"/>
            <w:vAlign w:val="center"/>
            <w:hideMark/>
          </w:tcPr>
          <w:p w14:paraId="55182A32"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114</w:t>
            </w:r>
          </w:p>
        </w:tc>
        <w:tc>
          <w:tcPr>
            <w:tcW w:w="1109" w:type="dxa"/>
            <w:tcBorders>
              <w:top w:val="nil"/>
              <w:left w:val="nil"/>
              <w:bottom w:val="single" w:sz="8" w:space="0" w:color="auto"/>
              <w:right w:val="single" w:sz="8" w:space="0" w:color="auto"/>
            </w:tcBorders>
            <w:shd w:val="clear" w:color="auto" w:fill="auto"/>
            <w:vAlign w:val="center"/>
            <w:hideMark/>
          </w:tcPr>
          <w:p w14:paraId="1B179B4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431</w:t>
            </w:r>
          </w:p>
        </w:tc>
        <w:tc>
          <w:tcPr>
            <w:tcW w:w="1506" w:type="dxa"/>
            <w:tcBorders>
              <w:top w:val="nil"/>
              <w:left w:val="nil"/>
              <w:bottom w:val="single" w:sz="8" w:space="0" w:color="auto"/>
              <w:right w:val="single" w:sz="8" w:space="0" w:color="auto"/>
            </w:tcBorders>
            <w:shd w:val="clear" w:color="auto" w:fill="auto"/>
            <w:vAlign w:val="center"/>
            <w:hideMark/>
          </w:tcPr>
          <w:p w14:paraId="73ACC7D5"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18</w:t>
            </w:r>
          </w:p>
        </w:tc>
      </w:tr>
      <w:tr w:rsidR="00E85672" w:rsidRPr="00B96CF5" w14:paraId="1EC6D57A" w14:textId="77777777" w:rsidTr="00E85672">
        <w:trPr>
          <w:trHeight w:val="315"/>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00D85939" w14:textId="77777777" w:rsidR="00E85672" w:rsidRPr="00B96CF5" w:rsidRDefault="00E85672" w:rsidP="00E85672">
            <w:pPr>
              <w:ind w:firstLine="0"/>
              <w:jc w:val="left"/>
              <w:rPr>
                <w:rFonts w:eastAsia="Times New Roman" w:cs="Times New Roman"/>
                <w:color w:val="000000"/>
                <w:sz w:val="20"/>
                <w:szCs w:val="20"/>
                <w:lang w:eastAsia="lv-LV"/>
              </w:rPr>
            </w:pPr>
            <w:r w:rsidRPr="00B96CF5">
              <w:rPr>
                <w:rFonts w:eastAsia="Times New Roman" w:cs="Times New Roman"/>
                <w:color w:val="000000"/>
                <w:sz w:val="20"/>
                <w:szCs w:val="20"/>
                <w:lang w:eastAsia="lv-LV"/>
              </w:rPr>
              <w:t>Ventspils</w:t>
            </w:r>
          </w:p>
        </w:tc>
        <w:tc>
          <w:tcPr>
            <w:tcW w:w="1168" w:type="dxa"/>
            <w:tcBorders>
              <w:top w:val="nil"/>
              <w:left w:val="nil"/>
              <w:bottom w:val="single" w:sz="8" w:space="0" w:color="auto"/>
              <w:right w:val="single" w:sz="8" w:space="0" w:color="auto"/>
            </w:tcBorders>
            <w:shd w:val="clear" w:color="auto" w:fill="auto"/>
            <w:vAlign w:val="center"/>
            <w:hideMark/>
          </w:tcPr>
          <w:p w14:paraId="06E37D8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4822</w:t>
            </w:r>
          </w:p>
        </w:tc>
        <w:tc>
          <w:tcPr>
            <w:tcW w:w="1121" w:type="dxa"/>
            <w:tcBorders>
              <w:top w:val="nil"/>
              <w:left w:val="nil"/>
              <w:bottom w:val="single" w:sz="8" w:space="0" w:color="auto"/>
              <w:right w:val="single" w:sz="8" w:space="0" w:color="auto"/>
            </w:tcBorders>
            <w:shd w:val="clear" w:color="auto" w:fill="auto"/>
            <w:vAlign w:val="center"/>
            <w:hideMark/>
          </w:tcPr>
          <w:p w14:paraId="6053891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3358</w:t>
            </w:r>
          </w:p>
        </w:tc>
        <w:tc>
          <w:tcPr>
            <w:tcW w:w="1109" w:type="dxa"/>
            <w:tcBorders>
              <w:top w:val="nil"/>
              <w:left w:val="nil"/>
              <w:bottom w:val="single" w:sz="8" w:space="0" w:color="auto"/>
              <w:right w:val="single" w:sz="8" w:space="0" w:color="auto"/>
            </w:tcBorders>
            <w:shd w:val="clear" w:color="auto" w:fill="auto"/>
            <w:vAlign w:val="center"/>
            <w:hideMark/>
          </w:tcPr>
          <w:p w14:paraId="7FC050DF"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631</w:t>
            </w:r>
          </w:p>
        </w:tc>
        <w:tc>
          <w:tcPr>
            <w:tcW w:w="1109" w:type="dxa"/>
            <w:tcBorders>
              <w:top w:val="nil"/>
              <w:left w:val="nil"/>
              <w:bottom w:val="single" w:sz="8" w:space="0" w:color="auto"/>
              <w:right w:val="single" w:sz="8" w:space="0" w:color="auto"/>
            </w:tcBorders>
            <w:shd w:val="clear" w:color="auto" w:fill="auto"/>
            <w:vAlign w:val="center"/>
            <w:hideMark/>
          </w:tcPr>
          <w:p w14:paraId="0FEB8508"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830</w:t>
            </w:r>
          </w:p>
        </w:tc>
        <w:tc>
          <w:tcPr>
            <w:tcW w:w="1506" w:type="dxa"/>
            <w:tcBorders>
              <w:top w:val="nil"/>
              <w:left w:val="nil"/>
              <w:bottom w:val="single" w:sz="8" w:space="0" w:color="auto"/>
              <w:right w:val="single" w:sz="8" w:space="0" w:color="auto"/>
            </w:tcBorders>
            <w:shd w:val="clear" w:color="auto" w:fill="auto"/>
            <w:vAlign w:val="center"/>
            <w:hideMark/>
          </w:tcPr>
          <w:p w14:paraId="595B4DDC" w14:textId="77777777" w:rsidR="00E85672" w:rsidRPr="00B96CF5" w:rsidRDefault="00E85672" w:rsidP="00E85672">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w:t>
            </w:r>
          </w:p>
        </w:tc>
      </w:tr>
    </w:tbl>
    <w:p w14:paraId="45EC507D" w14:textId="77777777" w:rsidR="00011E42" w:rsidRDefault="00011E42"/>
    <w:p w14:paraId="35F04143" w14:textId="77777777" w:rsidR="00F90A8D" w:rsidRDefault="00F90A8D" w:rsidP="00832142">
      <w:pPr>
        <w:ind w:firstLine="0"/>
      </w:pPr>
    </w:p>
    <w:p w14:paraId="4B67978B" w14:textId="77777777" w:rsidR="00911A10" w:rsidRDefault="00911A10" w:rsidP="00832142">
      <w:pPr>
        <w:ind w:firstLine="0"/>
      </w:pPr>
    </w:p>
    <w:p w14:paraId="602D921A" w14:textId="77777777" w:rsidR="00911A10" w:rsidRDefault="00911A10" w:rsidP="00832142">
      <w:pPr>
        <w:ind w:firstLine="0"/>
      </w:pPr>
    </w:p>
    <w:p w14:paraId="4F4ACAC8" w14:textId="77777777" w:rsidR="00911A10" w:rsidRDefault="00911A10" w:rsidP="00832142">
      <w:pPr>
        <w:ind w:firstLine="0"/>
      </w:pPr>
    </w:p>
    <w:p w14:paraId="5F0FC02C" w14:textId="3ED6A43D" w:rsidR="002E315E" w:rsidRPr="003D7998" w:rsidRDefault="00911A10" w:rsidP="00832142">
      <w:pPr>
        <w:ind w:firstLine="0"/>
        <w:rPr>
          <w:rFonts w:eastAsia="Calibri" w:cs="Times New Roman"/>
          <w:szCs w:val="24"/>
          <w:highlight w:val="yellow"/>
        </w:rPr>
      </w:pPr>
      <w:r>
        <w:t xml:space="preserve">5. </w:t>
      </w:r>
      <w:r w:rsidR="002E315E" w:rsidRPr="0023440A">
        <w:t xml:space="preserve">tabula. </w:t>
      </w:r>
      <w:r w:rsidR="00973D5C" w:rsidRPr="0023440A">
        <w:t>N</w:t>
      </w:r>
      <w:r w:rsidR="00034AF0" w:rsidRPr="0023440A">
        <w:t>edzīvojamo ēku  skaits republikas nozīmes  pils</w:t>
      </w:r>
      <w:r w:rsidR="00973D5C" w:rsidRPr="0023440A">
        <w:t>ē</w:t>
      </w:r>
      <w:r w:rsidR="00034AF0" w:rsidRPr="0023440A">
        <w:t>tās</w:t>
      </w:r>
      <w:r w:rsidR="003D7998">
        <w:rPr>
          <w:rFonts w:eastAsia="Calibri" w:cs="Times New Roman"/>
          <w:szCs w:val="24"/>
        </w:rPr>
        <w:t xml:space="preserve"> </w:t>
      </w:r>
      <w:r w:rsidR="00973D5C">
        <w:rPr>
          <w:rFonts w:eastAsia="Calibri" w:cs="Times New Roman"/>
          <w:szCs w:val="24"/>
        </w:rPr>
        <w:t>kopumā</w:t>
      </w:r>
      <w:r w:rsidR="00A16377">
        <w:rPr>
          <w:rFonts w:eastAsia="Calibri" w:cs="Times New Roman"/>
          <w:szCs w:val="24"/>
        </w:rPr>
        <w:t xml:space="preserve"> </w:t>
      </w:r>
    </w:p>
    <w:tbl>
      <w:tblPr>
        <w:tblpPr w:leftFromText="180" w:rightFromText="180" w:vertAnchor="page" w:horzAnchor="margin" w:tblpY="3331"/>
        <w:tblW w:w="8124" w:type="dxa"/>
        <w:tblLook w:val="04A0" w:firstRow="1" w:lastRow="0" w:firstColumn="1" w:lastColumn="0" w:noHBand="0" w:noVBand="1"/>
      </w:tblPr>
      <w:tblGrid>
        <w:gridCol w:w="716"/>
        <w:gridCol w:w="1127"/>
        <w:gridCol w:w="816"/>
        <w:gridCol w:w="961"/>
        <w:gridCol w:w="850"/>
        <w:gridCol w:w="816"/>
        <w:gridCol w:w="905"/>
        <w:gridCol w:w="961"/>
        <w:gridCol w:w="972"/>
      </w:tblGrid>
      <w:tr w:rsidR="003D7998" w:rsidRPr="00B96CF5" w14:paraId="684D2049" w14:textId="77777777" w:rsidTr="003D7998">
        <w:trPr>
          <w:trHeight w:val="268"/>
        </w:trPr>
        <w:tc>
          <w:tcPr>
            <w:tcW w:w="812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85B7965" w14:textId="77777777" w:rsidR="003D7998" w:rsidRPr="00B96CF5" w:rsidRDefault="003D7998" w:rsidP="003D7998">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Latvija</w:t>
            </w:r>
          </w:p>
        </w:tc>
      </w:tr>
      <w:tr w:rsidR="003D7998" w:rsidRPr="00B96CF5" w14:paraId="30AC944D" w14:textId="77777777" w:rsidTr="003D7998">
        <w:trPr>
          <w:trHeight w:val="268"/>
        </w:trPr>
        <w:tc>
          <w:tcPr>
            <w:tcW w:w="812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1DC6F73" w14:textId="77777777" w:rsidR="003D7998" w:rsidRPr="00B96CF5" w:rsidRDefault="003D7998" w:rsidP="003D7998">
            <w:pPr>
              <w:ind w:firstLine="0"/>
              <w:jc w:val="center"/>
              <w:rPr>
                <w:rFonts w:eastAsia="Times New Roman" w:cs="Times New Roman"/>
                <w:b/>
                <w:bCs/>
                <w:color w:val="000000"/>
                <w:sz w:val="20"/>
                <w:szCs w:val="20"/>
                <w:lang w:eastAsia="lv-LV"/>
              </w:rPr>
            </w:pPr>
            <w:r w:rsidRPr="00B96CF5">
              <w:rPr>
                <w:rFonts w:eastAsia="Times New Roman" w:cs="Times New Roman"/>
                <w:b/>
                <w:bCs/>
                <w:color w:val="000000"/>
                <w:sz w:val="20"/>
                <w:szCs w:val="20"/>
                <w:lang w:eastAsia="lv-LV"/>
              </w:rPr>
              <w:t>1006847</w:t>
            </w:r>
          </w:p>
        </w:tc>
      </w:tr>
      <w:tr w:rsidR="003D7998" w:rsidRPr="00B96CF5" w14:paraId="181F792D" w14:textId="77777777" w:rsidTr="003D7998">
        <w:trPr>
          <w:trHeight w:val="268"/>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67C21BD2"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Rīga</w:t>
            </w:r>
          </w:p>
        </w:tc>
        <w:tc>
          <w:tcPr>
            <w:tcW w:w="1127" w:type="dxa"/>
            <w:tcBorders>
              <w:top w:val="nil"/>
              <w:left w:val="nil"/>
              <w:bottom w:val="single" w:sz="8" w:space="0" w:color="auto"/>
              <w:right w:val="single" w:sz="8" w:space="0" w:color="auto"/>
            </w:tcBorders>
            <w:shd w:val="clear" w:color="auto" w:fill="auto"/>
            <w:vAlign w:val="center"/>
            <w:hideMark/>
          </w:tcPr>
          <w:p w14:paraId="1CB23CEE"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Daugavpils</w:t>
            </w:r>
          </w:p>
        </w:tc>
        <w:tc>
          <w:tcPr>
            <w:tcW w:w="816" w:type="dxa"/>
            <w:tcBorders>
              <w:top w:val="nil"/>
              <w:left w:val="nil"/>
              <w:bottom w:val="single" w:sz="8" w:space="0" w:color="auto"/>
              <w:right w:val="single" w:sz="8" w:space="0" w:color="auto"/>
            </w:tcBorders>
            <w:shd w:val="clear" w:color="auto" w:fill="auto"/>
            <w:vAlign w:val="center"/>
            <w:hideMark/>
          </w:tcPr>
          <w:p w14:paraId="7CD830AD"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Jelgava</w:t>
            </w:r>
          </w:p>
        </w:tc>
        <w:tc>
          <w:tcPr>
            <w:tcW w:w="961" w:type="dxa"/>
            <w:tcBorders>
              <w:top w:val="nil"/>
              <w:left w:val="nil"/>
              <w:bottom w:val="single" w:sz="8" w:space="0" w:color="auto"/>
              <w:right w:val="single" w:sz="8" w:space="0" w:color="auto"/>
            </w:tcBorders>
            <w:shd w:val="clear" w:color="auto" w:fill="auto"/>
            <w:vAlign w:val="center"/>
            <w:hideMark/>
          </w:tcPr>
          <w:p w14:paraId="0CD0623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Jēkabpils</w:t>
            </w:r>
          </w:p>
        </w:tc>
        <w:tc>
          <w:tcPr>
            <w:tcW w:w="850" w:type="dxa"/>
            <w:tcBorders>
              <w:top w:val="nil"/>
              <w:left w:val="nil"/>
              <w:bottom w:val="single" w:sz="8" w:space="0" w:color="auto"/>
              <w:right w:val="single" w:sz="8" w:space="0" w:color="auto"/>
            </w:tcBorders>
            <w:shd w:val="clear" w:color="auto" w:fill="auto"/>
            <w:vAlign w:val="center"/>
            <w:hideMark/>
          </w:tcPr>
          <w:p w14:paraId="3154E47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Jūrmala</w:t>
            </w:r>
          </w:p>
        </w:tc>
        <w:tc>
          <w:tcPr>
            <w:tcW w:w="816" w:type="dxa"/>
            <w:tcBorders>
              <w:top w:val="nil"/>
              <w:left w:val="nil"/>
              <w:bottom w:val="single" w:sz="8" w:space="0" w:color="auto"/>
              <w:right w:val="single" w:sz="8" w:space="0" w:color="auto"/>
            </w:tcBorders>
            <w:shd w:val="clear" w:color="auto" w:fill="auto"/>
            <w:vAlign w:val="center"/>
            <w:hideMark/>
          </w:tcPr>
          <w:p w14:paraId="20CDBF8A"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Liepāja</w:t>
            </w:r>
          </w:p>
        </w:tc>
        <w:tc>
          <w:tcPr>
            <w:tcW w:w="905" w:type="dxa"/>
            <w:tcBorders>
              <w:top w:val="nil"/>
              <w:left w:val="nil"/>
              <w:bottom w:val="single" w:sz="8" w:space="0" w:color="auto"/>
              <w:right w:val="single" w:sz="8" w:space="0" w:color="auto"/>
            </w:tcBorders>
            <w:shd w:val="clear" w:color="auto" w:fill="auto"/>
            <w:vAlign w:val="center"/>
            <w:hideMark/>
          </w:tcPr>
          <w:p w14:paraId="1039D2D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Rēzekne</w:t>
            </w:r>
          </w:p>
        </w:tc>
        <w:tc>
          <w:tcPr>
            <w:tcW w:w="961" w:type="dxa"/>
            <w:tcBorders>
              <w:top w:val="nil"/>
              <w:left w:val="nil"/>
              <w:bottom w:val="single" w:sz="8" w:space="0" w:color="auto"/>
              <w:right w:val="single" w:sz="8" w:space="0" w:color="auto"/>
            </w:tcBorders>
            <w:shd w:val="clear" w:color="auto" w:fill="auto"/>
            <w:vAlign w:val="center"/>
            <w:hideMark/>
          </w:tcPr>
          <w:p w14:paraId="155A8DC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Valmiera</w:t>
            </w:r>
          </w:p>
        </w:tc>
        <w:tc>
          <w:tcPr>
            <w:tcW w:w="972" w:type="dxa"/>
            <w:tcBorders>
              <w:top w:val="nil"/>
              <w:left w:val="nil"/>
              <w:bottom w:val="single" w:sz="8" w:space="0" w:color="auto"/>
              <w:right w:val="single" w:sz="8" w:space="0" w:color="auto"/>
            </w:tcBorders>
            <w:shd w:val="clear" w:color="auto" w:fill="auto"/>
            <w:vAlign w:val="center"/>
            <w:hideMark/>
          </w:tcPr>
          <w:p w14:paraId="4DFDAE95"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Ventspils</w:t>
            </w:r>
          </w:p>
        </w:tc>
      </w:tr>
      <w:tr w:rsidR="003D7998" w:rsidRPr="00B96CF5" w14:paraId="0BBBCC5C" w14:textId="77777777" w:rsidTr="003D7998">
        <w:trPr>
          <w:trHeight w:val="45"/>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0A786E2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74985</w:t>
            </w:r>
          </w:p>
        </w:tc>
        <w:tc>
          <w:tcPr>
            <w:tcW w:w="1127" w:type="dxa"/>
            <w:tcBorders>
              <w:top w:val="nil"/>
              <w:left w:val="nil"/>
              <w:bottom w:val="single" w:sz="8" w:space="0" w:color="auto"/>
              <w:right w:val="single" w:sz="8" w:space="0" w:color="auto"/>
            </w:tcBorders>
            <w:shd w:val="clear" w:color="auto" w:fill="auto"/>
            <w:vAlign w:val="center"/>
            <w:hideMark/>
          </w:tcPr>
          <w:p w14:paraId="492731A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36726</w:t>
            </w:r>
          </w:p>
        </w:tc>
        <w:tc>
          <w:tcPr>
            <w:tcW w:w="816" w:type="dxa"/>
            <w:tcBorders>
              <w:top w:val="nil"/>
              <w:left w:val="nil"/>
              <w:bottom w:val="single" w:sz="8" w:space="0" w:color="auto"/>
              <w:right w:val="single" w:sz="8" w:space="0" w:color="auto"/>
            </w:tcBorders>
            <w:shd w:val="clear" w:color="auto" w:fill="auto"/>
            <w:vAlign w:val="center"/>
            <w:hideMark/>
          </w:tcPr>
          <w:p w14:paraId="7FA898D3"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11099</w:t>
            </w:r>
          </w:p>
        </w:tc>
        <w:tc>
          <w:tcPr>
            <w:tcW w:w="961" w:type="dxa"/>
            <w:tcBorders>
              <w:top w:val="nil"/>
              <w:left w:val="nil"/>
              <w:bottom w:val="single" w:sz="8" w:space="0" w:color="auto"/>
              <w:right w:val="single" w:sz="8" w:space="0" w:color="auto"/>
            </w:tcBorders>
            <w:shd w:val="clear" w:color="auto" w:fill="auto"/>
            <w:vAlign w:val="center"/>
            <w:hideMark/>
          </w:tcPr>
          <w:p w14:paraId="01FBC999"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8583</w:t>
            </w:r>
          </w:p>
        </w:tc>
        <w:tc>
          <w:tcPr>
            <w:tcW w:w="850" w:type="dxa"/>
            <w:tcBorders>
              <w:top w:val="nil"/>
              <w:left w:val="nil"/>
              <w:bottom w:val="single" w:sz="8" w:space="0" w:color="auto"/>
              <w:right w:val="single" w:sz="8" w:space="0" w:color="auto"/>
            </w:tcBorders>
            <w:shd w:val="clear" w:color="auto" w:fill="auto"/>
            <w:vAlign w:val="center"/>
            <w:hideMark/>
          </w:tcPr>
          <w:p w14:paraId="33719846"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15534</w:t>
            </w:r>
          </w:p>
        </w:tc>
        <w:tc>
          <w:tcPr>
            <w:tcW w:w="816" w:type="dxa"/>
            <w:tcBorders>
              <w:top w:val="nil"/>
              <w:left w:val="nil"/>
              <w:bottom w:val="single" w:sz="8" w:space="0" w:color="auto"/>
              <w:right w:val="single" w:sz="8" w:space="0" w:color="auto"/>
            </w:tcBorders>
            <w:shd w:val="clear" w:color="auto" w:fill="auto"/>
            <w:vAlign w:val="center"/>
            <w:hideMark/>
          </w:tcPr>
          <w:p w14:paraId="27EB76E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12021</w:t>
            </w:r>
          </w:p>
        </w:tc>
        <w:tc>
          <w:tcPr>
            <w:tcW w:w="905" w:type="dxa"/>
            <w:tcBorders>
              <w:top w:val="nil"/>
              <w:left w:val="nil"/>
              <w:bottom w:val="single" w:sz="8" w:space="0" w:color="auto"/>
              <w:right w:val="single" w:sz="8" w:space="0" w:color="auto"/>
            </w:tcBorders>
            <w:shd w:val="clear" w:color="auto" w:fill="auto"/>
            <w:vAlign w:val="center"/>
            <w:hideMark/>
          </w:tcPr>
          <w:p w14:paraId="0F3DFCC7"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9768</w:t>
            </w:r>
          </w:p>
        </w:tc>
        <w:tc>
          <w:tcPr>
            <w:tcW w:w="961" w:type="dxa"/>
            <w:tcBorders>
              <w:top w:val="nil"/>
              <w:left w:val="nil"/>
              <w:bottom w:val="single" w:sz="8" w:space="0" w:color="auto"/>
              <w:right w:val="single" w:sz="8" w:space="0" w:color="auto"/>
            </w:tcBorders>
            <w:shd w:val="clear" w:color="auto" w:fill="auto"/>
            <w:vAlign w:val="center"/>
            <w:hideMark/>
          </w:tcPr>
          <w:p w14:paraId="581704E1"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4748</w:t>
            </w:r>
          </w:p>
        </w:tc>
        <w:tc>
          <w:tcPr>
            <w:tcW w:w="972" w:type="dxa"/>
            <w:tcBorders>
              <w:top w:val="nil"/>
              <w:left w:val="nil"/>
              <w:bottom w:val="single" w:sz="8" w:space="0" w:color="auto"/>
              <w:right w:val="single" w:sz="8" w:space="0" w:color="auto"/>
            </w:tcBorders>
            <w:shd w:val="clear" w:color="auto" w:fill="auto"/>
            <w:vAlign w:val="center"/>
            <w:hideMark/>
          </w:tcPr>
          <w:p w14:paraId="06231A7C" w14:textId="77777777" w:rsidR="003D7998" w:rsidRPr="00B96CF5" w:rsidRDefault="003D7998" w:rsidP="003D7998">
            <w:pPr>
              <w:ind w:firstLine="0"/>
              <w:jc w:val="center"/>
              <w:rPr>
                <w:rFonts w:eastAsia="Times New Roman" w:cs="Times New Roman"/>
                <w:color w:val="000000"/>
                <w:sz w:val="20"/>
                <w:szCs w:val="20"/>
                <w:lang w:eastAsia="lv-LV"/>
              </w:rPr>
            </w:pPr>
            <w:r w:rsidRPr="00B96CF5">
              <w:rPr>
                <w:rFonts w:eastAsia="Times New Roman" w:cs="Times New Roman"/>
                <w:color w:val="000000"/>
                <w:sz w:val="20"/>
                <w:szCs w:val="20"/>
                <w:lang w:eastAsia="lv-LV"/>
              </w:rPr>
              <w:t>13279</w:t>
            </w:r>
          </w:p>
        </w:tc>
      </w:tr>
    </w:tbl>
    <w:p w14:paraId="76AEE11D" w14:textId="09902033" w:rsidR="003D7998" w:rsidRDefault="003D7998" w:rsidP="003D7998"/>
    <w:p w14:paraId="792FE891" w14:textId="288A654C" w:rsidR="003D7998" w:rsidRDefault="003D7998" w:rsidP="003D7998">
      <w:r>
        <w:t>Nedzīvojamo ēku īpatsvars norāda uz to, ka tikai 18,5% no visām nedzīvojamām ēkām ir koncentrētas Latvijas lielajās pilsētās.</w:t>
      </w:r>
    </w:p>
    <w:p w14:paraId="2F0E58AE" w14:textId="77777777" w:rsidR="003D7998" w:rsidRDefault="003D7998" w:rsidP="00F90A8D">
      <w:pPr>
        <w:ind w:firstLine="0"/>
      </w:pPr>
    </w:p>
    <w:p w14:paraId="7B46497F" w14:textId="77777777" w:rsidR="003D7998" w:rsidRDefault="003D7998" w:rsidP="00F90A8D">
      <w:pPr>
        <w:ind w:firstLine="0"/>
      </w:pPr>
    </w:p>
    <w:p w14:paraId="7193ACE7" w14:textId="5D71203F" w:rsidR="00F90A8D" w:rsidRPr="00832142" w:rsidRDefault="00F90A8D" w:rsidP="00F90A8D">
      <w:pPr>
        <w:ind w:firstLine="0"/>
      </w:pPr>
      <w:r w:rsidRPr="00A15C92">
        <w:t>6. tabula</w:t>
      </w:r>
      <w:r>
        <w:t>.</w:t>
      </w:r>
      <w:r w:rsidR="003D7998">
        <w:t xml:space="preserve"> Daudzdzīvokļu ēku tips un nodošana ekspluatācijā pēc gadiem</w:t>
      </w:r>
    </w:p>
    <w:p w14:paraId="73597F31" w14:textId="77777777" w:rsidR="00F90A8D" w:rsidRDefault="00F90A8D" w:rsidP="00F90A8D">
      <w:pPr>
        <w:ind w:firstLine="0"/>
        <w:rPr>
          <w:rFonts w:eastAsia="Calibri" w:cs="Times New Roman"/>
          <w:szCs w:val="24"/>
        </w:rPr>
      </w:pPr>
    </w:p>
    <w:tbl>
      <w:tblPr>
        <w:tblpPr w:leftFromText="180" w:rightFromText="180" w:vertAnchor="page" w:horzAnchor="margin" w:tblpXSpec="center" w:tblpY="6331"/>
        <w:tblW w:w="9430" w:type="dxa"/>
        <w:tblLook w:val="04A0" w:firstRow="1" w:lastRow="0" w:firstColumn="1" w:lastColumn="0" w:noHBand="0" w:noVBand="1"/>
      </w:tblPr>
      <w:tblGrid>
        <w:gridCol w:w="1016"/>
        <w:gridCol w:w="2368"/>
        <w:gridCol w:w="816"/>
        <w:gridCol w:w="733"/>
        <w:gridCol w:w="733"/>
        <w:gridCol w:w="733"/>
        <w:gridCol w:w="733"/>
        <w:gridCol w:w="766"/>
        <w:gridCol w:w="816"/>
        <w:gridCol w:w="716"/>
      </w:tblGrid>
      <w:tr w:rsidR="003D7998" w:rsidRPr="00DB7647" w14:paraId="1D18DA1E" w14:textId="77777777" w:rsidTr="003D7998">
        <w:trPr>
          <w:trHeight w:val="395"/>
        </w:trPr>
        <w:tc>
          <w:tcPr>
            <w:tcW w:w="1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36323" w14:textId="77777777" w:rsidR="003D7998" w:rsidRPr="00DB7647" w:rsidRDefault="003D7998" w:rsidP="003D7998">
            <w:pPr>
              <w:ind w:firstLine="0"/>
              <w:jc w:val="center"/>
              <w:rPr>
                <w:rFonts w:eastAsia="Times New Roman" w:cs="Times New Roman"/>
                <w:color w:val="000000"/>
                <w:sz w:val="20"/>
                <w:szCs w:val="20"/>
                <w:lang w:eastAsia="lv-LV"/>
              </w:rPr>
            </w:pPr>
            <w:bookmarkStart w:id="8" w:name="_Hlk30673090"/>
            <w:bookmarkStart w:id="9" w:name="_Toc480527955"/>
            <w:bookmarkStart w:id="10" w:name="_Toc491870907"/>
            <w:r w:rsidRPr="00DB7647">
              <w:rPr>
                <w:rFonts w:eastAsia="Times New Roman" w:cs="Times New Roman"/>
                <w:color w:val="000000"/>
                <w:sz w:val="20"/>
                <w:szCs w:val="20"/>
                <w:lang w:eastAsia="lv-LV"/>
              </w:rPr>
              <w:t>Tipa kods</w:t>
            </w:r>
          </w:p>
        </w:tc>
        <w:tc>
          <w:tcPr>
            <w:tcW w:w="2368" w:type="dxa"/>
            <w:tcBorders>
              <w:top w:val="single" w:sz="8" w:space="0" w:color="auto"/>
              <w:left w:val="nil"/>
              <w:bottom w:val="single" w:sz="8" w:space="0" w:color="auto"/>
              <w:right w:val="single" w:sz="8" w:space="0" w:color="auto"/>
            </w:tcBorders>
            <w:shd w:val="clear" w:color="auto" w:fill="auto"/>
            <w:noWrap/>
            <w:vAlign w:val="bottom"/>
            <w:hideMark/>
          </w:tcPr>
          <w:p w14:paraId="6E9F076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Tipa apraksts</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65EB3A5A"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Līdz 1941.g.</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0C2A835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1941.-1960.</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55FE3324"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1961.-1979.</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13FCDA4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1980.-1992.</w:t>
            </w:r>
          </w:p>
        </w:tc>
        <w:tc>
          <w:tcPr>
            <w:tcW w:w="733" w:type="dxa"/>
            <w:tcBorders>
              <w:top w:val="single" w:sz="8" w:space="0" w:color="auto"/>
              <w:left w:val="nil"/>
              <w:bottom w:val="single" w:sz="8" w:space="0" w:color="auto"/>
              <w:right w:val="single" w:sz="8" w:space="0" w:color="auto"/>
            </w:tcBorders>
            <w:shd w:val="clear" w:color="auto" w:fill="auto"/>
            <w:vAlign w:val="center"/>
            <w:hideMark/>
          </w:tcPr>
          <w:p w14:paraId="664F76DD"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1993.-2002.</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118FF3A6"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2003.-2014g.</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5A82E857"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2015.- 2019.g.</w:t>
            </w:r>
          </w:p>
        </w:tc>
        <w:tc>
          <w:tcPr>
            <w:tcW w:w="716" w:type="dxa"/>
            <w:tcBorders>
              <w:top w:val="single" w:sz="8" w:space="0" w:color="auto"/>
              <w:left w:val="nil"/>
              <w:bottom w:val="single" w:sz="8" w:space="0" w:color="auto"/>
              <w:right w:val="single" w:sz="8" w:space="0" w:color="auto"/>
            </w:tcBorders>
            <w:shd w:val="clear" w:color="auto" w:fill="auto"/>
            <w:vAlign w:val="center"/>
            <w:hideMark/>
          </w:tcPr>
          <w:p w14:paraId="6B1844EB" w14:textId="77777777" w:rsidR="003D7998" w:rsidRPr="00DB7647" w:rsidRDefault="003D7998" w:rsidP="003D7998">
            <w:pPr>
              <w:ind w:firstLine="0"/>
              <w:jc w:val="center"/>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Kopā</w:t>
            </w:r>
          </w:p>
        </w:tc>
      </w:tr>
      <w:tr w:rsidR="003D7998" w:rsidRPr="00DB7647" w14:paraId="25CB07B0"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5D74765B"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11220101</w:t>
            </w:r>
          </w:p>
        </w:tc>
        <w:tc>
          <w:tcPr>
            <w:tcW w:w="2368" w:type="dxa"/>
            <w:tcBorders>
              <w:top w:val="nil"/>
              <w:left w:val="nil"/>
              <w:bottom w:val="single" w:sz="8" w:space="0" w:color="auto"/>
              <w:right w:val="single" w:sz="8" w:space="0" w:color="auto"/>
            </w:tcBorders>
            <w:shd w:val="clear" w:color="auto" w:fill="auto"/>
            <w:noWrap/>
            <w:vAlign w:val="center"/>
            <w:hideMark/>
          </w:tcPr>
          <w:p w14:paraId="57ED6982"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mājas ar koka ārsienām</w:t>
            </w:r>
          </w:p>
        </w:tc>
        <w:tc>
          <w:tcPr>
            <w:tcW w:w="816" w:type="dxa"/>
            <w:tcBorders>
              <w:top w:val="nil"/>
              <w:left w:val="nil"/>
              <w:bottom w:val="single" w:sz="8" w:space="0" w:color="auto"/>
              <w:right w:val="single" w:sz="8" w:space="0" w:color="auto"/>
            </w:tcBorders>
            <w:shd w:val="clear" w:color="auto" w:fill="auto"/>
            <w:noWrap/>
            <w:vAlign w:val="center"/>
            <w:hideMark/>
          </w:tcPr>
          <w:p w14:paraId="49F5820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8622</w:t>
            </w:r>
          </w:p>
        </w:tc>
        <w:tc>
          <w:tcPr>
            <w:tcW w:w="733" w:type="dxa"/>
            <w:tcBorders>
              <w:top w:val="nil"/>
              <w:left w:val="nil"/>
              <w:bottom w:val="single" w:sz="8" w:space="0" w:color="auto"/>
              <w:right w:val="single" w:sz="8" w:space="0" w:color="auto"/>
            </w:tcBorders>
            <w:shd w:val="clear" w:color="auto" w:fill="auto"/>
            <w:noWrap/>
            <w:vAlign w:val="center"/>
            <w:hideMark/>
          </w:tcPr>
          <w:p w14:paraId="6A8962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1472</w:t>
            </w:r>
          </w:p>
        </w:tc>
        <w:tc>
          <w:tcPr>
            <w:tcW w:w="733" w:type="dxa"/>
            <w:tcBorders>
              <w:top w:val="nil"/>
              <w:left w:val="nil"/>
              <w:bottom w:val="single" w:sz="8" w:space="0" w:color="auto"/>
              <w:right w:val="single" w:sz="8" w:space="0" w:color="auto"/>
            </w:tcBorders>
            <w:shd w:val="clear" w:color="auto" w:fill="auto"/>
            <w:noWrap/>
            <w:vAlign w:val="center"/>
            <w:hideMark/>
          </w:tcPr>
          <w:p w14:paraId="3386C9A2"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472</w:t>
            </w:r>
          </w:p>
        </w:tc>
        <w:tc>
          <w:tcPr>
            <w:tcW w:w="733" w:type="dxa"/>
            <w:tcBorders>
              <w:top w:val="nil"/>
              <w:left w:val="nil"/>
              <w:bottom w:val="single" w:sz="8" w:space="0" w:color="auto"/>
              <w:right w:val="single" w:sz="8" w:space="0" w:color="auto"/>
            </w:tcBorders>
            <w:shd w:val="clear" w:color="auto" w:fill="auto"/>
            <w:noWrap/>
            <w:vAlign w:val="center"/>
            <w:hideMark/>
          </w:tcPr>
          <w:p w14:paraId="54F21B6D"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77</w:t>
            </w:r>
          </w:p>
        </w:tc>
        <w:tc>
          <w:tcPr>
            <w:tcW w:w="733" w:type="dxa"/>
            <w:tcBorders>
              <w:top w:val="nil"/>
              <w:left w:val="nil"/>
              <w:bottom w:val="single" w:sz="8" w:space="0" w:color="auto"/>
              <w:right w:val="single" w:sz="8" w:space="0" w:color="auto"/>
            </w:tcBorders>
            <w:shd w:val="clear" w:color="auto" w:fill="auto"/>
            <w:noWrap/>
            <w:vAlign w:val="center"/>
            <w:hideMark/>
          </w:tcPr>
          <w:p w14:paraId="6712FAB0"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20</w:t>
            </w:r>
          </w:p>
        </w:tc>
        <w:tc>
          <w:tcPr>
            <w:tcW w:w="766" w:type="dxa"/>
            <w:tcBorders>
              <w:top w:val="nil"/>
              <w:left w:val="nil"/>
              <w:bottom w:val="single" w:sz="8" w:space="0" w:color="auto"/>
              <w:right w:val="single" w:sz="8" w:space="0" w:color="auto"/>
            </w:tcBorders>
            <w:shd w:val="clear" w:color="auto" w:fill="auto"/>
            <w:noWrap/>
            <w:vAlign w:val="center"/>
            <w:hideMark/>
          </w:tcPr>
          <w:p w14:paraId="5E2826D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34</w:t>
            </w:r>
          </w:p>
        </w:tc>
        <w:tc>
          <w:tcPr>
            <w:tcW w:w="816" w:type="dxa"/>
            <w:tcBorders>
              <w:top w:val="nil"/>
              <w:left w:val="nil"/>
              <w:bottom w:val="single" w:sz="8" w:space="0" w:color="auto"/>
              <w:right w:val="single" w:sz="8" w:space="0" w:color="auto"/>
            </w:tcBorders>
            <w:shd w:val="clear" w:color="auto" w:fill="auto"/>
            <w:vAlign w:val="center"/>
            <w:hideMark/>
          </w:tcPr>
          <w:p w14:paraId="4566544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w:t>
            </w:r>
          </w:p>
        </w:tc>
        <w:tc>
          <w:tcPr>
            <w:tcW w:w="716" w:type="dxa"/>
            <w:tcBorders>
              <w:top w:val="nil"/>
              <w:left w:val="nil"/>
              <w:bottom w:val="single" w:sz="8" w:space="0" w:color="auto"/>
              <w:right w:val="single" w:sz="8" w:space="0" w:color="auto"/>
            </w:tcBorders>
            <w:shd w:val="clear" w:color="auto" w:fill="auto"/>
            <w:noWrap/>
            <w:hideMark/>
          </w:tcPr>
          <w:p w14:paraId="01BC09A7"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10704</w:t>
            </w:r>
          </w:p>
        </w:tc>
      </w:tr>
      <w:tr w:rsidR="003D7998" w:rsidRPr="00DB7647" w14:paraId="0883DA6B"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78F2B15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11220102</w:t>
            </w:r>
          </w:p>
        </w:tc>
        <w:tc>
          <w:tcPr>
            <w:tcW w:w="2368" w:type="dxa"/>
            <w:tcBorders>
              <w:top w:val="nil"/>
              <w:left w:val="nil"/>
              <w:bottom w:val="single" w:sz="8" w:space="0" w:color="auto"/>
              <w:right w:val="single" w:sz="8" w:space="0" w:color="auto"/>
            </w:tcBorders>
            <w:shd w:val="clear" w:color="auto" w:fill="auto"/>
            <w:noWrap/>
            <w:vAlign w:val="center"/>
            <w:hideMark/>
          </w:tcPr>
          <w:p w14:paraId="118B7077"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1–2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2D664EE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5257</w:t>
            </w:r>
          </w:p>
        </w:tc>
        <w:tc>
          <w:tcPr>
            <w:tcW w:w="733" w:type="dxa"/>
            <w:tcBorders>
              <w:top w:val="nil"/>
              <w:left w:val="nil"/>
              <w:bottom w:val="single" w:sz="8" w:space="0" w:color="auto"/>
              <w:right w:val="single" w:sz="8" w:space="0" w:color="auto"/>
            </w:tcBorders>
            <w:shd w:val="clear" w:color="auto" w:fill="auto"/>
            <w:noWrap/>
            <w:vAlign w:val="center"/>
            <w:hideMark/>
          </w:tcPr>
          <w:p w14:paraId="48ED232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2833</w:t>
            </w:r>
          </w:p>
        </w:tc>
        <w:tc>
          <w:tcPr>
            <w:tcW w:w="733" w:type="dxa"/>
            <w:tcBorders>
              <w:top w:val="nil"/>
              <w:left w:val="nil"/>
              <w:bottom w:val="single" w:sz="8" w:space="0" w:color="auto"/>
              <w:right w:val="single" w:sz="8" w:space="0" w:color="auto"/>
            </w:tcBorders>
            <w:shd w:val="clear" w:color="auto" w:fill="auto"/>
            <w:noWrap/>
            <w:vAlign w:val="center"/>
            <w:hideMark/>
          </w:tcPr>
          <w:p w14:paraId="4C6A239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3057</w:t>
            </w:r>
          </w:p>
        </w:tc>
        <w:tc>
          <w:tcPr>
            <w:tcW w:w="733" w:type="dxa"/>
            <w:tcBorders>
              <w:top w:val="nil"/>
              <w:left w:val="nil"/>
              <w:bottom w:val="single" w:sz="8" w:space="0" w:color="auto"/>
              <w:right w:val="single" w:sz="8" w:space="0" w:color="auto"/>
            </w:tcBorders>
            <w:shd w:val="clear" w:color="auto" w:fill="auto"/>
            <w:noWrap/>
            <w:vAlign w:val="center"/>
            <w:hideMark/>
          </w:tcPr>
          <w:p w14:paraId="1EE57B28"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638</w:t>
            </w:r>
          </w:p>
        </w:tc>
        <w:tc>
          <w:tcPr>
            <w:tcW w:w="733" w:type="dxa"/>
            <w:tcBorders>
              <w:top w:val="nil"/>
              <w:left w:val="nil"/>
              <w:bottom w:val="single" w:sz="8" w:space="0" w:color="auto"/>
              <w:right w:val="single" w:sz="8" w:space="0" w:color="auto"/>
            </w:tcBorders>
            <w:shd w:val="clear" w:color="auto" w:fill="auto"/>
            <w:noWrap/>
            <w:vAlign w:val="center"/>
            <w:hideMark/>
          </w:tcPr>
          <w:p w14:paraId="64B272B0"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91</w:t>
            </w:r>
          </w:p>
        </w:tc>
        <w:tc>
          <w:tcPr>
            <w:tcW w:w="766" w:type="dxa"/>
            <w:tcBorders>
              <w:top w:val="nil"/>
              <w:left w:val="nil"/>
              <w:bottom w:val="single" w:sz="8" w:space="0" w:color="auto"/>
              <w:right w:val="single" w:sz="8" w:space="0" w:color="auto"/>
            </w:tcBorders>
            <w:shd w:val="clear" w:color="auto" w:fill="auto"/>
            <w:noWrap/>
            <w:vAlign w:val="center"/>
            <w:hideMark/>
          </w:tcPr>
          <w:p w14:paraId="2CE6BCE1"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226</w:t>
            </w:r>
          </w:p>
        </w:tc>
        <w:tc>
          <w:tcPr>
            <w:tcW w:w="816" w:type="dxa"/>
            <w:tcBorders>
              <w:top w:val="nil"/>
              <w:left w:val="nil"/>
              <w:bottom w:val="single" w:sz="8" w:space="0" w:color="auto"/>
              <w:right w:val="single" w:sz="8" w:space="0" w:color="auto"/>
            </w:tcBorders>
            <w:shd w:val="clear" w:color="auto" w:fill="auto"/>
            <w:vAlign w:val="center"/>
            <w:hideMark/>
          </w:tcPr>
          <w:p w14:paraId="2AE8CFA4"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w:t>
            </w:r>
          </w:p>
        </w:tc>
        <w:tc>
          <w:tcPr>
            <w:tcW w:w="716" w:type="dxa"/>
            <w:tcBorders>
              <w:top w:val="nil"/>
              <w:left w:val="nil"/>
              <w:bottom w:val="single" w:sz="8" w:space="0" w:color="auto"/>
              <w:right w:val="single" w:sz="8" w:space="0" w:color="auto"/>
            </w:tcBorders>
            <w:shd w:val="clear" w:color="auto" w:fill="auto"/>
            <w:noWrap/>
            <w:hideMark/>
          </w:tcPr>
          <w:p w14:paraId="4072A07E"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12128</w:t>
            </w:r>
          </w:p>
        </w:tc>
      </w:tr>
      <w:tr w:rsidR="003D7998" w:rsidRPr="00DB7647" w14:paraId="3B787B81"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455EE9C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11220103</w:t>
            </w:r>
          </w:p>
        </w:tc>
        <w:tc>
          <w:tcPr>
            <w:tcW w:w="2368" w:type="dxa"/>
            <w:tcBorders>
              <w:top w:val="nil"/>
              <w:left w:val="nil"/>
              <w:bottom w:val="single" w:sz="8" w:space="0" w:color="auto"/>
              <w:right w:val="single" w:sz="8" w:space="0" w:color="auto"/>
            </w:tcBorders>
            <w:shd w:val="clear" w:color="auto" w:fill="auto"/>
            <w:noWrap/>
            <w:vAlign w:val="center"/>
            <w:hideMark/>
          </w:tcPr>
          <w:p w14:paraId="653B45E4"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3–5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2DF52A6C"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2644</w:t>
            </w:r>
          </w:p>
        </w:tc>
        <w:tc>
          <w:tcPr>
            <w:tcW w:w="733" w:type="dxa"/>
            <w:tcBorders>
              <w:top w:val="nil"/>
              <w:left w:val="nil"/>
              <w:bottom w:val="single" w:sz="8" w:space="0" w:color="auto"/>
              <w:right w:val="single" w:sz="8" w:space="0" w:color="auto"/>
            </w:tcBorders>
            <w:shd w:val="clear" w:color="auto" w:fill="auto"/>
            <w:noWrap/>
            <w:vAlign w:val="center"/>
            <w:hideMark/>
          </w:tcPr>
          <w:p w14:paraId="31694EF9"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918</w:t>
            </w:r>
          </w:p>
        </w:tc>
        <w:tc>
          <w:tcPr>
            <w:tcW w:w="733" w:type="dxa"/>
            <w:tcBorders>
              <w:top w:val="nil"/>
              <w:left w:val="nil"/>
              <w:bottom w:val="single" w:sz="8" w:space="0" w:color="auto"/>
              <w:right w:val="single" w:sz="8" w:space="0" w:color="auto"/>
            </w:tcBorders>
            <w:shd w:val="clear" w:color="auto" w:fill="auto"/>
            <w:noWrap/>
            <w:vAlign w:val="center"/>
            <w:hideMark/>
          </w:tcPr>
          <w:p w14:paraId="300762D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5350</w:t>
            </w:r>
          </w:p>
        </w:tc>
        <w:tc>
          <w:tcPr>
            <w:tcW w:w="733" w:type="dxa"/>
            <w:tcBorders>
              <w:top w:val="nil"/>
              <w:left w:val="nil"/>
              <w:bottom w:val="single" w:sz="8" w:space="0" w:color="auto"/>
              <w:right w:val="single" w:sz="8" w:space="0" w:color="auto"/>
            </w:tcBorders>
            <w:shd w:val="clear" w:color="auto" w:fill="auto"/>
            <w:noWrap/>
            <w:vAlign w:val="center"/>
            <w:hideMark/>
          </w:tcPr>
          <w:p w14:paraId="2668081C"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3385</w:t>
            </w:r>
          </w:p>
        </w:tc>
        <w:tc>
          <w:tcPr>
            <w:tcW w:w="733" w:type="dxa"/>
            <w:tcBorders>
              <w:top w:val="nil"/>
              <w:left w:val="nil"/>
              <w:bottom w:val="single" w:sz="8" w:space="0" w:color="auto"/>
              <w:right w:val="single" w:sz="8" w:space="0" w:color="auto"/>
            </w:tcBorders>
            <w:shd w:val="clear" w:color="auto" w:fill="auto"/>
            <w:noWrap/>
            <w:vAlign w:val="center"/>
            <w:hideMark/>
          </w:tcPr>
          <w:p w14:paraId="000BD58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243</w:t>
            </w:r>
          </w:p>
        </w:tc>
        <w:tc>
          <w:tcPr>
            <w:tcW w:w="766" w:type="dxa"/>
            <w:tcBorders>
              <w:top w:val="nil"/>
              <w:left w:val="nil"/>
              <w:bottom w:val="single" w:sz="8" w:space="0" w:color="auto"/>
              <w:right w:val="single" w:sz="8" w:space="0" w:color="auto"/>
            </w:tcBorders>
            <w:shd w:val="clear" w:color="auto" w:fill="auto"/>
            <w:noWrap/>
            <w:vAlign w:val="center"/>
            <w:hideMark/>
          </w:tcPr>
          <w:p w14:paraId="610AFD6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597</w:t>
            </w:r>
          </w:p>
        </w:tc>
        <w:tc>
          <w:tcPr>
            <w:tcW w:w="816" w:type="dxa"/>
            <w:tcBorders>
              <w:top w:val="nil"/>
              <w:left w:val="nil"/>
              <w:bottom w:val="single" w:sz="8" w:space="0" w:color="auto"/>
              <w:right w:val="single" w:sz="8" w:space="0" w:color="auto"/>
            </w:tcBorders>
            <w:shd w:val="clear" w:color="auto" w:fill="auto"/>
            <w:vAlign w:val="center"/>
            <w:hideMark/>
          </w:tcPr>
          <w:p w14:paraId="7DA800B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63</w:t>
            </w:r>
          </w:p>
        </w:tc>
        <w:tc>
          <w:tcPr>
            <w:tcW w:w="716" w:type="dxa"/>
            <w:tcBorders>
              <w:top w:val="nil"/>
              <w:left w:val="nil"/>
              <w:bottom w:val="single" w:sz="8" w:space="0" w:color="auto"/>
              <w:right w:val="single" w:sz="8" w:space="0" w:color="auto"/>
            </w:tcBorders>
            <w:shd w:val="clear" w:color="auto" w:fill="auto"/>
            <w:noWrap/>
            <w:hideMark/>
          </w:tcPr>
          <w:p w14:paraId="3130E2C5"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13200</w:t>
            </w:r>
          </w:p>
        </w:tc>
      </w:tr>
      <w:tr w:rsidR="003D7998" w:rsidRPr="00DB7647" w14:paraId="7511F3E0" w14:textId="77777777" w:rsidTr="003D7998">
        <w:trPr>
          <w:trHeight w:val="236"/>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1826D8D6"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11220104</w:t>
            </w:r>
          </w:p>
        </w:tc>
        <w:tc>
          <w:tcPr>
            <w:tcW w:w="2368" w:type="dxa"/>
            <w:tcBorders>
              <w:top w:val="nil"/>
              <w:left w:val="nil"/>
              <w:bottom w:val="single" w:sz="8" w:space="0" w:color="auto"/>
              <w:right w:val="single" w:sz="8" w:space="0" w:color="auto"/>
            </w:tcBorders>
            <w:shd w:val="clear" w:color="auto" w:fill="auto"/>
            <w:noWrap/>
            <w:vAlign w:val="center"/>
            <w:hideMark/>
          </w:tcPr>
          <w:p w14:paraId="25593C78"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6–9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6B71A04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674</w:t>
            </w:r>
          </w:p>
        </w:tc>
        <w:tc>
          <w:tcPr>
            <w:tcW w:w="733" w:type="dxa"/>
            <w:tcBorders>
              <w:top w:val="nil"/>
              <w:left w:val="nil"/>
              <w:bottom w:val="single" w:sz="8" w:space="0" w:color="auto"/>
              <w:right w:val="single" w:sz="8" w:space="0" w:color="auto"/>
            </w:tcBorders>
            <w:shd w:val="clear" w:color="auto" w:fill="auto"/>
            <w:noWrap/>
            <w:vAlign w:val="center"/>
            <w:hideMark/>
          </w:tcPr>
          <w:p w14:paraId="011FD2F1"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32</w:t>
            </w:r>
          </w:p>
        </w:tc>
        <w:tc>
          <w:tcPr>
            <w:tcW w:w="733" w:type="dxa"/>
            <w:tcBorders>
              <w:top w:val="nil"/>
              <w:left w:val="nil"/>
              <w:bottom w:val="single" w:sz="8" w:space="0" w:color="auto"/>
              <w:right w:val="single" w:sz="8" w:space="0" w:color="auto"/>
            </w:tcBorders>
            <w:shd w:val="clear" w:color="auto" w:fill="auto"/>
            <w:noWrap/>
            <w:vAlign w:val="center"/>
            <w:hideMark/>
          </w:tcPr>
          <w:p w14:paraId="3CEC0BB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361</w:t>
            </w:r>
          </w:p>
        </w:tc>
        <w:tc>
          <w:tcPr>
            <w:tcW w:w="733" w:type="dxa"/>
            <w:tcBorders>
              <w:top w:val="nil"/>
              <w:left w:val="nil"/>
              <w:bottom w:val="single" w:sz="8" w:space="0" w:color="auto"/>
              <w:right w:val="single" w:sz="8" w:space="0" w:color="auto"/>
            </w:tcBorders>
            <w:shd w:val="clear" w:color="auto" w:fill="auto"/>
            <w:noWrap/>
            <w:vAlign w:val="center"/>
            <w:hideMark/>
          </w:tcPr>
          <w:p w14:paraId="468B4799"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657</w:t>
            </w:r>
          </w:p>
        </w:tc>
        <w:tc>
          <w:tcPr>
            <w:tcW w:w="733" w:type="dxa"/>
            <w:tcBorders>
              <w:top w:val="nil"/>
              <w:left w:val="nil"/>
              <w:bottom w:val="single" w:sz="8" w:space="0" w:color="auto"/>
              <w:right w:val="single" w:sz="8" w:space="0" w:color="auto"/>
            </w:tcBorders>
            <w:shd w:val="clear" w:color="auto" w:fill="auto"/>
            <w:noWrap/>
            <w:vAlign w:val="center"/>
            <w:hideMark/>
          </w:tcPr>
          <w:p w14:paraId="68469A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52</w:t>
            </w:r>
          </w:p>
        </w:tc>
        <w:tc>
          <w:tcPr>
            <w:tcW w:w="766" w:type="dxa"/>
            <w:tcBorders>
              <w:top w:val="nil"/>
              <w:left w:val="nil"/>
              <w:bottom w:val="single" w:sz="8" w:space="0" w:color="auto"/>
              <w:right w:val="single" w:sz="8" w:space="0" w:color="auto"/>
            </w:tcBorders>
            <w:shd w:val="clear" w:color="auto" w:fill="auto"/>
            <w:noWrap/>
            <w:vAlign w:val="center"/>
            <w:hideMark/>
          </w:tcPr>
          <w:p w14:paraId="77941D9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195</w:t>
            </w:r>
          </w:p>
        </w:tc>
        <w:tc>
          <w:tcPr>
            <w:tcW w:w="816" w:type="dxa"/>
            <w:tcBorders>
              <w:top w:val="nil"/>
              <w:left w:val="nil"/>
              <w:bottom w:val="single" w:sz="8" w:space="0" w:color="auto"/>
              <w:right w:val="single" w:sz="8" w:space="0" w:color="auto"/>
            </w:tcBorders>
            <w:shd w:val="clear" w:color="auto" w:fill="auto"/>
            <w:vAlign w:val="center"/>
            <w:hideMark/>
          </w:tcPr>
          <w:p w14:paraId="083FDA6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36</w:t>
            </w:r>
          </w:p>
        </w:tc>
        <w:tc>
          <w:tcPr>
            <w:tcW w:w="716" w:type="dxa"/>
            <w:tcBorders>
              <w:top w:val="nil"/>
              <w:left w:val="nil"/>
              <w:bottom w:val="single" w:sz="8" w:space="0" w:color="auto"/>
              <w:right w:val="single" w:sz="8" w:space="0" w:color="auto"/>
            </w:tcBorders>
            <w:shd w:val="clear" w:color="auto" w:fill="auto"/>
            <w:noWrap/>
            <w:hideMark/>
          </w:tcPr>
          <w:p w14:paraId="14AABC99"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2007</w:t>
            </w:r>
          </w:p>
        </w:tc>
      </w:tr>
      <w:tr w:rsidR="003D7998" w:rsidRPr="00DB7647" w14:paraId="28CB88B5" w14:textId="77777777" w:rsidTr="003D7998">
        <w:trPr>
          <w:trHeight w:val="40"/>
        </w:trPr>
        <w:tc>
          <w:tcPr>
            <w:tcW w:w="1016" w:type="dxa"/>
            <w:tcBorders>
              <w:top w:val="nil"/>
              <w:left w:val="single" w:sz="8" w:space="0" w:color="auto"/>
              <w:bottom w:val="single" w:sz="8" w:space="0" w:color="auto"/>
              <w:right w:val="single" w:sz="8" w:space="0" w:color="auto"/>
            </w:tcBorders>
            <w:shd w:val="clear" w:color="auto" w:fill="auto"/>
            <w:noWrap/>
            <w:vAlign w:val="bottom"/>
            <w:hideMark/>
          </w:tcPr>
          <w:p w14:paraId="4CC5BE5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11220105</w:t>
            </w:r>
          </w:p>
        </w:tc>
        <w:tc>
          <w:tcPr>
            <w:tcW w:w="2368" w:type="dxa"/>
            <w:tcBorders>
              <w:top w:val="nil"/>
              <w:left w:val="nil"/>
              <w:bottom w:val="single" w:sz="8" w:space="0" w:color="auto"/>
              <w:right w:val="single" w:sz="8" w:space="0" w:color="auto"/>
            </w:tcBorders>
            <w:shd w:val="clear" w:color="auto" w:fill="auto"/>
            <w:noWrap/>
            <w:vAlign w:val="center"/>
            <w:hideMark/>
          </w:tcPr>
          <w:p w14:paraId="592464C6" w14:textId="77777777" w:rsidR="003D7998" w:rsidRPr="00DB7647" w:rsidRDefault="003D7998" w:rsidP="003D7998">
            <w:pPr>
              <w:ind w:firstLine="0"/>
              <w:jc w:val="left"/>
              <w:rPr>
                <w:rFonts w:eastAsia="Times New Roman" w:cs="Times New Roman"/>
                <w:color w:val="000000"/>
                <w:sz w:val="20"/>
                <w:szCs w:val="20"/>
                <w:lang w:eastAsia="lv-LV"/>
              </w:rPr>
            </w:pPr>
            <w:r w:rsidRPr="00DB7647">
              <w:rPr>
                <w:rFonts w:eastAsia="Times New Roman" w:cs="Times New Roman"/>
                <w:color w:val="000000"/>
                <w:sz w:val="20"/>
                <w:szCs w:val="20"/>
                <w:lang w:eastAsia="lv-LV"/>
              </w:rPr>
              <w:t>Daudzdzīvokļu 10 un vairāk stāvu mājas</w:t>
            </w:r>
          </w:p>
        </w:tc>
        <w:tc>
          <w:tcPr>
            <w:tcW w:w="816" w:type="dxa"/>
            <w:tcBorders>
              <w:top w:val="nil"/>
              <w:left w:val="nil"/>
              <w:bottom w:val="single" w:sz="8" w:space="0" w:color="auto"/>
              <w:right w:val="single" w:sz="8" w:space="0" w:color="auto"/>
            </w:tcBorders>
            <w:shd w:val="clear" w:color="auto" w:fill="auto"/>
            <w:noWrap/>
            <w:vAlign w:val="center"/>
            <w:hideMark/>
          </w:tcPr>
          <w:p w14:paraId="643AF737"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0</w:t>
            </w:r>
          </w:p>
        </w:tc>
        <w:tc>
          <w:tcPr>
            <w:tcW w:w="733" w:type="dxa"/>
            <w:tcBorders>
              <w:top w:val="nil"/>
              <w:left w:val="nil"/>
              <w:bottom w:val="single" w:sz="8" w:space="0" w:color="auto"/>
              <w:right w:val="single" w:sz="8" w:space="0" w:color="auto"/>
            </w:tcBorders>
            <w:shd w:val="clear" w:color="auto" w:fill="auto"/>
            <w:noWrap/>
            <w:vAlign w:val="center"/>
            <w:hideMark/>
          </w:tcPr>
          <w:p w14:paraId="452AD96A"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0</w:t>
            </w:r>
          </w:p>
        </w:tc>
        <w:tc>
          <w:tcPr>
            <w:tcW w:w="733" w:type="dxa"/>
            <w:tcBorders>
              <w:top w:val="nil"/>
              <w:left w:val="nil"/>
              <w:bottom w:val="single" w:sz="8" w:space="0" w:color="auto"/>
              <w:right w:val="single" w:sz="8" w:space="0" w:color="auto"/>
            </w:tcBorders>
            <w:shd w:val="clear" w:color="auto" w:fill="auto"/>
            <w:noWrap/>
            <w:vAlign w:val="center"/>
            <w:hideMark/>
          </w:tcPr>
          <w:p w14:paraId="17E38895"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172</w:t>
            </w:r>
          </w:p>
        </w:tc>
        <w:tc>
          <w:tcPr>
            <w:tcW w:w="733" w:type="dxa"/>
            <w:tcBorders>
              <w:top w:val="nil"/>
              <w:left w:val="nil"/>
              <w:bottom w:val="single" w:sz="8" w:space="0" w:color="auto"/>
              <w:right w:val="single" w:sz="8" w:space="0" w:color="auto"/>
            </w:tcBorders>
            <w:shd w:val="clear" w:color="auto" w:fill="auto"/>
            <w:noWrap/>
            <w:vAlign w:val="center"/>
            <w:hideMark/>
          </w:tcPr>
          <w:p w14:paraId="0EFB8423"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264</w:t>
            </w:r>
          </w:p>
        </w:tc>
        <w:tc>
          <w:tcPr>
            <w:tcW w:w="733" w:type="dxa"/>
            <w:tcBorders>
              <w:top w:val="nil"/>
              <w:left w:val="nil"/>
              <w:bottom w:val="single" w:sz="8" w:space="0" w:color="auto"/>
              <w:right w:val="single" w:sz="8" w:space="0" w:color="auto"/>
            </w:tcBorders>
            <w:shd w:val="clear" w:color="auto" w:fill="auto"/>
            <w:noWrap/>
            <w:vAlign w:val="center"/>
            <w:hideMark/>
          </w:tcPr>
          <w:p w14:paraId="6208FB8B"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23</w:t>
            </w:r>
          </w:p>
        </w:tc>
        <w:tc>
          <w:tcPr>
            <w:tcW w:w="766" w:type="dxa"/>
            <w:tcBorders>
              <w:top w:val="nil"/>
              <w:left w:val="nil"/>
              <w:bottom w:val="single" w:sz="8" w:space="0" w:color="auto"/>
              <w:right w:val="single" w:sz="8" w:space="0" w:color="auto"/>
            </w:tcBorders>
            <w:shd w:val="clear" w:color="auto" w:fill="auto"/>
            <w:noWrap/>
            <w:vAlign w:val="center"/>
            <w:hideMark/>
          </w:tcPr>
          <w:p w14:paraId="0DA6F29E"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72</w:t>
            </w:r>
          </w:p>
        </w:tc>
        <w:tc>
          <w:tcPr>
            <w:tcW w:w="816" w:type="dxa"/>
            <w:tcBorders>
              <w:top w:val="nil"/>
              <w:left w:val="nil"/>
              <w:bottom w:val="single" w:sz="8" w:space="0" w:color="auto"/>
              <w:right w:val="single" w:sz="8" w:space="0" w:color="auto"/>
            </w:tcBorders>
            <w:shd w:val="clear" w:color="auto" w:fill="auto"/>
            <w:vAlign w:val="center"/>
            <w:hideMark/>
          </w:tcPr>
          <w:p w14:paraId="58B6592F" w14:textId="77777777" w:rsidR="003D7998" w:rsidRPr="00DB7647" w:rsidRDefault="003D7998" w:rsidP="003D7998">
            <w:pPr>
              <w:ind w:firstLine="0"/>
              <w:jc w:val="center"/>
              <w:rPr>
                <w:rFonts w:eastAsia="Times New Roman" w:cs="Times New Roman"/>
                <w:color w:val="000000"/>
                <w:sz w:val="20"/>
                <w:szCs w:val="20"/>
                <w:lang w:eastAsia="lv-LV"/>
              </w:rPr>
            </w:pPr>
            <w:r w:rsidRPr="00DB7647">
              <w:rPr>
                <w:rFonts w:eastAsia="Times New Roman" w:cs="Times New Roman"/>
                <w:color w:val="000000"/>
                <w:sz w:val="20"/>
                <w:szCs w:val="20"/>
                <w:lang w:eastAsia="lv-LV"/>
              </w:rPr>
              <w:t>9</w:t>
            </w:r>
          </w:p>
        </w:tc>
        <w:tc>
          <w:tcPr>
            <w:tcW w:w="716" w:type="dxa"/>
            <w:tcBorders>
              <w:top w:val="nil"/>
              <w:left w:val="nil"/>
              <w:bottom w:val="single" w:sz="8" w:space="0" w:color="auto"/>
              <w:right w:val="single" w:sz="8" w:space="0" w:color="auto"/>
            </w:tcBorders>
            <w:shd w:val="clear" w:color="auto" w:fill="auto"/>
            <w:noWrap/>
            <w:hideMark/>
          </w:tcPr>
          <w:p w14:paraId="66884C58" w14:textId="77777777" w:rsidR="003D7998" w:rsidRPr="00DB7647" w:rsidRDefault="003D7998" w:rsidP="003D7998">
            <w:pPr>
              <w:ind w:firstLine="0"/>
              <w:jc w:val="right"/>
              <w:rPr>
                <w:rFonts w:eastAsia="Times New Roman" w:cs="Times New Roman"/>
                <w:b/>
                <w:bCs/>
                <w:color w:val="000000"/>
                <w:sz w:val="20"/>
                <w:szCs w:val="20"/>
                <w:lang w:eastAsia="lv-LV"/>
              </w:rPr>
            </w:pPr>
            <w:r w:rsidRPr="00DB7647">
              <w:rPr>
                <w:rFonts w:eastAsia="Times New Roman" w:cs="Times New Roman"/>
                <w:b/>
                <w:bCs/>
                <w:color w:val="000000"/>
                <w:sz w:val="20"/>
                <w:szCs w:val="20"/>
                <w:lang w:eastAsia="lv-LV"/>
              </w:rPr>
              <w:t>540</w:t>
            </w:r>
          </w:p>
          <w:p w14:paraId="15E5B7DE" w14:textId="77777777" w:rsidR="003D7998" w:rsidRPr="00DB7647" w:rsidRDefault="003D7998" w:rsidP="003D7998">
            <w:pPr>
              <w:ind w:firstLine="0"/>
              <w:rPr>
                <w:rFonts w:eastAsia="Times New Roman" w:cs="Times New Roman"/>
                <w:b/>
                <w:bCs/>
                <w:color w:val="000000"/>
                <w:sz w:val="20"/>
                <w:szCs w:val="20"/>
                <w:lang w:eastAsia="lv-LV"/>
              </w:rPr>
            </w:pPr>
          </w:p>
        </w:tc>
      </w:tr>
    </w:tbl>
    <w:bookmarkEnd w:id="8"/>
    <w:p w14:paraId="264DA1F6" w14:textId="314DD3BE" w:rsidR="00FD55A7" w:rsidRDefault="00BE2AE9" w:rsidP="003D7998">
      <w:pPr>
        <w:rPr>
          <w:rFonts w:eastAsia="Calibri" w:cs="Times New Roman"/>
          <w:szCs w:val="24"/>
        </w:rPr>
      </w:pPr>
      <w:r>
        <w:rPr>
          <w:rFonts w:eastAsia="Calibri" w:cs="Times New Roman"/>
          <w:szCs w:val="24"/>
        </w:rPr>
        <w:t>6.</w:t>
      </w:r>
      <w:r w:rsidR="002F2A4E">
        <w:rPr>
          <w:rFonts w:eastAsia="Calibri" w:cs="Times New Roman"/>
          <w:szCs w:val="24"/>
        </w:rPr>
        <w:t> </w:t>
      </w:r>
      <w:r>
        <w:rPr>
          <w:rFonts w:eastAsia="Calibri" w:cs="Times New Roman"/>
          <w:szCs w:val="24"/>
        </w:rPr>
        <w:t>tabula uzskatāmi parāda, ka</w:t>
      </w:r>
      <w:r w:rsidR="00B92CFC">
        <w:rPr>
          <w:rFonts w:eastAsia="Calibri" w:cs="Times New Roman"/>
          <w:szCs w:val="24"/>
        </w:rPr>
        <w:t xml:space="preserve"> </w:t>
      </w:r>
      <w:r w:rsidR="002D733D">
        <w:rPr>
          <w:rFonts w:eastAsia="Calibri" w:cs="Times New Roman"/>
          <w:szCs w:val="24"/>
        </w:rPr>
        <w:t>ievērojams</w:t>
      </w:r>
      <w:r w:rsidR="00B92CFC">
        <w:rPr>
          <w:rFonts w:eastAsia="Calibri" w:cs="Times New Roman"/>
          <w:szCs w:val="24"/>
        </w:rPr>
        <w:t xml:space="preserve"> būvniecības periods</w:t>
      </w:r>
      <w:r w:rsidR="002D733D">
        <w:rPr>
          <w:rFonts w:eastAsia="Calibri" w:cs="Times New Roman"/>
          <w:szCs w:val="24"/>
        </w:rPr>
        <w:t xml:space="preserve"> apjoma ziņā</w:t>
      </w:r>
      <w:r w:rsidR="00B92CFC">
        <w:rPr>
          <w:rFonts w:eastAsia="Calibri" w:cs="Times New Roman"/>
          <w:szCs w:val="24"/>
        </w:rPr>
        <w:t xml:space="preserve"> daudzdzīvokļu ēkām bija pirmskara periods</w:t>
      </w:r>
      <w:r w:rsidR="002D733D">
        <w:rPr>
          <w:rFonts w:eastAsia="Calibri" w:cs="Times New Roman"/>
          <w:szCs w:val="24"/>
        </w:rPr>
        <w:t xml:space="preserve"> (līdz 1941. gadam)</w:t>
      </w:r>
      <w:r w:rsidR="00B92CFC">
        <w:rPr>
          <w:rFonts w:eastAsia="Calibri" w:cs="Times New Roman"/>
          <w:szCs w:val="24"/>
        </w:rPr>
        <w:t>, kad uzbūvētas 44,5 % no kopskaita, taču vēl lielāks īpatsvars ir padomju laik</w:t>
      </w:r>
      <w:r w:rsidR="002D733D">
        <w:rPr>
          <w:rFonts w:eastAsia="Calibri" w:cs="Times New Roman"/>
          <w:szCs w:val="24"/>
        </w:rPr>
        <w:t>ā būvētajām</w:t>
      </w:r>
      <w:r w:rsidR="00B92CFC">
        <w:rPr>
          <w:rFonts w:eastAsia="Calibri" w:cs="Times New Roman"/>
          <w:szCs w:val="24"/>
        </w:rPr>
        <w:t xml:space="preserve"> ēkām</w:t>
      </w:r>
      <w:r w:rsidR="002D733D">
        <w:rPr>
          <w:rFonts w:eastAsia="Calibri" w:cs="Times New Roman"/>
          <w:szCs w:val="24"/>
        </w:rPr>
        <w:t xml:space="preserve"> (līdz 1992. gadam)</w:t>
      </w:r>
      <w:r w:rsidR="00B92CFC">
        <w:rPr>
          <w:rFonts w:eastAsia="Calibri" w:cs="Times New Roman"/>
          <w:szCs w:val="24"/>
        </w:rPr>
        <w:t>, kas procentuāli sastāda 51%. Kā redzams, tad atjaunotās brīvvalsts laikā uzbūvēti tikai 4,4%</w:t>
      </w:r>
      <w:r w:rsidR="002435F8">
        <w:rPr>
          <w:rFonts w:eastAsia="Calibri" w:cs="Times New Roman"/>
          <w:szCs w:val="24"/>
        </w:rPr>
        <w:t xml:space="preserve">, kas ir ievērojams </w:t>
      </w:r>
      <w:r w:rsidR="002F2A4E">
        <w:rPr>
          <w:rFonts w:eastAsia="Calibri" w:cs="Times New Roman"/>
          <w:szCs w:val="24"/>
        </w:rPr>
        <w:t>kritum</w:t>
      </w:r>
      <w:r w:rsidR="002435F8">
        <w:rPr>
          <w:rFonts w:eastAsia="Calibri" w:cs="Times New Roman"/>
          <w:szCs w:val="24"/>
        </w:rPr>
        <w:t>s.</w:t>
      </w:r>
    </w:p>
    <w:p w14:paraId="767B1C60" w14:textId="77777777" w:rsidR="00FD55A7" w:rsidRDefault="00FD55A7" w:rsidP="00C41C40">
      <w:pPr>
        <w:ind w:firstLine="0"/>
        <w:rPr>
          <w:rFonts w:eastAsia="Calibri" w:cs="Times New Roman"/>
          <w:szCs w:val="24"/>
        </w:rPr>
      </w:pPr>
    </w:p>
    <w:p w14:paraId="3C38E931" w14:textId="18098D18" w:rsidR="0073177C" w:rsidRDefault="0073177C" w:rsidP="0073177C">
      <w:pPr>
        <w:ind w:firstLine="0"/>
        <w:contextualSpacing/>
        <w:rPr>
          <w:rFonts w:eastAsia="Calibri" w:cs="Times New Roman"/>
          <w:szCs w:val="24"/>
          <w:lang w:eastAsia="lv-LV"/>
        </w:rPr>
      </w:pPr>
      <w:r>
        <w:rPr>
          <w:rFonts w:eastAsia="Calibri" w:cs="Times New Roman"/>
          <w:b/>
          <w:bCs/>
          <w:noProof/>
          <w:szCs w:val="24"/>
          <w:lang w:eastAsia="lv-LV"/>
        </w:rPr>
        <w:drawing>
          <wp:anchor distT="0" distB="0" distL="114300" distR="114300" simplePos="0" relativeHeight="251665408" behindDoc="0" locked="0" layoutInCell="1" allowOverlap="1" wp14:anchorId="4189311A" wp14:editId="6443199E">
            <wp:simplePos x="0" y="0"/>
            <wp:positionH relativeFrom="column">
              <wp:posOffset>542925</wp:posOffset>
            </wp:positionH>
            <wp:positionV relativeFrom="paragraph">
              <wp:posOffset>561975</wp:posOffset>
            </wp:positionV>
            <wp:extent cx="4676775" cy="2762250"/>
            <wp:effectExtent l="0" t="0" r="952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5754B">
        <w:rPr>
          <w:rFonts w:eastAsia="Calibri" w:cs="Times New Roman"/>
          <w:szCs w:val="24"/>
          <w:lang w:eastAsia="lv-LV"/>
        </w:rPr>
        <w:t>Analizējot uzbūvētos mājokļu</w:t>
      </w:r>
      <w:r>
        <w:rPr>
          <w:rFonts w:eastAsia="Calibri" w:cs="Times New Roman"/>
          <w:szCs w:val="24"/>
          <w:lang w:eastAsia="lv-LV"/>
        </w:rPr>
        <w:t>s</w:t>
      </w:r>
      <w:r w:rsidRPr="0035754B">
        <w:rPr>
          <w:rFonts w:eastAsia="Calibri" w:cs="Times New Roman"/>
          <w:szCs w:val="24"/>
          <w:lang w:eastAsia="lv-LV"/>
        </w:rPr>
        <w:t xml:space="preserve"> pēc to ārsienu materiāla veida</w:t>
      </w:r>
      <w:r>
        <w:rPr>
          <w:rFonts w:eastAsia="Calibri" w:cs="Times New Roman"/>
          <w:szCs w:val="24"/>
          <w:lang w:eastAsia="lv-LV"/>
        </w:rPr>
        <w:t xml:space="preserve">, </w:t>
      </w:r>
      <w:r w:rsidRPr="0035754B">
        <w:rPr>
          <w:rFonts w:eastAsia="Calibri" w:cs="Times New Roman"/>
          <w:szCs w:val="24"/>
          <w:lang w:eastAsia="lv-LV"/>
        </w:rPr>
        <w:t xml:space="preserve">visvairāk ir ķieģeļu mūra ēkas (53,4%). Mājokļi, kuru ārsienu materiālam izmantots koks ir 27,8%. </w:t>
      </w:r>
    </w:p>
    <w:p w14:paraId="6E56D5BD" w14:textId="38AB1CCF" w:rsidR="0073177C" w:rsidRPr="00A15C92" w:rsidRDefault="0073177C" w:rsidP="0073177C">
      <w:pPr>
        <w:ind w:firstLine="0"/>
        <w:contextualSpacing/>
        <w:rPr>
          <w:rFonts w:eastAsia="Calibri" w:cs="Times New Roman"/>
          <w:szCs w:val="24"/>
          <w:lang w:eastAsia="lv-LV"/>
        </w:rPr>
      </w:pPr>
      <w:r>
        <w:rPr>
          <w:rFonts w:eastAsia="Calibri" w:cs="Times New Roman"/>
          <w:szCs w:val="24"/>
          <w:lang w:eastAsia="lv-LV"/>
        </w:rPr>
        <w:t>1</w:t>
      </w:r>
      <w:r w:rsidRPr="00A15C92">
        <w:rPr>
          <w:rFonts w:eastAsia="Calibri" w:cs="Times New Roman"/>
          <w:szCs w:val="24"/>
          <w:lang w:eastAsia="lv-LV"/>
        </w:rPr>
        <w:t>.attēls</w:t>
      </w:r>
    </w:p>
    <w:p w14:paraId="1452A4CE" w14:textId="77777777" w:rsidR="0073177C" w:rsidRPr="0035754B" w:rsidRDefault="0073177C" w:rsidP="0073177C">
      <w:pPr>
        <w:contextualSpacing/>
        <w:rPr>
          <w:rFonts w:eastAsia="Calibri" w:cs="Times New Roman"/>
          <w:szCs w:val="24"/>
          <w:lang w:eastAsia="lv-LV"/>
        </w:rPr>
      </w:pPr>
    </w:p>
    <w:p w14:paraId="1830C1AC" w14:textId="77777777" w:rsidR="002435F8" w:rsidRDefault="002435F8" w:rsidP="00C41C40">
      <w:pPr>
        <w:ind w:firstLine="0"/>
        <w:rPr>
          <w:szCs w:val="24"/>
          <w:u w:val="single"/>
        </w:rPr>
      </w:pPr>
    </w:p>
    <w:bookmarkEnd w:id="9"/>
    <w:bookmarkEnd w:id="10"/>
    <w:p w14:paraId="18A4EF21" w14:textId="77777777" w:rsidR="00C66D60" w:rsidRDefault="00C66D60" w:rsidP="00B1054A">
      <w:pPr>
        <w:ind w:firstLine="0"/>
      </w:pPr>
    </w:p>
    <w:p w14:paraId="321AFC65" w14:textId="77777777" w:rsidR="00FD55A7" w:rsidRDefault="00FD55A7" w:rsidP="00B1054A">
      <w:pPr>
        <w:ind w:firstLine="0"/>
      </w:pPr>
    </w:p>
    <w:p w14:paraId="615A4D50" w14:textId="77777777" w:rsidR="00FD55A7" w:rsidRDefault="00FD55A7" w:rsidP="00B1054A">
      <w:pPr>
        <w:ind w:firstLine="0"/>
      </w:pPr>
    </w:p>
    <w:p w14:paraId="317EF9AB" w14:textId="77777777" w:rsidR="00FD55A7" w:rsidRDefault="00FD55A7" w:rsidP="00B1054A">
      <w:pPr>
        <w:ind w:firstLine="0"/>
      </w:pPr>
    </w:p>
    <w:p w14:paraId="7B4AECCA" w14:textId="1F985844" w:rsidR="00B1054A" w:rsidRDefault="00B1054A" w:rsidP="00B1054A">
      <w:pPr>
        <w:ind w:firstLine="0"/>
      </w:pPr>
    </w:p>
    <w:p w14:paraId="233DA0AE" w14:textId="31D10B74" w:rsidR="002435F8" w:rsidRDefault="002435F8" w:rsidP="00B1054A">
      <w:pPr>
        <w:ind w:firstLine="0"/>
        <w:rPr>
          <w:szCs w:val="24"/>
          <w:u w:val="single"/>
        </w:rPr>
      </w:pPr>
    </w:p>
    <w:p w14:paraId="3BB12600" w14:textId="3C20C1BA" w:rsidR="002435F8" w:rsidRDefault="002435F8" w:rsidP="00B1054A">
      <w:pPr>
        <w:ind w:firstLine="0"/>
        <w:rPr>
          <w:szCs w:val="24"/>
          <w:u w:val="single"/>
        </w:rPr>
      </w:pPr>
    </w:p>
    <w:p w14:paraId="4FB4E34C" w14:textId="6980B592" w:rsidR="002435F8" w:rsidRDefault="002435F8" w:rsidP="00B1054A">
      <w:pPr>
        <w:ind w:firstLine="0"/>
        <w:rPr>
          <w:szCs w:val="24"/>
          <w:u w:val="single"/>
        </w:rPr>
      </w:pPr>
    </w:p>
    <w:p w14:paraId="09C28F83" w14:textId="08085688" w:rsidR="002435F8" w:rsidRDefault="002435F8" w:rsidP="00B1054A">
      <w:pPr>
        <w:ind w:firstLine="0"/>
        <w:rPr>
          <w:szCs w:val="24"/>
          <w:u w:val="single"/>
        </w:rPr>
      </w:pPr>
    </w:p>
    <w:p w14:paraId="42EC4CE3" w14:textId="7E4E841E" w:rsidR="002435F8" w:rsidRDefault="002435F8" w:rsidP="00B1054A">
      <w:pPr>
        <w:ind w:firstLine="0"/>
        <w:rPr>
          <w:szCs w:val="24"/>
          <w:u w:val="single"/>
        </w:rPr>
      </w:pPr>
    </w:p>
    <w:p w14:paraId="252F6311" w14:textId="25F859DF" w:rsidR="002435F8" w:rsidRDefault="002435F8" w:rsidP="00B1054A">
      <w:pPr>
        <w:ind w:firstLine="0"/>
        <w:rPr>
          <w:szCs w:val="24"/>
          <w:u w:val="single"/>
        </w:rPr>
      </w:pPr>
    </w:p>
    <w:p w14:paraId="439C798F" w14:textId="64F0299B" w:rsidR="002435F8" w:rsidRDefault="002435F8" w:rsidP="00B1054A">
      <w:pPr>
        <w:ind w:firstLine="0"/>
        <w:rPr>
          <w:szCs w:val="24"/>
          <w:u w:val="single"/>
        </w:rPr>
      </w:pPr>
    </w:p>
    <w:p w14:paraId="6C790429" w14:textId="79A18576" w:rsidR="002435F8" w:rsidRDefault="002435F8" w:rsidP="00B1054A">
      <w:pPr>
        <w:ind w:firstLine="0"/>
        <w:rPr>
          <w:szCs w:val="24"/>
          <w:u w:val="single"/>
        </w:rPr>
      </w:pPr>
    </w:p>
    <w:p w14:paraId="448A07B6" w14:textId="7E56B717" w:rsidR="002435F8" w:rsidRDefault="002435F8" w:rsidP="00B1054A">
      <w:pPr>
        <w:ind w:firstLine="0"/>
        <w:rPr>
          <w:szCs w:val="24"/>
          <w:u w:val="single"/>
        </w:rPr>
      </w:pPr>
    </w:p>
    <w:p w14:paraId="5FBAF5B9" w14:textId="77777777" w:rsidR="002435F8" w:rsidRDefault="002435F8" w:rsidP="00B1054A">
      <w:pPr>
        <w:ind w:firstLine="0"/>
      </w:pPr>
    </w:p>
    <w:p w14:paraId="63810D71" w14:textId="77777777" w:rsidR="002435F8" w:rsidRPr="002435F8" w:rsidRDefault="002435F8" w:rsidP="002435F8">
      <w:pPr>
        <w:ind w:firstLine="0"/>
      </w:pPr>
      <w:r w:rsidRPr="002435F8">
        <w:rPr>
          <w:u w:val="single"/>
        </w:rPr>
        <w:t>Apkures patēriņš ēkās</w:t>
      </w:r>
    </w:p>
    <w:p w14:paraId="68EDA208" w14:textId="77777777" w:rsidR="002435F8" w:rsidRPr="002435F8" w:rsidRDefault="002435F8" w:rsidP="002435F8">
      <w:pPr>
        <w:ind w:firstLine="0"/>
      </w:pPr>
    </w:p>
    <w:p w14:paraId="7F6E0204" w14:textId="77777777" w:rsidR="002435F8" w:rsidRPr="002435F8" w:rsidRDefault="002435F8" w:rsidP="002435F8">
      <w:pPr>
        <w:ind w:firstLine="0"/>
      </w:pPr>
      <w:r w:rsidRPr="002435F8">
        <w:t>Kopš 2014.gada, atbilstoši Ministru kabineta 2013.gada 9.jūlija noteikumu Nr.383 “Noteikumi par ēku energosertifikāciju” 16.punkta prasībām, Ekonomikas ministrija (no 2017.gada - Būvniecības valsts kontroles birojs) reizi gadā līdz 1.martam nodrošina statistiski noteiktu vidējo energoefektivitātes rādītāju apkures patēriņa noteikšanu (skat. 1. attēlā) un publicēšanu mājaslapā vismaz šādiem ēku veidiem:</w:t>
      </w:r>
    </w:p>
    <w:p w14:paraId="3A504FFC" w14:textId="77777777" w:rsidR="002435F8" w:rsidRPr="002435F8" w:rsidRDefault="002435F8" w:rsidP="002435F8">
      <w:pPr>
        <w:numPr>
          <w:ilvl w:val="0"/>
          <w:numId w:val="4"/>
        </w:numPr>
      </w:pPr>
      <w:r w:rsidRPr="002435F8">
        <w:t>daudzdzīvokļu ēkām;</w:t>
      </w:r>
    </w:p>
    <w:p w14:paraId="36194C31" w14:textId="77777777" w:rsidR="002435F8" w:rsidRPr="002435F8" w:rsidRDefault="002435F8" w:rsidP="002435F8">
      <w:pPr>
        <w:numPr>
          <w:ilvl w:val="0"/>
          <w:numId w:val="4"/>
        </w:numPr>
      </w:pPr>
      <w:r w:rsidRPr="002435F8">
        <w:t>biroju ēkām;</w:t>
      </w:r>
    </w:p>
    <w:p w14:paraId="164F071F" w14:textId="2D9114A0" w:rsidR="002435F8" w:rsidRDefault="002435F8" w:rsidP="002435F8">
      <w:pPr>
        <w:numPr>
          <w:ilvl w:val="0"/>
          <w:numId w:val="4"/>
        </w:numPr>
      </w:pPr>
      <w:r w:rsidRPr="002435F8">
        <w:t>izglītības iestāžu ēkām.</w:t>
      </w:r>
    </w:p>
    <w:p w14:paraId="2536C929" w14:textId="2271AA87" w:rsidR="002435F8" w:rsidRDefault="002435F8" w:rsidP="00B1054A">
      <w:pPr>
        <w:ind w:firstLine="0"/>
      </w:pPr>
    </w:p>
    <w:p w14:paraId="7DA7BB3B" w14:textId="1A3F13E7" w:rsidR="002435F8" w:rsidRDefault="0073177C" w:rsidP="00B1054A">
      <w:pPr>
        <w:ind w:firstLine="0"/>
      </w:pPr>
      <w:r>
        <w:t>2</w:t>
      </w:r>
      <w:r w:rsidR="002435F8">
        <w:t>. attēls</w:t>
      </w:r>
    </w:p>
    <w:p w14:paraId="23C026F6" w14:textId="7B0286EC" w:rsidR="002435F8" w:rsidRDefault="00277CD7" w:rsidP="002435F8">
      <w:pPr>
        <w:tabs>
          <w:tab w:val="left" w:pos="1860"/>
        </w:tabs>
        <w:ind w:firstLine="0"/>
      </w:pPr>
      <w:r>
        <w:rPr>
          <w:noProof/>
          <w:lang w:eastAsia="lv-LV"/>
        </w:rPr>
        <w:drawing>
          <wp:inline distT="0" distB="0" distL="0" distR="0" wp14:anchorId="5DB2F803" wp14:editId="66D057F5">
            <wp:extent cx="5274310" cy="30765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34B6CF" w14:textId="7E41D9E8" w:rsidR="00FD55A7" w:rsidRDefault="002435F8" w:rsidP="00516894">
      <w:pPr>
        <w:tabs>
          <w:tab w:val="left" w:pos="1860"/>
        </w:tabs>
      </w:pPr>
      <w:r>
        <w:t xml:space="preserve">No </w:t>
      </w:r>
      <w:r w:rsidR="0073177C">
        <w:t>2</w:t>
      </w:r>
      <w:r>
        <w:t xml:space="preserve">. attēla secināms, ka </w:t>
      </w:r>
      <w:bookmarkStart w:id="11" w:name="_Hlk34392347"/>
      <w:r>
        <w:t>attiecībā pret 2016. gadu vērojams samazinājums vidējam īpatnējam apkures patēriņam. Piemēram, daudzdzīvokļu ēkās samazinājums kopš 2016. gada ir 13,8 kWh/m</w:t>
      </w:r>
      <w:r>
        <w:rPr>
          <w:vertAlign w:val="superscript"/>
        </w:rPr>
        <w:t>2</w:t>
      </w:r>
      <w:bookmarkEnd w:id="11"/>
      <w:r>
        <w:t xml:space="preserve">. </w:t>
      </w:r>
      <w:r w:rsidR="00FD55A7" w:rsidRPr="00FD55A7">
        <w:t>Vidējie enerģijas patēriņi apkurei</w:t>
      </w:r>
      <w:r w:rsidR="00FD55A7" w:rsidRPr="00FD55A7">
        <w:rPr>
          <w:vertAlign w:val="superscript"/>
        </w:rPr>
        <w:footnoteReference w:id="3"/>
      </w:r>
      <w:r w:rsidR="00FD55A7" w:rsidRPr="00FD55A7">
        <w:t xml:space="preserve"> visu tipu ēkām ir 138-139 kWh/m</w:t>
      </w:r>
      <w:r w:rsidR="00FD55A7" w:rsidRPr="00FD55A7">
        <w:rPr>
          <w:vertAlign w:val="superscript"/>
        </w:rPr>
        <w:t>2</w:t>
      </w:r>
      <w:r w:rsidR="00FD55A7" w:rsidRPr="00FD55A7">
        <w:t xml:space="preserve"> gadā: dažāda tipa viendzīvokļa ēkām sastāda – 139 kWh/m</w:t>
      </w:r>
      <w:r w:rsidR="00FD55A7" w:rsidRPr="00FD55A7">
        <w:rPr>
          <w:vertAlign w:val="superscript"/>
        </w:rPr>
        <w:t>2</w:t>
      </w:r>
      <w:r w:rsidR="00FD55A7" w:rsidRPr="00FD55A7">
        <w:t xml:space="preserve"> gadā; daudzdzīvokļu ēkām – 137 kWh/m</w:t>
      </w:r>
      <w:r w:rsidR="00FD55A7" w:rsidRPr="00FD55A7">
        <w:rPr>
          <w:vertAlign w:val="superscript"/>
        </w:rPr>
        <w:t>2</w:t>
      </w:r>
      <w:r w:rsidR="00FD55A7" w:rsidRPr="00FD55A7">
        <w:t xml:space="preserve"> gadā; biroju ēkām – 145 kWh/m</w:t>
      </w:r>
      <w:r w:rsidR="00FD55A7" w:rsidRPr="00FD55A7">
        <w:rPr>
          <w:vertAlign w:val="superscript"/>
        </w:rPr>
        <w:t>2</w:t>
      </w:r>
      <w:r w:rsidR="00FD55A7" w:rsidRPr="00FD55A7">
        <w:t xml:space="preserve"> gadā; izglītības iestāžu ēkām – 147 kWh/m</w:t>
      </w:r>
      <w:r w:rsidR="00FD55A7" w:rsidRPr="00FD55A7">
        <w:rPr>
          <w:vertAlign w:val="superscript"/>
        </w:rPr>
        <w:t>2</w:t>
      </w:r>
      <w:r w:rsidR="00FD55A7" w:rsidRPr="00FD55A7">
        <w:t xml:space="preserve"> gadā; ārstniecības iestāžu ēkām 154 kWh/m</w:t>
      </w:r>
      <w:r w:rsidR="00FD55A7" w:rsidRPr="00FD55A7">
        <w:rPr>
          <w:vertAlign w:val="superscript"/>
        </w:rPr>
        <w:t>2</w:t>
      </w:r>
      <w:r w:rsidR="00FD55A7" w:rsidRPr="00FD55A7">
        <w:t xml:space="preserve"> gadā; viesnīcu un restorānu ēkām – 116 kWh/m</w:t>
      </w:r>
      <w:r w:rsidR="00FD55A7" w:rsidRPr="00FD55A7">
        <w:rPr>
          <w:vertAlign w:val="superscript"/>
        </w:rPr>
        <w:t>2</w:t>
      </w:r>
      <w:r w:rsidR="00FD55A7" w:rsidRPr="00FD55A7">
        <w:t xml:space="preserve"> gadā; sporta iestāžu ēkām – 132 kWh/m</w:t>
      </w:r>
      <w:r w:rsidR="00FD55A7" w:rsidRPr="00FD55A7">
        <w:rPr>
          <w:vertAlign w:val="superscript"/>
        </w:rPr>
        <w:t>2</w:t>
      </w:r>
      <w:r w:rsidR="00FD55A7" w:rsidRPr="00FD55A7">
        <w:t xml:space="preserve"> gadā; vairumtirdzniecības un mazumtirdzniecības ēkām – 102 kWh/m</w:t>
      </w:r>
      <w:r w:rsidR="00FD55A7" w:rsidRPr="00FD55A7">
        <w:rPr>
          <w:vertAlign w:val="superscript"/>
        </w:rPr>
        <w:t>2</w:t>
      </w:r>
      <w:r w:rsidR="00FD55A7" w:rsidRPr="00FD55A7">
        <w:t xml:space="preserve"> gadā, cita veida ēkām – 185 kWh/m</w:t>
      </w:r>
      <w:r w:rsidR="00FD55A7" w:rsidRPr="00FD55A7">
        <w:rPr>
          <w:vertAlign w:val="superscript"/>
        </w:rPr>
        <w:t>2</w:t>
      </w:r>
      <w:r w:rsidR="00FD55A7" w:rsidRPr="00FD55A7">
        <w:t xml:space="preserve"> gadā.</w:t>
      </w:r>
    </w:p>
    <w:p w14:paraId="50FBFBE1" w14:textId="1B73BD5F" w:rsidR="00420DB0" w:rsidRPr="00420DB0" w:rsidRDefault="00420DB0" w:rsidP="00516894">
      <w:pPr>
        <w:tabs>
          <w:tab w:val="left" w:pos="1860"/>
        </w:tabs>
      </w:pPr>
      <w:r w:rsidRPr="00420DB0">
        <w:t xml:space="preserve">Šie apkopotie dati tiek izmantoti ēkas energosertifikātos kā atsauces rādītāji, rezultātā ēkas īpašniekiem, energosertifikāta saņēmējiem ir iespējams novērtēt ne tikai ēkas novērtējumu, bet arī konkrētās ēkas atšķirības pret vidējo ēkas patēriņu valstī. </w:t>
      </w:r>
    </w:p>
    <w:p w14:paraId="4E22FA46" w14:textId="483DB6E4" w:rsidR="00FD55A7" w:rsidRDefault="00420DB0" w:rsidP="002435F8">
      <w:pPr>
        <w:tabs>
          <w:tab w:val="left" w:pos="1860"/>
        </w:tabs>
      </w:pPr>
      <w:r w:rsidRPr="00420DB0">
        <w:lastRenderedPageBreak/>
        <w:t>Kopš 2016.</w:t>
      </w:r>
      <w:r w:rsidR="00FD0625">
        <w:t xml:space="preserve"> </w:t>
      </w:r>
      <w:r w:rsidRPr="00420DB0">
        <w:t>gada Latvijā ieviesta Būvniecības informācijas sistēma (BIS)</w:t>
      </w:r>
      <w:r w:rsidRPr="00420DB0">
        <w:rPr>
          <w:vertAlign w:val="superscript"/>
        </w:rPr>
        <w:footnoteReference w:id="4"/>
      </w:r>
      <w:r w:rsidRPr="00420DB0">
        <w:t xml:space="preserve"> ar diviem jauniem reģistriem: ēku energosertifikātu reģistrs un neatkarīgu ekspertu reģistrs</w:t>
      </w:r>
      <w:r w:rsidR="00947744">
        <w:t xml:space="preserve">, kurā </w:t>
      </w:r>
      <w:r w:rsidRPr="00420DB0">
        <w:t xml:space="preserve">iespējams uzkrāt statistiskos datus par ēku energoefektivitātes novērtējumu. Rezultāti apkopoti </w:t>
      </w:r>
      <w:r w:rsidRPr="00A15C92">
        <w:t>7.tabul</w:t>
      </w:r>
      <w:r w:rsidR="00EE7ED2">
        <w:t>ā</w:t>
      </w:r>
      <w:r w:rsidR="006C492A">
        <w:t>, salīdzinot 2016. gada rādītājus pret jaunāko informāciju par 2019. gadu.</w:t>
      </w:r>
    </w:p>
    <w:p w14:paraId="2C1D90A8" w14:textId="77777777" w:rsidR="0073177C" w:rsidRPr="002435F8" w:rsidRDefault="0073177C" w:rsidP="002435F8">
      <w:pPr>
        <w:tabs>
          <w:tab w:val="left" w:pos="1860"/>
        </w:tabs>
      </w:pPr>
    </w:p>
    <w:p w14:paraId="50F23C10" w14:textId="46F207D3" w:rsidR="00BF26C6" w:rsidRPr="00233125" w:rsidRDefault="00BF26C6" w:rsidP="0023440A">
      <w:pPr>
        <w:keepNext/>
        <w:ind w:firstLine="0"/>
        <w:rPr>
          <w:rFonts w:eastAsia="Calibri" w:cs="Times New Roman"/>
          <w:szCs w:val="24"/>
        </w:rPr>
      </w:pPr>
      <w:r w:rsidRPr="00A15C92">
        <w:rPr>
          <w:rFonts w:eastAsia="Calibri" w:cs="Times New Roman"/>
          <w:szCs w:val="24"/>
        </w:rPr>
        <w:t>7</w:t>
      </w:r>
      <w:bookmarkStart w:id="12" w:name="_Hlk24644548"/>
      <w:r w:rsidRPr="00A15C92">
        <w:rPr>
          <w:rFonts w:eastAsia="Calibri" w:cs="Times New Roman"/>
          <w:szCs w:val="24"/>
        </w:rPr>
        <w:t>.tabula.</w:t>
      </w:r>
      <w:r w:rsidRPr="00233125">
        <w:rPr>
          <w:rFonts w:eastAsia="Calibri" w:cs="Times New Roman"/>
          <w:szCs w:val="24"/>
        </w:rPr>
        <w:t xml:space="preserve"> Būvniecības informācijas sistēmā reģistrēto jauno energosertifikātu skaits</w:t>
      </w:r>
    </w:p>
    <w:p w14:paraId="4604A45E" w14:textId="77777777" w:rsidR="00BF26C6" w:rsidRPr="00233125" w:rsidRDefault="00BF26C6" w:rsidP="00BF26C6">
      <w:pPr>
        <w:keepNext/>
        <w:ind w:firstLine="720"/>
        <w:jc w:val="center"/>
        <w:rPr>
          <w:rFonts w:eastAsia="Calibri" w:cs="Times New Roman"/>
          <w:szCs w:val="24"/>
        </w:rPr>
      </w:pPr>
    </w:p>
    <w:tbl>
      <w:tblPr>
        <w:tblW w:w="744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05"/>
        <w:gridCol w:w="1205"/>
        <w:gridCol w:w="1605"/>
        <w:gridCol w:w="1205"/>
      </w:tblGrid>
      <w:tr w:rsidR="00EE7ED2" w:rsidRPr="00233125" w14:paraId="5BAE7547" w14:textId="75718883" w:rsidTr="00EE7ED2">
        <w:trPr>
          <w:trHeight w:val="114"/>
        </w:trPr>
        <w:tc>
          <w:tcPr>
            <w:tcW w:w="1827" w:type="dxa"/>
            <w:shd w:val="clear" w:color="auto" w:fill="auto"/>
            <w:noWrap/>
            <w:vAlign w:val="center"/>
            <w:hideMark/>
          </w:tcPr>
          <w:bookmarkEnd w:id="12"/>
          <w:p w14:paraId="5B6458E4" w14:textId="5DA2D2CD" w:rsidR="00EE7ED2" w:rsidRPr="006C492A" w:rsidRDefault="006C492A" w:rsidP="006C492A">
            <w:pPr>
              <w:keepNext/>
              <w:ind w:firstLine="0"/>
              <w:rPr>
                <w:rFonts w:eastAsia="Times New Roman" w:cs="Times New Roman"/>
                <w:b/>
                <w:bCs/>
                <w:sz w:val="20"/>
                <w:szCs w:val="20"/>
                <w:lang w:eastAsia="lv-LV"/>
              </w:rPr>
            </w:pPr>
            <w:r w:rsidRPr="006C492A">
              <w:rPr>
                <w:rFonts w:eastAsia="Times New Roman" w:cs="Times New Roman"/>
                <w:b/>
                <w:bCs/>
                <w:sz w:val="20"/>
                <w:szCs w:val="20"/>
                <w:lang w:eastAsia="lv-LV"/>
              </w:rPr>
              <w:t>Gads</w:t>
            </w:r>
          </w:p>
        </w:tc>
        <w:tc>
          <w:tcPr>
            <w:tcW w:w="1605" w:type="dxa"/>
            <w:shd w:val="clear" w:color="auto" w:fill="auto"/>
            <w:vAlign w:val="center"/>
            <w:hideMark/>
          </w:tcPr>
          <w:p w14:paraId="33B30775" w14:textId="77777777" w:rsidR="00EE7ED2" w:rsidRPr="00233125" w:rsidRDefault="00EE7ED2" w:rsidP="00BF26C6">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2016</w:t>
            </w:r>
          </w:p>
        </w:tc>
        <w:tc>
          <w:tcPr>
            <w:tcW w:w="1205" w:type="dxa"/>
            <w:shd w:val="clear" w:color="auto" w:fill="auto"/>
            <w:vAlign w:val="center"/>
            <w:hideMark/>
          </w:tcPr>
          <w:p w14:paraId="7631EB2B" w14:textId="77777777" w:rsidR="00EE7ED2" w:rsidRPr="00233125" w:rsidRDefault="00EE7ED2" w:rsidP="00BF26C6">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2016</w:t>
            </w:r>
          </w:p>
        </w:tc>
        <w:tc>
          <w:tcPr>
            <w:tcW w:w="1605" w:type="dxa"/>
            <w:shd w:val="clear" w:color="auto" w:fill="auto"/>
            <w:vAlign w:val="center"/>
            <w:hideMark/>
          </w:tcPr>
          <w:p w14:paraId="4DEFE036" w14:textId="731FF4FC" w:rsidR="00EE7ED2" w:rsidRPr="00233125" w:rsidRDefault="00EE7ED2" w:rsidP="00167C7D">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w:t>
            </w:r>
            <w:r>
              <w:rPr>
                <w:rFonts w:eastAsia="Times New Roman" w:cs="Times New Roman"/>
                <w:b/>
                <w:bCs/>
                <w:sz w:val="20"/>
                <w:szCs w:val="20"/>
                <w:lang w:eastAsia="lv-LV"/>
              </w:rPr>
              <w:t>9</w:t>
            </w:r>
          </w:p>
        </w:tc>
        <w:tc>
          <w:tcPr>
            <w:tcW w:w="1205" w:type="dxa"/>
            <w:shd w:val="clear" w:color="auto" w:fill="auto"/>
            <w:vAlign w:val="center"/>
            <w:hideMark/>
          </w:tcPr>
          <w:p w14:paraId="7AA65F99" w14:textId="0874545E" w:rsidR="00EE7ED2" w:rsidRPr="00233125" w:rsidRDefault="00EE7ED2" w:rsidP="00167C7D">
            <w:pPr>
              <w:keepNext/>
              <w:ind w:firstLine="0"/>
              <w:jc w:val="center"/>
              <w:rPr>
                <w:rFonts w:eastAsia="Times New Roman" w:cs="Times New Roman"/>
                <w:b/>
                <w:bCs/>
                <w:sz w:val="20"/>
                <w:szCs w:val="20"/>
                <w:lang w:eastAsia="lv-LV"/>
              </w:rPr>
            </w:pPr>
            <w:r w:rsidRPr="00233125">
              <w:rPr>
                <w:rFonts w:eastAsia="Times New Roman" w:cs="Times New Roman"/>
                <w:b/>
                <w:bCs/>
                <w:sz w:val="20"/>
                <w:szCs w:val="20"/>
                <w:lang w:eastAsia="lv-LV"/>
              </w:rPr>
              <w:t>201</w:t>
            </w:r>
            <w:r>
              <w:rPr>
                <w:rFonts w:eastAsia="Times New Roman" w:cs="Times New Roman"/>
                <w:b/>
                <w:bCs/>
                <w:sz w:val="20"/>
                <w:szCs w:val="20"/>
                <w:lang w:eastAsia="lv-LV"/>
              </w:rPr>
              <w:t>9</w:t>
            </w:r>
          </w:p>
        </w:tc>
      </w:tr>
      <w:tr w:rsidR="00EE7ED2" w:rsidRPr="00233125" w14:paraId="412FA80C" w14:textId="4E99D55B" w:rsidTr="00EE7ED2">
        <w:trPr>
          <w:trHeight w:val="672"/>
        </w:trPr>
        <w:tc>
          <w:tcPr>
            <w:tcW w:w="1827" w:type="dxa"/>
            <w:shd w:val="clear" w:color="auto" w:fill="auto"/>
            <w:noWrap/>
            <w:vAlign w:val="center"/>
            <w:hideMark/>
          </w:tcPr>
          <w:p w14:paraId="4ED61902" w14:textId="156B3EDB" w:rsidR="00EE7ED2" w:rsidRPr="00233125" w:rsidRDefault="006C492A" w:rsidP="006C492A">
            <w:pPr>
              <w:ind w:firstLine="0"/>
              <w:rPr>
                <w:rFonts w:eastAsia="Times New Roman" w:cs="Times New Roman"/>
                <w:b/>
                <w:bCs/>
                <w:sz w:val="20"/>
                <w:szCs w:val="20"/>
                <w:lang w:eastAsia="lv-LV"/>
              </w:rPr>
            </w:pPr>
            <w:r>
              <w:rPr>
                <w:rFonts w:eastAsia="Times New Roman" w:cs="Times New Roman"/>
                <w:b/>
                <w:bCs/>
                <w:sz w:val="20"/>
                <w:szCs w:val="20"/>
                <w:lang w:eastAsia="lv-LV"/>
              </w:rPr>
              <w:t>Ēku tips</w:t>
            </w:r>
          </w:p>
        </w:tc>
        <w:tc>
          <w:tcPr>
            <w:tcW w:w="1605" w:type="dxa"/>
            <w:shd w:val="clear" w:color="auto" w:fill="auto"/>
            <w:vAlign w:val="center"/>
            <w:hideMark/>
          </w:tcPr>
          <w:p w14:paraId="068A3101"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Energosertifikātu skaits</w:t>
            </w:r>
          </w:p>
        </w:tc>
        <w:tc>
          <w:tcPr>
            <w:tcW w:w="1205" w:type="dxa"/>
            <w:shd w:val="clear" w:color="auto" w:fill="auto"/>
            <w:vAlign w:val="center"/>
            <w:hideMark/>
          </w:tcPr>
          <w:p w14:paraId="7E86AD94"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Vidējais patēriņa novērtējums apkurei (kWh/m² gadā)</w:t>
            </w:r>
          </w:p>
        </w:tc>
        <w:tc>
          <w:tcPr>
            <w:tcW w:w="1605" w:type="dxa"/>
            <w:shd w:val="clear" w:color="auto" w:fill="auto"/>
            <w:vAlign w:val="center"/>
            <w:hideMark/>
          </w:tcPr>
          <w:p w14:paraId="0FBE0C24"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Energosertifikātu skaits</w:t>
            </w:r>
          </w:p>
        </w:tc>
        <w:tc>
          <w:tcPr>
            <w:tcW w:w="1205" w:type="dxa"/>
            <w:shd w:val="clear" w:color="auto" w:fill="auto"/>
            <w:vAlign w:val="center"/>
            <w:hideMark/>
          </w:tcPr>
          <w:p w14:paraId="08E480D9" w14:textId="77777777" w:rsidR="00EE7ED2" w:rsidRPr="00233125" w:rsidRDefault="00EE7ED2" w:rsidP="00BF26C6">
            <w:pPr>
              <w:ind w:firstLine="0"/>
              <w:jc w:val="center"/>
              <w:rPr>
                <w:rFonts w:eastAsia="Times New Roman" w:cs="Times New Roman"/>
                <w:bCs/>
                <w:sz w:val="20"/>
                <w:szCs w:val="20"/>
                <w:lang w:eastAsia="lv-LV"/>
              </w:rPr>
            </w:pPr>
            <w:r w:rsidRPr="00233125">
              <w:rPr>
                <w:rFonts w:eastAsia="Times New Roman" w:cs="Times New Roman"/>
                <w:bCs/>
                <w:sz w:val="20"/>
                <w:szCs w:val="20"/>
                <w:lang w:eastAsia="lv-LV"/>
              </w:rPr>
              <w:t>Vidējais patēriņa novērtējums apkurei (kWh/m² gadā)</w:t>
            </w:r>
          </w:p>
        </w:tc>
      </w:tr>
      <w:tr w:rsidR="00EE7ED2" w:rsidRPr="00233125" w14:paraId="2FB05672" w14:textId="170BA90C" w:rsidTr="00EE7ED2">
        <w:trPr>
          <w:trHeight w:val="114"/>
        </w:trPr>
        <w:tc>
          <w:tcPr>
            <w:tcW w:w="1827" w:type="dxa"/>
            <w:shd w:val="clear" w:color="auto" w:fill="auto"/>
            <w:hideMark/>
          </w:tcPr>
          <w:p w14:paraId="5C4EBC6F"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visi ēku tipi</w:t>
            </w:r>
          </w:p>
        </w:tc>
        <w:tc>
          <w:tcPr>
            <w:tcW w:w="1605" w:type="dxa"/>
            <w:shd w:val="clear" w:color="auto" w:fill="auto"/>
            <w:noWrap/>
            <w:vAlign w:val="center"/>
            <w:hideMark/>
          </w:tcPr>
          <w:p w14:paraId="539FD3A0"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676</w:t>
            </w:r>
          </w:p>
        </w:tc>
        <w:tc>
          <w:tcPr>
            <w:tcW w:w="1205" w:type="dxa"/>
            <w:shd w:val="clear" w:color="auto" w:fill="auto"/>
            <w:noWrap/>
            <w:vAlign w:val="center"/>
            <w:hideMark/>
          </w:tcPr>
          <w:p w14:paraId="35869125"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157</w:t>
            </w:r>
          </w:p>
        </w:tc>
        <w:tc>
          <w:tcPr>
            <w:tcW w:w="1605" w:type="dxa"/>
            <w:shd w:val="clear" w:color="auto" w:fill="auto"/>
            <w:noWrap/>
            <w:vAlign w:val="center"/>
            <w:hideMark/>
          </w:tcPr>
          <w:p w14:paraId="067B0120" w14:textId="275DB146"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835</w:t>
            </w:r>
          </w:p>
        </w:tc>
        <w:tc>
          <w:tcPr>
            <w:tcW w:w="1205" w:type="dxa"/>
            <w:shd w:val="clear" w:color="auto" w:fill="auto"/>
            <w:noWrap/>
            <w:vAlign w:val="center"/>
            <w:hideMark/>
          </w:tcPr>
          <w:p w14:paraId="37E6E37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140</w:t>
            </w:r>
          </w:p>
        </w:tc>
      </w:tr>
      <w:tr w:rsidR="00EE7ED2" w:rsidRPr="00233125" w14:paraId="20CC7401" w14:textId="634E5F5C" w:rsidTr="00EE7ED2">
        <w:trPr>
          <w:trHeight w:val="114"/>
        </w:trPr>
        <w:tc>
          <w:tcPr>
            <w:tcW w:w="1827" w:type="dxa"/>
            <w:shd w:val="clear" w:color="auto" w:fill="auto"/>
            <w:hideMark/>
          </w:tcPr>
          <w:p w14:paraId="1AF11893"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dažāda tipa viendzīvokļa ēka vai divdzīvokļu ēka</w:t>
            </w:r>
          </w:p>
        </w:tc>
        <w:tc>
          <w:tcPr>
            <w:tcW w:w="1605" w:type="dxa"/>
            <w:shd w:val="clear" w:color="auto" w:fill="auto"/>
            <w:noWrap/>
            <w:vAlign w:val="center"/>
            <w:hideMark/>
          </w:tcPr>
          <w:p w14:paraId="2E488BFB"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3</w:t>
            </w:r>
          </w:p>
        </w:tc>
        <w:tc>
          <w:tcPr>
            <w:tcW w:w="1205" w:type="dxa"/>
            <w:shd w:val="clear" w:color="auto" w:fill="auto"/>
            <w:noWrap/>
            <w:vAlign w:val="center"/>
            <w:hideMark/>
          </w:tcPr>
          <w:p w14:paraId="302EE816"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128A6DE9" w14:textId="04DF6A1D"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13</w:t>
            </w:r>
          </w:p>
        </w:tc>
        <w:tc>
          <w:tcPr>
            <w:tcW w:w="1205" w:type="dxa"/>
            <w:shd w:val="clear" w:color="auto" w:fill="auto"/>
            <w:noWrap/>
            <w:vAlign w:val="center"/>
            <w:hideMark/>
          </w:tcPr>
          <w:p w14:paraId="63A735EB" w14:textId="609BE555"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118</w:t>
            </w:r>
          </w:p>
        </w:tc>
      </w:tr>
      <w:tr w:rsidR="00EE7ED2" w:rsidRPr="00233125" w14:paraId="762F752D" w14:textId="1DAD297F" w:rsidTr="00EE7ED2">
        <w:trPr>
          <w:trHeight w:val="114"/>
        </w:trPr>
        <w:tc>
          <w:tcPr>
            <w:tcW w:w="1827" w:type="dxa"/>
            <w:shd w:val="clear" w:color="auto" w:fill="auto"/>
            <w:hideMark/>
          </w:tcPr>
          <w:p w14:paraId="5E8B18F6"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daudzdzīvokļu māja</w:t>
            </w:r>
          </w:p>
        </w:tc>
        <w:tc>
          <w:tcPr>
            <w:tcW w:w="1605" w:type="dxa"/>
            <w:shd w:val="clear" w:color="auto" w:fill="auto"/>
            <w:noWrap/>
            <w:vAlign w:val="center"/>
            <w:hideMark/>
          </w:tcPr>
          <w:p w14:paraId="194983F7"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259</w:t>
            </w:r>
          </w:p>
        </w:tc>
        <w:tc>
          <w:tcPr>
            <w:tcW w:w="1205" w:type="dxa"/>
            <w:shd w:val="clear" w:color="auto" w:fill="auto"/>
            <w:noWrap/>
            <w:vAlign w:val="center"/>
            <w:hideMark/>
          </w:tcPr>
          <w:p w14:paraId="3458521B"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137</w:t>
            </w:r>
          </w:p>
        </w:tc>
        <w:tc>
          <w:tcPr>
            <w:tcW w:w="1605" w:type="dxa"/>
            <w:shd w:val="clear" w:color="auto" w:fill="auto"/>
            <w:noWrap/>
            <w:vAlign w:val="center"/>
            <w:hideMark/>
          </w:tcPr>
          <w:p w14:paraId="3B529234" w14:textId="4ECCB66B"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536</w:t>
            </w:r>
          </w:p>
        </w:tc>
        <w:tc>
          <w:tcPr>
            <w:tcW w:w="1205" w:type="dxa"/>
            <w:shd w:val="clear" w:color="auto" w:fill="auto"/>
            <w:noWrap/>
            <w:vAlign w:val="center"/>
            <w:hideMark/>
          </w:tcPr>
          <w:p w14:paraId="69BF97CD" w14:textId="28B04D2F"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37</w:t>
            </w:r>
          </w:p>
        </w:tc>
      </w:tr>
      <w:tr w:rsidR="00EE7ED2" w:rsidRPr="00233125" w14:paraId="2886306E" w14:textId="69DD93B8" w:rsidTr="00EE7ED2">
        <w:trPr>
          <w:trHeight w:val="114"/>
        </w:trPr>
        <w:tc>
          <w:tcPr>
            <w:tcW w:w="1827" w:type="dxa"/>
            <w:shd w:val="clear" w:color="auto" w:fill="auto"/>
            <w:hideMark/>
          </w:tcPr>
          <w:p w14:paraId="15AF3A2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biroju ēka</w:t>
            </w:r>
          </w:p>
        </w:tc>
        <w:tc>
          <w:tcPr>
            <w:tcW w:w="1605" w:type="dxa"/>
            <w:shd w:val="clear" w:color="auto" w:fill="auto"/>
            <w:noWrap/>
            <w:vAlign w:val="center"/>
            <w:hideMark/>
          </w:tcPr>
          <w:p w14:paraId="7E56DF47"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100</w:t>
            </w:r>
          </w:p>
        </w:tc>
        <w:tc>
          <w:tcPr>
            <w:tcW w:w="1205" w:type="dxa"/>
            <w:shd w:val="clear" w:color="auto" w:fill="auto"/>
            <w:noWrap/>
            <w:vAlign w:val="center"/>
            <w:hideMark/>
          </w:tcPr>
          <w:p w14:paraId="65C0A35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2A467CCC" w14:textId="49C52F2C"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65</w:t>
            </w:r>
          </w:p>
        </w:tc>
        <w:tc>
          <w:tcPr>
            <w:tcW w:w="1205" w:type="dxa"/>
            <w:shd w:val="clear" w:color="auto" w:fill="auto"/>
            <w:noWrap/>
            <w:vAlign w:val="center"/>
            <w:hideMark/>
          </w:tcPr>
          <w:p w14:paraId="6D2E692F" w14:textId="5DCA8B45"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41</w:t>
            </w:r>
          </w:p>
        </w:tc>
      </w:tr>
      <w:tr w:rsidR="00EE7ED2" w:rsidRPr="00233125" w14:paraId="7DE09C48" w14:textId="5BE4A0A8" w:rsidTr="00EE7ED2">
        <w:trPr>
          <w:trHeight w:val="114"/>
        </w:trPr>
        <w:tc>
          <w:tcPr>
            <w:tcW w:w="1827" w:type="dxa"/>
            <w:shd w:val="clear" w:color="auto" w:fill="auto"/>
            <w:hideMark/>
          </w:tcPr>
          <w:p w14:paraId="3EFCA54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izglītības iestāžu ēka</w:t>
            </w:r>
          </w:p>
        </w:tc>
        <w:tc>
          <w:tcPr>
            <w:tcW w:w="1605" w:type="dxa"/>
            <w:shd w:val="clear" w:color="auto" w:fill="auto"/>
            <w:noWrap/>
            <w:vAlign w:val="center"/>
            <w:hideMark/>
          </w:tcPr>
          <w:p w14:paraId="7D5D9345"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128</w:t>
            </w:r>
          </w:p>
        </w:tc>
        <w:tc>
          <w:tcPr>
            <w:tcW w:w="1205" w:type="dxa"/>
            <w:shd w:val="clear" w:color="auto" w:fill="auto"/>
            <w:noWrap/>
            <w:vAlign w:val="center"/>
            <w:hideMark/>
          </w:tcPr>
          <w:p w14:paraId="09E7AF49"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160</w:t>
            </w:r>
          </w:p>
        </w:tc>
        <w:tc>
          <w:tcPr>
            <w:tcW w:w="1605" w:type="dxa"/>
            <w:shd w:val="clear" w:color="auto" w:fill="auto"/>
            <w:noWrap/>
            <w:vAlign w:val="center"/>
            <w:hideMark/>
          </w:tcPr>
          <w:p w14:paraId="183C48AE" w14:textId="3669C343"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76</w:t>
            </w:r>
          </w:p>
        </w:tc>
        <w:tc>
          <w:tcPr>
            <w:tcW w:w="1205" w:type="dxa"/>
            <w:shd w:val="clear" w:color="auto" w:fill="auto"/>
            <w:noWrap/>
            <w:vAlign w:val="center"/>
            <w:hideMark/>
          </w:tcPr>
          <w:p w14:paraId="5BBD07C9" w14:textId="7A0557C6"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46</w:t>
            </w:r>
          </w:p>
        </w:tc>
      </w:tr>
      <w:tr w:rsidR="00EE7ED2" w:rsidRPr="00233125" w14:paraId="6F9B5B15" w14:textId="6FB77155" w:rsidTr="00EE7ED2">
        <w:trPr>
          <w:trHeight w:val="114"/>
        </w:trPr>
        <w:tc>
          <w:tcPr>
            <w:tcW w:w="1827" w:type="dxa"/>
            <w:shd w:val="clear" w:color="auto" w:fill="auto"/>
            <w:hideMark/>
          </w:tcPr>
          <w:p w14:paraId="2CD8766F"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ambulatoro vai stacionāro ārstniecības iestāžu ēka</w:t>
            </w:r>
          </w:p>
        </w:tc>
        <w:tc>
          <w:tcPr>
            <w:tcW w:w="1605" w:type="dxa"/>
            <w:shd w:val="clear" w:color="auto" w:fill="auto"/>
            <w:noWrap/>
            <w:vAlign w:val="center"/>
            <w:hideMark/>
          </w:tcPr>
          <w:p w14:paraId="074458F8"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42</w:t>
            </w:r>
          </w:p>
        </w:tc>
        <w:tc>
          <w:tcPr>
            <w:tcW w:w="1205" w:type="dxa"/>
            <w:shd w:val="clear" w:color="auto" w:fill="auto"/>
            <w:noWrap/>
            <w:vAlign w:val="center"/>
            <w:hideMark/>
          </w:tcPr>
          <w:p w14:paraId="6415D0FF"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163</w:t>
            </w:r>
          </w:p>
        </w:tc>
        <w:tc>
          <w:tcPr>
            <w:tcW w:w="1605" w:type="dxa"/>
            <w:shd w:val="clear" w:color="auto" w:fill="auto"/>
            <w:noWrap/>
            <w:vAlign w:val="center"/>
            <w:hideMark/>
          </w:tcPr>
          <w:p w14:paraId="33FFBB9A" w14:textId="0B4FCEF9"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31</w:t>
            </w:r>
          </w:p>
        </w:tc>
        <w:tc>
          <w:tcPr>
            <w:tcW w:w="1205" w:type="dxa"/>
            <w:shd w:val="clear" w:color="auto" w:fill="auto"/>
            <w:noWrap/>
            <w:vAlign w:val="center"/>
            <w:hideMark/>
          </w:tcPr>
          <w:p w14:paraId="74CCCB2C" w14:textId="4F03F243"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44</w:t>
            </w:r>
          </w:p>
        </w:tc>
      </w:tr>
      <w:tr w:rsidR="00EE7ED2" w:rsidRPr="00233125" w14:paraId="2403AE3E" w14:textId="39905D84" w:rsidTr="00EE7ED2">
        <w:trPr>
          <w:cantSplit/>
          <w:trHeight w:val="114"/>
        </w:trPr>
        <w:tc>
          <w:tcPr>
            <w:tcW w:w="1827" w:type="dxa"/>
            <w:shd w:val="clear" w:color="auto" w:fill="auto"/>
            <w:hideMark/>
          </w:tcPr>
          <w:p w14:paraId="36021776"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viesnīcu un restorānu ēka</w:t>
            </w:r>
          </w:p>
        </w:tc>
        <w:tc>
          <w:tcPr>
            <w:tcW w:w="1605" w:type="dxa"/>
            <w:shd w:val="clear" w:color="auto" w:fill="auto"/>
            <w:noWrap/>
            <w:vAlign w:val="center"/>
            <w:hideMark/>
          </w:tcPr>
          <w:p w14:paraId="094AD3D3"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30</w:t>
            </w:r>
          </w:p>
        </w:tc>
        <w:tc>
          <w:tcPr>
            <w:tcW w:w="1205" w:type="dxa"/>
            <w:shd w:val="clear" w:color="auto" w:fill="auto"/>
            <w:noWrap/>
            <w:vAlign w:val="center"/>
            <w:hideMark/>
          </w:tcPr>
          <w:p w14:paraId="16AD03D8"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114</w:t>
            </w:r>
          </w:p>
        </w:tc>
        <w:tc>
          <w:tcPr>
            <w:tcW w:w="1605" w:type="dxa"/>
            <w:shd w:val="clear" w:color="auto" w:fill="auto"/>
            <w:noWrap/>
            <w:vAlign w:val="center"/>
            <w:hideMark/>
          </w:tcPr>
          <w:p w14:paraId="0679462C" w14:textId="556D3868"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20</w:t>
            </w:r>
          </w:p>
        </w:tc>
        <w:tc>
          <w:tcPr>
            <w:tcW w:w="1205" w:type="dxa"/>
            <w:shd w:val="clear" w:color="auto" w:fill="auto"/>
            <w:noWrap/>
            <w:vAlign w:val="center"/>
            <w:hideMark/>
          </w:tcPr>
          <w:p w14:paraId="7585AB25" w14:textId="435249F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24</w:t>
            </w:r>
          </w:p>
        </w:tc>
      </w:tr>
      <w:tr w:rsidR="00EE7ED2" w:rsidRPr="00233125" w14:paraId="2AD80CAE" w14:textId="75AED948" w:rsidTr="00EE7ED2">
        <w:trPr>
          <w:cantSplit/>
          <w:trHeight w:val="114"/>
        </w:trPr>
        <w:tc>
          <w:tcPr>
            <w:tcW w:w="1827" w:type="dxa"/>
            <w:shd w:val="clear" w:color="auto" w:fill="auto"/>
            <w:hideMark/>
          </w:tcPr>
          <w:p w14:paraId="3C40477B"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sporta iestāžu ēka</w:t>
            </w:r>
          </w:p>
        </w:tc>
        <w:tc>
          <w:tcPr>
            <w:tcW w:w="1605" w:type="dxa"/>
            <w:shd w:val="clear" w:color="auto" w:fill="auto"/>
            <w:noWrap/>
            <w:vAlign w:val="center"/>
            <w:hideMark/>
          </w:tcPr>
          <w:p w14:paraId="0903140D"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6</w:t>
            </w:r>
          </w:p>
        </w:tc>
        <w:tc>
          <w:tcPr>
            <w:tcW w:w="1205" w:type="dxa"/>
            <w:shd w:val="clear" w:color="auto" w:fill="auto"/>
            <w:noWrap/>
            <w:vAlign w:val="center"/>
            <w:hideMark/>
          </w:tcPr>
          <w:p w14:paraId="5624EC7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161</w:t>
            </w:r>
          </w:p>
        </w:tc>
        <w:tc>
          <w:tcPr>
            <w:tcW w:w="1605" w:type="dxa"/>
            <w:shd w:val="clear" w:color="auto" w:fill="auto"/>
            <w:noWrap/>
            <w:vAlign w:val="center"/>
            <w:hideMark/>
          </w:tcPr>
          <w:p w14:paraId="618FB451" w14:textId="22AA520E"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12</w:t>
            </w:r>
          </w:p>
        </w:tc>
        <w:tc>
          <w:tcPr>
            <w:tcW w:w="1205" w:type="dxa"/>
            <w:shd w:val="clear" w:color="auto" w:fill="auto"/>
            <w:noWrap/>
            <w:vAlign w:val="center"/>
            <w:hideMark/>
          </w:tcPr>
          <w:p w14:paraId="61057EA3" w14:textId="457D8D7C"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w:t>
            </w:r>
            <w:r>
              <w:rPr>
                <w:rFonts w:eastAsia="Times New Roman" w:cs="Times New Roman"/>
                <w:sz w:val="20"/>
                <w:szCs w:val="20"/>
                <w:lang w:eastAsia="lv-LV"/>
              </w:rPr>
              <w:t>23</w:t>
            </w:r>
          </w:p>
        </w:tc>
      </w:tr>
      <w:tr w:rsidR="00EE7ED2" w:rsidRPr="00233125" w14:paraId="6E65EDD7" w14:textId="5B3600D4" w:rsidTr="00EE7ED2">
        <w:trPr>
          <w:trHeight w:val="228"/>
        </w:trPr>
        <w:tc>
          <w:tcPr>
            <w:tcW w:w="1827" w:type="dxa"/>
            <w:shd w:val="clear" w:color="auto" w:fill="auto"/>
            <w:hideMark/>
          </w:tcPr>
          <w:p w14:paraId="3D6B4468"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vairumtirdzniecības vai mazumtirdzniecības pakalpojumu ēka</w:t>
            </w:r>
          </w:p>
        </w:tc>
        <w:tc>
          <w:tcPr>
            <w:tcW w:w="1605" w:type="dxa"/>
            <w:shd w:val="clear" w:color="auto" w:fill="auto"/>
            <w:noWrap/>
            <w:vAlign w:val="center"/>
            <w:hideMark/>
          </w:tcPr>
          <w:p w14:paraId="572C1169"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4</w:t>
            </w:r>
          </w:p>
        </w:tc>
        <w:tc>
          <w:tcPr>
            <w:tcW w:w="1205" w:type="dxa"/>
            <w:shd w:val="clear" w:color="auto" w:fill="auto"/>
            <w:noWrap/>
            <w:vAlign w:val="center"/>
            <w:hideMark/>
          </w:tcPr>
          <w:p w14:paraId="50A4DBDC"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172</w:t>
            </w:r>
          </w:p>
        </w:tc>
        <w:tc>
          <w:tcPr>
            <w:tcW w:w="1605" w:type="dxa"/>
            <w:shd w:val="clear" w:color="auto" w:fill="auto"/>
            <w:noWrap/>
            <w:vAlign w:val="center"/>
            <w:hideMark/>
          </w:tcPr>
          <w:p w14:paraId="5F936448" w14:textId="4FF4A688"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12</w:t>
            </w:r>
          </w:p>
        </w:tc>
        <w:tc>
          <w:tcPr>
            <w:tcW w:w="1205" w:type="dxa"/>
            <w:shd w:val="clear" w:color="auto" w:fill="auto"/>
            <w:noWrap/>
            <w:vAlign w:val="center"/>
            <w:hideMark/>
          </w:tcPr>
          <w:p w14:paraId="347B046F" w14:textId="499D5A7B"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82</w:t>
            </w:r>
          </w:p>
        </w:tc>
      </w:tr>
      <w:tr w:rsidR="00EE7ED2" w:rsidRPr="00BF26C6" w14:paraId="006602DD" w14:textId="1500ABF3" w:rsidTr="00EE7ED2">
        <w:trPr>
          <w:trHeight w:val="114"/>
        </w:trPr>
        <w:tc>
          <w:tcPr>
            <w:tcW w:w="1827" w:type="dxa"/>
            <w:shd w:val="clear" w:color="auto" w:fill="auto"/>
            <w:hideMark/>
          </w:tcPr>
          <w:p w14:paraId="576230F0" w14:textId="77777777" w:rsidR="00EE7ED2" w:rsidRPr="00233125" w:rsidRDefault="00EE7ED2" w:rsidP="00BF26C6">
            <w:pPr>
              <w:ind w:firstLine="0"/>
              <w:jc w:val="left"/>
              <w:rPr>
                <w:rFonts w:eastAsia="Times New Roman" w:cs="Times New Roman"/>
                <w:bCs/>
                <w:sz w:val="20"/>
                <w:szCs w:val="20"/>
                <w:lang w:eastAsia="lv-LV"/>
              </w:rPr>
            </w:pPr>
            <w:r w:rsidRPr="00233125">
              <w:rPr>
                <w:rFonts w:eastAsia="Times New Roman" w:cs="Times New Roman"/>
                <w:bCs/>
                <w:sz w:val="20"/>
                <w:szCs w:val="20"/>
                <w:lang w:eastAsia="lv-LV"/>
              </w:rPr>
              <w:t>cita tipa ēka, kurā tiek patērēta enerģija</w:t>
            </w:r>
          </w:p>
        </w:tc>
        <w:tc>
          <w:tcPr>
            <w:tcW w:w="1605" w:type="dxa"/>
            <w:shd w:val="clear" w:color="auto" w:fill="auto"/>
            <w:noWrap/>
            <w:vAlign w:val="center"/>
            <w:hideMark/>
          </w:tcPr>
          <w:p w14:paraId="6CFC4D50"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104</w:t>
            </w:r>
          </w:p>
        </w:tc>
        <w:tc>
          <w:tcPr>
            <w:tcW w:w="1205" w:type="dxa"/>
            <w:shd w:val="clear" w:color="auto" w:fill="auto"/>
            <w:noWrap/>
            <w:vAlign w:val="center"/>
            <w:hideMark/>
          </w:tcPr>
          <w:p w14:paraId="262EE602" w14:textId="77777777" w:rsidR="00EE7ED2" w:rsidRPr="00233125" w:rsidRDefault="00EE7ED2" w:rsidP="00BF26C6">
            <w:pPr>
              <w:ind w:firstLine="0"/>
              <w:jc w:val="center"/>
              <w:rPr>
                <w:rFonts w:eastAsia="Times New Roman" w:cs="Times New Roman"/>
                <w:sz w:val="20"/>
                <w:szCs w:val="20"/>
                <w:lang w:eastAsia="lv-LV"/>
              </w:rPr>
            </w:pPr>
            <w:r w:rsidRPr="00233125">
              <w:rPr>
                <w:rFonts w:eastAsia="Times New Roman" w:cs="Times New Roman"/>
                <w:sz w:val="20"/>
                <w:szCs w:val="20"/>
                <w:lang w:eastAsia="lv-LV"/>
              </w:rPr>
              <w:t>198</w:t>
            </w:r>
          </w:p>
        </w:tc>
        <w:tc>
          <w:tcPr>
            <w:tcW w:w="1605" w:type="dxa"/>
            <w:shd w:val="clear" w:color="auto" w:fill="auto"/>
            <w:noWrap/>
            <w:vAlign w:val="center"/>
            <w:hideMark/>
          </w:tcPr>
          <w:p w14:paraId="703A9C96" w14:textId="1D8C2977"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70</w:t>
            </w:r>
          </w:p>
        </w:tc>
        <w:tc>
          <w:tcPr>
            <w:tcW w:w="1205" w:type="dxa"/>
            <w:shd w:val="clear" w:color="auto" w:fill="auto"/>
            <w:noWrap/>
            <w:vAlign w:val="center"/>
            <w:hideMark/>
          </w:tcPr>
          <w:p w14:paraId="139619BC" w14:textId="672910EE" w:rsidR="00EE7ED2" w:rsidRPr="00233125" w:rsidRDefault="00EE7ED2" w:rsidP="00BF26C6">
            <w:pPr>
              <w:ind w:firstLine="0"/>
              <w:jc w:val="center"/>
              <w:rPr>
                <w:rFonts w:eastAsia="Times New Roman" w:cs="Times New Roman"/>
                <w:sz w:val="20"/>
                <w:szCs w:val="20"/>
                <w:lang w:eastAsia="lv-LV"/>
              </w:rPr>
            </w:pPr>
            <w:r>
              <w:rPr>
                <w:rFonts w:eastAsia="Times New Roman" w:cs="Times New Roman"/>
                <w:sz w:val="20"/>
                <w:szCs w:val="20"/>
                <w:lang w:eastAsia="lv-LV"/>
              </w:rPr>
              <w:t>174</w:t>
            </w:r>
          </w:p>
        </w:tc>
      </w:tr>
    </w:tbl>
    <w:p w14:paraId="061EC202" w14:textId="77777777" w:rsidR="00911A10" w:rsidRDefault="00911A10" w:rsidP="0058175D">
      <w:pPr>
        <w:pStyle w:val="Heading1"/>
      </w:pPr>
      <w:bookmarkStart w:id="13" w:name="_Toc40113665"/>
      <w:bookmarkStart w:id="14" w:name="_Toc480527962"/>
      <w:bookmarkStart w:id="15" w:name="_Toc491870911"/>
    </w:p>
    <w:p w14:paraId="1D8FECAD" w14:textId="77777777" w:rsidR="00911A10" w:rsidRDefault="00911A10">
      <w:pPr>
        <w:rPr>
          <w:rFonts w:eastAsiaTheme="majorEastAsia" w:cstheme="majorBidi"/>
          <w:b/>
          <w:color w:val="000000" w:themeColor="text1"/>
          <w:sz w:val="28"/>
          <w:szCs w:val="32"/>
        </w:rPr>
      </w:pPr>
      <w:r>
        <w:br w:type="page"/>
      </w:r>
    </w:p>
    <w:p w14:paraId="099E6DEA" w14:textId="65057615" w:rsidR="00151A93" w:rsidRDefault="00151A93" w:rsidP="0058175D">
      <w:pPr>
        <w:pStyle w:val="Heading1"/>
      </w:pPr>
      <w:r>
        <w:lastRenderedPageBreak/>
        <w:t>2. Politika un darbības energoefektivitātes veicināšanai</w:t>
      </w:r>
      <w:bookmarkEnd w:id="13"/>
    </w:p>
    <w:p w14:paraId="60A36ECD" w14:textId="4BDEFB26" w:rsidR="00C87E04" w:rsidRPr="00151A93" w:rsidRDefault="00151A93" w:rsidP="00031EFF">
      <w:pPr>
        <w:pStyle w:val="Heading2"/>
      </w:pPr>
      <w:bookmarkStart w:id="16" w:name="_Toc40113666"/>
      <w:r w:rsidRPr="00151A93">
        <w:t xml:space="preserve">2.1. </w:t>
      </w:r>
      <w:r w:rsidR="00C87E04" w:rsidRPr="00151A93">
        <w:t>Rentabla pieeja ēku atjaunošanai</w:t>
      </w:r>
      <w:bookmarkEnd w:id="14"/>
      <w:bookmarkEnd w:id="15"/>
      <w:bookmarkEnd w:id="16"/>
    </w:p>
    <w:p w14:paraId="19B4A52F" w14:textId="6415C9BF" w:rsidR="00736D92" w:rsidRDefault="00C87E04" w:rsidP="009844E4">
      <w:pPr>
        <w:ind w:firstLine="0"/>
        <w:rPr>
          <w:u w:val="single"/>
        </w:rPr>
      </w:pPr>
      <w:bookmarkStart w:id="17" w:name="_Toc480527963"/>
      <w:bookmarkStart w:id="18" w:name="_Toc491870912"/>
      <w:r w:rsidRPr="009844E4">
        <w:rPr>
          <w:u w:val="single"/>
        </w:rPr>
        <w:t>Izmaksu ziņā optimāls minimālo energoefektivitātes prasību līmenis</w:t>
      </w:r>
      <w:bookmarkEnd w:id="17"/>
      <w:bookmarkEnd w:id="18"/>
    </w:p>
    <w:p w14:paraId="32E987D1" w14:textId="77777777" w:rsidR="00832142" w:rsidRPr="009844E4" w:rsidRDefault="00832142" w:rsidP="009844E4">
      <w:pPr>
        <w:ind w:firstLine="0"/>
        <w:rPr>
          <w:u w:val="single"/>
        </w:rPr>
      </w:pPr>
    </w:p>
    <w:p w14:paraId="10ED3074" w14:textId="53F66B26" w:rsidR="00C87E04" w:rsidRPr="00976A76" w:rsidRDefault="00C87E04" w:rsidP="00516894">
      <w:pPr>
        <w:tabs>
          <w:tab w:val="left" w:pos="1860"/>
        </w:tabs>
      </w:pPr>
      <w:r w:rsidRPr="00976A76">
        <w:t>Prasība par izmaksu ziņā optimāla minimālo energoefektivitātes prasību līmeņa aprēķinu veikšanu un Ziņojuma iesniegšanu EK ir noteikta  Direktīvas 2010/31/ES par ēku energoefektivitāti 5.pantā, kas nosaka, ka dalībvalstis aprēķina izmaksu ziņā optimālo minimālo energoefektivitātes prasību līmeni jaunām un esošām ēkām un salīdzina aprēķinu rezultātus ar esošajām minimālajām energoefektivitātes prasībām.</w:t>
      </w:r>
    </w:p>
    <w:p w14:paraId="361194F5" w14:textId="31360168" w:rsidR="00C87E04" w:rsidRPr="00976A76" w:rsidRDefault="00C87E04" w:rsidP="00516894">
      <w:pPr>
        <w:tabs>
          <w:tab w:val="left" w:pos="1860"/>
        </w:tabs>
      </w:pPr>
      <w:r>
        <w:t>2018. gadā tapis z</w:t>
      </w:r>
      <w:r w:rsidRPr="00146180">
        <w:t>iņojums par izmaksu ziņā optimāla minimālo energoefektivitātes prasību līmeņa aprēķināšanu saskaņā ar Direktīvas 2010/31/ES par ēku energoefektivitāti 5.pantu.</w:t>
      </w:r>
      <w:r>
        <w:t xml:space="preserve"> </w:t>
      </w:r>
      <w:r>
        <w:rPr>
          <w:rStyle w:val="FootnoteReference"/>
        </w:rPr>
        <w:footnoteReference w:id="5"/>
      </w:r>
    </w:p>
    <w:p w14:paraId="5B8C5D15" w14:textId="76742226" w:rsidR="00C87E04" w:rsidRPr="00C87E04" w:rsidRDefault="00C87E04" w:rsidP="00516894">
      <w:pPr>
        <w:pStyle w:val="apakvirsraksts"/>
        <w:numPr>
          <w:ilvl w:val="0"/>
          <w:numId w:val="0"/>
        </w:numPr>
        <w:spacing w:after="0" w:line="240" w:lineRule="auto"/>
        <w:ind w:firstLine="567"/>
        <w:jc w:val="both"/>
        <w:rPr>
          <w:sz w:val="24"/>
          <w:u w:val="none"/>
        </w:rPr>
      </w:pPr>
      <w:bookmarkStart w:id="19" w:name="_Toc480527964"/>
      <w:bookmarkStart w:id="20" w:name="_Toc491870913"/>
      <w:bookmarkStart w:id="21" w:name="_Hlk24711224"/>
      <w:bookmarkStart w:id="22" w:name="_Hlk24707852"/>
      <w:r w:rsidRPr="00C87E04">
        <w:rPr>
          <w:sz w:val="24"/>
          <w:u w:val="none"/>
        </w:rPr>
        <w:t xml:space="preserve">Šajā </w:t>
      </w:r>
      <w:r w:rsidR="00C66D60">
        <w:rPr>
          <w:sz w:val="24"/>
          <w:u w:val="none"/>
        </w:rPr>
        <w:t>2018. gada z</w:t>
      </w:r>
      <w:r w:rsidRPr="00C87E04">
        <w:rPr>
          <w:sz w:val="24"/>
          <w:u w:val="none"/>
        </w:rPr>
        <w:t xml:space="preserve">iņojumā atspoguļota izpētes ēku veidu izvēle, nosakot references ēkas gan eksistējošām būvēm (pa divām katrā ēku kategorijā), gan jaunbūvēm. </w:t>
      </w:r>
    </w:p>
    <w:p w14:paraId="09121D74" w14:textId="4EA9C9CE" w:rsidR="00E029ED" w:rsidRPr="00E029ED" w:rsidRDefault="004B2095" w:rsidP="002D733D">
      <w:pPr>
        <w:pStyle w:val="apakvirsraksts"/>
        <w:numPr>
          <w:ilvl w:val="0"/>
          <w:numId w:val="0"/>
        </w:numPr>
        <w:spacing w:after="0" w:line="240" w:lineRule="auto"/>
        <w:ind w:firstLine="567"/>
        <w:jc w:val="both"/>
        <w:rPr>
          <w:sz w:val="24"/>
          <w:u w:val="none"/>
        </w:rPr>
      </w:pPr>
      <w:r>
        <w:rPr>
          <w:sz w:val="24"/>
          <w:u w:val="none"/>
        </w:rPr>
        <w:t xml:space="preserve">Tāpat ir </w:t>
      </w:r>
      <w:r w:rsidR="00C87E04" w:rsidRPr="00C87E04">
        <w:rPr>
          <w:sz w:val="24"/>
          <w:u w:val="none"/>
        </w:rPr>
        <w:t>aprakstīti iespējamie energoefektivitātes pasākumi un ar to saistītā materiālu, konstruktīvo risinājumu un ēku sistēmu izvēle, kas ietver arī uz atjaunojamiem energoresursiem balstītus pasākumus, kas ir obligāts nosacījums gandrīz nulles enerģijas ēku gadījumā</w:t>
      </w:r>
      <w:r>
        <w:rPr>
          <w:sz w:val="24"/>
          <w:u w:val="none"/>
        </w:rPr>
        <w:t xml:space="preserve">, </w:t>
      </w:r>
      <w:r w:rsidR="00C87E04" w:rsidRPr="00C87E04">
        <w:rPr>
          <w:sz w:val="24"/>
          <w:u w:val="none"/>
        </w:rPr>
        <w:t>sniegti gala un primārās enerģijas pieprasījuma aprēķinu rezultāti</w:t>
      </w:r>
      <w:r>
        <w:rPr>
          <w:sz w:val="24"/>
          <w:u w:val="none"/>
        </w:rPr>
        <w:t xml:space="preserve">. Ir </w:t>
      </w:r>
      <w:r w:rsidR="00C87E04" w:rsidRPr="00C87E04">
        <w:rPr>
          <w:sz w:val="24"/>
          <w:u w:val="none"/>
        </w:rPr>
        <w:t xml:space="preserve">izvēlēti un pamatoti arī nepieciešamie papildus pieņēmumi energoefektivitātes paaugstināšanas ekonomiskā izdevīguma un makroekonomiskā aprēķinu veikšanai. Veikta arī aprēķinu rezultātu jūtīguma analīze attiecībā pret tiem </w:t>
      </w:r>
      <w:r w:rsidR="002D733D" w:rsidRPr="00C87E04">
        <w:rPr>
          <w:sz w:val="24"/>
          <w:u w:val="none"/>
        </w:rPr>
        <w:t>pamat parametriem</w:t>
      </w:r>
      <w:r w:rsidR="00C87E04" w:rsidRPr="00C87E04">
        <w:rPr>
          <w:sz w:val="24"/>
          <w:u w:val="none"/>
        </w:rPr>
        <w:t>, kas iekļauti ekonomiskajos aprēķinos.</w:t>
      </w:r>
      <w:r w:rsidR="002D733D">
        <w:rPr>
          <w:sz w:val="24"/>
          <w:u w:val="none"/>
        </w:rPr>
        <w:t xml:space="preserve"> </w:t>
      </w:r>
      <w:r>
        <w:rPr>
          <w:sz w:val="24"/>
          <w:u w:val="none"/>
        </w:rPr>
        <w:t>N</w:t>
      </w:r>
      <w:r w:rsidR="00C87E04" w:rsidRPr="00C87E04">
        <w:rPr>
          <w:sz w:val="24"/>
          <w:u w:val="none"/>
        </w:rPr>
        <w:t>oteiktas izmaksu ziņā optimālās dažādo būvkonstrukciju siltuma caurlaidības vērtības atkarībā no izmantojamajiem materiāliem ir pievienoti</w:t>
      </w:r>
      <w:r w:rsidR="0073177C">
        <w:rPr>
          <w:sz w:val="24"/>
          <w:u w:val="none"/>
        </w:rPr>
        <w:t xml:space="preserve"> šī ziņojuma</w:t>
      </w:r>
      <w:r w:rsidR="00C87E04" w:rsidRPr="00C87E04">
        <w:rPr>
          <w:sz w:val="24"/>
          <w:u w:val="none"/>
        </w:rPr>
        <w:t xml:space="preserve"> pielikumā elektroniska veidā.</w:t>
      </w:r>
      <w:r w:rsidR="0073177C">
        <w:rPr>
          <w:sz w:val="24"/>
          <w:u w:val="none"/>
        </w:rPr>
        <w:t xml:space="preserve"> </w:t>
      </w:r>
      <w:r w:rsidR="00C87E04" w:rsidRPr="00C87E04">
        <w:rPr>
          <w:sz w:val="24"/>
          <w:u w:val="none"/>
        </w:rPr>
        <w:t>Kopsavilkumā raksturots pētījumā paveiktais un sniegti ieteikumi Latvijas normatīvo aktu papildināšanai un precizēšanai.</w:t>
      </w:r>
    </w:p>
    <w:p w14:paraId="57081A93" w14:textId="740CF87B" w:rsidR="00E029ED" w:rsidRPr="00E029ED" w:rsidRDefault="00E029ED" w:rsidP="00E029ED">
      <w:pPr>
        <w:pStyle w:val="3apakvirsraksts"/>
        <w:numPr>
          <w:ilvl w:val="0"/>
          <w:numId w:val="0"/>
        </w:numPr>
        <w:spacing w:line="240" w:lineRule="auto"/>
        <w:ind w:firstLine="567"/>
        <w:rPr>
          <w:color w:val="000000" w:themeColor="text1"/>
        </w:rPr>
      </w:pPr>
      <w:r w:rsidRPr="00E029ED">
        <w:rPr>
          <w:color w:val="000000" w:themeColor="text1"/>
        </w:rPr>
        <w:t xml:space="preserve">Kā tiek aplūkots turpmāk Stratēģijā par Ēkas galveno elementu izbūves veidu un U vērtību, kā arī norādīts tabulā Nr.9., tad  2020. gada 1. janvārī spēkā stājies Latvijas būvnormatīvs LBN 002-19 "Ēku norobežojošo konstrukciju siltumtehnika", kas apstiprināti ar 2019. gada 25. jūnija Ministru kabineta noteikumiem Nr.280, kurā ņemti vērā arī </w:t>
      </w:r>
      <w:r w:rsidR="00AD1E82">
        <w:rPr>
          <w:color w:val="000000" w:themeColor="text1"/>
        </w:rPr>
        <w:t xml:space="preserve">iepriekš minētajā </w:t>
      </w:r>
      <w:r w:rsidRPr="00E029ED">
        <w:rPr>
          <w:color w:val="000000" w:themeColor="text1"/>
        </w:rPr>
        <w:t>ziņojumā izteiktie ieteikumi</w:t>
      </w:r>
      <w:r w:rsidR="00AD1E82">
        <w:rPr>
          <w:color w:val="000000" w:themeColor="text1"/>
        </w:rPr>
        <w:t>.</w:t>
      </w:r>
    </w:p>
    <w:p w14:paraId="651BCC29" w14:textId="72A6985C" w:rsidR="004B2095" w:rsidRDefault="004B2095" w:rsidP="0073177C">
      <w:pPr>
        <w:ind w:firstLine="0"/>
        <w:rPr>
          <w:szCs w:val="24"/>
          <w:u w:val="single"/>
        </w:rPr>
      </w:pPr>
    </w:p>
    <w:p w14:paraId="33789A96" w14:textId="69A474A5" w:rsidR="00C87E04" w:rsidRDefault="00C87E04" w:rsidP="00EC35CE">
      <w:pPr>
        <w:ind w:firstLine="0"/>
        <w:rPr>
          <w:rFonts w:cs="Times New Roman"/>
          <w:color w:val="000000"/>
          <w:szCs w:val="24"/>
          <w:u w:val="single"/>
        </w:rPr>
      </w:pPr>
      <w:r w:rsidRPr="00EC35CE">
        <w:rPr>
          <w:szCs w:val="24"/>
          <w:u w:val="single"/>
        </w:rPr>
        <w:t>Minimālās energoefektivitātes prasības šobrīd</w:t>
      </w:r>
      <w:bookmarkStart w:id="23" w:name="_Toc480527953"/>
      <w:bookmarkStart w:id="24" w:name="_Toc491870905"/>
      <w:bookmarkEnd w:id="19"/>
      <w:bookmarkEnd w:id="20"/>
      <w:bookmarkEnd w:id="21"/>
      <w:r w:rsidR="00EC35CE">
        <w:rPr>
          <w:szCs w:val="24"/>
          <w:u w:val="single"/>
        </w:rPr>
        <w:t xml:space="preserve"> - </w:t>
      </w:r>
      <w:r w:rsidR="00EC35CE">
        <w:rPr>
          <w:rFonts w:cs="Times New Roman"/>
          <w:color w:val="000000"/>
          <w:szCs w:val="24"/>
          <w:u w:val="single"/>
        </w:rPr>
        <w:t>ē</w:t>
      </w:r>
      <w:r w:rsidRPr="00EC35CE">
        <w:rPr>
          <w:rFonts w:cs="Times New Roman"/>
          <w:color w:val="000000"/>
          <w:szCs w:val="24"/>
          <w:u w:val="single"/>
        </w:rPr>
        <w:t>kas galveno elementu izbūves veids un U vērtība</w:t>
      </w:r>
      <w:bookmarkEnd w:id="23"/>
      <w:bookmarkEnd w:id="24"/>
    </w:p>
    <w:p w14:paraId="7DDD5C0A" w14:textId="77777777" w:rsidR="00EC35CE" w:rsidRPr="00EC35CE" w:rsidRDefault="00EC35CE" w:rsidP="00EC35CE">
      <w:pPr>
        <w:ind w:firstLine="0"/>
        <w:rPr>
          <w:szCs w:val="24"/>
          <w:u w:val="single"/>
        </w:rPr>
      </w:pPr>
    </w:p>
    <w:p w14:paraId="555CCFAB" w14:textId="3F443BF1" w:rsidR="0073177C" w:rsidRDefault="00C87E04" w:rsidP="00E029ED">
      <w:pPr>
        <w:keepLines/>
        <w:contextualSpacing/>
        <w:rPr>
          <w:rFonts w:eastAsia="Calibri" w:cs="Times New Roman"/>
          <w:szCs w:val="24"/>
          <w:lang w:eastAsia="lv-LV"/>
        </w:rPr>
      </w:pPr>
      <w:r w:rsidRPr="00F05627">
        <w:rPr>
          <w:rFonts w:eastAsia="Calibri" w:cs="Times New Roman"/>
          <w:szCs w:val="24"/>
          <w:lang w:eastAsia="lv-LV"/>
        </w:rPr>
        <w:t xml:space="preserve">Raksturojot un analizējot dažādu ēkas parametru kombinācijas būvniecības laikā, ir svarīgi ņemt vērā </w:t>
      </w:r>
      <w:r w:rsidR="00B33697">
        <w:rPr>
          <w:rFonts w:eastAsia="Calibri" w:cs="Times New Roman"/>
          <w:szCs w:val="24"/>
          <w:lang w:eastAsia="lv-LV"/>
        </w:rPr>
        <w:t>ē</w:t>
      </w:r>
      <w:r w:rsidRPr="00F05627">
        <w:rPr>
          <w:rFonts w:eastAsia="Calibri" w:cs="Times New Roman"/>
          <w:szCs w:val="24"/>
          <w:lang w:eastAsia="lv-LV"/>
        </w:rPr>
        <w:t xml:space="preserve">ku norobežojošo konstrukciju siltumtehnisko normatīvo prasības un to izmaiņas. Ēku norobežojošo konstrukciju siltumtehnisko normatīvo prasību izmaiņas kopš 1980. gada norādītas </w:t>
      </w:r>
      <w:r w:rsidR="002E315E" w:rsidRPr="00A15C92">
        <w:rPr>
          <w:rFonts w:eastAsia="Calibri" w:cs="Times New Roman"/>
          <w:szCs w:val="24"/>
          <w:lang w:eastAsia="lv-LV"/>
        </w:rPr>
        <w:t>8</w:t>
      </w:r>
      <w:r w:rsidRPr="00A15C92">
        <w:rPr>
          <w:rFonts w:eastAsia="Calibri" w:cs="Times New Roman"/>
          <w:szCs w:val="24"/>
          <w:lang w:eastAsia="lv-LV"/>
        </w:rPr>
        <w:t xml:space="preserve">. tabulā, savukārt </w:t>
      </w:r>
      <w:r w:rsidR="002E315E" w:rsidRPr="00A15C92">
        <w:rPr>
          <w:rFonts w:eastAsia="Calibri" w:cs="Times New Roman"/>
          <w:szCs w:val="24"/>
          <w:lang w:eastAsia="lv-LV"/>
        </w:rPr>
        <w:t>9</w:t>
      </w:r>
      <w:r w:rsidRPr="00A15C92">
        <w:rPr>
          <w:rFonts w:eastAsia="Calibri" w:cs="Times New Roman"/>
          <w:szCs w:val="24"/>
          <w:lang w:eastAsia="lv-LV"/>
        </w:rPr>
        <w:t>.tabulā</w:t>
      </w:r>
      <w:r w:rsidRPr="00F05627">
        <w:rPr>
          <w:rFonts w:eastAsia="Calibri" w:cs="Times New Roman"/>
          <w:szCs w:val="24"/>
          <w:lang w:eastAsia="lv-LV"/>
        </w:rPr>
        <w:t xml:space="preserve"> attēlotas jaunās Ēku norobežojošo konstrukciju siltumtehnisk</w:t>
      </w:r>
      <w:r w:rsidR="0073177C">
        <w:rPr>
          <w:rFonts w:eastAsia="Calibri" w:cs="Times New Roman"/>
          <w:szCs w:val="24"/>
          <w:lang w:eastAsia="lv-LV"/>
        </w:rPr>
        <w:t>ās</w:t>
      </w:r>
      <w:r w:rsidRPr="00F05627">
        <w:rPr>
          <w:rFonts w:eastAsia="Calibri" w:cs="Times New Roman"/>
          <w:szCs w:val="24"/>
          <w:lang w:eastAsia="lv-LV"/>
        </w:rPr>
        <w:t xml:space="preserve"> normatīv</w:t>
      </w:r>
      <w:r w:rsidR="0073177C">
        <w:rPr>
          <w:rFonts w:eastAsia="Calibri" w:cs="Times New Roman"/>
          <w:szCs w:val="24"/>
          <w:lang w:eastAsia="lv-LV"/>
        </w:rPr>
        <w:t>ās</w:t>
      </w:r>
      <w:r w:rsidRPr="00F05627">
        <w:rPr>
          <w:rFonts w:eastAsia="Calibri" w:cs="Times New Roman"/>
          <w:szCs w:val="24"/>
          <w:lang w:eastAsia="lv-LV"/>
        </w:rPr>
        <w:t xml:space="preserve"> prasīb</w:t>
      </w:r>
      <w:r w:rsidR="0073177C">
        <w:rPr>
          <w:rFonts w:eastAsia="Calibri" w:cs="Times New Roman"/>
          <w:szCs w:val="24"/>
          <w:lang w:eastAsia="lv-LV"/>
        </w:rPr>
        <w:t>as</w:t>
      </w:r>
      <w:r w:rsidRPr="00F05627">
        <w:rPr>
          <w:rFonts w:eastAsia="Calibri" w:cs="Times New Roman"/>
          <w:szCs w:val="24"/>
          <w:lang w:eastAsia="lv-LV"/>
        </w:rPr>
        <w:t xml:space="preserve">, kas </w:t>
      </w:r>
      <w:r w:rsidR="00B33697">
        <w:rPr>
          <w:rFonts w:eastAsia="Calibri" w:cs="Times New Roman"/>
          <w:szCs w:val="24"/>
          <w:lang w:eastAsia="lv-LV"/>
        </w:rPr>
        <w:t>stāj</w:t>
      </w:r>
      <w:r w:rsidR="00C66D60">
        <w:rPr>
          <w:rFonts w:eastAsia="Calibri" w:cs="Times New Roman"/>
          <w:szCs w:val="24"/>
          <w:lang w:eastAsia="lv-LV"/>
        </w:rPr>
        <w:t>ā</w:t>
      </w:r>
      <w:r w:rsidR="00B33697">
        <w:rPr>
          <w:rFonts w:eastAsia="Calibri" w:cs="Times New Roman"/>
          <w:szCs w:val="24"/>
          <w:lang w:eastAsia="lv-LV"/>
        </w:rPr>
        <w:t>s</w:t>
      </w:r>
      <w:r w:rsidRPr="00F05627">
        <w:rPr>
          <w:rFonts w:eastAsia="Calibri" w:cs="Times New Roman"/>
          <w:szCs w:val="24"/>
          <w:lang w:eastAsia="lv-LV"/>
        </w:rPr>
        <w:t xml:space="preserve"> spēkā ar 2020. gada 1. janvāri</w:t>
      </w:r>
      <w:r w:rsidRPr="00F05627">
        <w:rPr>
          <w:rFonts w:eastAsia="Calibri" w:cs="Times New Roman"/>
          <w:szCs w:val="24"/>
          <w:vertAlign w:val="superscript"/>
          <w:lang w:eastAsia="lv-LV"/>
        </w:rPr>
        <w:footnoteReference w:id="6"/>
      </w:r>
      <w:r w:rsidRPr="0000237B">
        <w:t xml:space="preserve"> </w:t>
      </w:r>
      <w:r>
        <w:t xml:space="preserve"> un aizstā</w:t>
      </w:r>
      <w:r w:rsidR="00B33697">
        <w:t>j</w:t>
      </w:r>
      <w:r>
        <w:t xml:space="preserve"> </w:t>
      </w:r>
      <w:r w:rsidR="005510F8" w:rsidRPr="00976A76">
        <w:t>Latvijas būvnormatīvu LBN 002-15 "Ēku norobežojošo konstrukciju siltumtehnika"</w:t>
      </w:r>
      <w:r w:rsidR="005510F8">
        <w:t>.</w:t>
      </w:r>
      <w:r w:rsidRPr="00976A76">
        <w:t xml:space="preserve"> </w:t>
      </w:r>
    </w:p>
    <w:p w14:paraId="58BE3921" w14:textId="7C2FEB24" w:rsidR="00C87E04" w:rsidRPr="00A922AF" w:rsidRDefault="002E315E" w:rsidP="00A922AF">
      <w:pPr>
        <w:spacing w:after="160" w:line="259" w:lineRule="auto"/>
        <w:ind w:firstLine="0"/>
        <w:jc w:val="left"/>
        <w:rPr>
          <w:rFonts w:eastAsia="Calibri" w:cs="Times New Roman"/>
          <w:szCs w:val="24"/>
          <w:highlight w:val="yellow"/>
          <w:lang w:eastAsia="lv-LV"/>
        </w:rPr>
      </w:pPr>
      <w:r w:rsidRPr="00A15C92">
        <w:rPr>
          <w:rFonts w:eastAsia="Calibri" w:cs="Times New Roman"/>
          <w:szCs w:val="24"/>
          <w:lang w:eastAsia="lv-LV"/>
        </w:rPr>
        <w:lastRenderedPageBreak/>
        <w:t>8</w:t>
      </w:r>
      <w:r w:rsidR="00C87E04" w:rsidRPr="00A15C92">
        <w:rPr>
          <w:rFonts w:eastAsia="Calibri" w:cs="Times New Roman"/>
          <w:szCs w:val="24"/>
          <w:lang w:eastAsia="lv-LV"/>
        </w:rPr>
        <w:t>.tabula</w:t>
      </w:r>
      <w:r w:rsidR="00C87E04" w:rsidRPr="00F05627">
        <w:rPr>
          <w:rFonts w:eastAsia="Calibri" w:cs="Times New Roman"/>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781"/>
        <w:gridCol w:w="939"/>
        <w:gridCol w:w="1023"/>
        <w:gridCol w:w="1140"/>
        <w:gridCol w:w="900"/>
        <w:gridCol w:w="898"/>
      </w:tblGrid>
      <w:tr w:rsidR="00C87E04" w:rsidRPr="005E7049" w14:paraId="291C36DF" w14:textId="77777777" w:rsidTr="00C87E04">
        <w:tc>
          <w:tcPr>
            <w:tcW w:w="2676" w:type="pct"/>
            <w:gridSpan w:val="3"/>
            <w:shd w:val="clear" w:color="auto" w:fill="auto"/>
          </w:tcPr>
          <w:p w14:paraId="14A29B94" w14:textId="39326881"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Būvelementi</w:t>
            </w:r>
            <w:r w:rsidR="0073177C">
              <w:rPr>
                <w:rFonts w:eastAsia="Calibri" w:cs="Times New Roman"/>
                <w:sz w:val="20"/>
                <w:szCs w:val="20"/>
              </w:rPr>
              <w:t xml:space="preserve"> / gadi</w:t>
            </w:r>
          </w:p>
        </w:tc>
        <w:tc>
          <w:tcPr>
            <w:tcW w:w="600" w:type="pct"/>
            <w:shd w:val="clear" w:color="auto" w:fill="auto"/>
          </w:tcPr>
          <w:p w14:paraId="3D374885"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1980</w:t>
            </w:r>
          </w:p>
        </w:tc>
        <w:tc>
          <w:tcPr>
            <w:tcW w:w="669" w:type="pct"/>
            <w:shd w:val="clear" w:color="auto" w:fill="auto"/>
          </w:tcPr>
          <w:p w14:paraId="0CE5E24C"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1992</w:t>
            </w:r>
          </w:p>
        </w:tc>
        <w:tc>
          <w:tcPr>
            <w:tcW w:w="528" w:type="pct"/>
            <w:shd w:val="clear" w:color="auto" w:fill="auto"/>
          </w:tcPr>
          <w:p w14:paraId="6A273820"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2003</w:t>
            </w:r>
          </w:p>
        </w:tc>
        <w:tc>
          <w:tcPr>
            <w:tcW w:w="527" w:type="pct"/>
          </w:tcPr>
          <w:p w14:paraId="7DA11E81"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2015</w:t>
            </w:r>
          </w:p>
        </w:tc>
      </w:tr>
      <w:tr w:rsidR="00C87E04" w:rsidRPr="005E7049" w14:paraId="2948AA5D" w14:textId="77777777" w:rsidTr="00C87E04">
        <w:tc>
          <w:tcPr>
            <w:tcW w:w="2125" w:type="pct"/>
            <w:gridSpan w:val="2"/>
            <w:shd w:val="clear" w:color="auto" w:fill="auto"/>
            <w:vAlign w:val="center"/>
          </w:tcPr>
          <w:p w14:paraId="3A71D42A" w14:textId="77777777"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Jumti un pārsegumi, kas saskaras ar āra gaisu</w:t>
            </w:r>
          </w:p>
        </w:tc>
        <w:tc>
          <w:tcPr>
            <w:tcW w:w="551" w:type="pct"/>
            <w:vMerge w:val="restart"/>
            <w:shd w:val="clear" w:color="auto" w:fill="auto"/>
            <w:vAlign w:val="center"/>
          </w:tcPr>
          <w:p w14:paraId="3BE53037" w14:textId="77777777" w:rsidR="00C87E04" w:rsidRPr="005E7049" w:rsidRDefault="00C87E04" w:rsidP="00C87E04">
            <w:pPr>
              <w:keepNext/>
              <w:autoSpaceDE w:val="0"/>
              <w:autoSpaceDN w:val="0"/>
              <w:adjustRightInd w:val="0"/>
              <w:ind w:firstLine="0"/>
              <w:jc w:val="center"/>
              <w:rPr>
                <w:rFonts w:eastAsia="Calibri" w:cs="Times New Roman"/>
                <w:sz w:val="20"/>
                <w:szCs w:val="20"/>
                <w:lang w:eastAsia="lv-LV"/>
              </w:rPr>
            </w:pPr>
            <w:r w:rsidRPr="005E7049">
              <w:rPr>
                <w:rFonts w:eastAsia="Calibri" w:cs="Times New Roman"/>
                <w:sz w:val="20"/>
                <w:szCs w:val="20"/>
                <w:lang w:eastAsia="lv-LV"/>
              </w:rPr>
              <w:t>W/</w:t>
            </w:r>
          </w:p>
          <w:p w14:paraId="62778977"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lang w:eastAsia="lv-LV"/>
              </w:rPr>
              <w:t>(m</w:t>
            </w:r>
            <w:r w:rsidRPr="005E7049">
              <w:rPr>
                <w:rFonts w:eastAsia="Calibri" w:cs="Times New Roman"/>
                <w:sz w:val="20"/>
                <w:szCs w:val="20"/>
                <w:vertAlign w:val="superscript"/>
                <w:lang w:eastAsia="lv-LV"/>
              </w:rPr>
              <w:t>2</w:t>
            </w:r>
            <w:r w:rsidRPr="005E7049">
              <w:rPr>
                <w:rFonts w:eastAsia="Calibri" w:cs="Times New Roman"/>
                <w:sz w:val="20"/>
                <w:szCs w:val="20"/>
                <w:lang w:eastAsia="lv-LV"/>
              </w:rPr>
              <w:t>∙K)</w:t>
            </w:r>
          </w:p>
        </w:tc>
        <w:tc>
          <w:tcPr>
            <w:tcW w:w="600" w:type="pct"/>
            <w:shd w:val="clear" w:color="auto" w:fill="auto"/>
            <w:vAlign w:val="center"/>
          </w:tcPr>
          <w:p w14:paraId="1EE1921E"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0.90</w:t>
            </w:r>
          </w:p>
        </w:tc>
        <w:tc>
          <w:tcPr>
            <w:tcW w:w="669" w:type="pct"/>
            <w:shd w:val="clear" w:color="auto" w:fill="auto"/>
            <w:vAlign w:val="center"/>
          </w:tcPr>
          <w:p w14:paraId="4EAF545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 0.40</w:t>
            </w:r>
          </w:p>
        </w:tc>
        <w:tc>
          <w:tcPr>
            <w:tcW w:w="528" w:type="pct"/>
            <w:shd w:val="clear" w:color="auto" w:fill="auto"/>
            <w:vAlign w:val="center"/>
          </w:tcPr>
          <w:p w14:paraId="3743D72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 k*</w:t>
            </w:r>
          </w:p>
        </w:tc>
        <w:tc>
          <w:tcPr>
            <w:tcW w:w="527" w:type="pct"/>
          </w:tcPr>
          <w:p w14:paraId="40A23143"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0.15 k</w:t>
            </w:r>
          </w:p>
        </w:tc>
      </w:tr>
      <w:tr w:rsidR="00C87E04" w:rsidRPr="005E7049" w14:paraId="7201702D" w14:textId="77777777" w:rsidTr="00C87E04">
        <w:tc>
          <w:tcPr>
            <w:tcW w:w="2125" w:type="pct"/>
            <w:gridSpan w:val="2"/>
            <w:shd w:val="clear" w:color="auto" w:fill="auto"/>
            <w:vAlign w:val="center"/>
          </w:tcPr>
          <w:p w14:paraId="63BC6F26" w14:textId="77777777" w:rsidR="00C87E04" w:rsidRPr="005E7049" w:rsidRDefault="00C87E04" w:rsidP="00C87E04">
            <w:pPr>
              <w:keepNext/>
              <w:autoSpaceDE w:val="0"/>
              <w:autoSpaceDN w:val="0"/>
              <w:adjustRightInd w:val="0"/>
              <w:ind w:firstLine="0"/>
              <w:jc w:val="left"/>
              <w:rPr>
                <w:rFonts w:eastAsia="Calibri" w:cs="Times New Roman"/>
                <w:sz w:val="20"/>
                <w:szCs w:val="20"/>
              </w:rPr>
            </w:pPr>
            <w:r w:rsidRPr="005E7049">
              <w:rPr>
                <w:rFonts w:eastAsia="Calibri" w:cs="Times New Roman"/>
                <w:sz w:val="20"/>
                <w:szCs w:val="20"/>
              </w:rPr>
              <w:t>Grīdas uz grunts</w:t>
            </w:r>
          </w:p>
        </w:tc>
        <w:tc>
          <w:tcPr>
            <w:tcW w:w="551" w:type="pct"/>
            <w:vMerge/>
            <w:shd w:val="clear" w:color="auto" w:fill="auto"/>
            <w:vAlign w:val="center"/>
          </w:tcPr>
          <w:p w14:paraId="4F00FBF1" w14:textId="77777777" w:rsidR="00C87E04" w:rsidRPr="005E7049" w:rsidRDefault="00C87E04" w:rsidP="00C87E04">
            <w:pPr>
              <w:keepNext/>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73CE1F0B"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669" w:type="pct"/>
            <w:shd w:val="clear" w:color="auto" w:fill="auto"/>
            <w:vAlign w:val="center"/>
          </w:tcPr>
          <w:p w14:paraId="4589E8AD"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0.5</w:t>
            </w:r>
          </w:p>
        </w:tc>
        <w:tc>
          <w:tcPr>
            <w:tcW w:w="528" w:type="pct"/>
            <w:shd w:val="clear" w:color="auto" w:fill="auto"/>
            <w:vAlign w:val="center"/>
          </w:tcPr>
          <w:p w14:paraId="56AFFC1A"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k</w:t>
            </w:r>
          </w:p>
        </w:tc>
        <w:tc>
          <w:tcPr>
            <w:tcW w:w="527" w:type="pct"/>
          </w:tcPr>
          <w:p w14:paraId="386767AF" w14:textId="77777777" w:rsidR="00C87E04" w:rsidRPr="005E7049" w:rsidRDefault="00C87E04" w:rsidP="00C87E04">
            <w:pPr>
              <w:keepNext/>
              <w:autoSpaceDE w:val="0"/>
              <w:autoSpaceDN w:val="0"/>
              <w:adjustRightInd w:val="0"/>
              <w:ind w:firstLine="0"/>
              <w:jc w:val="center"/>
              <w:rPr>
                <w:rFonts w:eastAsia="Calibri" w:cs="Times New Roman"/>
                <w:sz w:val="20"/>
                <w:szCs w:val="20"/>
              </w:rPr>
            </w:pPr>
            <w:r w:rsidRPr="005E7049">
              <w:rPr>
                <w:rFonts w:eastAsia="Calibri" w:cs="Times New Roman"/>
                <w:sz w:val="20"/>
                <w:szCs w:val="20"/>
              </w:rPr>
              <w:t>0.15 k</w:t>
            </w:r>
          </w:p>
        </w:tc>
      </w:tr>
      <w:tr w:rsidR="00C87E04" w:rsidRPr="005E7049" w14:paraId="184EF503" w14:textId="77777777" w:rsidTr="00C87E04">
        <w:tc>
          <w:tcPr>
            <w:tcW w:w="2125" w:type="pct"/>
            <w:gridSpan w:val="2"/>
            <w:shd w:val="clear" w:color="auto" w:fill="auto"/>
            <w:vAlign w:val="center"/>
          </w:tcPr>
          <w:p w14:paraId="3C3952C1"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Ārsienas ar masu mazāku nekā 100 kg/m</w:t>
            </w:r>
            <w:r w:rsidRPr="005E7049">
              <w:rPr>
                <w:rFonts w:eastAsia="Calibri" w:cs="Times New Roman"/>
                <w:sz w:val="20"/>
                <w:szCs w:val="20"/>
                <w:vertAlign w:val="superscript"/>
              </w:rPr>
              <w:t>2</w:t>
            </w:r>
          </w:p>
        </w:tc>
        <w:tc>
          <w:tcPr>
            <w:tcW w:w="551" w:type="pct"/>
            <w:vMerge/>
            <w:shd w:val="clear" w:color="auto" w:fill="auto"/>
            <w:vAlign w:val="center"/>
          </w:tcPr>
          <w:p w14:paraId="7E2878DF"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vMerge w:val="restart"/>
            <w:shd w:val="clear" w:color="auto" w:fill="auto"/>
            <w:vAlign w:val="center"/>
          </w:tcPr>
          <w:p w14:paraId="71B1FD2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1.1</w:t>
            </w:r>
          </w:p>
        </w:tc>
        <w:tc>
          <w:tcPr>
            <w:tcW w:w="669" w:type="pct"/>
            <w:vMerge w:val="restart"/>
            <w:shd w:val="clear" w:color="auto" w:fill="auto"/>
            <w:vAlign w:val="center"/>
          </w:tcPr>
          <w:p w14:paraId="5449514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0.33 – 0.50</w:t>
            </w:r>
          </w:p>
        </w:tc>
        <w:tc>
          <w:tcPr>
            <w:tcW w:w="528" w:type="pct"/>
            <w:shd w:val="clear" w:color="auto" w:fill="auto"/>
            <w:vAlign w:val="center"/>
          </w:tcPr>
          <w:p w14:paraId="1BBFECB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0.25 k</w:t>
            </w:r>
          </w:p>
        </w:tc>
        <w:tc>
          <w:tcPr>
            <w:tcW w:w="527" w:type="pct"/>
            <w:vMerge w:val="restart"/>
            <w:vAlign w:val="center"/>
          </w:tcPr>
          <w:p w14:paraId="2CE996E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0.18 k</w:t>
            </w:r>
          </w:p>
        </w:tc>
      </w:tr>
      <w:tr w:rsidR="00C87E04" w:rsidRPr="005E7049" w14:paraId="3AA47317" w14:textId="77777777" w:rsidTr="00C87E04">
        <w:tc>
          <w:tcPr>
            <w:tcW w:w="2125" w:type="pct"/>
            <w:gridSpan w:val="2"/>
            <w:shd w:val="clear" w:color="auto" w:fill="auto"/>
            <w:vAlign w:val="center"/>
          </w:tcPr>
          <w:p w14:paraId="281A2672"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Ārsienas ar masu 100 kg/m</w:t>
            </w:r>
            <w:r w:rsidRPr="005E7049">
              <w:rPr>
                <w:rFonts w:eastAsia="Calibri" w:cs="Times New Roman"/>
                <w:sz w:val="20"/>
                <w:szCs w:val="20"/>
                <w:vertAlign w:val="superscript"/>
              </w:rPr>
              <w:t>2</w:t>
            </w:r>
            <w:r w:rsidRPr="005E7049">
              <w:rPr>
                <w:rFonts w:eastAsia="Calibri" w:cs="Times New Roman"/>
                <w:sz w:val="20"/>
                <w:szCs w:val="20"/>
              </w:rPr>
              <w:t xml:space="preserve"> un vairāk</w:t>
            </w:r>
          </w:p>
        </w:tc>
        <w:tc>
          <w:tcPr>
            <w:tcW w:w="551" w:type="pct"/>
            <w:vMerge/>
            <w:shd w:val="clear" w:color="auto" w:fill="auto"/>
            <w:vAlign w:val="center"/>
          </w:tcPr>
          <w:p w14:paraId="0E41994A"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vMerge/>
            <w:shd w:val="clear" w:color="auto" w:fill="auto"/>
            <w:vAlign w:val="center"/>
          </w:tcPr>
          <w:p w14:paraId="05A2765E" w14:textId="77777777" w:rsidR="00C87E04" w:rsidRPr="005E7049" w:rsidRDefault="00C87E04" w:rsidP="00C87E04">
            <w:pPr>
              <w:autoSpaceDE w:val="0"/>
              <w:autoSpaceDN w:val="0"/>
              <w:adjustRightInd w:val="0"/>
              <w:ind w:firstLine="0"/>
              <w:jc w:val="center"/>
              <w:rPr>
                <w:rFonts w:eastAsia="Calibri" w:cs="Times New Roman"/>
                <w:sz w:val="20"/>
                <w:szCs w:val="20"/>
              </w:rPr>
            </w:pPr>
          </w:p>
        </w:tc>
        <w:tc>
          <w:tcPr>
            <w:tcW w:w="669" w:type="pct"/>
            <w:vMerge/>
            <w:shd w:val="clear" w:color="auto" w:fill="auto"/>
            <w:vAlign w:val="center"/>
          </w:tcPr>
          <w:p w14:paraId="44A39664" w14:textId="77777777" w:rsidR="00C87E04" w:rsidRPr="005E7049" w:rsidRDefault="00C87E04" w:rsidP="00C87E04">
            <w:pPr>
              <w:autoSpaceDE w:val="0"/>
              <w:autoSpaceDN w:val="0"/>
              <w:adjustRightInd w:val="0"/>
              <w:ind w:firstLine="0"/>
              <w:jc w:val="center"/>
              <w:rPr>
                <w:rFonts w:eastAsia="Calibri" w:cs="Times New Roman"/>
                <w:sz w:val="20"/>
                <w:szCs w:val="20"/>
              </w:rPr>
            </w:pPr>
          </w:p>
        </w:tc>
        <w:tc>
          <w:tcPr>
            <w:tcW w:w="528" w:type="pct"/>
            <w:shd w:val="clear" w:color="auto" w:fill="auto"/>
            <w:vAlign w:val="center"/>
          </w:tcPr>
          <w:p w14:paraId="52CD548A"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0.3 k</w:t>
            </w:r>
          </w:p>
        </w:tc>
        <w:tc>
          <w:tcPr>
            <w:tcW w:w="527" w:type="pct"/>
            <w:vMerge/>
          </w:tcPr>
          <w:p w14:paraId="2A3126A6" w14:textId="77777777" w:rsidR="00C87E04" w:rsidRPr="005E7049" w:rsidRDefault="00C87E04" w:rsidP="00C87E04">
            <w:pPr>
              <w:autoSpaceDE w:val="0"/>
              <w:autoSpaceDN w:val="0"/>
              <w:adjustRightInd w:val="0"/>
              <w:ind w:firstLine="0"/>
              <w:jc w:val="center"/>
              <w:rPr>
                <w:rFonts w:eastAsia="Calibri" w:cs="Times New Roman"/>
                <w:sz w:val="20"/>
                <w:szCs w:val="20"/>
              </w:rPr>
            </w:pPr>
          </w:p>
        </w:tc>
      </w:tr>
      <w:tr w:rsidR="00C87E04" w:rsidRPr="005E7049" w14:paraId="0AC0D400" w14:textId="77777777" w:rsidTr="00C87E04">
        <w:tc>
          <w:tcPr>
            <w:tcW w:w="2125" w:type="pct"/>
            <w:gridSpan w:val="2"/>
            <w:shd w:val="clear" w:color="auto" w:fill="auto"/>
            <w:vAlign w:val="center"/>
          </w:tcPr>
          <w:p w14:paraId="51E00974"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Logi</w:t>
            </w:r>
          </w:p>
        </w:tc>
        <w:tc>
          <w:tcPr>
            <w:tcW w:w="551" w:type="pct"/>
            <w:vMerge/>
            <w:shd w:val="clear" w:color="auto" w:fill="auto"/>
            <w:vAlign w:val="center"/>
          </w:tcPr>
          <w:p w14:paraId="1AD787A7"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597BC358"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2.4</w:t>
            </w:r>
          </w:p>
        </w:tc>
        <w:tc>
          <w:tcPr>
            <w:tcW w:w="669" w:type="pct"/>
            <w:shd w:val="clear" w:color="auto" w:fill="auto"/>
            <w:vAlign w:val="center"/>
          </w:tcPr>
          <w:p w14:paraId="7C01F137"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1.9 – 2.4</w:t>
            </w:r>
          </w:p>
        </w:tc>
        <w:tc>
          <w:tcPr>
            <w:tcW w:w="528" w:type="pct"/>
            <w:shd w:val="clear" w:color="auto" w:fill="auto"/>
            <w:vAlign w:val="center"/>
          </w:tcPr>
          <w:p w14:paraId="718FBA8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 k</w:t>
            </w:r>
          </w:p>
        </w:tc>
        <w:tc>
          <w:tcPr>
            <w:tcW w:w="527" w:type="pct"/>
          </w:tcPr>
          <w:p w14:paraId="31F47888"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1.30 k</w:t>
            </w:r>
          </w:p>
        </w:tc>
      </w:tr>
      <w:tr w:rsidR="00C87E04" w:rsidRPr="005E7049" w14:paraId="620EB3CE" w14:textId="77777777" w:rsidTr="00C87E04">
        <w:tc>
          <w:tcPr>
            <w:tcW w:w="2125" w:type="pct"/>
            <w:gridSpan w:val="2"/>
            <w:shd w:val="clear" w:color="auto" w:fill="auto"/>
            <w:vAlign w:val="center"/>
          </w:tcPr>
          <w:p w14:paraId="2291A844"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Durvis</w:t>
            </w:r>
          </w:p>
        </w:tc>
        <w:tc>
          <w:tcPr>
            <w:tcW w:w="551" w:type="pct"/>
            <w:vMerge/>
            <w:shd w:val="clear" w:color="auto" w:fill="auto"/>
            <w:vAlign w:val="center"/>
          </w:tcPr>
          <w:p w14:paraId="48F10F3F"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62E2B5DB"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2.4</w:t>
            </w:r>
          </w:p>
        </w:tc>
        <w:tc>
          <w:tcPr>
            <w:tcW w:w="669" w:type="pct"/>
            <w:shd w:val="clear" w:color="auto" w:fill="auto"/>
          </w:tcPr>
          <w:p w14:paraId="2E6787D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1.9 – 2.4</w:t>
            </w:r>
          </w:p>
        </w:tc>
        <w:tc>
          <w:tcPr>
            <w:tcW w:w="528" w:type="pct"/>
            <w:shd w:val="clear" w:color="auto" w:fill="auto"/>
          </w:tcPr>
          <w:p w14:paraId="54D2676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 k</w:t>
            </w:r>
          </w:p>
        </w:tc>
        <w:tc>
          <w:tcPr>
            <w:tcW w:w="527" w:type="pct"/>
          </w:tcPr>
          <w:p w14:paraId="26D55AF2"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1.80 k</w:t>
            </w:r>
          </w:p>
        </w:tc>
      </w:tr>
      <w:tr w:rsidR="00C87E04" w:rsidRPr="005E7049" w14:paraId="62EFB2CA" w14:textId="77777777" w:rsidTr="00C87E04">
        <w:tc>
          <w:tcPr>
            <w:tcW w:w="2125" w:type="pct"/>
            <w:gridSpan w:val="2"/>
            <w:shd w:val="clear" w:color="auto" w:fill="auto"/>
            <w:vAlign w:val="center"/>
          </w:tcPr>
          <w:p w14:paraId="6914C106"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Termiskie tilti</w:t>
            </w:r>
          </w:p>
        </w:tc>
        <w:tc>
          <w:tcPr>
            <w:tcW w:w="551" w:type="pct"/>
            <w:vMerge/>
            <w:shd w:val="clear" w:color="auto" w:fill="auto"/>
            <w:vAlign w:val="center"/>
          </w:tcPr>
          <w:p w14:paraId="5C3DDF31" w14:textId="77777777" w:rsidR="00C87E04" w:rsidRPr="005E7049" w:rsidRDefault="00C87E04" w:rsidP="00C87E04">
            <w:pPr>
              <w:autoSpaceDE w:val="0"/>
              <w:autoSpaceDN w:val="0"/>
              <w:adjustRightInd w:val="0"/>
              <w:ind w:firstLine="0"/>
              <w:jc w:val="left"/>
              <w:rPr>
                <w:rFonts w:eastAsia="Calibri" w:cs="Times New Roman"/>
                <w:sz w:val="20"/>
                <w:szCs w:val="20"/>
              </w:rPr>
            </w:pPr>
          </w:p>
        </w:tc>
        <w:tc>
          <w:tcPr>
            <w:tcW w:w="600" w:type="pct"/>
            <w:shd w:val="clear" w:color="auto" w:fill="auto"/>
            <w:vAlign w:val="center"/>
          </w:tcPr>
          <w:p w14:paraId="4CA836BD"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669" w:type="pct"/>
            <w:shd w:val="clear" w:color="auto" w:fill="auto"/>
            <w:vAlign w:val="center"/>
          </w:tcPr>
          <w:p w14:paraId="6C48C5A0"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w:t>
            </w:r>
          </w:p>
        </w:tc>
        <w:tc>
          <w:tcPr>
            <w:tcW w:w="528" w:type="pct"/>
            <w:shd w:val="clear" w:color="auto" w:fill="auto"/>
            <w:vAlign w:val="center"/>
          </w:tcPr>
          <w:p w14:paraId="3ED28A9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0.2 k</w:t>
            </w:r>
          </w:p>
        </w:tc>
        <w:tc>
          <w:tcPr>
            <w:tcW w:w="527" w:type="pct"/>
          </w:tcPr>
          <w:p w14:paraId="2E1B288F"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0.10 k</w:t>
            </w:r>
          </w:p>
        </w:tc>
      </w:tr>
      <w:tr w:rsidR="00C87E04" w:rsidRPr="005E7049" w14:paraId="5E52DC13" w14:textId="77777777" w:rsidTr="00C87E04">
        <w:tc>
          <w:tcPr>
            <w:tcW w:w="4473" w:type="pct"/>
            <w:gridSpan w:val="6"/>
            <w:shd w:val="clear" w:color="auto" w:fill="auto"/>
          </w:tcPr>
          <w:p w14:paraId="20AADC1B"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 xml:space="preserve">*Temperatūras faktors </w:t>
            </w:r>
            <w:r w:rsidRPr="005E7049">
              <w:rPr>
                <w:rFonts w:eastAsia="Calibri" w:cs="Times New Roman"/>
                <w:b/>
                <w:bCs/>
                <w:sz w:val="20"/>
                <w:szCs w:val="20"/>
              </w:rPr>
              <w:t xml:space="preserve">k </w:t>
            </w:r>
            <w:r w:rsidRPr="005E7049">
              <w:rPr>
                <w:rFonts w:eastAsia="Calibri" w:cs="Times New Roman"/>
                <w:sz w:val="20"/>
                <w:szCs w:val="20"/>
              </w:rPr>
              <w:t>= 19/(T</w:t>
            </w:r>
            <w:r w:rsidRPr="005E7049">
              <w:rPr>
                <w:rFonts w:eastAsia="Calibri" w:cs="Times New Roman"/>
                <w:sz w:val="20"/>
                <w:szCs w:val="20"/>
                <w:vertAlign w:val="subscript"/>
              </w:rPr>
              <w:t>iekš.</w:t>
            </w:r>
            <w:r w:rsidRPr="005E7049">
              <w:rPr>
                <w:rFonts w:eastAsia="Calibri" w:cs="Times New Roman"/>
                <w:sz w:val="20"/>
                <w:szCs w:val="20"/>
              </w:rPr>
              <w:t xml:space="preserve"> – T</w:t>
            </w:r>
            <w:r w:rsidRPr="005E7049">
              <w:rPr>
                <w:rFonts w:eastAsia="Calibri" w:cs="Times New Roman"/>
                <w:sz w:val="20"/>
                <w:szCs w:val="20"/>
                <w:vertAlign w:val="subscript"/>
              </w:rPr>
              <w:t>ār.</w:t>
            </w:r>
            <w:r w:rsidRPr="005E7049">
              <w:rPr>
                <w:rFonts w:eastAsia="Calibri" w:cs="Times New Roman"/>
                <w:sz w:val="20"/>
                <w:szCs w:val="20"/>
              </w:rPr>
              <w:t xml:space="preserve">), atkarībā no klimata zonas dzīvojamām mājām </w:t>
            </w:r>
            <w:r w:rsidRPr="005E7049">
              <w:rPr>
                <w:rFonts w:eastAsia="Calibri" w:cs="Times New Roman"/>
                <w:b/>
                <w:bCs/>
                <w:sz w:val="20"/>
                <w:szCs w:val="20"/>
              </w:rPr>
              <w:t>k</w:t>
            </w:r>
            <w:r w:rsidRPr="005E7049">
              <w:rPr>
                <w:rFonts w:eastAsia="Calibri" w:cs="Times New Roman"/>
                <w:sz w:val="20"/>
                <w:szCs w:val="20"/>
              </w:rPr>
              <w:t xml:space="preserve"> ir no 0,95 (Liepājā) līdz 1,09 (Alūksnē)</w:t>
            </w:r>
          </w:p>
        </w:tc>
        <w:tc>
          <w:tcPr>
            <w:tcW w:w="527" w:type="pct"/>
          </w:tcPr>
          <w:p w14:paraId="55CAC0CA" w14:textId="77777777" w:rsidR="00C87E04" w:rsidRPr="005E7049" w:rsidRDefault="00C87E04" w:rsidP="00C87E04">
            <w:pPr>
              <w:autoSpaceDE w:val="0"/>
              <w:autoSpaceDN w:val="0"/>
              <w:adjustRightInd w:val="0"/>
              <w:ind w:firstLine="0"/>
              <w:jc w:val="left"/>
              <w:rPr>
                <w:rFonts w:eastAsia="Calibri" w:cs="Times New Roman"/>
                <w:sz w:val="20"/>
                <w:szCs w:val="20"/>
              </w:rPr>
            </w:pPr>
          </w:p>
        </w:tc>
      </w:tr>
      <w:tr w:rsidR="00C87E04" w:rsidRPr="005E7049" w14:paraId="168CB550" w14:textId="77777777" w:rsidTr="00C87E04">
        <w:tc>
          <w:tcPr>
            <w:tcW w:w="1667" w:type="pct"/>
            <w:shd w:val="clear" w:color="auto" w:fill="auto"/>
            <w:vAlign w:val="center"/>
          </w:tcPr>
          <w:p w14:paraId="2BD1A4D0" w14:textId="77777777" w:rsidR="00C87E04" w:rsidRPr="005E7049" w:rsidRDefault="00C87E04" w:rsidP="00C87E04">
            <w:pPr>
              <w:autoSpaceDE w:val="0"/>
              <w:autoSpaceDN w:val="0"/>
              <w:adjustRightInd w:val="0"/>
              <w:ind w:firstLine="0"/>
              <w:jc w:val="left"/>
              <w:rPr>
                <w:rFonts w:eastAsia="Calibri" w:cs="Times New Roman"/>
                <w:sz w:val="20"/>
                <w:szCs w:val="20"/>
              </w:rPr>
            </w:pPr>
            <w:r w:rsidRPr="005E7049">
              <w:rPr>
                <w:rFonts w:eastAsia="Calibri" w:cs="Times New Roman"/>
                <w:sz w:val="20"/>
                <w:szCs w:val="20"/>
              </w:rPr>
              <w:t xml:space="preserve">Enerģijas patēriņš apkurei </w:t>
            </w:r>
          </w:p>
        </w:tc>
        <w:tc>
          <w:tcPr>
            <w:tcW w:w="1009" w:type="pct"/>
            <w:gridSpan w:val="2"/>
            <w:shd w:val="clear" w:color="auto" w:fill="auto"/>
            <w:vAlign w:val="center"/>
          </w:tcPr>
          <w:p w14:paraId="24AC8639"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kWh/m</w:t>
            </w:r>
            <w:r w:rsidRPr="005E7049">
              <w:rPr>
                <w:rFonts w:eastAsia="Calibri" w:cs="Times New Roman"/>
                <w:sz w:val="20"/>
                <w:szCs w:val="20"/>
                <w:vertAlign w:val="superscript"/>
              </w:rPr>
              <w:t>2</w:t>
            </w:r>
            <w:r w:rsidRPr="005E7049">
              <w:rPr>
                <w:rFonts w:eastAsia="Calibri" w:cs="Times New Roman"/>
                <w:sz w:val="20"/>
                <w:szCs w:val="20"/>
              </w:rPr>
              <w:t xml:space="preserve"> gadā</w:t>
            </w:r>
          </w:p>
        </w:tc>
        <w:tc>
          <w:tcPr>
            <w:tcW w:w="600" w:type="pct"/>
            <w:shd w:val="clear" w:color="auto" w:fill="auto"/>
            <w:vAlign w:val="center"/>
          </w:tcPr>
          <w:p w14:paraId="09A5F73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150 – 200</w:t>
            </w:r>
          </w:p>
        </w:tc>
        <w:tc>
          <w:tcPr>
            <w:tcW w:w="669" w:type="pct"/>
            <w:shd w:val="clear" w:color="auto" w:fill="auto"/>
            <w:vAlign w:val="center"/>
          </w:tcPr>
          <w:p w14:paraId="3F0925BC"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100 – 130</w:t>
            </w:r>
          </w:p>
        </w:tc>
        <w:tc>
          <w:tcPr>
            <w:tcW w:w="528" w:type="pct"/>
            <w:shd w:val="clear" w:color="auto" w:fill="auto"/>
            <w:vAlign w:val="center"/>
          </w:tcPr>
          <w:p w14:paraId="5CF97EB4"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70 – 90</w:t>
            </w:r>
          </w:p>
        </w:tc>
        <w:tc>
          <w:tcPr>
            <w:tcW w:w="527" w:type="pct"/>
          </w:tcPr>
          <w:p w14:paraId="6A7E9E53" w14:textId="77777777" w:rsidR="00C87E04" w:rsidRPr="005E7049" w:rsidRDefault="00C87E04" w:rsidP="00C87E04">
            <w:pPr>
              <w:autoSpaceDE w:val="0"/>
              <w:autoSpaceDN w:val="0"/>
              <w:adjustRightInd w:val="0"/>
              <w:ind w:firstLine="0"/>
              <w:jc w:val="center"/>
              <w:rPr>
                <w:rFonts w:eastAsia="Calibri" w:cs="Times New Roman"/>
                <w:sz w:val="20"/>
                <w:szCs w:val="20"/>
              </w:rPr>
            </w:pPr>
            <w:r w:rsidRPr="005E7049">
              <w:rPr>
                <w:rFonts w:eastAsia="Calibri" w:cs="Times New Roman"/>
                <w:sz w:val="20"/>
                <w:szCs w:val="20"/>
              </w:rPr>
              <w:t>60 – 85</w:t>
            </w:r>
          </w:p>
        </w:tc>
      </w:tr>
    </w:tbl>
    <w:p w14:paraId="1C22F4C9" w14:textId="77777777" w:rsidR="00C87E04" w:rsidRDefault="00C87E04" w:rsidP="00C87E04">
      <w:pPr>
        <w:ind w:firstLine="0"/>
        <w:contextualSpacing/>
        <w:rPr>
          <w:rFonts w:eastAsia="Calibri" w:cs="Times New Roman"/>
          <w:szCs w:val="24"/>
          <w:highlight w:val="yellow"/>
          <w:lang w:eastAsia="lv-LV"/>
        </w:rPr>
      </w:pPr>
    </w:p>
    <w:p w14:paraId="3D9D63B4" w14:textId="54D3851A" w:rsidR="00004D15" w:rsidRPr="0073177C" w:rsidRDefault="00E24E4F" w:rsidP="0073177C">
      <w:pPr>
        <w:rPr>
          <w:rFonts w:eastAsia="Calibri" w:cs="Times New Roman"/>
          <w:szCs w:val="24"/>
          <w:highlight w:val="yellow"/>
          <w:lang w:eastAsia="lv-LV"/>
        </w:rPr>
      </w:pPr>
      <w:r w:rsidRPr="00E24E4F">
        <w:rPr>
          <w:rFonts w:eastAsia="Calibri" w:cs="Times New Roman"/>
          <w:szCs w:val="24"/>
          <w:lang w:eastAsia="lv-LV"/>
        </w:rPr>
        <w:t>Būvnormatīvs nosaka ēku ārējo norobežojošo konstrukciju būves elementu un to savienojumu energoefektivitātes projektēšanas kārtību jaunbūvējamām, pārbūvējamām un atjaunojamām apkurināmām ēkām, kā arī esošajās ēkās ierīkojamām jaunām apkurināmām telpām, kurās apkures sezonā tiek uzturēta temperatūra 8° C un augstāka.</w:t>
      </w:r>
    </w:p>
    <w:p w14:paraId="441EAB21" w14:textId="4D3B1CAA" w:rsidR="00E24E4F" w:rsidRDefault="00E24E4F" w:rsidP="00A922AF">
      <w:pPr>
        <w:contextualSpacing/>
        <w:rPr>
          <w:rFonts w:eastAsia="Calibri" w:cs="Times New Roman"/>
          <w:szCs w:val="24"/>
          <w:lang w:eastAsia="lv-LV"/>
        </w:rPr>
      </w:pPr>
      <w:r w:rsidRPr="00E24E4F">
        <w:rPr>
          <w:rFonts w:eastAsia="Calibri" w:cs="Times New Roman"/>
          <w:szCs w:val="24"/>
          <w:lang w:eastAsia="lv-LV"/>
        </w:rPr>
        <w:t>Lai ēku pārbūvē netiktu ierobežoti dažādi konstruktīvie risinājumi un arhitektūras formas vai būvniecības ieceres ierosinātāja vēlmes, normatīvās siltumcaurlaidības vērtības ir izņemtas no līdzšinējā būvnormatīva. Svarīgi ir sasniegt kWh/m</w:t>
      </w:r>
      <w:r w:rsidRPr="00E24E4F">
        <w:rPr>
          <w:rFonts w:eastAsia="Calibri" w:cs="Times New Roman"/>
          <w:szCs w:val="24"/>
          <w:vertAlign w:val="superscript"/>
          <w:lang w:eastAsia="lv-LV"/>
        </w:rPr>
        <w:t>2</w:t>
      </w:r>
      <w:r w:rsidRPr="00E24E4F">
        <w:rPr>
          <w:rFonts w:eastAsia="Calibri" w:cs="Times New Roman"/>
          <w:szCs w:val="24"/>
          <w:lang w:eastAsia="lv-LV"/>
        </w:rPr>
        <w:t xml:space="preserve"> apkures patēriņa un maksimāli pieļaujamās U vērtības. Maksimāli pieļaujamās U vērtības normatīvā ir uzrādītas ar mērķi ierobežot siltumtehniski ļoti sliktu un nedrošu konstrukciju izbūvi, kas var novest pie dažāda veida problēmām ekspluatācijas laikā. </w:t>
      </w:r>
    </w:p>
    <w:p w14:paraId="55A781A8" w14:textId="77777777" w:rsidR="002137DA" w:rsidRDefault="002137DA" w:rsidP="00C87E04">
      <w:pPr>
        <w:ind w:firstLine="0"/>
        <w:rPr>
          <w:rFonts w:eastAsia="Calibri" w:cs="Times New Roman"/>
          <w:szCs w:val="24"/>
          <w:lang w:eastAsia="lv-LV"/>
        </w:rPr>
      </w:pPr>
    </w:p>
    <w:p w14:paraId="1AB88E86" w14:textId="06EEC439" w:rsidR="0073177C" w:rsidRPr="00E029ED" w:rsidRDefault="0023440A" w:rsidP="00C87E04">
      <w:pPr>
        <w:ind w:firstLine="0"/>
        <w:rPr>
          <w:rFonts w:eastAsia="Calibri" w:cs="Times New Roman"/>
          <w:szCs w:val="24"/>
          <w:lang w:eastAsia="lv-LV"/>
        </w:rPr>
      </w:pPr>
      <w:r w:rsidRPr="0023440A">
        <w:rPr>
          <w:rFonts w:eastAsia="Calibri" w:cs="Times New Roman"/>
          <w:szCs w:val="24"/>
          <w:lang w:eastAsia="lv-LV"/>
        </w:rPr>
        <w:t xml:space="preserve">9. </w:t>
      </w:r>
      <w:r>
        <w:rPr>
          <w:rFonts w:eastAsia="Calibri" w:cs="Times New Roman"/>
          <w:szCs w:val="24"/>
          <w:lang w:eastAsia="lv-LV"/>
        </w:rPr>
        <w:t>t</w:t>
      </w:r>
      <w:r w:rsidRPr="0023440A">
        <w:rPr>
          <w:rFonts w:eastAsia="Calibri" w:cs="Times New Roman"/>
          <w:szCs w:val="24"/>
          <w:lang w:eastAsia="lv-LV"/>
        </w:rPr>
        <w:t>abula</w:t>
      </w:r>
      <w:r>
        <w:rPr>
          <w:rFonts w:eastAsia="Calibri" w:cs="Times New Roman"/>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436"/>
        <w:gridCol w:w="1595"/>
        <w:gridCol w:w="1426"/>
        <w:gridCol w:w="1909"/>
      </w:tblGrid>
      <w:tr w:rsidR="00C87E04" w:rsidRPr="00D03866" w14:paraId="242D1BDF" w14:textId="77777777" w:rsidTr="00C87E04">
        <w:tc>
          <w:tcPr>
            <w:tcW w:w="20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3437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Konstrukcija</w:t>
            </w: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F8A97"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Dzīvojamās ēkas, pansionāti, slimnīcas un bērnudārzi</w:t>
            </w:r>
          </w:p>
        </w:tc>
        <w:tc>
          <w:tcPr>
            <w:tcW w:w="8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48756"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Nedzīvojamās ēkas</w:t>
            </w:r>
          </w:p>
        </w:tc>
        <w:tc>
          <w:tcPr>
            <w:tcW w:w="11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8EF3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Ražošanas ēkas</w:t>
            </w:r>
          </w:p>
        </w:tc>
      </w:tr>
      <w:tr w:rsidR="00C87E04" w:rsidRPr="00D03866" w14:paraId="50051FB8" w14:textId="77777777" w:rsidTr="00C87E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2F128" w14:textId="77777777" w:rsidR="00C87E04" w:rsidRPr="00560EAB" w:rsidRDefault="00C87E04" w:rsidP="00C87E04">
            <w:pPr>
              <w:ind w:firstLine="0"/>
              <w:jc w:val="left"/>
              <w:rPr>
                <w:rFonts w:eastAsia="Times New Roman" w:cs="Times New Roman"/>
                <w:color w:val="000000" w:themeColor="text1"/>
                <w:sz w:val="20"/>
                <w:szCs w:val="20"/>
                <w:lang w:eastAsia="lv-LV"/>
              </w:rPr>
            </w:pP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A7FB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c>
          <w:tcPr>
            <w:tcW w:w="8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391BD"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c>
          <w:tcPr>
            <w:tcW w:w="11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AC0DA"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U</w:t>
            </w:r>
            <w:r w:rsidRPr="00560EAB">
              <w:rPr>
                <w:rFonts w:eastAsia="Times New Roman" w:cs="Times New Roman"/>
                <w:color w:val="000000" w:themeColor="text1"/>
                <w:sz w:val="20"/>
                <w:szCs w:val="20"/>
                <w:bdr w:val="none" w:sz="0" w:space="0" w:color="auto" w:frame="1"/>
                <w:vertAlign w:val="subscript"/>
                <w:lang w:eastAsia="lv-LV"/>
              </w:rPr>
              <w:t>RM</w:t>
            </w:r>
            <w:r w:rsidRPr="00560EAB">
              <w:rPr>
                <w:rFonts w:eastAsia="Times New Roman" w:cs="Times New Roman"/>
                <w:color w:val="000000" w:themeColor="text1"/>
                <w:sz w:val="20"/>
                <w:szCs w:val="20"/>
                <w:lang w:eastAsia="lv-LV"/>
              </w:rPr>
              <w:t> vērtība, W/(m</w:t>
            </w:r>
            <w:r w:rsidRPr="00560EAB">
              <w:rPr>
                <w:rFonts w:eastAsia="Times New Roman" w:cs="Times New Roman"/>
                <w:color w:val="000000" w:themeColor="text1"/>
                <w:sz w:val="20"/>
                <w:szCs w:val="20"/>
                <w:vertAlign w:val="superscript"/>
                <w:lang w:eastAsia="lv-LV"/>
              </w:rPr>
              <w:t>2</w:t>
            </w:r>
            <w:r w:rsidRPr="00560EAB">
              <w:rPr>
                <w:rFonts w:eastAsia="Times New Roman" w:cs="Times New Roman"/>
                <w:color w:val="000000" w:themeColor="text1"/>
                <w:sz w:val="20"/>
                <w:szCs w:val="20"/>
                <w:lang w:eastAsia="lv-LV"/>
              </w:rPr>
              <w:t>K)</w:t>
            </w:r>
          </w:p>
        </w:tc>
      </w:tr>
      <w:tr w:rsidR="00C87E04" w:rsidRPr="00D03866" w14:paraId="1D65BCF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F9EBC58"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Grīda</w:t>
            </w:r>
            <w:r w:rsidRPr="00560EAB">
              <w:rPr>
                <w:rFonts w:eastAsia="Times New Roman" w:cs="Times New Roman"/>
                <w:color w:val="000000" w:themeColor="text1"/>
                <w:sz w:val="20"/>
                <w:szCs w:val="20"/>
                <w:vertAlign w:val="superscript"/>
                <w:lang w:eastAsia="lv-LV"/>
              </w:rPr>
              <w:t>1</w:t>
            </w:r>
            <w:r w:rsidRPr="00560EAB">
              <w:rPr>
                <w:rFonts w:eastAsia="Times New Roman" w:cs="Times New Roman"/>
                <w:color w:val="000000" w:themeColor="text1"/>
                <w:sz w:val="20"/>
                <w:szCs w:val="20"/>
                <w:lang w:eastAsia="lv-LV"/>
              </w:rPr>
              <w:t>:</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37AC6864"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C2D97D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2C283428"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r>
      <w:tr w:rsidR="00C87E04" w:rsidRPr="00D03866" w14:paraId="35A53435"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30F5926"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grīdas un sienas saskarē ar grunti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5EDBE596"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503A314"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67940C3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0,35</w:t>
            </w:r>
          </w:p>
        </w:tc>
      </w:tr>
      <w:tr w:rsidR="00C87E04" w:rsidRPr="00D03866" w14:paraId="782E82DA"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1DD09EC3"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grīda uz neapkurināmu pagrabstāvu vai grīda ar ventilējamu pagrīdi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7675995"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02E4928F"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5D71AD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0,40</w:t>
            </w:r>
          </w:p>
        </w:tc>
      </w:tr>
      <w:tr w:rsidR="00C87E04" w:rsidRPr="00D03866" w14:paraId="420A49FB"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2B5ECBA0"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Ārsienas:</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EB67849"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9318D71"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2D0C0AE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 </w:t>
            </w:r>
          </w:p>
        </w:tc>
      </w:tr>
      <w:tr w:rsidR="00C87E04" w:rsidRPr="00D03866" w14:paraId="30B68A0C"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1FC4FFC5"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ārsienas</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394FD62"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0,23</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5C98A1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0,25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7FC481DA"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0,30</w:t>
            </w:r>
          </w:p>
        </w:tc>
      </w:tr>
      <w:tr w:rsidR="00C87E04" w:rsidRPr="00D03866" w14:paraId="5D41BABE"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65DABFF4" w14:textId="77777777" w:rsidR="00C87E04" w:rsidRPr="00560EAB" w:rsidRDefault="00C87E04" w:rsidP="00C87E04">
            <w:pPr>
              <w:ind w:firstLine="0"/>
              <w:jc w:val="left"/>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sienas tradicionālajās guļbūvēs bez siltumizolācijas slāņa iebūvēšanas sienā</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1402EC6E"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F34E3F1"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3B19864B" w14:textId="77777777" w:rsidR="00C87E04" w:rsidRPr="00560EAB" w:rsidRDefault="00C87E04" w:rsidP="00C87E04">
            <w:pPr>
              <w:ind w:firstLine="0"/>
              <w:jc w:val="center"/>
              <w:rPr>
                <w:rFonts w:eastAsia="Times New Roman" w:cs="Times New Roman"/>
                <w:color w:val="000000" w:themeColor="text1"/>
                <w:sz w:val="20"/>
                <w:szCs w:val="20"/>
                <w:lang w:eastAsia="lv-LV"/>
              </w:rPr>
            </w:pPr>
            <w:r w:rsidRPr="00560EAB">
              <w:rPr>
                <w:rFonts w:eastAsia="Times New Roman" w:cs="Times New Roman"/>
                <w:color w:val="000000" w:themeColor="text1"/>
                <w:sz w:val="20"/>
                <w:szCs w:val="20"/>
                <w:lang w:eastAsia="lv-LV"/>
              </w:rPr>
              <w:t>0,65</w:t>
            </w:r>
          </w:p>
        </w:tc>
      </w:tr>
      <w:tr w:rsidR="00C87E04" w:rsidRPr="00D03866" w14:paraId="03CF814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3DA60083"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Jumti un pārsegumi, kas saskaras ar āra gaisu</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246E743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3C6E090C"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0,23</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645DF6BC"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0,25</w:t>
            </w:r>
          </w:p>
        </w:tc>
      </w:tr>
      <w:tr w:rsidR="00C87E04" w:rsidRPr="00D03866" w14:paraId="28130804"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4A9F9214"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Ārdurvis un vārti</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6B3EAD2"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1,80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1F44672A"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2,00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E3666D0"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2,20</w:t>
            </w:r>
          </w:p>
        </w:tc>
      </w:tr>
      <w:tr w:rsidR="00C87E04" w:rsidRPr="00D03866" w14:paraId="41D53F79"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7D273BBE"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Logi un balkona durvis</w:t>
            </w:r>
            <w:r w:rsidRPr="00C87E04">
              <w:rPr>
                <w:rFonts w:eastAsia="Times New Roman" w:cs="Times New Roman"/>
                <w:color w:val="000000" w:themeColor="text1"/>
                <w:sz w:val="20"/>
                <w:szCs w:val="20"/>
                <w:vertAlign w:val="superscript"/>
                <w:lang w:eastAsia="lv-LV"/>
              </w:rPr>
              <w:t>2</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652BF45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1,10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624A75D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1,10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5D989692"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1,30</w:t>
            </w:r>
          </w:p>
        </w:tc>
      </w:tr>
      <w:tr w:rsidR="00C87E04" w:rsidRPr="00D03866" w14:paraId="129BD913" w14:textId="77777777" w:rsidTr="00C87E04">
        <w:tc>
          <w:tcPr>
            <w:tcW w:w="2054" w:type="pct"/>
            <w:tcBorders>
              <w:top w:val="outset" w:sz="6" w:space="0" w:color="414142"/>
              <w:left w:val="outset" w:sz="6" w:space="0" w:color="414142"/>
              <w:bottom w:val="outset" w:sz="6" w:space="0" w:color="414142"/>
              <w:right w:val="outset" w:sz="6" w:space="0" w:color="414142"/>
            </w:tcBorders>
            <w:shd w:val="clear" w:color="auto" w:fill="FFFFFF"/>
            <w:hideMark/>
          </w:tcPr>
          <w:p w14:paraId="2CF0D608" w14:textId="77777777" w:rsidR="00C87E04" w:rsidRPr="00C87E04" w:rsidRDefault="00C87E04" w:rsidP="00C87E04">
            <w:pPr>
              <w:ind w:firstLine="0"/>
              <w:jc w:val="left"/>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Termiskie tilti, ψ</w:t>
            </w:r>
            <w:r w:rsidRPr="00C87E04">
              <w:rPr>
                <w:rFonts w:eastAsia="Times New Roman" w:cs="Times New Roman"/>
                <w:color w:val="000000" w:themeColor="text1"/>
                <w:sz w:val="20"/>
                <w:szCs w:val="20"/>
                <w:bdr w:val="none" w:sz="0" w:space="0" w:color="auto" w:frame="1"/>
                <w:vertAlign w:val="subscript"/>
                <w:lang w:eastAsia="lv-LV"/>
              </w:rPr>
              <w:t>RM</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2E4FB8EA"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852" w:type="pct"/>
            <w:tcBorders>
              <w:top w:val="outset" w:sz="6" w:space="0" w:color="414142"/>
              <w:left w:val="outset" w:sz="6" w:space="0" w:color="414142"/>
              <w:bottom w:val="outset" w:sz="6" w:space="0" w:color="414142"/>
              <w:right w:val="outset" w:sz="6" w:space="0" w:color="414142"/>
            </w:tcBorders>
            <w:shd w:val="clear" w:color="auto" w:fill="FFFFFF"/>
            <w:hideMark/>
          </w:tcPr>
          <w:p w14:paraId="4375B1D7"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0,20</w:t>
            </w:r>
          </w:p>
        </w:tc>
        <w:tc>
          <w:tcPr>
            <w:tcW w:w="1141" w:type="pct"/>
            <w:tcBorders>
              <w:top w:val="outset" w:sz="6" w:space="0" w:color="414142"/>
              <w:left w:val="outset" w:sz="6" w:space="0" w:color="414142"/>
              <w:bottom w:val="outset" w:sz="6" w:space="0" w:color="414142"/>
              <w:right w:val="outset" w:sz="6" w:space="0" w:color="414142"/>
            </w:tcBorders>
            <w:shd w:val="clear" w:color="auto" w:fill="FFFFFF"/>
            <w:hideMark/>
          </w:tcPr>
          <w:p w14:paraId="15344DDD" w14:textId="77777777" w:rsidR="00C87E04" w:rsidRPr="00C87E04" w:rsidRDefault="00C87E04" w:rsidP="00C87E04">
            <w:pPr>
              <w:ind w:firstLine="0"/>
              <w:jc w:val="center"/>
              <w:rPr>
                <w:rFonts w:eastAsia="Times New Roman" w:cs="Times New Roman"/>
                <w:color w:val="000000" w:themeColor="text1"/>
                <w:sz w:val="20"/>
                <w:szCs w:val="20"/>
                <w:lang w:eastAsia="lv-LV"/>
              </w:rPr>
            </w:pPr>
            <w:r w:rsidRPr="00C87E04">
              <w:rPr>
                <w:rFonts w:eastAsia="Times New Roman" w:cs="Times New Roman"/>
                <w:color w:val="000000" w:themeColor="text1"/>
                <w:sz w:val="20"/>
                <w:szCs w:val="20"/>
                <w:lang w:eastAsia="lv-LV"/>
              </w:rPr>
              <w:t>0,35</w:t>
            </w:r>
          </w:p>
        </w:tc>
      </w:tr>
    </w:tbl>
    <w:p w14:paraId="6761B0A8" w14:textId="481E4C1D" w:rsidR="0023440A" w:rsidRPr="0023440A" w:rsidRDefault="0023440A" w:rsidP="0023440A">
      <w:pPr>
        <w:ind w:firstLine="0"/>
        <w:contextualSpacing/>
        <w:rPr>
          <w:rFonts w:eastAsia="Calibri" w:cs="Times New Roman"/>
          <w:sz w:val="20"/>
          <w:szCs w:val="20"/>
          <w:lang w:eastAsia="lv-LV"/>
        </w:rPr>
      </w:pPr>
      <w:r w:rsidRPr="0023440A">
        <w:rPr>
          <w:rFonts w:eastAsia="Calibri" w:cs="Times New Roman"/>
          <w:sz w:val="20"/>
          <w:szCs w:val="20"/>
          <w:lang w:eastAsia="lv-LV"/>
        </w:rPr>
        <w:t>Būves elementa un lineārā termiskā tilta siltuma caurlaidības koeficientu maksimāli pieļaujamās vērtības</w:t>
      </w:r>
      <w:r w:rsidR="00E51246">
        <w:rPr>
          <w:rFonts w:eastAsia="Calibri" w:cs="Times New Roman"/>
          <w:sz w:val="20"/>
          <w:szCs w:val="20"/>
          <w:lang w:eastAsia="lv-LV"/>
        </w:rPr>
        <w:t>.</w:t>
      </w:r>
    </w:p>
    <w:p w14:paraId="53DEB818" w14:textId="77777777" w:rsidR="00C87E04" w:rsidRPr="00B33697" w:rsidRDefault="00C87E04" w:rsidP="00B33697">
      <w:pPr>
        <w:ind w:firstLine="0"/>
        <w:rPr>
          <w:rFonts w:cs="Times New Roman"/>
          <w:szCs w:val="24"/>
        </w:rPr>
      </w:pPr>
    </w:p>
    <w:p w14:paraId="0D0E880B" w14:textId="77777777" w:rsidR="00E029ED" w:rsidRDefault="00E029ED">
      <w:pPr>
        <w:rPr>
          <w:rFonts w:eastAsia="Calibri" w:cs="Times New Roman"/>
          <w:szCs w:val="24"/>
          <w:lang w:eastAsia="lv-LV"/>
        </w:rPr>
      </w:pPr>
      <w:r>
        <w:rPr>
          <w:rFonts w:eastAsia="Calibri" w:cs="Times New Roman"/>
          <w:szCs w:val="24"/>
          <w:lang w:eastAsia="lv-LV"/>
        </w:rPr>
        <w:br w:type="page"/>
      </w:r>
    </w:p>
    <w:p w14:paraId="128AE4E4" w14:textId="19F11B89" w:rsidR="001C261C" w:rsidRPr="001C261C" w:rsidRDefault="0073177C" w:rsidP="00A922AF">
      <w:pPr>
        <w:contextualSpacing/>
        <w:rPr>
          <w:rFonts w:eastAsia="Calibri" w:cs="Times New Roman"/>
          <w:szCs w:val="24"/>
          <w:lang w:eastAsia="lv-LV"/>
        </w:rPr>
      </w:pPr>
      <w:r>
        <w:rPr>
          <w:rFonts w:eastAsia="Calibri" w:cs="Times New Roman"/>
          <w:szCs w:val="24"/>
          <w:lang w:eastAsia="lv-LV"/>
        </w:rPr>
        <w:lastRenderedPageBreak/>
        <w:t>Rezumējot, ir</w:t>
      </w:r>
      <w:r w:rsidRPr="00E24E4F">
        <w:rPr>
          <w:rFonts w:eastAsia="Calibri" w:cs="Times New Roman"/>
          <w:szCs w:val="24"/>
          <w:lang w:eastAsia="lv-LV"/>
        </w:rPr>
        <w:t xml:space="preserve"> samazināta pieļaujamā U vērtība logiem un balkonu durvīm</w:t>
      </w:r>
      <w:r>
        <w:rPr>
          <w:rFonts w:eastAsia="Calibri" w:cs="Times New Roman"/>
          <w:szCs w:val="24"/>
          <w:lang w:eastAsia="lv-LV"/>
        </w:rPr>
        <w:t>, taču</w:t>
      </w:r>
      <w:r w:rsidR="001C261C" w:rsidRPr="001C261C">
        <w:rPr>
          <w:rFonts w:eastAsia="Calibri" w:cs="Times New Roman"/>
          <w:szCs w:val="24"/>
          <w:lang w:eastAsia="lv-LV"/>
        </w:rPr>
        <w:t xml:space="preserve"> pastiprinātas prasības ēku energoefektivitātes minimālajam pieļaujama</w:t>
      </w:r>
      <w:r w:rsidR="002F2A4E">
        <w:rPr>
          <w:rFonts w:eastAsia="Calibri" w:cs="Times New Roman"/>
          <w:szCs w:val="24"/>
          <w:lang w:eastAsia="lv-LV"/>
        </w:rPr>
        <w:t>m</w:t>
      </w:r>
      <w:r w:rsidR="001C261C" w:rsidRPr="001C261C">
        <w:rPr>
          <w:rFonts w:eastAsia="Calibri" w:cs="Times New Roman"/>
          <w:szCs w:val="24"/>
          <w:lang w:eastAsia="lv-LV"/>
        </w:rPr>
        <w:t xml:space="preserve"> līmenim, energoefektivitātes novērtējumam apkurei atjaunošanām un pārbūvēm no 2021. gada, jo:</w:t>
      </w:r>
    </w:p>
    <w:p w14:paraId="757BAE2E" w14:textId="77777777" w:rsidR="001C261C" w:rsidRPr="001C261C" w:rsidRDefault="001C261C" w:rsidP="00A922AF">
      <w:pPr>
        <w:contextualSpacing/>
        <w:rPr>
          <w:rFonts w:eastAsia="Calibri" w:cs="Times New Roman"/>
          <w:szCs w:val="24"/>
          <w:lang w:eastAsia="lv-LV"/>
        </w:rPr>
      </w:pPr>
      <w:r w:rsidRPr="001C261C">
        <w:rPr>
          <w:rFonts w:eastAsia="Calibri" w:cs="Times New Roman"/>
          <w:szCs w:val="24"/>
          <w:lang w:eastAsia="lv-LV"/>
        </w:rPr>
        <w:t>1) Direktīva 2010/31/ES paredzējusi, ka valsts veicina, lai ēkas atjaunojot padarītu par gandrīz nulles enerģijas ēkām;</w:t>
      </w:r>
    </w:p>
    <w:p w14:paraId="2F8EC0E5" w14:textId="7623FC03" w:rsidR="001C261C" w:rsidRDefault="001C261C" w:rsidP="00A922AF">
      <w:pPr>
        <w:contextualSpacing/>
        <w:rPr>
          <w:rFonts w:eastAsia="Calibri" w:cs="Times New Roman"/>
          <w:szCs w:val="24"/>
          <w:lang w:eastAsia="lv-LV"/>
        </w:rPr>
      </w:pPr>
      <w:r w:rsidRPr="001C261C">
        <w:rPr>
          <w:rFonts w:eastAsia="Calibri" w:cs="Times New Roman"/>
          <w:szCs w:val="24"/>
          <w:lang w:eastAsia="lv-LV"/>
        </w:rPr>
        <w:t>2) Līdz 2050.gadam jāsasniedz ēku dekarbonizācijas mērķi.</w:t>
      </w:r>
    </w:p>
    <w:p w14:paraId="2B7BB6C9" w14:textId="77777777" w:rsidR="0073177C" w:rsidRDefault="0073177C" w:rsidP="00A922AF">
      <w:pPr>
        <w:contextualSpacing/>
        <w:rPr>
          <w:rFonts w:eastAsia="Calibri" w:cs="Times New Roman"/>
          <w:szCs w:val="24"/>
          <w:lang w:eastAsia="lv-LV"/>
        </w:rPr>
      </w:pPr>
    </w:p>
    <w:p w14:paraId="66E4E13F" w14:textId="113B7A5E" w:rsidR="0073177C" w:rsidRDefault="00C87E04" w:rsidP="00E029ED">
      <w:pPr>
        <w:contextualSpacing/>
        <w:rPr>
          <w:rFonts w:eastAsia="Calibri" w:cs="Times New Roman"/>
          <w:szCs w:val="24"/>
          <w:lang w:eastAsia="lv-LV"/>
        </w:rPr>
      </w:pPr>
      <w:r w:rsidRPr="008E4EB0">
        <w:rPr>
          <w:rFonts w:eastAsia="Calibri" w:cs="Times New Roman"/>
          <w:szCs w:val="24"/>
          <w:lang w:eastAsia="lv-LV"/>
        </w:rPr>
        <w:t>Pareizi uzbūvētām ēkām siltuma caurlaidības koeficientu U vērtība parasti nav zemāka par 1.3 [W/(m</w:t>
      </w:r>
      <w:r w:rsidRPr="008E4EB0">
        <w:rPr>
          <w:rFonts w:eastAsia="Calibri" w:cs="Times New Roman"/>
          <w:szCs w:val="24"/>
          <w:vertAlign w:val="superscript"/>
          <w:lang w:eastAsia="lv-LV"/>
        </w:rPr>
        <w:t>2</w:t>
      </w:r>
      <w:r w:rsidRPr="008E4EB0">
        <w:rPr>
          <w:rFonts w:eastAsia="Calibri" w:cs="Times New Roman"/>
          <w:szCs w:val="24"/>
          <w:lang w:eastAsia="lv-LV"/>
        </w:rPr>
        <w:t xml:space="preserve"> K)]. Pētījumi liecina, ka Padomju Sociālistisko Republiku Savienības (PSRS) laikā uzbūvēto tipveida ēku norobežojošo konstrukciju siltumtehniskie rādītāji parasti ir robežās no 0.8 līdz 1.2, taču ir gadījumi, kad ārsienām U faktiskās vērtības ir līdz 2.0 [W/(m</w:t>
      </w:r>
      <w:r w:rsidRPr="008E4EB0">
        <w:rPr>
          <w:rFonts w:eastAsia="Calibri" w:cs="Times New Roman"/>
          <w:szCs w:val="24"/>
          <w:vertAlign w:val="superscript"/>
          <w:lang w:eastAsia="lv-LV"/>
        </w:rPr>
        <w:t>2</w:t>
      </w:r>
      <w:r w:rsidRPr="008E4EB0">
        <w:rPr>
          <w:rFonts w:eastAsia="Calibri" w:cs="Times New Roman"/>
          <w:szCs w:val="24"/>
          <w:lang w:eastAsia="lv-LV"/>
        </w:rPr>
        <w:t> K)]</w:t>
      </w:r>
      <w:r w:rsidRPr="008E4EB0">
        <w:rPr>
          <w:rFonts w:eastAsia="Calibri" w:cs="Times New Roman"/>
          <w:szCs w:val="24"/>
          <w:vertAlign w:val="superscript"/>
          <w:lang w:eastAsia="lv-LV"/>
        </w:rPr>
        <w:t xml:space="preserve"> </w:t>
      </w:r>
      <w:r w:rsidRPr="008E4EB0">
        <w:rPr>
          <w:rFonts w:eastAsia="Calibri" w:cs="Times New Roman"/>
          <w:szCs w:val="24"/>
          <w:vertAlign w:val="superscript"/>
          <w:lang w:eastAsia="lv-LV"/>
        </w:rPr>
        <w:footnoteReference w:id="7"/>
      </w:r>
      <w:r w:rsidRPr="008E4EB0">
        <w:rPr>
          <w:rFonts w:eastAsia="Calibri" w:cs="Times New Roman"/>
          <w:szCs w:val="24"/>
          <w:lang w:eastAsia="lv-LV"/>
        </w:rPr>
        <w:t>. Tikai ēkas, kas uzbūvētas pēc 20</w:t>
      </w:r>
      <w:r>
        <w:rPr>
          <w:rFonts w:eastAsia="Calibri" w:cs="Times New Roman"/>
          <w:szCs w:val="24"/>
          <w:lang w:eastAsia="lv-LV"/>
        </w:rPr>
        <w:t>15</w:t>
      </w:r>
      <w:r w:rsidRPr="008E4EB0">
        <w:rPr>
          <w:rFonts w:eastAsia="Calibri" w:cs="Times New Roman"/>
          <w:szCs w:val="24"/>
          <w:lang w:eastAsia="lv-LV"/>
        </w:rPr>
        <w:t xml:space="preserve">. gada var tikt uzskatītas par atbilstošām šobrīd spēkā esošām siltumtehniskām prasībām. Tikai nedaudz zemākas siltumtehniskās īpašības ir ēkām, kuras būvētas no </w:t>
      </w:r>
      <w:r>
        <w:rPr>
          <w:rFonts w:eastAsia="Calibri" w:cs="Times New Roman"/>
          <w:szCs w:val="24"/>
          <w:lang w:eastAsia="lv-LV"/>
        </w:rPr>
        <w:t>2003</w:t>
      </w:r>
      <w:r w:rsidRPr="008E4EB0">
        <w:rPr>
          <w:rFonts w:eastAsia="Calibri" w:cs="Times New Roman"/>
          <w:szCs w:val="24"/>
          <w:lang w:eastAsia="lv-LV"/>
        </w:rPr>
        <w:t>. līdz 20</w:t>
      </w:r>
      <w:r>
        <w:rPr>
          <w:rFonts w:eastAsia="Calibri" w:cs="Times New Roman"/>
          <w:szCs w:val="24"/>
          <w:lang w:eastAsia="lv-LV"/>
        </w:rPr>
        <w:t>15</w:t>
      </w:r>
      <w:r w:rsidRPr="008E4EB0">
        <w:rPr>
          <w:rFonts w:eastAsia="Calibri" w:cs="Times New Roman"/>
          <w:szCs w:val="24"/>
          <w:lang w:eastAsia="lv-LV"/>
        </w:rPr>
        <w:t xml:space="preserve">. gadam. </w:t>
      </w:r>
      <w:bookmarkEnd w:id="22"/>
    </w:p>
    <w:p w14:paraId="31D22F68" w14:textId="77777777" w:rsidR="00E029ED" w:rsidRDefault="00E029ED" w:rsidP="00E029ED">
      <w:pPr>
        <w:contextualSpacing/>
        <w:rPr>
          <w:rFonts w:eastAsia="Calibri" w:cs="Times New Roman"/>
          <w:szCs w:val="24"/>
          <w:lang w:eastAsia="lv-LV"/>
        </w:rPr>
      </w:pPr>
    </w:p>
    <w:p w14:paraId="262764C7" w14:textId="09359013" w:rsidR="00BF2B45" w:rsidRPr="00C66D60" w:rsidRDefault="00C87E04" w:rsidP="00C66D60">
      <w:pPr>
        <w:spacing w:after="160" w:line="259" w:lineRule="auto"/>
        <w:ind w:firstLine="0"/>
        <w:jc w:val="left"/>
        <w:rPr>
          <w:rFonts w:eastAsia="Calibri" w:cs="Times New Roman"/>
          <w:szCs w:val="24"/>
          <w:highlight w:val="yellow"/>
        </w:rPr>
      </w:pPr>
      <w:r w:rsidRPr="00A15C92">
        <w:rPr>
          <w:rFonts w:eastAsia="Calibri" w:cs="Times New Roman"/>
          <w:szCs w:val="24"/>
        </w:rPr>
        <w:t>1</w:t>
      </w:r>
      <w:r w:rsidR="002E315E" w:rsidRPr="00A15C92">
        <w:rPr>
          <w:rFonts w:eastAsia="Calibri" w:cs="Times New Roman"/>
          <w:szCs w:val="24"/>
        </w:rPr>
        <w:t>0</w:t>
      </w:r>
      <w:r w:rsidRPr="00A15C92">
        <w:rPr>
          <w:rFonts w:eastAsia="Calibri" w:cs="Times New Roman"/>
          <w:szCs w:val="24"/>
        </w:rPr>
        <w:t>.tabula.</w:t>
      </w:r>
      <w:r w:rsidRPr="00976A76">
        <w:rPr>
          <w:rFonts w:eastAsia="Calibri" w:cs="Times New Roman"/>
          <w:szCs w:val="24"/>
        </w:rPr>
        <w:t xml:space="preserve"> </w:t>
      </w:r>
      <w:r w:rsidR="00440A83" w:rsidRPr="00440A83">
        <w:rPr>
          <w:rFonts w:eastAsia="Calibri" w:cs="Times New Roman"/>
          <w:szCs w:val="24"/>
        </w:rPr>
        <w:t>Ēku energoefektivitātes minimālais pieļaujamais līmenis jaunbūvēm, ēku atjaunošanai un pārbūvei</w:t>
      </w:r>
      <w:r w:rsidR="00C66D60" w:rsidRPr="00C66D60">
        <w:rPr>
          <w:rFonts w:eastAsia="Calibri" w:cs="Times New Roman"/>
          <w:szCs w:val="24"/>
        </w:rPr>
        <w:t>.</w:t>
      </w:r>
    </w:p>
    <w:tbl>
      <w:tblPr>
        <w:tblW w:w="9072"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38"/>
        <w:gridCol w:w="82"/>
        <w:gridCol w:w="1713"/>
        <w:gridCol w:w="94"/>
        <w:gridCol w:w="1791"/>
        <w:gridCol w:w="29"/>
        <w:gridCol w:w="1914"/>
        <w:gridCol w:w="1911"/>
      </w:tblGrid>
      <w:tr w:rsidR="00440A83" w:rsidRPr="00440A83" w14:paraId="280A878D" w14:textId="77777777" w:rsidTr="00EB6E03">
        <w:trPr>
          <w:trHeight w:val="170"/>
          <w:jc w:val="center"/>
        </w:trPr>
        <w:tc>
          <w:tcPr>
            <w:tcW w:w="89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AC30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Ēkas būvniecības ieceres dokumentācijas akceptēšanas periods</w:t>
            </w:r>
          </w:p>
        </w:tc>
        <w:tc>
          <w:tcPr>
            <w:tcW w:w="1983" w:type="pct"/>
            <w:gridSpan w:val="3"/>
            <w:tcBorders>
              <w:top w:val="outset" w:sz="6" w:space="0" w:color="414142"/>
              <w:left w:val="outset" w:sz="6" w:space="0" w:color="414142"/>
              <w:right w:val="outset" w:sz="6" w:space="0" w:color="414142"/>
            </w:tcBorders>
            <w:shd w:val="clear" w:color="auto" w:fill="FFFFFF"/>
            <w:vAlign w:val="center"/>
            <w:hideMark/>
          </w:tcPr>
          <w:p w14:paraId="6B589C09"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dzīvojamām ēkām</w:t>
            </w:r>
          </w:p>
        </w:tc>
        <w:tc>
          <w:tcPr>
            <w:tcW w:w="2124" w:type="pct"/>
            <w:gridSpan w:val="3"/>
            <w:tcBorders>
              <w:top w:val="outset" w:sz="6" w:space="0" w:color="414142"/>
              <w:left w:val="outset" w:sz="6" w:space="0" w:color="414142"/>
              <w:right w:val="outset" w:sz="6" w:space="0" w:color="414142"/>
            </w:tcBorders>
            <w:shd w:val="clear" w:color="auto" w:fill="FFFFFF"/>
            <w:vAlign w:val="center"/>
          </w:tcPr>
          <w:p w14:paraId="416703D3"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nedzīvojamām ēkām</w:t>
            </w:r>
            <w:r w:rsidRPr="00A16377">
              <w:rPr>
                <w:rFonts w:eastAsia="Times New Roman" w:cs="Times New Roman"/>
                <w:sz w:val="22"/>
                <w:vertAlign w:val="superscript"/>
                <w:lang w:eastAsia="lv-LV"/>
              </w:rPr>
              <w:footnoteReference w:id="8"/>
            </w:r>
          </w:p>
        </w:tc>
      </w:tr>
      <w:tr w:rsidR="00440A83" w:rsidRPr="00440A83" w14:paraId="03DCAEF7" w14:textId="77777777" w:rsidTr="00EB6E03">
        <w:trPr>
          <w:trHeight w:val="170"/>
          <w:jc w:val="center"/>
        </w:trPr>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EF428" w14:textId="77777777" w:rsidR="00440A83" w:rsidRPr="00A16377" w:rsidRDefault="00440A83" w:rsidP="00440A83">
            <w:pPr>
              <w:ind w:firstLine="0"/>
              <w:jc w:val="left"/>
              <w:rPr>
                <w:rFonts w:eastAsia="Times New Roman" w:cs="Times New Roman"/>
                <w:sz w:val="22"/>
                <w:lang w:eastAsia="lv-LV"/>
              </w:rPr>
            </w:pP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96464"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daudzdzīvokļu ēkas</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D4392"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viendzīvokļa vai divdzīvokļu ēkas</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5F99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ēkas, kuras ir valsts vai pašvaldības īpašumā un institūciju valdījumā un kurās atrodas valsts vai pašvaldības institūcijas</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D56050"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pārējās nedzīvojamās ēkas</w:t>
            </w:r>
          </w:p>
        </w:tc>
      </w:tr>
      <w:tr w:rsidR="00440A83" w:rsidRPr="00440A83" w14:paraId="2159DAD6" w14:textId="77777777" w:rsidTr="00EB6E03">
        <w:trPr>
          <w:trHeight w:val="17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4430DB4C"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b/>
                <w:bCs/>
                <w:sz w:val="22"/>
                <w:lang w:eastAsia="lv-LV"/>
              </w:rPr>
              <w:t>Ēku energoefektivitātes minimālais pieļaujamais līmenis jaunbūvēm</w:t>
            </w:r>
            <w:r w:rsidRPr="00A16377">
              <w:rPr>
                <w:rFonts w:eastAsia="Times New Roman" w:cs="Times New Roman"/>
                <w:b/>
                <w:bCs/>
                <w:sz w:val="22"/>
                <w:vertAlign w:val="superscript"/>
                <w:lang w:eastAsia="lv-LV"/>
              </w:rPr>
              <w:footnoteReference w:id="9"/>
            </w:r>
          </w:p>
        </w:tc>
      </w:tr>
      <w:tr w:rsidR="00440A83" w:rsidRPr="00440A83" w14:paraId="6765CC1B" w14:textId="77777777" w:rsidTr="00EB6E03">
        <w:trPr>
          <w:trHeight w:val="326"/>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D109F"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Līdz 2016.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3652C"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04AD38C8"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80470"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80 kWh/m</w:t>
            </w:r>
            <w:r w:rsidRPr="00A16377">
              <w:rPr>
                <w:rFonts w:eastAsia="Times New Roman" w:cs="Times New Roman"/>
                <w:sz w:val="22"/>
                <w:vertAlign w:val="superscript"/>
                <w:lang w:eastAsia="lv-LV"/>
              </w:rPr>
              <w:t>2</w:t>
            </w:r>
          </w:p>
          <w:p w14:paraId="257EDD82"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8D23"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72113"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p>
          <w:p w14:paraId="72ACB9EE"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r>
      <w:tr w:rsidR="00440A83" w:rsidRPr="00440A83" w14:paraId="07F7C653"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41055"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2017. gada 1. janvāra līdz 2017.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375A0"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42C478C8"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A5BAA"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537B356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D073D"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B7FEF"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48F77419"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0111A"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2018. gada 1. janvāra līdz 2018. gada 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D0011"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4E985C0C"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102A53"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70 kWh/m</w:t>
            </w:r>
            <w:r w:rsidRPr="00A16377">
              <w:rPr>
                <w:rFonts w:eastAsia="Times New Roman" w:cs="Times New Roman"/>
                <w:sz w:val="22"/>
                <w:vertAlign w:val="superscript"/>
                <w:lang w:eastAsia="lv-LV"/>
              </w:rPr>
              <w:t>2</w:t>
            </w:r>
          </w:p>
          <w:p w14:paraId="7534968E"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0AEB5"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65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B4FF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7E073D5D"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DB3D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xml:space="preserve">No 2019. gada 1. janvāra līdz 2020. gada </w:t>
            </w:r>
            <w:r w:rsidRPr="00A16377">
              <w:rPr>
                <w:rFonts w:eastAsia="Times New Roman" w:cs="Times New Roman"/>
                <w:sz w:val="22"/>
                <w:lang w:eastAsia="lv-LV"/>
              </w:rPr>
              <w:lastRenderedPageBreak/>
              <w:t>31. decembrim</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9AB0D"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lastRenderedPageBreak/>
              <w:t>≤ 50 kWh/m</w:t>
            </w:r>
            <w:r w:rsidRPr="00A16377">
              <w:rPr>
                <w:rFonts w:eastAsia="Times New Roman" w:cs="Times New Roman"/>
                <w:sz w:val="22"/>
                <w:vertAlign w:val="superscript"/>
                <w:lang w:eastAsia="lv-LV"/>
              </w:rPr>
              <w:t>2</w:t>
            </w:r>
          </w:p>
          <w:p w14:paraId="47041166"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C63AE" w14:textId="77777777" w:rsidR="00440A83" w:rsidRPr="00A16377" w:rsidRDefault="00440A83" w:rsidP="00440A83">
            <w:pPr>
              <w:ind w:firstLine="0"/>
              <w:jc w:val="center"/>
              <w:rPr>
                <w:rFonts w:eastAsia="Times New Roman" w:cs="Times New Roman"/>
                <w:sz w:val="22"/>
                <w:vertAlign w:val="superscript"/>
                <w:lang w:eastAsia="lv-LV"/>
              </w:rPr>
            </w:pPr>
            <w:r w:rsidRPr="00A16377">
              <w:rPr>
                <w:rFonts w:eastAsia="Times New Roman" w:cs="Times New Roman"/>
                <w:sz w:val="22"/>
                <w:lang w:eastAsia="lv-LV"/>
              </w:rPr>
              <w:t>≤ 60 kWh/m</w:t>
            </w:r>
            <w:r w:rsidRPr="00A16377">
              <w:rPr>
                <w:rFonts w:eastAsia="Times New Roman" w:cs="Times New Roman"/>
                <w:sz w:val="22"/>
                <w:vertAlign w:val="superscript"/>
                <w:lang w:eastAsia="lv-LV"/>
              </w:rPr>
              <w:t>2</w:t>
            </w:r>
          </w:p>
          <w:p w14:paraId="1628B3B9"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gadā</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38BD0"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77F9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 65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48884529" w14:textId="77777777" w:rsidTr="00EB6E03">
        <w:trPr>
          <w:trHeight w:val="170"/>
          <w:jc w:val="center"/>
        </w:trPr>
        <w:tc>
          <w:tcPr>
            <w:tcW w:w="89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A13E4"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2021. gada 1. janvāra</w:t>
            </w:r>
          </w:p>
        </w:tc>
        <w:tc>
          <w:tcPr>
            <w:tcW w:w="9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9FC74"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6B3E7"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05C85"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A053F"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sz w:val="22"/>
                <w:lang w:eastAsia="lv-LV"/>
              </w:rPr>
              <w:t>gandrīz nulles enerģijas ēka</w:t>
            </w:r>
          </w:p>
        </w:tc>
      </w:tr>
      <w:tr w:rsidR="00440A83" w:rsidRPr="00440A83" w14:paraId="4D0B6173" w14:textId="77777777" w:rsidTr="00EB6E03">
        <w:trPr>
          <w:trHeight w:val="170"/>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tcPr>
          <w:p w14:paraId="2ED218BA" w14:textId="77777777" w:rsidR="00440A83" w:rsidRPr="00A16377" w:rsidRDefault="00440A83" w:rsidP="00440A83">
            <w:pPr>
              <w:ind w:firstLine="0"/>
              <w:jc w:val="center"/>
              <w:rPr>
                <w:rFonts w:eastAsia="Times New Roman" w:cs="Times New Roman"/>
                <w:sz w:val="22"/>
                <w:lang w:eastAsia="lv-LV"/>
              </w:rPr>
            </w:pPr>
            <w:r w:rsidRPr="00A16377">
              <w:rPr>
                <w:rFonts w:eastAsia="Times New Roman" w:cs="Times New Roman"/>
                <w:b/>
                <w:bCs/>
                <w:sz w:val="22"/>
                <w:lang w:eastAsia="lv-LV"/>
              </w:rPr>
              <w:t>Ēku energoefektivitātes minimālais pieļaujamais līmenis ēku atjaunošanai un pārbūvei</w:t>
            </w:r>
            <w:r w:rsidRPr="00A16377">
              <w:rPr>
                <w:rFonts w:eastAsia="Times New Roman" w:cs="Times New Roman"/>
                <w:b/>
                <w:bCs/>
                <w:sz w:val="22"/>
                <w:vertAlign w:val="superscript"/>
                <w:lang w:eastAsia="lv-LV"/>
              </w:rPr>
              <w:footnoteReference w:id="10"/>
            </w:r>
          </w:p>
        </w:tc>
      </w:tr>
      <w:tr w:rsidR="00440A83" w:rsidRPr="00440A83" w14:paraId="2D654A58" w14:textId="77777777" w:rsidTr="00EB6E03">
        <w:trPr>
          <w:trHeight w:val="170"/>
          <w:jc w:val="center"/>
        </w:trPr>
        <w:tc>
          <w:tcPr>
            <w:tcW w:w="8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6565D"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2015. gada 21. novembra līdz 2020. gada 31. decembrim</w:t>
            </w:r>
          </w:p>
        </w:tc>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C029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CBF76"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9F2D3"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110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5644B"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110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r w:rsidR="00440A83" w:rsidRPr="00440A83" w14:paraId="0004C3CB" w14:textId="77777777" w:rsidTr="00EB6E03">
        <w:trPr>
          <w:trHeight w:val="170"/>
          <w:jc w:val="center"/>
        </w:trPr>
        <w:tc>
          <w:tcPr>
            <w:tcW w:w="8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1D52E"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No 2021. gada 1. janvāra</w:t>
            </w:r>
          </w:p>
        </w:tc>
        <w:tc>
          <w:tcPr>
            <w:tcW w:w="9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1CED"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80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E9A6C"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6F17C"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90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c>
          <w:tcPr>
            <w:tcW w:w="1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AEA21" w14:textId="77777777" w:rsidR="00440A83" w:rsidRPr="00A16377" w:rsidRDefault="00440A83" w:rsidP="00440A83">
            <w:pPr>
              <w:ind w:firstLine="0"/>
              <w:jc w:val="left"/>
              <w:rPr>
                <w:rFonts w:eastAsia="Times New Roman" w:cs="Times New Roman"/>
                <w:sz w:val="22"/>
                <w:lang w:eastAsia="lv-LV"/>
              </w:rPr>
            </w:pPr>
            <w:r w:rsidRPr="00A16377">
              <w:rPr>
                <w:rFonts w:eastAsia="Times New Roman" w:cs="Times New Roman"/>
                <w:sz w:val="22"/>
                <w:lang w:eastAsia="lv-LV"/>
              </w:rPr>
              <w:t>≤ 100 kWh/m</w:t>
            </w:r>
            <w:r w:rsidRPr="00A16377">
              <w:rPr>
                <w:rFonts w:eastAsia="Times New Roman" w:cs="Times New Roman"/>
                <w:sz w:val="22"/>
                <w:vertAlign w:val="superscript"/>
                <w:lang w:eastAsia="lv-LV"/>
              </w:rPr>
              <w:t>2</w:t>
            </w:r>
            <w:r w:rsidRPr="00A16377">
              <w:rPr>
                <w:rFonts w:eastAsia="Times New Roman" w:cs="Times New Roman"/>
                <w:sz w:val="22"/>
                <w:lang w:eastAsia="lv-LV"/>
              </w:rPr>
              <w:t> gadā</w:t>
            </w:r>
          </w:p>
        </w:tc>
      </w:tr>
    </w:tbl>
    <w:p w14:paraId="70D954B6" w14:textId="77777777" w:rsidR="00C87E04" w:rsidRDefault="00C87E04" w:rsidP="00A922AF">
      <w:pPr>
        <w:spacing w:after="160" w:line="259" w:lineRule="auto"/>
        <w:ind w:firstLine="0"/>
        <w:contextualSpacing/>
        <w:rPr>
          <w:rFonts w:eastAsia="Calibri" w:cs="Times New Roman"/>
          <w:szCs w:val="24"/>
          <w:highlight w:val="yellow"/>
        </w:rPr>
      </w:pPr>
    </w:p>
    <w:p w14:paraId="5C93C55F" w14:textId="19D24FA0" w:rsidR="00C87E04" w:rsidRPr="00F05627" w:rsidRDefault="00C87E04" w:rsidP="000806D1">
      <w:pPr>
        <w:contextualSpacing/>
        <w:rPr>
          <w:rFonts w:eastAsia="Calibri" w:cs="Times New Roman"/>
          <w:szCs w:val="24"/>
        </w:rPr>
      </w:pPr>
      <w:r w:rsidRPr="00440A83">
        <w:rPr>
          <w:rFonts w:eastAsia="Calibri" w:cs="Times New Roman"/>
          <w:szCs w:val="24"/>
        </w:rPr>
        <w:t>LBN 002-1</w:t>
      </w:r>
      <w:r w:rsidR="00973D5C" w:rsidRPr="00440A83">
        <w:rPr>
          <w:rFonts w:eastAsia="Calibri" w:cs="Times New Roman"/>
          <w:szCs w:val="24"/>
        </w:rPr>
        <w:t>9</w:t>
      </w:r>
      <w:r w:rsidRPr="00440A83">
        <w:rPr>
          <w:rFonts w:eastAsia="Calibri" w:cs="Times New Roman"/>
          <w:szCs w:val="24"/>
        </w:rPr>
        <w:t xml:space="preserve"> prasības </w:t>
      </w:r>
      <w:r w:rsidR="006856BF" w:rsidRPr="00A15C92">
        <w:rPr>
          <w:rFonts w:eastAsia="Calibri" w:cs="Times New Roman"/>
          <w:szCs w:val="24"/>
        </w:rPr>
        <w:t>9</w:t>
      </w:r>
      <w:r w:rsidRPr="00A15C92">
        <w:rPr>
          <w:rFonts w:eastAsia="Calibri" w:cs="Times New Roman"/>
          <w:szCs w:val="24"/>
        </w:rPr>
        <w:t>.tabulā paredz</w:t>
      </w:r>
      <w:r w:rsidRPr="00976A76">
        <w:rPr>
          <w:rFonts w:eastAsia="Calibri" w:cs="Times New Roman"/>
          <w:szCs w:val="24"/>
        </w:rPr>
        <w:t xml:space="preserve"> prasību piemērošanu atbilstoši klimatiskajiem apstākļiem (temperatūras faktors k, kas atkarīgs no iekštelpu vides temperatūras un ārējās vides temperatūras). Tādā veidā paredzot stingrākas prasības bargāka klimata zonai un maigākas prasības siltāka klimata zonām. Ārējās vides temperatūras noteiktas</w:t>
      </w:r>
      <w:r>
        <w:rPr>
          <w:rFonts w:eastAsia="Calibri" w:cs="Times New Roman"/>
          <w:szCs w:val="24"/>
        </w:rPr>
        <w:t xml:space="preserve"> ar</w:t>
      </w:r>
      <w:r w:rsidRPr="00976A76">
        <w:rPr>
          <w:rFonts w:eastAsia="Calibri" w:cs="Times New Roman"/>
          <w:szCs w:val="24"/>
        </w:rPr>
        <w:t xml:space="preserve"> LBN 003-1</w:t>
      </w:r>
      <w:r>
        <w:rPr>
          <w:rFonts w:eastAsia="Calibri" w:cs="Times New Roman"/>
          <w:szCs w:val="24"/>
        </w:rPr>
        <w:t>9</w:t>
      </w:r>
      <w:r w:rsidRPr="00976A76">
        <w:rPr>
          <w:rFonts w:eastAsia="Calibri" w:cs="Times New Roman"/>
          <w:szCs w:val="24"/>
        </w:rPr>
        <w:t xml:space="preserve"> “Būvklimatoloģija”</w:t>
      </w:r>
      <w:r>
        <w:rPr>
          <w:rFonts w:eastAsia="Calibri" w:cs="Times New Roman"/>
          <w:szCs w:val="24"/>
        </w:rPr>
        <w:t>, kas stājās spēkā 2019. gada 21. septembrī</w:t>
      </w:r>
      <w:r w:rsidRPr="00976A76">
        <w:rPr>
          <w:rFonts w:eastAsia="Calibri" w:cs="Times New Roman"/>
          <w:szCs w:val="24"/>
        </w:rPr>
        <w:t xml:space="preserve">. </w:t>
      </w:r>
      <w:r w:rsidRPr="00F05627">
        <w:rPr>
          <w:rFonts w:eastAsia="Calibri" w:cs="Times New Roman"/>
          <w:szCs w:val="24"/>
        </w:rPr>
        <w:t xml:space="preserve">Latvijas Būvnormatīvā LBN 003-19 „Būvklimatoloģija” noteikti klimatoloģiskie rādītāji, kas piemērojami būvniecībā, ietverot inženierizpētē, būvprojektēšanā, būvdarbu veikšanā, arī būvju remontā, atjaunošanā un rekonstrukcijā izmantojamos klimatiskos rādītājus. </w:t>
      </w:r>
    </w:p>
    <w:p w14:paraId="2C07C613" w14:textId="77777777" w:rsidR="00C87E04" w:rsidRPr="00F05627" w:rsidRDefault="00C87E04" w:rsidP="000806D1">
      <w:pPr>
        <w:contextualSpacing/>
        <w:rPr>
          <w:rFonts w:eastAsia="Calibri" w:cs="Times New Roman"/>
          <w:szCs w:val="24"/>
        </w:rPr>
      </w:pPr>
      <w:r w:rsidRPr="00F05627">
        <w:rPr>
          <w:rFonts w:eastAsia="Calibri" w:cs="Times New Roman"/>
          <w:szCs w:val="24"/>
        </w:rPr>
        <w:t xml:space="preserve">Jebkura ģeogrāfiskā punkta klimatoloģiskos rādītājus būvniecības vajadzībām Latvijas teritorijā nosaka pēc šī būvnormatīva pielikuma tabulās ietvertā tuvākā ģeogrāfiskā punkta klimatoloģiskajiem rādītājiem. </w:t>
      </w:r>
    </w:p>
    <w:p w14:paraId="6882CC5D" w14:textId="77777777" w:rsidR="00E0262F" w:rsidRDefault="00E0262F" w:rsidP="000806D1">
      <w:pPr>
        <w:contextualSpacing/>
        <w:rPr>
          <w:rFonts w:eastAsia="Calibri" w:cs="Times New Roman"/>
          <w:szCs w:val="24"/>
        </w:rPr>
      </w:pPr>
    </w:p>
    <w:p w14:paraId="494FFBB6" w14:textId="0D614AE4" w:rsidR="00C87E04" w:rsidRDefault="00C87E04" w:rsidP="000806D1">
      <w:pPr>
        <w:contextualSpacing/>
        <w:rPr>
          <w:rFonts w:eastAsia="Calibri" w:cs="Times New Roman"/>
          <w:szCs w:val="24"/>
        </w:rPr>
      </w:pPr>
      <w:r>
        <w:rPr>
          <w:rFonts w:eastAsia="Calibri" w:cs="Times New Roman"/>
          <w:szCs w:val="24"/>
        </w:rPr>
        <w:t>Minētajā būvnormatīvā</w:t>
      </w:r>
      <w:r>
        <w:rPr>
          <w:rStyle w:val="FootnoteReference"/>
          <w:rFonts w:eastAsia="Calibri" w:cs="Times New Roman"/>
          <w:szCs w:val="24"/>
        </w:rPr>
        <w:footnoteReference w:id="11"/>
      </w:r>
      <w:r>
        <w:rPr>
          <w:rFonts w:eastAsia="Calibri" w:cs="Times New Roman"/>
          <w:szCs w:val="24"/>
        </w:rPr>
        <w:t xml:space="preserve"> atjaunoti dati par:</w:t>
      </w:r>
    </w:p>
    <w:p w14:paraId="1C78437F"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Vidējo gaisa temperatūru (°C)</w:t>
      </w:r>
      <w:r w:rsidRPr="009E1DEA">
        <w:rPr>
          <w:rFonts w:eastAsia="Calibri" w:cs="Times New Roman"/>
          <w:szCs w:val="24"/>
          <w:lang w:val="en-US"/>
        </w:rPr>
        <w:t>​</w:t>
      </w:r>
    </w:p>
    <w:p w14:paraId="4CC21276"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Gaisa temperatūras absolūto minimumu un tā varbūtības (°C);  </w:t>
      </w:r>
      <w:r w:rsidRPr="009E1DEA">
        <w:rPr>
          <w:rFonts w:eastAsia="Calibri" w:cs="Times New Roman"/>
          <w:szCs w:val="24"/>
          <w:lang w:val="en-US"/>
        </w:rPr>
        <w:t>​</w:t>
      </w:r>
    </w:p>
    <w:p w14:paraId="4C4B22F7"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Gaisa temperatūras absolūto maksimumu un tā varbūtības (°C);   </w:t>
      </w:r>
      <w:r w:rsidRPr="009E1DEA">
        <w:rPr>
          <w:rFonts w:eastAsia="Calibri" w:cs="Times New Roman"/>
          <w:szCs w:val="24"/>
          <w:lang w:val="en-US"/>
        </w:rPr>
        <w:t>​</w:t>
      </w:r>
    </w:p>
    <w:p w14:paraId="79893F5C"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Viskarstākā mēneša vidējo maksimālo gaisa temperatūru (°C) un tās varbūtības;</w:t>
      </w:r>
      <w:r w:rsidRPr="009E1DEA">
        <w:rPr>
          <w:rFonts w:eastAsia="Calibri" w:cs="Times New Roman"/>
          <w:szCs w:val="24"/>
          <w:lang w:val="en-US"/>
        </w:rPr>
        <w:t>​</w:t>
      </w:r>
    </w:p>
    <w:p w14:paraId="2150A043"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Visaukstākā mēneša vidējo minimālo gaisa temperatūru (°C) un tās varbūtības;</w:t>
      </w:r>
      <w:r w:rsidRPr="009E1DEA">
        <w:rPr>
          <w:rFonts w:eastAsia="Calibri" w:cs="Times New Roman"/>
          <w:szCs w:val="24"/>
          <w:lang w:val="en-US"/>
        </w:rPr>
        <w:t>​</w:t>
      </w:r>
    </w:p>
    <w:p w14:paraId="2D20FD49"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Visaukstāko piecu dienu vidējo gaisa temperatūru (°C);</w:t>
      </w:r>
      <w:r w:rsidRPr="009E1DEA">
        <w:rPr>
          <w:rFonts w:eastAsia="Calibri" w:cs="Times New Roman"/>
          <w:szCs w:val="24"/>
          <w:lang w:val="en-US"/>
        </w:rPr>
        <w:t>​</w:t>
      </w:r>
    </w:p>
    <w:p w14:paraId="65A1B647"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Apkures perioda ilgumu un vidējo gaisa temperatūru (°C)</w:t>
      </w:r>
      <w:r w:rsidRPr="009E1DEA">
        <w:rPr>
          <w:rFonts w:eastAsia="Calibri" w:cs="Times New Roman"/>
          <w:szCs w:val="24"/>
          <w:lang w:val="en-US"/>
        </w:rPr>
        <w:t>​</w:t>
      </w:r>
    </w:p>
    <w:p w14:paraId="07DABD0E"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Diennakts vidējo ūdens tvaiku parciālo spiedienu gaisā (hPa);</w:t>
      </w:r>
      <w:r w:rsidRPr="009E1DEA">
        <w:rPr>
          <w:rFonts w:eastAsia="Calibri" w:cs="Times New Roman"/>
          <w:szCs w:val="24"/>
          <w:lang w:val="en-US"/>
        </w:rPr>
        <w:t>​</w:t>
      </w:r>
    </w:p>
    <w:p w14:paraId="6D936DD7"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Diennakts vidējo gaisa relatīvo mitrumu (%)</w:t>
      </w:r>
      <w:r w:rsidRPr="009E1DEA">
        <w:rPr>
          <w:rFonts w:eastAsia="Calibri" w:cs="Times New Roman"/>
          <w:szCs w:val="24"/>
          <w:lang w:val="en-US"/>
        </w:rPr>
        <w:t>​</w:t>
      </w:r>
    </w:p>
    <w:p w14:paraId="4BE9D44E"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Gaisa relatīvā mitruma amplitūdu (%);</w:t>
      </w:r>
      <w:r w:rsidRPr="009E1DEA">
        <w:rPr>
          <w:rFonts w:eastAsia="Calibri" w:cs="Times New Roman"/>
          <w:szCs w:val="24"/>
          <w:lang w:val="en-US"/>
        </w:rPr>
        <w:t>​</w:t>
      </w:r>
    </w:p>
    <w:p w14:paraId="64829045" w14:textId="77777777" w:rsidR="00C87E04" w:rsidRPr="009E1DEA" w:rsidRDefault="00C87E04" w:rsidP="00A517AC">
      <w:pPr>
        <w:numPr>
          <w:ilvl w:val="0"/>
          <w:numId w:val="9"/>
        </w:numPr>
        <w:ind w:left="0" w:firstLine="567"/>
        <w:contextualSpacing/>
        <w:rPr>
          <w:rFonts w:eastAsia="Calibri" w:cs="Times New Roman"/>
          <w:szCs w:val="24"/>
          <w:lang w:val="en-US"/>
        </w:rPr>
      </w:pPr>
      <w:r w:rsidRPr="009E1DEA">
        <w:rPr>
          <w:rFonts w:eastAsia="Calibri" w:cs="Times New Roman"/>
          <w:szCs w:val="24"/>
        </w:rPr>
        <w:t>Mēneša un gada nokrišņu summu (mm)</w:t>
      </w:r>
      <w:r w:rsidRPr="009E1DEA">
        <w:rPr>
          <w:rFonts w:eastAsia="Calibri" w:cs="Times New Roman"/>
          <w:szCs w:val="24"/>
          <w:lang w:val="en-US"/>
        </w:rPr>
        <w:t>​</w:t>
      </w:r>
    </w:p>
    <w:p w14:paraId="072E90A3" w14:textId="59867791" w:rsidR="00E029ED" w:rsidRPr="00E029ED" w:rsidRDefault="00C87E04" w:rsidP="00E029ED">
      <w:pPr>
        <w:numPr>
          <w:ilvl w:val="0"/>
          <w:numId w:val="9"/>
        </w:numPr>
        <w:ind w:left="0" w:firstLine="567"/>
        <w:contextualSpacing/>
        <w:rPr>
          <w:rFonts w:eastAsia="Calibri" w:cs="Times New Roman"/>
          <w:szCs w:val="24"/>
          <w:lang w:val="en-US"/>
        </w:rPr>
      </w:pPr>
      <w:r w:rsidRPr="009E1DEA">
        <w:rPr>
          <w:rFonts w:eastAsia="Calibri" w:cs="Times New Roman"/>
          <w:szCs w:val="24"/>
        </w:rPr>
        <w:t>Saules starojumu uz dažādi orientētām virsmām (kWh/m2).</w:t>
      </w:r>
    </w:p>
    <w:p w14:paraId="04AB63D9" w14:textId="3125FD41" w:rsidR="00C87E04" w:rsidRPr="004E25D6" w:rsidRDefault="00C87E04" w:rsidP="004E25D6">
      <w:pPr>
        <w:pStyle w:val="NormalWeb"/>
        <w:shd w:val="clear" w:color="auto" w:fill="FFFFFF"/>
        <w:textAlignment w:val="baseline"/>
        <w:rPr>
          <w:rStyle w:val="Strong"/>
          <w:b w:val="0"/>
          <w:bCs w:val="0"/>
          <w:color w:val="000000"/>
        </w:rPr>
      </w:pPr>
      <w:r w:rsidRPr="00042C6F">
        <w:rPr>
          <w:color w:val="000000"/>
        </w:rPr>
        <w:t> </w:t>
      </w:r>
    </w:p>
    <w:p w14:paraId="33D31149" w14:textId="206F7B42" w:rsidR="00C87E04" w:rsidRDefault="00C87E04" w:rsidP="00305661">
      <w:pPr>
        <w:pStyle w:val="NormalWeb"/>
        <w:shd w:val="clear" w:color="auto" w:fill="FFFFFF"/>
        <w:ind w:firstLine="0"/>
        <w:textAlignment w:val="baseline"/>
        <w:rPr>
          <w:rStyle w:val="Strong"/>
          <w:b w:val="0"/>
          <w:color w:val="000000"/>
          <w:u w:val="single"/>
          <w:bdr w:val="none" w:sz="0" w:space="0" w:color="auto" w:frame="1"/>
        </w:rPr>
      </w:pPr>
      <w:r w:rsidRPr="00BF2B45">
        <w:rPr>
          <w:rStyle w:val="Strong"/>
          <w:b w:val="0"/>
          <w:color w:val="000000"/>
          <w:u w:val="single"/>
          <w:bdr w:val="none" w:sz="0" w:space="0" w:color="auto" w:frame="1"/>
        </w:rPr>
        <w:t>Gandrīz nulles enerģijas ēk</w:t>
      </w:r>
      <w:r w:rsidR="005B7721">
        <w:rPr>
          <w:rStyle w:val="Strong"/>
          <w:b w:val="0"/>
          <w:color w:val="000000"/>
          <w:u w:val="single"/>
          <w:bdr w:val="none" w:sz="0" w:space="0" w:color="auto" w:frame="1"/>
        </w:rPr>
        <w:t>u normatīvais regulējums</w:t>
      </w:r>
      <w:r w:rsidRPr="00BF2B45">
        <w:rPr>
          <w:rStyle w:val="Strong"/>
          <w:b w:val="0"/>
          <w:color w:val="000000"/>
          <w:u w:val="single"/>
          <w:bdr w:val="none" w:sz="0" w:space="0" w:color="auto" w:frame="1"/>
        </w:rPr>
        <w:t xml:space="preserve"> Latvijā</w:t>
      </w:r>
    </w:p>
    <w:p w14:paraId="6FD855BC" w14:textId="77777777" w:rsidR="00E029ED" w:rsidRPr="00BF2B45" w:rsidRDefault="00E029ED" w:rsidP="00305661">
      <w:pPr>
        <w:pStyle w:val="NormalWeb"/>
        <w:shd w:val="clear" w:color="auto" w:fill="FFFFFF"/>
        <w:ind w:firstLine="0"/>
        <w:textAlignment w:val="baseline"/>
        <w:rPr>
          <w:color w:val="000000"/>
          <w:u w:val="single"/>
        </w:rPr>
      </w:pPr>
    </w:p>
    <w:p w14:paraId="434AFEED" w14:textId="77777777" w:rsidR="00C87E04" w:rsidRPr="00042C6F" w:rsidRDefault="00C87E04" w:rsidP="000806D1">
      <w:pPr>
        <w:pStyle w:val="NormalWeb"/>
        <w:shd w:val="clear" w:color="auto" w:fill="FFFFFF"/>
        <w:textAlignment w:val="baseline"/>
        <w:rPr>
          <w:color w:val="000000"/>
        </w:rPr>
      </w:pPr>
      <w:r w:rsidRPr="00042C6F">
        <w:rPr>
          <w:color w:val="000000"/>
        </w:rPr>
        <w:t>Gandrīz nulles enerģijas ēkas Latvijā definētas Ēku energoefektivitātes likuma 1.panta 6.punktā:</w:t>
      </w:r>
      <w:r>
        <w:rPr>
          <w:color w:val="000000"/>
        </w:rPr>
        <w:t xml:space="preserve"> </w:t>
      </w:r>
      <w:r w:rsidRPr="00042C6F">
        <w:rPr>
          <w:color w:val="000000"/>
        </w:rPr>
        <w:t>6) gandrīz nulles enerģijas ēka — paaugstinātas energoefektivitātes klases ēka, kuras energoapgādei izmanto augstas efektivitātes sistēmas.</w:t>
      </w:r>
    </w:p>
    <w:p w14:paraId="2F22A908" w14:textId="77777777" w:rsidR="00C87E04" w:rsidRPr="00042C6F" w:rsidRDefault="00C87E04" w:rsidP="000806D1">
      <w:pPr>
        <w:pStyle w:val="NormalWeb"/>
        <w:shd w:val="clear" w:color="auto" w:fill="FFFFFF"/>
        <w:textAlignment w:val="baseline"/>
        <w:rPr>
          <w:color w:val="000000"/>
        </w:rPr>
      </w:pPr>
      <w:r w:rsidRPr="00042C6F">
        <w:rPr>
          <w:color w:val="000000"/>
        </w:rPr>
        <w:lastRenderedPageBreak/>
        <w:t>Atbilstoši likuma 10.panta prasībām (Paaugstinātas energoefektivitātes klases ēkas) Ministru kabinetam deleģēta detalizētu prasību noteikšana gandrīz nulles enerģijas ēkām.</w:t>
      </w:r>
      <w:r>
        <w:rPr>
          <w:color w:val="000000"/>
        </w:rPr>
        <w:t xml:space="preserve"> </w:t>
      </w:r>
      <w:r w:rsidRPr="00042C6F">
        <w:rPr>
          <w:color w:val="000000"/>
        </w:rPr>
        <w:t>2013.gada 9.jūlija Ministru kabineta noteikumi Nr.383 “Noteikumi par ēku energosertifikāciju” nosaka šādas prasības:</w:t>
      </w:r>
    </w:p>
    <w:p w14:paraId="5FBB7710" w14:textId="63E2EE6D" w:rsidR="00C87E04" w:rsidRPr="00042C6F" w:rsidRDefault="004C5FAD" w:rsidP="000806D1">
      <w:pPr>
        <w:pStyle w:val="NormalWeb"/>
        <w:shd w:val="clear" w:color="auto" w:fill="FFFFFF"/>
        <w:textAlignment w:val="baseline"/>
        <w:rPr>
          <w:color w:val="000000"/>
        </w:rPr>
      </w:pPr>
      <w:r>
        <w:rPr>
          <w:color w:val="000000"/>
        </w:rPr>
        <w:t>“</w:t>
      </w:r>
      <w:r w:rsidR="00C87E04" w:rsidRPr="00042C6F">
        <w:rPr>
          <w:color w:val="000000"/>
        </w:rPr>
        <w:t>17. Ēka klasificējama kā gandrīz nulles enerģijas ēka, ja tā atbilst visām šādām prasībām:</w:t>
      </w:r>
    </w:p>
    <w:p w14:paraId="35D394E1" w14:textId="77777777" w:rsidR="00C87E04" w:rsidRDefault="00C87E04" w:rsidP="000806D1">
      <w:pPr>
        <w:pStyle w:val="NormalWeb"/>
        <w:shd w:val="clear" w:color="auto" w:fill="FFFFFF"/>
        <w:textAlignment w:val="baseline"/>
        <w:rPr>
          <w:color w:val="000000"/>
        </w:rPr>
      </w:pPr>
      <w:r w:rsidRPr="00042C6F">
        <w:rPr>
          <w:color w:val="000000"/>
        </w:rPr>
        <w:t>17.1. ēkas energoefektivitātes rādītājs apkurei atbilst A klasei, vienlaikus nodrošinot telpu mikroklimata atbilstību normatīvo aktu prasībām būvniecības, higiēnas un</w:t>
      </w:r>
      <w:r>
        <w:rPr>
          <w:color w:val="000000"/>
        </w:rPr>
        <w:t xml:space="preserve"> </w:t>
      </w:r>
      <w:r w:rsidRPr="00042C6F">
        <w:rPr>
          <w:color w:val="000000"/>
        </w:rPr>
        <w:t>darba aizsardzības jomā;</w:t>
      </w:r>
    </w:p>
    <w:p w14:paraId="11033D14" w14:textId="77777777" w:rsidR="00C87E04" w:rsidRPr="00042C6F" w:rsidRDefault="00C87E04" w:rsidP="000806D1">
      <w:pPr>
        <w:pStyle w:val="NormalWeb"/>
        <w:shd w:val="clear" w:color="auto" w:fill="FFFFFF"/>
        <w:textAlignment w:val="baseline"/>
        <w:rPr>
          <w:color w:val="000000"/>
        </w:rPr>
      </w:pPr>
      <w:r w:rsidRPr="00042C6F">
        <w:rPr>
          <w:color w:val="000000"/>
        </w:rPr>
        <w:t>17.2. kopējais primārās enerģijas patēriņš apkurei, karstā ūdens apgādei, mehāniskajai ventilācijai, dzesēšanai, apgaismojumam sastāda ne vairāk kā 95 kWh uz kvadrātmetru gadā;</w:t>
      </w:r>
    </w:p>
    <w:p w14:paraId="444AEABA" w14:textId="77777777" w:rsidR="00C87E04" w:rsidRPr="00042C6F" w:rsidRDefault="00C87E04" w:rsidP="000806D1">
      <w:pPr>
        <w:pStyle w:val="NormalWeb"/>
        <w:shd w:val="clear" w:color="auto" w:fill="FFFFFF"/>
        <w:textAlignment w:val="baseline"/>
        <w:rPr>
          <w:color w:val="000000"/>
        </w:rPr>
      </w:pPr>
      <w:r w:rsidRPr="00042C6F">
        <w:rPr>
          <w:color w:val="000000"/>
        </w:rPr>
        <w:t>17.3. ēkā izmanto augstas efektivitātes sistēmas, kuras:</w:t>
      </w:r>
    </w:p>
    <w:p w14:paraId="091BBFD5" w14:textId="77777777" w:rsidR="00C87E04" w:rsidRPr="00042C6F" w:rsidRDefault="00C87E04" w:rsidP="000806D1">
      <w:pPr>
        <w:pStyle w:val="NormalWeb"/>
        <w:shd w:val="clear" w:color="auto" w:fill="FFFFFF"/>
        <w:textAlignment w:val="baseline"/>
        <w:rPr>
          <w:color w:val="000000"/>
        </w:rPr>
      </w:pPr>
      <w:r w:rsidRPr="00042C6F">
        <w:rPr>
          <w:color w:val="000000"/>
        </w:rPr>
        <w:t>17.3.1. nodrošina ne mazāk kā 75 % ventilācijas siltuma zudumu atgūšanu apkures periodā;</w:t>
      </w:r>
    </w:p>
    <w:p w14:paraId="089B1531" w14:textId="77777777" w:rsidR="00C87E04" w:rsidRPr="00042C6F" w:rsidRDefault="00C87E04" w:rsidP="000806D1">
      <w:pPr>
        <w:pStyle w:val="NormalWeb"/>
        <w:shd w:val="clear" w:color="auto" w:fill="FFFFFF"/>
        <w:textAlignment w:val="baseline"/>
        <w:rPr>
          <w:color w:val="000000"/>
        </w:rPr>
      </w:pPr>
      <w:r w:rsidRPr="00042C6F">
        <w:rPr>
          <w:color w:val="000000"/>
        </w:rPr>
        <w:t>17.3.2. vismaz daļēji nodrošina atjaunojamās enerģijas izmantošanu;</w:t>
      </w:r>
    </w:p>
    <w:p w14:paraId="40889EDD" w14:textId="4F36E327" w:rsidR="00C87E04" w:rsidRPr="00042C6F" w:rsidRDefault="00C87E04" w:rsidP="000806D1">
      <w:pPr>
        <w:pStyle w:val="NormalWeb"/>
        <w:shd w:val="clear" w:color="auto" w:fill="FFFFFF"/>
        <w:textAlignment w:val="baseline"/>
        <w:rPr>
          <w:color w:val="000000"/>
        </w:rPr>
      </w:pPr>
      <w:r w:rsidRPr="00042C6F">
        <w:rPr>
          <w:color w:val="000000"/>
        </w:rPr>
        <w:t>17.4. ēkā nav uzstādītas zemas lietderības fosilo kurināmo apkures iekārtas.</w:t>
      </w:r>
      <w:r w:rsidR="004C5FAD">
        <w:rPr>
          <w:color w:val="000000"/>
        </w:rPr>
        <w:t>”</w:t>
      </w:r>
    </w:p>
    <w:p w14:paraId="20021531" w14:textId="595E076E" w:rsidR="009844E4" w:rsidRDefault="00C87E04" w:rsidP="00646149">
      <w:pPr>
        <w:pStyle w:val="NormalWeb"/>
        <w:shd w:val="clear" w:color="auto" w:fill="FFFFFF"/>
        <w:textAlignment w:val="baseline"/>
        <w:rPr>
          <w:color w:val="000000"/>
        </w:rPr>
      </w:pPr>
      <w:r w:rsidRPr="00042C6F">
        <w:rPr>
          <w:color w:val="000000"/>
        </w:rPr>
        <w:t>Noteikumu 17.1.punkta prasības noteikušas, ka gandrīz nulles enerģijas ēkai ēkas energoefektivitātes rādītājs apkurei atbilst A klasei, kas nosaka atsevišķu sasniedzamo līmeni apkurei dzīvojamām un nedzīvojamām ēkām. Noteikumu 14.punkts nosaka salīdzināmo klašu vērtības, no kā izriet, ka dzīvojamai ēkai, lai tā tiktu klasificēta kā gandrīz nulles enerģijas ēka, jāsasniedz energoefektivitātes rādītājs apkurei, kas nepārsniedz 40 kWh/m</w:t>
      </w:r>
      <w:r w:rsidRPr="00042C6F">
        <w:rPr>
          <w:color w:val="000000"/>
          <w:bdr w:val="none" w:sz="0" w:space="0" w:color="auto" w:frame="1"/>
          <w:vertAlign w:val="superscript"/>
        </w:rPr>
        <w:t>2</w:t>
      </w:r>
      <w:r w:rsidRPr="00042C6F">
        <w:rPr>
          <w:color w:val="000000"/>
        </w:rPr>
        <w:t> gadā, savukārt nedzīvojamai ēkai – nepārsniedz 45 kWh/m</w:t>
      </w:r>
      <w:r w:rsidRPr="00042C6F">
        <w:rPr>
          <w:color w:val="000000"/>
          <w:bdr w:val="none" w:sz="0" w:space="0" w:color="auto" w:frame="1"/>
          <w:vertAlign w:val="superscript"/>
        </w:rPr>
        <w:t>2</w:t>
      </w:r>
      <w:r w:rsidRPr="00042C6F">
        <w:rPr>
          <w:color w:val="000000"/>
        </w:rPr>
        <w:t> gadā.</w:t>
      </w:r>
    </w:p>
    <w:p w14:paraId="074FE3CD" w14:textId="5E012258" w:rsidR="00E029ED" w:rsidRPr="00646149" w:rsidRDefault="00E029ED" w:rsidP="00646149">
      <w:pPr>
        <w:pStyle w:val="NormalWeb"/>
        <w:shd w:val="clear" w:color="auto" w:fill="FFFFFF"/>
        <w:textAlignment w:val="baseline"/>
        <w:rPr>
          <w:color w:val="000000"/>
        </w:rPr>
      </w:pPr>
      <w:r>
        <w:rPr>
          <w:color w:val="000000"/>
        </w:rPr>
        <w:t>Kā jau tas tika attēlots 10. tabulā, tad jau kopš 2019. gada visām valsts ēkām (jaunbūvēm) ir jābūt gandrīz nulles enerģijas ēkām, savukārt dzīvojamām ēkām jābūt gandrīz nulles enerģijas ēkām no 2021. gada 1. janvāra.</w:t>
      </w:r>
    </w:p>
    <w:p w14:paraId="41221198" w14:textId="77777777" w:rsidR="009844E4" w:rsidRDefault="009844E4" w:rsidP="004E25D6">
      <w:pPr>
        <w:shd w:val="clear" w:color="auto" w:fill="FFFFFF"/>
        <w:ind w:firstLine="0"/>
        <w:textAlignment w:val="baseline"/>
        <w:rPr>
          <w:rFonts w:eastAsia="Times New Roman" w:cs="Times New Roman"/>
          <w:bCs/>
          <w:color w:val="000000"/>
          <w:szCs w:val="24"/>
          <w:u w:val="single"/>
          <w:bdr w:val="none" w:sz="0" w:space="0" w:color="auto" w:frame="1"/>
          <w:lang w:eastAsia="lv-LV"/>
        </w:rPr>
      </w:pPr>
    </w:p>
    <w:p w14:paraId="6398FCB1" w14:textId="21D7EAE3" w:rsidR="00C87E04" w:rsidRPr="00BF2B45" w:rsidRDefault="005B7721" w:rsidP="004E25D6">
      <w:pPr>
        <w:shd w:val="clear" w:color="auto" w:fill="FFFFFF"/>
        <w:ind w:firstLine="0"/>
        <w:textAlignment w:val="baseline"/>
        <w:rPr>
          <w:rFonts w:eastAsia="Times New Roman" w:cs="Times New Roman"/>
          <w:bCs/>
          <w:color w:val="000000"/>
          <w:szCs w:val="24"/>
          <w:u w:val="single"/>
          <w:bdr w:val="none" w:sz="0" w:space="0" w:color="auto" w:frame="1"/>
          <w:lang w:eastAsia="lv-LV"/>
        </w:rPr>
      </w:pPr>
      <w:r>
        <w:rPr>
          <w:rFonts w:eastAsia="Times New Roman" w:cs="Times New Roman"/>
          <w:bCs/>
          <w:color w:val="000000"/>
          <w:szCs w:val="24"/>
          <w:u w:val="single"/>
          <w:bdr w:val="none" w:sz="0" w:space="0" w:color="auto" w:frame="1"/>
          <w:lang w:eastAsia="lv-LV"/>
        </w:rPr>
        <w:t>Praktiskā</w:t>
      </w:r>
      <w:r w:rsidR="00C87E04" w:rsidRPr="00BF2B45">
        <w:rPr>
          <w:rFonts w:eastAsia="Times New Roman" w:cs="Times New Roman"/>
          <w:bCs/>
          <w:color w:val="000000"/>
          <w:szCs w:val="24"/>
          <w:u w:val="single"/>
          <w:bdr w:val="none" w:sz="0" w:space="0" w:color="auto" w:frame="1"/>
          <w:lang w:eastAsia="lv-LV"/>
        </w:rPr>
        <w:t xml:space="preserve"> pieredze ar gandrīz nulles enerģijas ēkām </w:t>
      </w:r>
      <w:r>
        <w:rPr>
          <w:rFonts w:eastAsia="Times New Roman" w:cs="Times New Roman"/>
          <w:bCs/>
          <w:color w:val="000000"/>
          <w:szCs w:val="24"/>
          <w:u w:val="single"/>
          <w:bdr w:val="none" w:sz="0" w:space="0" w:color="auto" w:frame="1"/>
          <w:lang w:eastAsia="lv-LV"/>
        </w:rPr>
        <w:t>Latvijā</w:t>
      </w:r>
    </w:p>
    <w:p w14:paraId="15A18F8C" w14:textId="77777777" w:rsidR="004E25D6" w:rsidRPr="00042C6F" w:rsidRDefault="004E25D6" w:rsidP="000806D1">
      <w:pPr>
        <w:shd w:val="clear" w:color="auto" w:fill="FFFFFF"/>
        <w:textAlignment w:val="baseline"/>
        <w:rPr>
          <w:rFonts w:eastAsia="Times New Roman" w:cs="Times New Roman"/>
          <w:color w:val="000000"/>
          <w:szCs w:val="24"/>
          <w:lang w:eastAsia="lv-LV"/>
        </w:rPr>
      </w:pPr>
    </w:p>
    <w:p w14:paraId="7F22EE9C" w14:textId="201398CB" w:rsidR="00C87E04" w:rsidRPr="00042C6F" w:rsidRDefault="00C87E04" w:rsidP="000806D1">
      <w:pPr>
        <w:shd w:val="clear" w:color="auto" w:fill="FFFFFF"/>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Latvijā pagaidām ir maza praktiskā pieredze ar gandrīz nulles enerģijas ēkām, pārsvarā pilotprojektu veidā, tomēr arvien vairāk projektu tuvojas šim noteiktajam līmenim. Latvijā līdz šim īstenot</w:t>
      </w:r>
      <w:r w:rsidR="00E029ED">
        <w:rPr>
          <w:rFonts w:eastAsia="Times New Roman" w:cs="Times New Roman"/>
          <w:color w:val="000000"/>
          <w:szCs w:val="24"/>
          <w:lang w:eastAsia="lv-LV"/>
        </w:rPr>
        <w:t>as</w:t>
      </w:r>
      <w:r w:rsidRPr="00042C6F">
        <w:rPr>
          <w:rFonts w:eastAsia="Times New Roman" w:cs="Times New Roman"/>
          <w:color w:val="000000"/>
          <w:szCs w:val="24"/>
          <w:lang w:eastAsia="lv-LV"/>
        </w:rPr>
        <w:t xml:space="preserve"> vairāk</w:t>
      </w:r>
      <w:r w:rsidR="00E029ED">
        <w:rPr>
          <w:rFonts w:eastAsia="Times New Roman" w:cs="Times New Roman"/>
          <w:color w:val="000000"/>
          <w:szCs w:val="24"/>
          <w:lang w:eastAsia="lv-LV"/>
        </w:rPr>
        <w:t>as</w:t>
      </w:r>
      <w:r w:rsidRPr="00042C6F">
        <w:rPr>
          <w:rFonts w:eastAsia="Times New Roman" w:cs="Times New Roman"/>
          <w:color w:val="000000"/>
          <w:szCs w:val="24"/>
          <w:lang w:eastAsia="lv-LV"/>
        </w:rPr>
        <w:t xml:space="preserve"> </w:t>
      </w:r>
      <w:r w:rsidR="00E029ED">
        <w:rPr>
          <w:rFonts w:eastAsia="Times New Roman" w:cs="Times New Roman"/>
          <w:color w:val="000000"/>
          <w:szCs w:val="24"/>
          <w:lang w:eastAsia="lv-LV"/>
        </w:rPr>
        <w:t>atbalsta programmas</w:t>
      </w:r>
      <w:r w:rsidRPr="00042C6F">
        <w:rPr>
          <w:rFonts w:eastAsia="Times New Roman" w:cs="Times New Roman"/>
          <w:color w:val="000000"/>
          <w:szCs w:val="24"/>
          <w:lang w:eastAsia="lv-LV"/>
        </w:rPr>
        <w:t>, kur</w:t>
      </w:r>
      <w:r w:rsidR="00E029ED">
        <w:rPr>
          <w:rFonts w:eastAsia="Times New Roman" w:cs="Times New Roman"/>
          <w:color w:val="000000"/>
          <w:szCs w:val="24"/>
          <w:lang w:eastAsia="lv-LV"/>
        </w:rPr>
        <w:t>ā</w:t>
      </w:r>
      <w:r w:rsidRPr="00042C6F">
        <w:rPr>
          <w:rFonts w:eastAsia="Times New Roman" w:cs="Times New Roman"/>
          <w:color w:val="000000"/>
          <w:szCs w:val="24"/>
          <w:lang w:eastAsia="lv-LV"/>
        </w:rPr>
        <w:t>s atbalstīti šādi pilotprojekti:</w:t>
      </w:r>
    </w:p>
    <w:p w14:paraId="7A28CE7B" w14:textId="77777777" w:rsidR="00C87E04" w:rsidRPr="00042C6F" w:rsidRDefault="00C87E04" w:rsidP="00A517AC">
      <w:pPr>
        <w:numPr>
          <w:ilvl w:val="0"/>
          <w:numId w:val="10"/>
        </w:numPr>
        <w:shd w:val="clear" w:color="auto" w:fill="FFFFFF"/>
        <w:ind w:left="0" w:firstLine="567"/>
        <w:textAlignment w:val="baseline"/>
        <w:rPr>
          <w:rFonts w:eastAsia="Times New Roman" w:cs="Times New Roman"/>
          <w:color w:val="000000" w:themeColor="text1"/>
          <w:szCs w:val="24"/>
          <w:lang w:eastAsia="lv-LV"/>
        </w:rPr>
      </w:pPr>
      <w:r w:rsidRPr="00042C6F">
        <w:rPr>
          <w:rFonts w:eastAsia="Times New Roman" w:cs="Times New Roman"/>
          <w:color w:val="000000"/>
          <w:szCs w:val="24"/>
          <w:lang w:eastAsia="lv-LV"/>
        </w:rPr>
        <w:t>Klimata pārmaiņu finanšu instrumenta projektu atklāts konkurss </w:t>
      </w:r>
      <w:r w:rsidRPr="00042C6F">
        <w:rPr>
          <w:rFonts w:eastAsia="Times New Roman" w:cs="Times New Roman"/>
          <w:color w:val="000000" w:themeColor="text1"/>
          <w:szCs w:val="24"/>
          <w:bdr w:val="none" w:sz="0" w:space="0" w:color="auto" w:frame="1"/>
          <w:lang w:eastAsia="lv-LV"/>
        </w:rPr>
        <w:t>„Zema enerģijas patēriņa ēkas”</w:t>
      </w:r>
      <w:r w:rsidRPr="00042C6F">
        <w:rPr>
          <w:rFonts w:eastAsia="Times New Roman" w:cs="Times New Roman"/>
          <w:color w:val="000000" w:themeColor="text1"/>
          <w:szCs w:val="24"/>
          <w:lang w:eastAsia="lv-LV"/>
        </w:rPr>
        <w:t>;</w:t>
      </w:r>
    </w:p>
    <w:p w14:paraId="0A862F9C" w14:textId="77777777" w:rsidR="00C87E04" w:rsidRPr="00042C6F" w:rsidRDefault="00C87E04" w:rsidP="00A517AC">
      <w:pPr>
        <w:numPr>
          <w:ilvl w:val="0"/>
          <w:numId w:val="10"/>
        </w:numPr>
        <w:shd w:val="clear" w:color="auto" w:fill="FFFFFF"/>
        <w:ind w:left="0" w:firstLine="567"/>
        <w:textAlignment w:val="baseline"/>
        <w:rPr>
          <w:rFonts w:eastAsia="Times New Roman" w:cs="Times New Roman"/>
          <w:color w:val="000000" w:themeColor="text1"/>
          <w:szCs w:val="24"/>
          <w:lang w:eastAsia="lv-LV"/>
        </w:rPr>
      </w:pPr>
      <w:r w:rsidRPr="00042C6F">
        <w:rPr>
          <w:rFonts w:eastAsia="Times New Roman" w:cs="Times New Roman"/>
          <w:color w:val="000000"/>
          <w:szCs w:val="24"/>
          <w:lang w:eastAsia="lv-LV"/>
        </w:rPr>
        <w:t>Emisijas kvotu izsolīšanas finanšu instrumenta finansēto projektu atklāts konkurss </w:t>
      </w:r>
      <w:r w:rsidRPr="00042C6F">
        <w:rPr>
          <w:rFonts w:eastAsia="Times New Roman" w:cs="Times New Roman"/>
          <w:color w:val="000000" w:themeColor="text1"/>
          <w:szCs w:val="24"/>
          <w:bdr w:val="none" w:sz="0" w:space="0" w:color="auto" w:frame="1"/>
          <w:lang w:eastAsia="lv-LV"/>
        </w:rPr>
        <w:t>"Siltumnīcefektu gāzu emisiju samazināšana - zema enerģijas patēriņa ēkas"</w:t>
      </w:r>
      <w:r w:rsidRPr="00042C6F">
        <w:rPr>
          <w:rFonts w:eastAsia="Times New Roman" w:cs="Times New Roman"/>
          <w:color w:val="000000" w:themeColor="text1"/>
          <w:szCs w:val="24"/>
          <w:lang w:eastAsia="lv-LV"/>
        </w:rPr>
        <w:t>;</w:t>
      </w:r>
    </w:p>
    <w:p w14:paraId="58DD2EF0" w14:textId="77777777" w:rsidR="00C87E04" w:rsidRPr="00042C6F" w:rsidRDefault="00C87E04" w:rsidP="00A517AC">
      <w:pPr>
        <w:numPr>
          <w:ilvl w:val="0"/>
          <w:numId w:val="10"/>
        </w:numPr>
        <w:shd w:val="clear" w:color="auto" w:fill="FFFFFF"/>
        <w:ind w:left="0" w:firstLine="567"/>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 xml:space="preserve">Emisijas kvotu izsolīšanas instrumenta finansēto projektu atklāts </w:t>
      </w:r>
      <w:r w:rsidRPr="00042C6F">
        <w:rPr>
          <w:rFonts w:eastAsia="Times New Roman" w:cs="Times New Roman"/>
          <w:color w:val="000000" w:themeColor="text1"/>
          <w:szCs w:val="24"/>
          <w:lang w:eastAsia="lv-LV"/>
        </w:rPr>
        <w:t>konkurss</w:t>
      </w:r>
      <w:r w:rsidRPr="00042C6F">
        <w:rPr>
          <w:rFonts w:eastAsia="Times New Roman" w:cs="Times New Roman"/>
          <w:color w:val="000000" w:themeColor="text1"/>
          <w:szCs w:val="24"/>
          <w:bdr w:val="none" w:sz="0" w:space="0" w:color="auto" w:frame="1"/>
          <w:lang w:eastAsia="lv-LV"/>
        </w:rPr>
        <w:t> "Siltumnīcefekta gāzu emisiju samazināšana, attīstot enerģētiski pašpietiekamu ēku būvniecību".</w:t>
      </w:r>
    </w:p>
    <w:p w14:paraId="73C613AC" w14:textId="58C596FA" w:rsidR="00C87E04" w:rsidRPr="00646149" w:rsidRDefault="00C87E04" w:rsidP="00646149">
      <w:pPr>
        <w:shd w:val="clear" w:color="auto" w:fill="FFFFFF"/>
        <w:textAlignment w:val="baseline"/>
        <w:rPr>
          <w:rFonts w:eastAsia="Times New Roman" w:cs="Times New Roman"/>
          <w:color w:val="000000"/>
          <w:szCs w:val="24"/>
          <w:lang w:eastAsia="lv-LV"/>
        </w:rPr>
      </w:pPr>
      <w:r w:rsidRPr="00042C6F">
        <w:rPr>
          <w:rFonts w:eastAsia="Times New Roman" w:cs="Times New Roman"/>
          <w:color w:val="000000"/>
          <w:szCs w:val="24"/>
          <w:lang w:eastAsia="lv-LV"/>
        </w:rPr>
        <w:t xml:space="preserve">Katru gadu tiek rīkots konkurss "Energoefektīvākā ēka Latvijā", kur tiek apkopota pozitīvākie piemēri gan ēku atjaunošanas un pārbūves jomā, gan jaunbūvju jomā. </w:t>
      </w:r>
      <w:r>
        <w:rPr>
          <w:rFonts w:eastAsia="Times New Roman" w:cs="Times New Roman"/>
          <w:color w:val="000000"/>
          <w:szCs w:val="24"/>
          <w:lang w:eastAsia="lv-LV"/>
        </w:rPr>
        <w:t xml:space="preserve"> Par minēto konkursu aprakstīts stratēģijas </w:t>
      </w:r>
      <w:r w:rsidR="004C5FAD">
        <w:rPr>
          <w:rFonts w:eastAsia="Times New Roman" w:cs="Times New Roman"/>
          <w:color w:val="000000"/>
          <w:szCs w:val="24"/>
          <w:lang w:eastAsia="lv-LV"/>
        </w:rPr>
        <w:t>2.2</w:t>
      </w:r>
      <w:r w:rsidR="00C66D60">
        <w:rPr>
          <w:rFonts w:eastAsia="Times New Roman" w:cs="Times New Roman"/>
          <w:color w:val="000000"/>
          <w:szCs w:val="24"/>
          <w:lang w:eastAsia="lv-LV"/>
        </w:rPr>
        <w:t xml:space="preserve">. </w:t>
      </w:r>
      <w:r w:rsidR="004C5FAD">
        <w:rPr>
          <w:rFonts w:eastAsia="Times New Roman" w:cs="Times New Roman"/>
          <w:color w:val="000000"/>
          <w:szCs w:val="24"/>
          <w:lang w:eastAsia="lv-LV"/>
        </w:rPr>
        <w:t>apakš</w:t>
      </w:r>
      <w:r w:rsidR="00C66D60">
        <w:rPr>
          <w:rFonts w:eastAsia="Times New Roman" w:cs="Times New Roman"/>
          <w:color w:val="000000"/>
          <w:szCs w:val="24"/>
          <w:lang w:eastAsia="lv-LV"/>
        </w:rPr>
        <w:t xml:space="preserve">nodaļā - </w:t>
      </w:r>
      <w:r w:rsidR="00C66D60" w:rsidRPr="00C66D60">
        <w:rPr>
          <w:rFonts w:eastAsia="Times New Roman" w:cs="Times New Roman"/>
          <w:color w:val="000000"/>
          <w:szCs w:val="24"/>
          <w:lang w:eastAsia="lv-LV"/>
        </w:rPr>
        <w:t>P</w:t>
      </w:r>
      <w:r w:rsidR="00C66D60" w:rsidRPr="00C66D60">
        <w:rPr>
          <w:rFonts w:eastAsia="Times New Roman" w:cs="Times New Roman" w:hint="eastAsia"/>
          <w:color w:val="000000"/>
          <w:szCs w:val="24"/>
          <w:lang w:eastAsia="lv-LV"/>
        </w:rPr>
        <w:t>olitik</w:t>
      </w:r>
      <w:r w:rsidR="00C66D60" w:rsidRPr="00C66D60">
        <w:rPr>
          <w:rFonts w:eastAsia="Times New Roman" w:cs="Times New Roman"/>
          <w:color w:val="000000"/>
          <w:szCs w:val="24"/>
          <w:lang w:eastAsia="lv-LV"/>
        </w:rPr>
        <w:t>a</w:t>
      </w:r>
      <w:r w:rsidR="00C66D60" w:rsidRPr="00C66D60">
        <w:rPr>
          <w:rFonts w:eastAsia="Times New Roman" w:cs="Times New Roman" w:hint="eastAsia"/>
          <w:color w:val="000000"/>
          <w:szCs w:val="24"/>
          <w:lang w:eastAsia="lv-LV"/>
        </w:rPr>
        <w:t xml:space="preserve"> un darbības ēku rentabl</w:t>
      </w:r>
      <w:r w:rsidR="00C66D60" w:rsidRPr="00C66D60">
        <w:rPr>
          <w:rFonts w:eastAsia="Times New Roman" w:cs="Times New Roman"/>
          <w:color w:val="000000"/>
          <w:szCs w:val="24"/>
          <w:lang w:eastAsia="lv-LV"/>
        </w:rPr>
        <w:t>ai un pakāpeniski</w:t>
      </w:r>
      <w:r w:rsidR="00C66D60" w:rsidRPr="00C66D60">
        <w:rPr>
          <w:rFonts w:eastAsia="Times New Roman" w:cs="Times New Roman" w:hint="eastAsia"/>
          <w:color w:val="000000"/>
          <w:szCs w:val="24"/>
          <w:lang w:eastAsia="lv-LV"/>
        </w:rPr>
        <w:t xml:space="preserve"> pilnīg</w:t>
      </w:r>
      <w:r w:rsidR="00C66D60" w:rsidRPr="00C66D60">
        <w:rPr>
          <w:rFonts w:eastAsia="Times New Roman" w:cs="Times New Roman"/>
          <w:color w:val="000000"/>
          <w:szCs w:val="24"/>
          <w:lang w:eastAsia="lv-LV"/>
        </w:rPr>
        <w:t>ai</w:t>
      </w:r>
      <w:r w:rsidR="00C66D60" w:rsidRPr="00C66D60">
        <w:rPr>
          <w:rFonts w:eastAsia="Times New Roman" w:cs="Times New Roman" w:hint="eastAsia"/>
          <w:color w:val="000000"/>
          <w:szCs w:val="24"/>
          <w:lang w:eastAsia="lv-LV"/>
        </w:rPr>
        <w:t xml:space="preserve"> atjaunošan</w:t>
      </w:r>
      <w:r w:rsidR="00C66D60" w:rsidRPr="00C66D60">
        <w:rPr>
          <w:rFonts w:eastAsia="Times New Roman" w:cs="Times New Roman"/>
          <w:color w:val="000000"/>
          <w:szCs w:val="24"/>
          <w:lang w:eastAsia="lv-LV"/>
        </w:rPr>
        <w:t>ai</w:t>
      </w:r>
      <w:r w:rsidRPr="00C66D60">
        <w:rPr>
          <w:rFonts w:eastAsia="Times New Roman" w:cs="Times New Roman"/>
          <w:color w:val="000000"/>
          <w:szCs w:val="24"/>
          <w:lang w:eastAsia="lv-LV"/>
        </w:rPr>
        <w:t>.</w:t>
      </w:r>
      <w:r w:rsidRPr="00C66D60">
        <w:rPr>
          <w:rStyle w:val="FootnoteReference"/>
          <w:rFonts w:eastAsia="Times New Roman" w:cs="Times New Roman"/>
          <w:color w:val="000000"/>
          <w:szCs w:val="24"/>
          <w:lang w:eastAsia="lv-LV"/>
        </w:rPr>
        <w:footnoteReference w:id="12"/>
      </w:r>
    </w:p>
    <w:p w14:paraId="62D9267A" w14:textId="77777777" w:rsidR="00A9295F" w:rsidRDefault="00A9295F">
      <w:pPr>
        <w:rPr>
          <w:rFonts w:eastAsia="Verdana" w:cstheme="majorBidi"/>
          <w:b/>
          <w:szCs w:val="26"/>
          <w:shd w:val="clear" w:color="auto" w:fill="FFFFFF"/>
        </w:rPr>
      </w:pPr>
      <w:r>
        <w:br w:type="page"/>
      </w:r>
    </w:p>
    <w:p w14:paraId="0E8BD4AD" w14:textId="7674D92C" w:rsidR="009347C1" w:rsidRPr="00C94F0D" w:rsidRDefault="00151A93" w:rsidP="00031EFF">
      <w:pPr>
        <w:pStyle w:val="Heading2"/>
        <w:rPr>
          <w:b w:val="0"/>
          <w:bCs/>
          <w:sz w:val="20"/>
          <w:szCs w:val="20"/>
        </w:rPr>
      </w:pPr>
      <w:bookmarkStart w:id="25" w:name="_Toc40113667"/>
      <w:r w:rsidRPr="00151A93">
        <w:lastRenderedPageBreak/>
        <w:t xml:space="preserve">2.2. </w:t>
      </w:r>
      <w:r w:rsidR="00BF2B45" w:rsidRPr="00151A93">
        <w:t>P</w:t>
      </w:r>
      <w:r w:rsidR="00C87E04" w:rsidRPr="00151A93">
        <w:rPr>
          <w:rFonts w:hint="eastAsia"/>
        </w:rPr>
        <w:t>olitik</w:t>
      </w:r>
      <w:r w:rsidR="00BF2B45" w:rsidRPr="00151A93">
        <w:t>a</w:t>
      </w:r>
      <w:r w:rsidR="00C87E04" w:rsidRPr="00151A93">
        <w:rPr>
          <w:rFonts w:hint="eastAsia"/>
        </w:rPr>
        <w:t xml:space="preserve"> un darbības ēku rentabl</w:t>
      </w:r>
      <w:r w:rsidR="00F471DC" w:rsidRPr="00151A93">
        <w:t>ai un pakāpeniski</w:t>
      </w:r>
      <w:r w:rsidR="00C87E04" w:rsidRPr="00151A93">
        <w:rPr>
          <w:rFonts w:hint="eastAsia"/>
        </w:rPr>
        <w:t xml:space="preserve"> pilnīg</w:t>
      </w:r>
      <w:r w:rsidR="00F471DC" w:rsidRPr="00151A93">
        <w:t>ai</w:t>
      </w:r>
      <w:r w:rsidR="00C87E04" w:rsidRPr="00151A93">
        <w:rPr>
          <w:rFonts w:hint="eastAsia"/>
        </w:rPr>
        <w:t xml:space="preserve"> atjaunošan</w:t>
      </w:r>
      <w:r w:rsidR="00F471DC" w:rsidRPr="00151A93">
        <w:t>ai</w:t>
      </w:r>
      <w:bookmarkEnd w:id="25"/>
    </w:p>
    <w:p w14:paraId="40AA4160" w14:textId="77777777" w:rsidR="001D251A" w:rsidRPr="00C94F0D" w:rsidRDefault="001D251A" w:rsidP="001D251A">
      <w:pPr>
        <w:rPr>
          <w:bCs/>
          <w:sz w:val="20"/>
          <w:szCs w:val="20"/>
        </w:rPr>
      </w:pPr>
      <w:bookmarkStart w:id="26" w:name="_Toc480527968"/>
      <w:bookmarkStart w:id="27" w:name="_Toc491870917"/>
      <w:bookmarkStart w:id="28" w:name="_Hlk25054862"/>
    </w:p>
    <w:p w14:paraId="07D2FEFF" w14:textId="12FBC69A" w:rsidR="009F035F" w:rsidRPr="009F035F" w:rsidRDefault="006E7433" w:rsidP="00D04220">
      <w:pPr>
        <w:ind w:firstLine="0"/>
        <w:rPr>
          <w:szCs w:val="24"/>
          <w:u w:val="single"/>
        </w:rPr>
      </w:pPr>
      <w:bookmarkStart w:id="29" w:name="_Toc480527969"/>
      <w:bookmarkStart w:id="30" w:name="_Toc491870918"/>
      <w:bookmarkEnd w:id="26"/>
      <w:bookmarkEnd w:id="27"/>
      <w:r>
        <w:rPr>
          <w:szCs w:val="24"/>
          <w:u w:val="single"/>
        </w:rPr>
        <w:t>Informācija par atbalsta instrumentiem ēku atjaunošanai</w:t>
      </w:r>
    </w:p>
    <w:p w14:paraId="007F963A" w14:textId="77777777" w:rsidR="00C87E04" w:rsidRPr="00B92C14" w:rsidRDefault="00C87E04" w:rsidP="00E51246">
      <w:pPr>
        <w:ind w:firstLine="0"/>
      </w:pPr>
      <w:bookmarkStart w:id="31" w:name="_Hlk25054915"/>
      <w:bookmarkEnd w:id="28"/>
      <w:bookmarkEnd w:id="29"/>
      <w:bookmarkEnd w:id="30"/>
    </w:p>
    <w:p w14:paraId="39B2E578" w14:textId="200D2723" w:rsidR="00C87E04" w:rsidRPr="00B92C14" w:rsidRDefault="00C87E04" w:rsidP="000806D1">
      <w:r w:rsidRPr="00B92C14">
        <w:t xml:space="preserve">2014.-2020. gada ES fondu plānošanas periodā ēku energoefektivitātes paaugstināšanas jomā </w:t>
      </w:r>
      <w:r w:rsidR="006E7433">
        <w:t>Latvijā</w:t>
      </w:r>
      <w:r w:rsidRPr="00B92C14">
        <w:t xml:space="preserve"> nodrošin</w:t>
      </w:r>
      <w:r w:rsidR="006E7433">
        <w:t>ātas</w:t>
      </w:r>
      <w:r w:rsidRPr="00B92C14">
        <w:t xml:space="preserve"> </w:t>
      </w:r>
      <w:r w:rsidR="006E7433">
        <w:t>šadas</w:t>
      </w:r>
      <w:r w:rsidRPr="00B92C14">
        <w:t xml:space="preserve"> atbalsta programm</w:t>
      </w:r>
      <w:r w:rsidR="006E7433">
        <w:t>as</w:t>
      </w:r>
      <w:r w:rsidRPr="00B92C14">
        <w:t>:</w:t>
      </w:r>
    </w:p>
    <w:p w14:paraId="1F1A017E" w14:textId="77777777" w:rsidR="00C87E04" w:rsidRPr="00B92C14" w:rsidRDefault="00C87E04" w:rsidP="00A517AC">
      <w:pPr>
        <w:numPr>
          <w:ilvl w:val="0"/>
          <w:numId w:val="6"/>
        </w:numPr>
        <w:ind w:left="0" w:firstLine="567"/>
      </w:pPr>
      <w:r w:rsidRPr="00B92C14">
        <w:t>4.1.1.specifiskais atbalsta mērķis „Veicināt efektīvu energoresursu izmantošanu, enerģijas patēriņa samazināšanu un pāreju uz AER apstrādes rūpniecības nozarē”;</w:t>
      </w:r>
    </w:p>
    <w:p w14:paraId="43B7F5FF" w14:textId="77777777" w:rsidR="00C87E04" w:rsidRPr="00B92C14" w:rsidRDefault="00C87E04" w:rsidP="00A517AC">
      <w:pPr>
        <w:numPr>
          <w:ilvl w:val="0"/>
          <w:numId w:val="6"/>
        </w:numPr>
        <w:ind w:left="0" w:firstLine="567"/>
      </w:pPr>
      <w:r w:rsidRPr="00B92C14">
        <w:t>4.2.1.1.pasākums “Veicināt energoefektivitātes paaugstināšanu dzīvojamās ēkās”;</w:t>
      </w:r>
    </w:p>
    <w:p w14:paraId="03650C76" w14:textId="184F7CAD" w:rsidR="00C87E04" w:rsidRPr="00B92C14" w:rsidRDefault="00C87E04" w:rsidP="00A517AC">
      <w:pPr>
        <w:numPr>
          <w:ilvl w:val="0"/>
          <w:numId w:val="6"/>
        </w:numPr>
        <w:ind w:left="0" w:firstLine="567"/>
      </w:pPr>
      <w:r w:rsidRPr="00B92C14">
        <w:t>4.2.1.2.pasākums “Veicināt energoefektivitātes paaugstināšanu valsts ēkās”</w:t>
      </w:r>
      <w:r w:rsidR="006E7433">
        <w:t>;</w:t>
      </w:r>
    </w:p>
    <w:p w14:paraId="569BAFA8" w14:textId="77777777" w:rsidR="00C87E04" w:rsidRPr="00B92C14" w:rsidRDefault="00C87E04" w:rsidP="000806D1"/>
    <w:p w14:paraId="1F62E566" w14:textId="77777777" w:rsidR="00C87E04" w:rsidRPr="00B92C14" w:rsidRDefault="00C87E04" w:rsidP="00A517AC">
      <w:pPr>
        <w:numPr>
          <w:ilvl w:val="0"/>
          <w:numId w:val="6"/>
        </w:numPr>
        <w:ind w:left="0" w:firstLine="567"/>
      </w:pPr>
      <w:r w:rsidRPr="00B92C14">
        <w:rPr>
          <w:bCs/>
        </w:rPr>
        <w:t>4.2.2. specifisko atbalsta mērķi “</w:t>
      </w:r>
      <w:r w:rsidRPr="00B92C14">
        <w:rPr>
          <w:bCs/>
          <w:iCs/>
        </w:rPr>
        <w:t>Atbilstoši pašvaldības integrētajām attīstības programmām sekmēt energoefektivitātes paaugstināšanu un atjaunojamo energoresursu izmantošanu pašvaldību ēkās</w:t>
      </w:r>
      <w:r w:rsidRPr="00B92C14">
        <w:rPr>
          <w:bCs/>
        </w:rPr>
        <w:t>”</w:t>
      </w:r>
      <w:r w:rsidRPr="00B92C14">
        <w:t>”.</w:t>
      </w:r>
    </w:p>
    <w:p w14:paraId="30074B94" w14:textId="77777777" w:rsidR="00C87E04" w:rsidRDefault="00C87E04" w:rsidP="000806D1">
      <w:pPr>
        <w:rPr>
          <w:u w:val="single"/>
        </w:rPr>
      </w:pPr>
    </w:p>
    <w:p w14:paraId="22EB3838" w14:textId="77777777" w:rsidR="00C87E04" w:rsidRPr="009F035F" w:rsidRDefault="00C87E04" w:rsidP="000806D1">
      <w:pPr>
        <w:rPr>
          <w:b/>
          <w:bCs/>
        </w:rPr>
      </w:pPr>
      <w:r w:rsidRPr="009F035F">
        <w:rPr>
          <w:b/>
          <w:bCs/>
        </w:rPr>
        <w:t>Kohēzijas fonda 4.1.1.specifiskais atbalsta mērķis „Veicināt efektīvu energoresursu izmantošanu, enerģijas patēriņa samazināšanu un pāreju uz AER apstrādes rūpniecības nozarē” (turpmāk – 4.1.1.SAM).</w:t>
      </w:r>
    </w:p>
    <w:p w14:paraId="34D892D0" w14:textId="77777777" w:rsidR="00C87E04" w:rsidRPr="00B92C14" w:rsidRDefault="00C87E04" w:rsidP="000806D1">
      <w:r w:rsidRPr="00B92C14">
        <w:t>4.1.1.SAM mērķis ir veicināt energoefektivitātes paaugstināšanu un atjaunojamo energoresursu izmantošanu apstrādes rūpniecības ražošanas ēkās.</w:t>
      </w:r>
    </w:p>
    <w:p w14:paraId="50738DB2" w14:textId="77777777" w:rsidR="00C87E04" w:rsidRPr="00B92C14" w:rsidRDefault="00C87E04" w:rsidP="000806D1">
      <w:r w:rsidRPr="00B92C14">
        <w:t>Analizējot SAM 4.1.1. pirmās un otrās projektu iesniegumu atlases kārtas ietvaros īstenošanā esošajos un pabeigtajos projektos (dati par īstenošanā esošajiem un pabeigtajiem projektiem fiksēti uz 2019.gada 9.oktobri) plānotos sasniedzamos rādītājus, secināms, ka plānoto rādītāju izpilde pirmās un otrās kārtas ietvaros ir šāda:</w:t>
      </w:r>
    </w:p>
    <w:p w14:paraId="7C0FC964" w14:textId="0516CFAF" w:rsidR="00C87E04" w:rsidRPr="00B92C14" w:rsidRDefault="00C87E04" w:rsidP="00A517AC">
      <w:pPr>
        <w:numPr>
          <w:ilvl w:val="0"/>
          <w:numId w:val="12"/>
        </w:numPr>
        <w:ind w:left="0" w:firstLine="567"/>
      </w:pPr>
      <w:r w:rsidRPr="00B92C14">
        <w:t>komersantu skaits, kas saņēmuši atbalstu – 40 komersanti</w:t>
      </w:r>
      <w:r w:rsidR="006E7433">
        <w:t>;</w:t>
      </w:r>
    </w:p>
    <w:p w14:paraId="04ADF878" w14:textId="150BE544" w:rsidR="00C87E04" w:rsidRPr="00B92C14" w:rsidRDefault="00C87E04" w:rsidP="00A517AC">
      <w:pPr>
        <w:numPr>
          <w:ilvl w:val="0"/>
          <w:numId w:val="12"/>
        </w:numPr>
        <w:ind w:left="0" w:firstLine="567"/>
      </w:pPr>
      <w:r w:rsidRPr="00B92C14">
        <w:t>enerģijas ietaupījums atbalstu saņēmušajiem komersantiem 107 219 MWh/gadā</w:t>
      </w:r>
      <w:r w:rsidR="006E7433">
        <w:t>;</w:t>
      </w:r>
    </w:p>
    <w:p w14:paraId="2121BFE1" w14:textId="6B94016C" w:rsidR="00C87E04" w:rsidRPr="00B92C14" w:rsidRDefault="00C87E04" w:rsidP="00A517AC">
      <w:pPr>
        <w:numPr>
          <w:ilvl w:val="0"/>
          <w:numId w:val="12"/>
        </w:numPr>
        <w:ind w:left="0" w:firstLine="567"/>
      </w:pPr>
      <w:r w:rsidRPr="00B92C14">
        <w:t>no atjaunojamiem energoresursiem ražotā papildjauda plānota 9,5 MW</w:t>
      </w:r>
      <w:r w:rsidR="006E7433">
        <w:t>;</w:t>
      </w:r>
    </w:p>
    <w:p w14:paraId="5EDCACA6" w14:textId="77777777" w:rsidR="006E7433" w:rsidRDefault="00C87E04" w:rsidP="006E7433">
      <w:pPr>
        <w:numPr>
          <w:ilvl w:val="0"/>
          <w:numId w:val="12"/>
        </w:numPr>
        <w:ind w:left="0" w:firstLine="567"/>
      </w:pPr>
      <w:r w:rsidRPr="00B92C14">
        <w:t>aprēķinātais siltumnīcefekta gāzu samazinājums – 12 327 CO</w:t>
      </w:r>
      <w:r w:rsidRPr="006E7433">
        <w:rPr>
          <w:vertAlign w:val="subscript"/>
        </w:rPr>
        <w:t>2</w:t>
      </w:r>
      <w:r w:rsidRPr="00B92C14">
        <w:t xml:space="preserve"> </w:t>
      </w:r>
      <w:r w:rsidR="00594B42" w:rsidRPr="00B92C14">
        <w:t xml:space="preserve">tonnas </w:t>
      </w:r>
      <w:r w:rsidRPr="00B92C14">
        <w:t>ekvivalenta</w:t>
      </w:r>
      <w:r w:rsidR="006E7433">
        <w:t>.</w:t>
      </w:r>
    </w:p>
    <w:p w14:paraId="4F586E81" w14:textId="79F59EDE" w:rsidR="00C87E04" w:rsidRPr="00B92C14" w:rsidRDefault="00C87E04" w:rsidP="006E7433">
      <w:r w:rsidRPr="00B92C14">
        <w:t xml:space="preserve">Ņemot vērā iepriekš minēto un </w:t>
      </w:r>
      <w:r w:rsidRPr="006E7433">
        <w:rPr>
          <w:bCs/>
        </w:rPr>
        <w:t>uzņēmēju augsto interesi par līdzvērtīgas atlases kārtas atkārtotu īstenošanu, Ekonomikas ministrija ir izstrādājusi Ministru kabineta noteikumu projektu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7E5DBF">
        <w:rPr>
          <w:rStyle w:val="FootnoteReference"/>
          <w:bCs/>
        </w:rPr>
        <w:footnoteReference w:id="13"/>
      </w:r>
      <w:r w:rsidRPr="006E7433">
        <w:rPr>
          <w:bCs/>
        </w:rPr>
        <w:t xml:space="preserve"> ar mērķi noteikt nosacījumus SAM 4.1.1. trešās kārtas īstenošanai.</w:t>
      </w:r>
    </w:p>
    <w:p w14:paraId="0E941B7D" w14:textId="26895F99" w:rsidR="00C87E04" w:rsidRPr="00B92C14" w:rsidRDefault="00C87E04" w:rsidP="006E7433">
      <w:r w:rsidRPr="00B92C14">
        <w:t xml:space="preserve">Šobrīd SAM 4.1.1. trešās kārtas īstenošanai pieejams KF finansējums 11 679 793 </w:t>
      </w:r>
      <w:r w:rsidRPr="00B92C14">
        <w:rPr>
          <w:i/>
        </w:rPr>
        <w:t>euro</w:t>
      </w:r>
      <w:r w:rsidRPr="00B92C14">
        <w:t xml:space="preserve"> apmērā. </w:t>
      </w:r>
      <w:r w:rsidR="006E7433">
        <w:t>F</w:t>
      </w:r>
      <w:r w:rsidRPr="00B92C14">
        <w:t>inansējuma saņēmēji ir Latvijas Republikā reģistrēti sīkie (mikro), mazie, vidējie un lielie uzņēmumi, kuru viena no darbības nozarēm ir apstrādes rūpniecība</w:t>
      </w:r>
      <w:r>
        <w:t xml:space="preserve">. </w:t>
      </w:r>
      <w:r w:rsidR="00982B18">
        <w:t xml:space="preserve">Paredzētais </w:t>
      </w:r>
      <w:r w:rsidR="00982B18" w:rsidRPr="00982B18">
        <w:t>aprēķinātais siltumnīcefekta gāzu samazinājums gadā – 3051  </w:t>
      </w:r>
      <w:r w:rsidR="00594B42" w:rsidRPr="00982B18">
        <w:t>tonnas</w:t>
      </w:r>
      <w:r w:rsidR="00594B42" w:rsidRPr="00594B42">
        <w:t xml:space="preserve"> </w:t>
      </w:r>
      <w:r w:rsidR="00594B42" w:rsidRPr="00982B18">
        <w:t>CO</w:t>
      </w:r>
      <w:r w:rsidR="00594B42" w:rsidRPr="00982B18">
        <w:rPr>
          <w:vertAlign w:val="subscript"/>
        </w:rPr>
        <w:t>2</w:t>
      </w:r>
      <w:r w:rsidR="00594B42" w:rsidRPr="00982B18">
        <w:t xml:space="preserve"> </w:t>
      </w:r>
      <w:r w:rsidR="00982B18" w:rsidRPr="00982B18">
        <w:t>ekvivalenta.</w:t>
      </w:r>
    </w:p>
    <w:p w14:paraId="62EF4EF8" w14:textId="77777777" w:rsidR="00C87E04" w:rsidRPr="00B92C14" w:rsidRDefault="00C87E04" w:rsidP="000806D1">
      <w:pPr>
        <w:rPr>
          <w:u w:val="single"/>
        </w:rPr>
      </w:pPr>
    </w:p>
    <w:p w14:paraId="14889AC4" w14:textId="695699CA" w:rsidR="00305661" w:rsidRPr="009F035F" w:rsidRDefault="00C87E04" w:rsidP="00305661">
      <w:pPr>
        <w:ind w:firstLine="0"/>
        <w:rPr>
          <w:b/>
          <w:bCs/>
        </w:rPr>
      </w:pPr>
      <w:r w:rsidRPr="009F035F">
        <w:rPr>
          <w:b/>
          <w:bCs/>
        </w:rPr>
        <w:lastRenderedPageBreak/>
        <w:t>Eiropas Reģionālās attīstības fonda 4.2.1.1.pasākums “Veicināt energoefektivitātes paaugstināšanu dzīvojamās ēkās” (turpmāk – 4.2.1.1.pasākums).</w:t>
      </w:r>
    </w:p>
    <w:p w14:paraId="76700A2C" w14:textId="372AF3A0" w:rsidR="00C87E04" w:rsidRPr="00B92C14" w:rsidRDefault="00C87E04" w:rsidP="000806D1">
      <w:r w:rsidRPr="00B92C14">
        <w:t xml:space="preserve">Atbalstu daudzdzīvokļu māju energoefektivitātes paaugstināšanas pasākumiem </w:t>
      </w:r>
      <w:r w:rsidR="006E7433">
        <w:t>administrē</w:t>
      </w:r>
      <w:r w:rsidRPr="00B92C14">
        <w:t xml:space="preserve"> </w:t>
      </w:r>
      <w:r w:rsidR="00A41DD3">
        <w:t>ALTUM</w:t>
      </w:r>
      <w:r w:rsidRPr="00B92C14">
        <w:t xml:space="preserve"> Projektu iesniegšana tika uzsākta 2016. gada septembrī un to īstenošana tiks nodrošināta līdz 2022. gada 31. decembrim.</w:t>
      </w:r>
      <w:r w:rsidR="00E24264">
        <w:t xml:space="preserve"> V</w:t>
      </w:r>
      <w:r w:rsidR="00E24264" w:rsidRPr="00E24264">
        <w:t>isā Latvijā kopš programmas sākuma 2016. gada pavasarī</w:t>
      </w:r>
      <w:r w:rsidR="00E24264">
        <w:t>,</w:t>
      </w:r>
      <w:r w:rsidR="00E24264" w:rsidRPr="00E24264">
        <w:t xml:space="preserve"> ir iesniegts 821 projektu pieteikums par provizorisko summu 375 miljoni eiro.</w:t>
      </w:r>
    </w:p>
    <w:p w14:paraId="676B94BA" w14:textId="3796E362" w:rsidR="007219D9" w:rsidRDefault="00C87E04" w:rsidP="007219D9">
      <w:pPr>
        <w:rPr>
          <w:bCs/>
          <w:iCs/>
        </w:rPr>
      </w:pPr>
      <w:r w:rsidRPr="00B92C14">
        <w:rPr>
          <w:bCs/>
          <w:iCs/>
        </w:rPr>
        <w:t>4.2.1.1. pasākuma ietvaros</w:t>
      </w:r>
      <w:r w:rsidR="007219D9" w:rsidRPr="007219D9">
        <w:rPr>
          <w:bCs/>
          <w:iCs/>
        </w:rPr>
        <w:t xml:space="preserve"> </w:t>
      </w:r>
      <w:r w:rsidR="006E7433" w:rsidRPr="007219D9">
        <w:rPr>
          <w:bCs/>
          <w:iCs/>
        </w:rPr>
        <w:t>būvniecības darbi pilnībā noslēgušies 155 namos</w:t>
      </w:r>
      <w:r w:rsidR="006E7433">
        <w:rPr>
          <w:bCs/>
          <w:iCs/>
        </w:rPr>
        <w:t>,</w:t>
      </w:r>
      <w:r w:rsidR="006E7433" w:rsidRPr="007219D9">
        <w:rPr>
          <w:bCs/>
          <w:iCs/>
        </w:rPr>
        <w:t xml:space="preserve"> </w:t>
      </w:r>
      <w:r w:rsidR="007219D9" w:rsidRPr="007219D9">
        <w:rPr>
          <w:bCs/>
          <w:iCs/>
        </w:rPr>
        <w:t>renovācijas procesā ir 80 daudzdzīvokļu mājas, savukārt pārējie iesniegtie projekti ir dažādās projekta sagatavošanas stadijās. Līdz šim pabeigtie projekti uzrāda būtisku enerģijas patēriņa samazinājumu – ja pirms mājas atjaunošanas vidējais enerģijas patēriņš bija 165 kWh gadā, tad pēc renovācijas darbiem tas ir vidēji par 67% zemāks jeb 54 kWh gadā, kas ir būtisks ietaupījums arī iedzīvotāju izmaksām</w:t>
      </w:r>
      <w:r w:rsidR="007219D9">
        <w:rPr>
          <w:bCs/>
          <w:iCs/>
        </w:rPr>
        <w:t>.</w:t>
      </w:r>
    </w:p>
    <w:p w14:paraId="54A88AD3" w14:textId="4AA7263E" w:rsidR="00C87E04" w:rsidRDefault="007219D9" w:rsidP="007219D9">
      <w:pPr>
        <w:rPr>
          <w:bCs/>
          <w:iCs/>
        </w:rPr>
      </w:pPr>
      <w:r w:rsidRPr="007219D9">
        <w:rPr>
          <w:bCs/>
          <w:iCs/>
        </w:rPr>
        <w:t xml:space="preserve">Daudzdzīvokļu māju energoefektivitātes paaugstināšanas valsts atbalsta programmu īsteno ALTUM ar Eiropas Reģionālās attīstības fonda līdzfinansējumu. </w:t>
      </w:r>
      <w:r w:rsidR="002D733D">
        <w:rPr>
          <w:bCs/>
          <w:iCs/>
        </w:rPr>
        <w:t>P</w:t>
      </w:r>
      <w:r w:rsidRPr="007219D9">
        <w:rPr>
          <w:bCs/>
          <w:iCs/>
        </w:rPr>
        <w:t>rojektus mājokļu atjaunošanai ir iesnieguši Rīgas un Pierīgas iedzīvotāji (369 projekti), kam seko daudzdzīvokļu namu iemītnieki Kurzemē (188), Vidzemē (124), Zemgalē (109) un Latgalē (31).</w:t>
      </w:r>
      <w:r w:rsidR="00323ABA">
        <w:rPr>
          <w:rStyle w:val="FootnoteReference"/>
          <w:bCs/>
          <w:iCs/>
        </w:rPr>
        <w:footnoteReference w:id="14"/>
      </w:r>
    </w:p>
    <w:p w14:paraId="3A300AFA" w14:textId="77777777" w:rsidR="0087778E" w:rsidRDefault="0087778E" w:rsidP="007219D9">
      <w:pPr>
        <w:ind w:firstLine="0"/>
        <w:rPr>
          <w:b/>
          <w:bCs/>
        </w:rPr>
      </w:pPr>
    </w:p>
    <w:p w14:paraId="7574EBD2" w14:textId="25C60EBC" w:rsidR="00C87E04" w:rsidRPr="009F035F" w:rsidRDefault="00C87E04" w:rsidP="00770F82">
      <w:pPr>
        <w:rPr>
          <w:b/>
          <w:bCs/>
        </w:rPr>
      </w:pPr>
      <w:r w:rsidRPr="009F035F">
        <w:rPr>
          <w:b/>
          <w:bCs/>
        </w:rPr>
        <w:t>Eiropas Reģionālās attīstības fonda 4.2.1.2.pasākums “Veicināt energoefektivitātes paaugstināšanu valsts ēkās” (turpmāk – 4.2.1.2. pasākums).</w:t>
      </w:r>
    </w:p>
    <w:p w14:paraId="2187DADE" w14:textId="5D04A577" w:rsidR="00C87E04" w:rsidRDefault="00C87E04" w:rsidP="00770F82">
      <w:r w:rsidRPr="00B92C14">
        <w:t>4.2.1.2.pasākuma mērķis ir veicināt energoefektivitātes paaugstināšanu, viedu energovadību un atjaunojamo energoresursu izmantošanu tiešās valsts pārvaldes iestādes vai tās padotības iestādes, vai valsts deleģētās funkcijas veicošas atvasinātas publiskas personas īpašumā vai lietošanā esošajās ēkā</w:t>
      </w:r>
      <w:r w:rsidR="00AA7CBE">
        <w:t>s</w:t>
      </w:r>
      <w:r w:rsidRPr="00B92C14">
        <w:t xml:space="preserve">. 4.2.1.2. pasākums tiek īstenots </w:t>
      </w:r>
      <w:r w:rsidR="00AA7CBE">
        <w:t xml:space="preserve">pamatā, lai izpildītu </w:t>
      </w:r>
      <w:r w:rsidR="00971B7B">
        <w:t>Eiropas Komisijas prasību, nodrošinot ikgadēju centrālās valdības ēku renovācijas mērķa izpildi – atjaunojot 3% no kopējās ēku platības.</w:t>
      </w:r>
    </w:p>
    <w:p w14:paraId="14244A09" w14:textId="3312C6FA" w:rsidR="00795B20" w:rsidRDefault="00795B20" w:rsidP="00795B20">
      <w:pPr>
        <w:rPr>
          <w:bCs/>
          <w:i/>
          <w:iCs/>
        </w:rPr>
      </w:pPr>
      <w:r w:rsidRPr="00795B20">
        <w:t>4.2.1.2. pasākumam plānotais k</w:t>
      </w:r>
      <w:r w:rsidRPr="00795B20">
        <w:rPr>
          <w:bCs/>
        </w:rPr>
        <w:t xml:space="preserve">opējais publiskais finansējums sastāda 115 127 027 </w:t>
      </w:r>
      <w:r w:rsidRPr="00795B20">
        <w:rPr>
          <w:bCs/>
          <w:i/>
          <w:iCs/>
        </w:rPr>
        <w:t>euro</w:t>
      </w:r>
      <w:r w:rsidRPr="00795B20">
        <w:rPr>
          <w:bCs/>
        </w:rPr>
        <w:t xml:space="preserve">, savukārt pieejamais kopējais publiskais finansējums 111 371 714 </w:t>
      </w:r>
      <w:r w:rsidRPr="00795B20">
        <w:rPr>
          <w:bCs/>
          <w:i/>
          <w:iCs/>
        </w:rPr>
        <w:t>euro</w:t>
      </w:r>
      <w:r w:rsidRPr="00795B20">
        <w:rPr>
          <w:bCs/>
        </w:rPr>
        <w:t xml:space="preserve">. </w:t>
      </w:r>
      <w:r w:rsidRPr="00795B20">
        <w:t xml:space="preserve">4.2.1.2. pasākuma ietvaros pieejamais publiskais finansējums pirmās kārtas ēku atjaunošanai 76 693 686 </w:t>
      </w:r>
      <w:r w:rsidRPr="00795B20">
        <w:rPr>
          <w:i/>
        </w:rPr>
        <w:t xml:space="preserve">euro, </w:t>
      </w:r>
      <w:r w:rsidRPr="00795B20">
        <w:rPr>
          <w:iCs/>
        </w:rPr>
        <w:t xml:space="preserve">savukārt </w:t>
      </w:r>
      <w:r w:rsidRPr="00795B20">
        <w:rPr>
          <w:bCs/>
        </w:rPr>
        <w:t xml:space="preserve">otrās atlases kārtas īstenošanai pieejamais kopējais publiskais finansējums 32 507 612 </w:t>
      </w:r>
      <w:r w:rsidRPr="00795B20">
        <w:rPr>
          <w:bCs/>
          <w:i/>
          <w:iCs/>
        </w:rPr>
        <w:t xml:space="preserve">euro. </w:t>
      </w:r>
    </w:p>
    <w:p w14:paraId="72682C39" w14:textId="21758AE2" w:rsidR="00795B20" w:rsidRPr="00795B20" w:rsidRDefault="00795B20" w:rsidP="00795B20">
      <w:pPr>
        <w:rPr>
          <w:bCs/>
        </w:rPr>
      </w:pPr>
      <w:r w:rsidRPr="00C66D8D">
        <w:rPr>
          <w:bCs/>
        </w:rPr>
        <w:t xml:space="preserve">No 2016. gada 19. septembra 4.2.1.2. pasākuma pirmās kārtas projektu iesniegumu atlases sākuma līdz 2019. gada 1. augustam sadarbības iestādē CFLA iesniegts 101 projekta pieteikums no 120 plānotajiem projekta pieteikumiem par kopējo publisko finansējumu 66 890 758.38 </w:t>
      </w:r>
      <w:r w:rsidRPr="00C66D8D">
        <w:rPr>
          <w:bCs/>
          <w:i/>
          <w:iCs/>
        </w:rPr>
        <w:t>euro.</w:t>
      </w:r>
    </w:p>
    <w:p w14:paraId="164C9CB3" w14:textId="716CB56C" w:rsidR="00795B20" w:rsidRPr="00B92C14" w:rsidRDefault="00795B20" w:rsidP="00770F82">
      <w:r w:rsidRPr="00C66D8D">
        <w:rPr>
          <w:bCs/>
        </w:rPr>
        <w:t xml:space="preserve">No 2018. gada 7. marta līdz 2019. gada 1. augustam 4.2.1.2. pasākuma otrās kārtas projektu iesniegumu atlases kārtā tika iesniegti 28 projektu pieteikumi no 31 plānotā par kopējo finansējumu 29 791 530.92 </w:t>
      </w:r>
      <w:r w:rsidRPr="00C66D8D">
        <w:rPr>
          <w:bCs/>
          <w:i/>
          <w:iCs/>
        </w:rPr>
        <w:t>euro</w:t>
      </w:r>
    </w:p>
    <w:p w14:paraId="681BCEE6" w14:textId="6D747B78" w:rsidR="00C87E04" w:rsidRPr="003C5621" w:rsidRDefault="00C87E04" w:rsidP="00A16377">
      <w:pPr>
        <w:rPr>
          <w:color w:val="000000" w:themeColor="text1"/>
        </w:rPr>
      </w:pPr>
      <w:r w:rsidRPr="003C5621">
        <w:rPr>
          <w:bCs/>
          <w:color w:val="000000" w:themeColor="text1"/>
        </w:rPr>
        <w:t>Ņemot vērā valsts ēku atjaunošanas lēno gaitu, Ekonomikas ministrija sagatavoja informatīvo ziņojumu par izveidojušos situāciju un rosināja valdību lemt par turpmāko rīcību, lai nodrošinātu mērķtiecīgāku un efektīvāku ES fondu investīciju veikšanu valsts ēku atjaunošanā.</w:t>
      </w:r>
      <w:r w:rsidR="003C5621">
        <w:rPr>
          <w:rStyle w:val="FootnoteReference"/>
          <w:bCs/>
          <w:color w:val="000000" w:themeColor="text1"/>
        </w:rPr>
        <w:footnoteReference w:id="15"/>
      </w:r>
      <w:r w:rsidRPr="003C5621">
        <w:rPr>
          <w:bCs/>
          <w:color w:val="000000" w:themeColor="text1"/>
        </w:rPr>
        <w:t xml:space="preserve"> </w:t>
      </w:r>
    </w:p>
    <w:p w14:paraId="1060E647" w14:textId="77777777" w:rsidR="00A16377" w:rsidRPr="00B92C14" w:rsidRDefault="00A16377" w:rsidP="00A16377"/>
    <w:p w14:paraId="0DDD46A4" w14:textId="77777777" w:rsidR="00C87E04" w:rsidRPr="009F035F" w:rsidRDefault="00C87E04" w:rsidP="00770F82">
      <w:pPr>
        <w:rPr>
          <w:b/>
        </w:rPr>
      </w:pPr>
      <w:bookmarkStart w:id="32" w:name="_Hlk24530977"/>
      <w:r w:rsidRPr="009F035F">
        <w:rPr>
          <w:b/>
        </w:rPr>
        <w:lastRenderedPageBreak/>
        <w:t>4.2.2. specifiskais atbalsta mērķis “</w:t>
      </w:r>
      <w:r w:rsidRPr="009F035F">
        <w:rPr>
          <w:b/>
          <w:iCs/>
        </w:rPr>
        <w:t>Atbilstoši pašvaldības integrētajām attīstības programmām sekmēt energoefektivitātes paaugstināšanu un atjaunojamo energoresursu izmantošanu pašvaldību ēkās</w:t>
      </w:r>
      <w:r w:rsidRPr="009F035F">
        <w:rPr>
          <w:b/>
        </w:rPr>
        <w:t>”</w:t>
      </w:r>
    </w:p>
    <w:bookmarkEnd w:id="32"/>
    <w:p w14:paraId="7CEBC96E" w14:textId="0F3DC45D" w:rsidR="00C87E04" w:rsidRPr="00B92C14" w:rsidRDefault="00C87E04" w:rsidP="00770F82">
      <w:r w:rsidRPr="00B92C14">
        <w:t>4.2.2. SAM mērķis ir samazināt primārās enerģijas patēriņu, sekmējot energoefektivitātes paaugstināšanu un pašvaldību izdevumu samazināšanos par siltumapgādi un veicot ieguldījumus pašvaldību ēkās atbilstoši pašvaldību attīstības programmās noteiktajām prioritātēm. Par 4.2.2. SAM plānoto finansējumu 55 289 876 euro apmērā īstenotajos projektos līdz 2023. gada 31. decembrim plānots sasniegt šādus rādītājus:</w:t>
      </w:r>
    </w:p>
    <w:p w14:paraId="7C9B8894" w14:textId="77777777" w:rsidR="00C87E04" w:rsidRPr="00B92C14" w:rsidRDefault="00C87E04" w:rsidP="00A517AC">
      <w:pPr>
        <w:numPr>
          <w:ilvl w:val="0"/>
          <w:numId w:val="7"/>
        </w:numPr>
        <w:ind w:left="0" w:firstLine="567"/>
      </w:pPr>
      <w:r w:rsidRPr="00B92C14">
        <w:t xml:space="preserve">primārās </w:t>
      </w:r>
      <w:r w:rsidRPr="00B92C14">
        <w:rPr>
          <w:bCs/>
        </w:rPr>
        <w:t>enerģijas</w:t>
      </w:r>
      <w:r w:rsidRPr="00B92C14">
        <w:t xml:space="preserve"> </w:t>
      </w:r>
      <w:r w:rsidRPr="00B92C14">
        <w:rPr>
          <w:bCs/>
        </w:rPr>
        <w:t>patēriņa samazinājums</w:t>
      </w:r>
      <w:r w:rsidRPr="00B92C14">
        <w:t xml:space="preserve"> sabiedriskajās ēkās – vismaz </w:t>
      </w:r>
      <w:r w:rsidRPr="00B92C14">
        <w:rPr>
          <w:bCs/>
        </w:rPr>
        <w:t>20 536 239 kilovatstundas gadā</w:t>
      </w:r>
      <w:r w:rsidRPr="00B92C14">
        <w:t>;</w:t>
      </w:r>
    </w:p>
    <w:p w14:paraId="75D38D46" w14:textId="51201695" w:rsidR="00C87E04" w:rsidRPr="00B92C14" w:rsidRDefault="00C87E04" w:rsidP="00A517AC">
      <w:pPr>
        <w:numPr>
          <w:ilvl w:val="0"/>
          <w:numId w:val="7"/>
        </w:numPr>
        <w:ind w:left="0" w:firstLine="567"/>
      </w:pPr>
      <w:r w:rsidRPr="00B92C14">
        <w:t xml:space="preserve">aprēķinātais </w:t>
      </w:r>
      <w:r w:rsidRPr="00B92C14">
        <w:rPr>
          <w:bCs/>
        </w:rPr>
        <w:t>siltumnīcefekta gāzu samazinājums </w:t>
      </w:r>
      <w:r w:rsidRPr="00B92C14">
        <w:t xml:space="preserve">– vismaz </w:t>
      </w:r>
      <w:r w:rsidRPr="00B92C14">
        <w:rPr>
          <w:bCs/>
        </w:rPr>
        <w:t>5</w:t>
      </w:r>
      <w:r w:rsidR="00594B42">
        <w:rPr>
          <w:bCs/>
        </w:rPr>
        <w:t> </w:t>
      </w:r>
      <w:r w:rsidRPr="00B92C14">
        <w:rPr>
          <w:bCs/>
        </w:rPr>
        <w:t xml:space="preserve">180 </w:t>
      </w:r>
      <w:r w:rsidR="00594B42" w:rsidRPr="00B92C14">
        <w:rPr>
          <w:bCs/>
        </w:rPr>
        <w:t xml:space="preserve">tonnas </w:t>
      </w:r>
      <w:r w:rsidRPr="00B92C14">
        <w:rPr>
          <w:bCs/>
        </w:rPr>
        <w:t>ogļskābās gāzes ekvivalenta gadā</w:t>
      </w:r>
      <w:r w:rsidRPr="00B92C14">
        <w:t>;</w:t>
      </w:r>
    </w:p>
    <w:p w14:paraId="4FDFABD7" w14:textId="77777777" w:rsidR="00C87E04" w:rsidRPr="00B92C14" w:rsidRDefault="00C87E04" w:rsidP="00A517AC">
      <w:pPr>
        <w:numPr>
          <w:ilvl w:val="0"/>
          <w:numId w:val="7"/>
        </w:numPr>
        <w:ind w:left="0" w:firstLine="567"/>
      </w:pPr>
      <w:r w:rsidRPr="00B92C14">
        <w:t xml:space="preserve">no atjaunojamiem energoresursiem ražotā </w:t>
      </w:r>
      <w:r w:rsidRPr="00B92C14">
        <w:rPr>
          <w:bCs/>
        </w:rPr>
        <w:t>papildjauda </w:t>
      </w:r>
      <w:r w:rsidRPr="00B92C14">
        <w:t xml:space="preserve">– vismaz </w:t>
      </w:r>
      <w:r w:rsidRPr="00B92C14">
        <w:rPr>
          <w:bCs/>
        </w:rPr>
        <w:t>1,8 megavati</w:t>
      </w:r>
      <w:r w:rsidRPr="00B92C14">
        <w:t>;</w:t>
      </w:r>
    </w:p>
    <w:p w14:paraId="52D04938" w14:textId="77777777" w:rsidR="00C87E04" w:rsidRPr="00B92C14" w:rsidRDefault="00C87E04" w:rsidP="00A517AC">
      <w:pPr>
        <w:numPr>
          <w:ilvl w:val="0"/>
          <w:numId w:val="7"/>
        </w:numPr>
        <w:ind w:left="0" w:firstLine="567"/>
      </w:pPr>
      <w:r w:rsidRPr="00B92C14">
        <w:t>vidējais siltumenerģijas patēriņš apkurei – ne vairāk kā 120 kilovatstundas uz kvadrātmetru gadā.</w:t>
      </w:r>
    </w:p>
    <w:p w14:paraId="79785805" w14:textId="77777777" w:rsidR="003C5621" w:rsidRDefault="003C5621" w:rsidP="003C5621">
      <w:pPr>
        <w:ind w:firstLine="0"/>
        <w:rPr>
          <w:szCs w:val="24"/>
        </w:rPr>
      </w:pPr>
      <w:bookmarkStart w:id="33" w:name="_Toc480527971"/>
      <w:bookmarkStart w:id="34" w:name="_Toc491870920"/>
      <w:bookmarkEnd w:id="31"/>
    </w:p>
    <w:p w14:paraId="1519F768" w14:textId="5DED7397" w:rsidR="003C5621" w:rsidRPr="000C3493" w:rsidRDefault="003C5621" w:rsidP="003C5621">
      <w:pPr>
        <w:ind w:firstLine="0"/>
        <w:rPr>
          <w:szCs w:val="24"/>
        </w:rPr>
      </w:pPr>
      <w:r w:rsidRPr="000C3493">
        <w:rPr>
          <w:szCs w:val="24"/>
        </w:rPr>
        <w:t>Vienošanās dalībnieku loka paplašināšana</w:t>
      </w:r>
    </w:p>
    <w:p w14:paraId="203512B8" w14:textId="77777777" w:rsidR="003C5621" w:rsidRPr="003C5621" w:rsidRDefault="003C5621" w:rsidP="003C5621">
      <w:pPr>
        <w:ind w:firstLine="0"/>
        <w:rPr>
          <w:szCs w:val="24"/>
        </w:rPr>
      </w:pPr>
    </w:p>
    <w:p w14:paraId="2F1BF0B1" w14:textId="5B9030DB" w:rsidR="003C5621" w:rsidRPr="003C5621" w:rsidRDefault="003C5621" w:rsidP="003C5621">
      <w:pPr>
        <w:rPr>
          <w:szCs w:val="24"/>
        </w:rPr>
      </w:pPr>
      <w:r w:rsidRPr="003C5621">
        <w:rPr>
          <w:szCs w:val="24"/>
        </w:rPr>
        <w:t xml:space="preserve">Ministru kabineta 2016. gada 11. oktobra noteikumi Nr. 669 “Kārtība, kādā noslēdz un pārrauga brīvprātīgu vienošanos par energoefektivitātes uzlabošanu” (turpmāk – MK noteikumi Nr. 669) nosaka, ka vienošanās dalībnieks – komersantus pārstāvoša organizācija, komersants vai pašvaldība, kas brīvprātīgi apņemas sasniegt paredzēto enerģijas ietaupījuma mērķi, īstenojot konkrētus energoefektivitātes paaugstināšanas pasākumus atbilstoši noslēgtās vienošanās nosacījumiem. Lai veicinātu vienošanās noslēgšanu, kas paredzētu veikt energoefektivitātes paaugstināšanas pasākumus pašvaldībās, tiek paplašināts MK noteikumos Nr. 669 noteikto vienošanās dalībnieku loks ar plānošanas reģioniem un pašvaldības pārstāvošām organizācijām, tādejādi veicinot energoefektivitātes paaugstināšanas pasākumu īstenošanu pašvaldībās. </w:t>
      </w:r>
      <w:r>
        <w:rPr>
          <w:rStyle w:val="FootnoteReference"/>
          <w:szCs w:val="24"/>
        </w:rPr>
        <w:footnoteReference w:id="16"/>
      </w:r>
    </w:p>
    <w:p w14:paraId="0E7B282F" w14:textId="77777777" w:rsidR="008A032A" w:rsidRDefault="008A032A" w:rsidP="00A16377">
      <w:pPr>
        <w:ind w:firstLine="0"/>
        <w:rPr>
          <w:szCs w:val="24"/>
          <w:u w:val="single"/>
        </w:rPr>
      </w:pPr>
    </w:p>
    <w:p w14:paraId="12EA2D03" w14:textId="77777777" w:rsidR="00744483" w:rsidRDefault="00744483" w:rsidP="00744483">
      <w:pPr>
        <w:rPr>
          <w:rFonts w:eastAsia="Calibri" w:cs="Times New Roman"/>
          <w:color w:val="000000"/>
          <w:szCs w:val="24"/>
          <w:u w:val="single"/>
        </w:rPr>
      </w:pPr>
      <w:bookmarkStart w:id="35" w:name="_Toc480527972"/>
      <w:bookmarkStart w:id="36" w:name="_Toc491870921"/>
      <w:bookmarkEnd w:id="33"/>
      <w:bookmarkEnd w:id="34"/>
    </w:p>
    <w:p w14:paraId="54BED78E" w14:textId="41F29926" w:rsidR="00C87E04" w:rsidRPr="00744483" w:rsidRDefault="00971B7B" w:rsidP="00744483">
      <w:pPr>
        <w:ind w:firstLine="0"/>
        <w:rPr>
          <w:b/>
          <w:bCs/>
          <w:color w:val="FF0000"/>
        </w:rPr>
      </w:pPr>
      <w:r>
        <w:rPr>
          <w:rFonts w:eastAsia="Calibri" w:cs="Times New Roman"/>
          <w:color w:val="000000"/>
          <w:szCs w:val="24"/>
          <w:u w:val="single"/>
        </w:rPr>
        <w:t>Esošais pašvaldību a</w:t>
      </w:r>
      <w:r w:rsidR="00C87E04" w:rsidRPr="00305661">
        <w:rPr>
          <w:rFonts w:eastAsia="Calibri" w:cs="Times New Roman"/>
          <w:color w:val="000000"/>
          <w:szCs w:val="24"/>
          <w:u w:val="single"/>
        </w:rPr>
        <w:t>tbalsts ar nodokļu atvieglojumiem</w:t>
      </w:r>
      <w:bookmarkEnd w:id="35"/>
      <w:bookmarkEnd w:id="36"/>
    </w:p>
    <w:p w14:paraId="62C530EB" w14:textId="77777777" w:rsidR="00744483" w:rsidRDefault="00744483" w:rsidP="00350F72">
      <w:pPr>
        <w:rPr>
          <w:rFonts w:eastAsia="Calibri" w:cs="Times New Roman"/>
          <w:szCs w:val="24"/>
        </w:rPr>
      </w:pPr>
    </w:p>
    <w:p w14:paraId="5D7CA478" w14:textId="26DF6227" w:rsidR="00C87E04" w:rsidRPr="001B70F4" w:rsidRDefault="00C87E04" w:rsidP="00350F72">
      <w:pPr>
        <w:rPr>
          <w:rFonts w:eastAsia="Calibri" w:cs="Times New Roman"/>
          <w:szCs w:val="24"/>
        </w:rPr>
      </w:pPr>
      <w:r w:rsidRPr="001B70F4">
        <w:rPr>
          <w:rFonts w:eastAsia="Calibri" w:cs="Times New Roman"/>
          <w:szCs w:val="24"/>
        </w:rPr>
        <w:t xml:space="preserve">Regulējumu nekustamā īpašuma (t.sk. ēku) nodokļa piemērošanai nosaka likums „Par nekustamā īpašuma nodokli”. Likuma „Par nekustamā īpašuma nodokli” 3.panta </w:t>
      </w:r>
      <w:r>
        <w:rPr>
          <w:rFonts w:eastAsia="Calibri" w:cs="Times New Roman"/>
          <w:szCs w:val="24"/>
        </w:rPr>
        <w:t>pirmajā daļā</w:t>
      </w:r>
      <w:r w:rsidRPr="001B70F4">
        <w:rPr>
          <w:rFonts w:eastAsia="Calibri" w:cs="Times New Roman"/>
          <w:szCs w:val="24"/>
        </w:rPr>
        <w:t xml:space="preserve"> noteikts, ka nekustamā īpašuma nodokļa likmi vai likmes no 0,2 līdz 3 procentiem no nekustamā īpašuma kadastrālās vērtības nosaka pašvaldība savos saistošajos noteikumos, kurus tā publicē līdz pirmstaksācijas gada 1.novembrim. Nekustamā īpašuma nodokļa likmi, kas pārsniedz 1,5 procentus no nekustamā īpašuma kadastrālās vērtības, pašvaldība nosaka tikai gadījumā, ja nekustamais īpašums netiek uzturēts atbilstoši normatīvajos aktos noteiktajai kārtībai. </w:t>
      </w:r>
    </w:p>
    <w:p w14:paraId="11BE7400" w14:textId="77777777" w:rsidR="00C87E04" w:rsidRPr="001B70F4" w:rsidRDefault="00C87E04" w:rsidP="00770F82">
      <w:pPr>
        <w:rPr>
          <w:rFonts w:eastAsia="Calibri" w:cs="Times New Roman"/>
          <w:szCs w:val="24"/>
        </w:rPr>
      </w:pPr>
      <w:r w:rsidRPr="001B70F4">
        <w:rPr>
          <w:rFonts w:eastAsia="Calibri" w:cs="Times New Roman"/>
          <w:szCs w:val="24"/>
        </w:rPr>
        <w:t xml:space="preserve">Nosakot nekustamā īpašuma nodokļa likmi vai likmes, pašvaldība pēc izvēles var piemērot šādus principus: </w:t>
      </w:r>
    </w:p>
    <w:p w14:paraId="5274E6C3" w14:textId="77777777" w:rsidR="00C87E04" w:rsidRPr="001B70F4" w:rsidRDefault="00C87E04" w:rsidP="00C87E04">
      <w:pPr>
        <w:rPr>
          <w:rFonts w:eastAsia="Calibri" w:cs="Times New Roman"/>
          <w:szCs w:val="24"/>
        </w:rPr>
      </w:pPr>
      <w:r w:rsidRPr="001B70F4">
        <w:rPr>
          <w:rFonts w:eastAsia="Calibri" w:cs="Times New Roman"/>
          <w:szCs w:val="24"/>
        </w:rPr>
        <w:t xml:space="preserve">1) Uzņēmējdarbības atbalsta princips, saskaņā ar kuru pašvaldība izmanto nodokļa likmi kā līdzekli savas teritorijas uzņēmēju vai noteiktu uzņēmējdarbības veidu konkurētspējas paaugstināšanai, ievērojot Komisijas 2013.gada 18.decembra </w:t>
      </w:r>
      <w:r w:rsidRPr="001B70F4">
        <w:rPr>
          <w:rFonts w:eastAsia="Calibri" w:cs="Times New Roman"/>
          <w:szCs w:val="24"/>
        </w:rPr>
        <w:lastRenderedPageBreak/>
        <w:t>regulas (ES) Nr.1407/2013 par Līguma par ES darbību 107. un 108.panta piemērošanu de minimis atbalstam (Dokuments attiecas uz EEZ) nosacījumus.</w:t>
      </w:r>
    </w:p>
    <w:p w14:paraId="69C59A9C" w14:textId="77777777" w:rsidR="00C87E04" w:rsidRPr="001B70F4" w:rsidRDefault="00C87E04" w:rsidP="00C87E04">
      <w:pPr>
        <w:rPr>
          <w:rFonts w:eastAsia="Calibri" w:cs="Times New Roman"/>
          <w:szCs w:val="24"/>
        </w:rPr>
      </w:pPr>
      <w:r w:rsidRPr="001B70F4">
        <w:rPr>
          <w:rFonts w:eastAsia="Calibri" w:cs="Times New Roman"/>
          <w:szCs w:val="24"/>
        </w:rPr>
        <w:t xml:space="preserve">2) Teritorijas attīstības un teritorijas sakārtošanas princips, saskaņā ar kuru pašvaldība izmanto nodokļa likmi savas teritorijas attīstības veicināšanai un sakārtošanai. </w:t>
      </w:r>
    </w:p>
    <w:p w14:paraId="222E59DE" w14:textId="77777777" w:rsidR="00C87E04" w:rsidRPr="001B70F4" w:rsidRDefault="00C87E04" w:rsidP="00C87E04">
      <w:pPr>
        <w:rPr>
          <w:rFonts w:eastAsia="Calibri" w:cs="Times New Roman"/>
          <w:szCs w:val="24"/>
        </w:rPr>
      </w:pPr>
      <w:r w:rsidRPr="001B70F4">
        <w:rPr>
          <w:rFonts w:eastAsia="Calibri" w:cs="Times New Roman"/>
          <w:szCs w:val="24"/>
        </w:rPr>
        <w:t>Pie esošās nekustamā īpašuma nodokļu politikas, rekonstruējot vai atjaunojot ēku, pieaug tās kadastrālā vērtība un līdz ar to atsevišķos gadījumos arī nekustamā īpašuma nodokļa likme. Ēku rekonstrukcija un atjaunošana prasa ievērojamas investīcijas, kā arī vairumā gadījumu nepieciešamību uzņemties finansiālas saistības pret kreditoriem.</w:t>
      </w:r>
    </w:p>
    <w:p w14:paraId="673A52AB" w14:textId="00DF48E1" w:rsidR="00C87E04" w:rsidRPr="001B70F4" w:rsidRDefault="00C87E04" w:rsidP="00C87E04">
      <w:pPr>
        <w:rPr>
          <w:rFonts w:eastAsia="Calibri" w:cs="Times New Roman"/>
          <w:szCs w:val="24"/>
        </w:rPr>
      </w:pPr>
      <w:r w:rsidRPr="001B70F4">
        <w:rPr>
          <w:rFonts w:eastAsia="Calibri" w:cs="Times New Roman"/>
          <w:szCs w:val="24"/>
        </w:rPr>
        <w:t xml:space="preserve">Likuma „Par nekustamā īpašuma nodokli” 5. panta trešajā līdz piektajā daļā noteikti nosacījumi, kādā pašvaldības ar saistošiem noteikumiem var noteikt atvieglojumus atsevišķām nekustamā īpašuma nodokļa maksātāju kategorijām. Atvieglojumus atsevišķām nekustamā īpašuma nodokļa maksātāju kategorijām pašvaldības var noteikt 90, 70, 50 vai 25 procentu apmērā no nekustamā īpašuma nodokļa summas. </w:t>
      </w:r>
    </w:p>
    <w:p w14:paraId="24930FD4" w14:textId="77777777" w:rsidR="00971B7B" w:rsidRDefault="00971B7B" w:rsidP="00C87E04">
      <w:pPr>
        <w:rPr>
          <w:rFonts w:eastAsia="Calibri" w:cs="Times New Roman"/>
          <w:szCs w:val="24"/>
        </w:rPr>
      </w:pPr>
    </w:p>
    <w:p w14:paraId="43824CBA" w14:textId="28D8E9EE" w:rsidR="00C87E04" w:rsidRPr="00971B7B" w:rsidRDefault="00971B7B" w:rsidP="00C87E04">
      <w:pPr>
        <w:rPr>
          <w:rFonts w:eastAsia="Calibri" w:cs="Times New Roman"/>
          <w:szCs w:val="24"/>
        </w:rPr>
      </w:pPr>
      <w:r w:rsidRPr="00971B7B">
        <w:rPr>
          <w:rFonts w:eastAsia="Calibri" w:cs="Times New Roman"/>
          <w:szCs w:val="24"/>
        </w:rPr>
        <w:t>P</w:t>
      </w:r>
      <w:r w:rsidR="00C87E04" w:rsidRPr="00971B7B">
        <w:rPr>
          <w:rFonts w:eastAsia="Calibri" w:cs="Times New Roman"/>
          <w:szCs w:val="24"/>
        </w:rPr>
        <w:t xml:space="preserve">ašvaldībām savos saistošajos noteikumos ir tiesības noteikt tādus nekustamā īpašuma nodokļa atvieglojumus vai piemērojamo likmi, kas palielinātu ēku īpašnieku interesi veikt energoefektivitātes pasākumus. </w:t>
      </w:r>
    </w:p>
    <w:p w14:paraId="78C656E8" w14:textId="6BAE6D01" w:rsidR="00C87E04" w:rsidRPr="00A8037A" w:rsidRDefault="00C87E04" w:rsidP="00C87E04">
      <w:pPr>
        <w:rPr>
          <w:rFonts w:eastAsia="Calibri" w:cs="Times New Roman"/>
          <w:szCs w:val="24"/>
        </w:rPr>
      </w:pPr>
      <w:r>
        <w:rPr>
          <w:rFonts w:eastAsia="Calibri" w:cs="Times New Roman"/>
          <w:szCs w:val="24"/>
        </w:rPr>
        <w:t xml:space="preserve">Piemēram, </w:t>
      </w:r>
      <w:r w:rsidRPr="00A8037A">
        <w:rPr>
          <w:rFonts w:eastAsia="Calibri" w:cs="Times New Roman"/>
          <w:szCs w:val="24"/>
        </w:rPr>
        <w:t>Rīgas domes</w:t>
      </w:r>
      <w:r w:rsidRPr="00A8037A">
        <w:rPr>
          <w:rFonts w:eastAsia="Calibri" w:cs="Times New Roman"/>
          <w:b/>
          <w:bCs/>
          <w:szCs w:val="24"/>
        </w:rPr>
        <w:t xml:space="preserve"> </w:t>
      </w:r>
      <w:r w:rsidRPr="00A8037A">
        <w:rPr>
          <w:rFonts w:eastAsia="Calibri" w:cs="Times New Roman"/>
          <w:szCs w:val="24"/>
        </w:rPr>
        <w:t>2012.</w:t>
      </w:r>
      <w:r w:rsidR="004C4203">
        <w:rPr>
          <w:rFonts w:eastAsia="Calibri" w:cs="Times New Roman"/>
          <w:szCs w:val="24"/>
        </w:rPr>
        <w:t xml:space="preserve"> </w:t>
      </w:r>
      <w:r w:rsidRPr="00A8037A">
        <w:rPr>
          <w:rFonts w:eastAsia="Calibri" w:cs="Times New Roman"/>
          <w:szCs w:val="24"/>
        </w:rPr>
        <w:t>gada 18.</w:t>
      </w:r>
      <w:r w:rsidR="004C4203">
        <w:rPr>
          <w:rFonts w:eastAsia="Calibri" w:cs="Times New Roman"/>
          <w:szCs w:val="24"/>
        </w:rPr>
        <w:t xml:space="preserve"> </w:t>
      </w:r>
      <w:r w:rsidRPr="00A8037A">
        <w:rPr>
          <w:rFonts w:eastAsia="Calibri" w:cs="Times New Roman"/>
          <w:szCs w:val="24"/>
        </w:rPr>
        <w:t>decembr</w:t>
      </w:r>
      <w:r>
        <w:rPr>
          <w:rFonts w:eastAsia="Calibri" w:cs="Times New Roman"/>
          <w:szCs w:val="24"/>
        </w:rPr>
        <w:t>a</w:t>
      </w:r>
      <w:r w:rsidRPr="00A8037A">
        <w:rPr>
          <w:rFonts w:eastAsia="Calibri" w:cs="Times New Roman"/>
          <w:szCs w:val="24"/>
        </w:rPr>
        <w:t xml:space="preserve"> saistošie noteikumi Nr.</w:t>
      </w:r>
      <w:r w:rsidR="004C4203">
        <w:rPr>
          <w:rFonts w:eastAsia="Calibri" w:cs="Times New Roman"/>
          <w:szCs w:val="24"/>
        </w:rPr>
        <w:t xml:space="preserve"> </w:t>
      </w:r>
      <w:r w:rsidRPr="00A8037A">
        <w:rPr>
          <w:rFonts w:eastAsia="Calibri" w:cs="Times New Roman"/>
          <w:szCs w:val="24"/>
        </w:rPr>
        <w:t xml:space="preserve">198 </w:t>
      </w:r>
      <w:r>
        <w:rPr>
          <w:rFonts w:eastAsia="Calibri" w:cs="Times New Roman"/>
          <w:szCs w:val="24"/>
        </w:rPr>
        <w:t>“</w:t>
      </w:r>
      <w:r w:rsidRPr="00A8037A">
        <w:rPr>
          <w:rFonts w:eastAsia="Calibri" w:cs="Times New Roman"/>
          <w:szCs w:val="24"/>
        </w:rPr>
        <w:t>Nekustamā īpašuma nodokļa atvieglojumu piešķiršanas kārtība Rīgā</w:t>
      </w:r>
      <w:r>
        <w:rPr>
          <w:rFonts w:eastAsia="Calibri" w:cs="Times New Roman"/>
          <w:szCs w:val="24"/>
        </w:rPr>
        <w:t>” 4. punktā noteikts, ka a</w:t>
      </w:r>
      <w:r w:rsidRPr="00A8037A">
        <w:rPr>
          <w:rFonts w:eastAsia="Calibri" w:cs="Times New Roman"/>
          <w:szCs w:val="24"/>
        </w:rPr>
        <w:t>tvieglojumus no taksācijas gadam aprēķinātās nekustamā īpašuma nodokļa summas piešķir</w:t>
      </w:r>
      <w:r>
        <w:rPr>
          <w:rFonts w:eastAsia="Calibri" w:cs="Times New Roman"/>
          <w:szCs w:val="24"/>
        </w:rPr>
        <w:t xml:space="preserve"> </w:t>
      </w:r>
      <w:r w:rsidRPr="00A8037A">
        <w:rPr>
          <w:rFonts w:eastAsia="Calibri" w:cs="Times New Roman"/>
          <w:szCs w:val="24"/>
        </w:rPr>
        <w:t>personai par daudzdzīvokļu māju, kurai veikta visu fasāžu siltināšana pēc tās nodošanas ekspluatācijā, vai brīvi stāvošām telpu grupām (dzīvokļiem), kas atrodas šādas ēkas sastāvā – 90%</w:t>
      </w:r>
      <w:r>
        <w:rPr>
          <w:rFonts w:eastAsia="Calibri" w:cs="Times New Roman"/>
          <w:szCs w:val="24"/>
        </w:rPr>
        <w:t xml:space="preserve"> apmērā. Tāpat, ja </w:t>
      </w:r>
      <w:r w:rsidRPr="004B3AC6">
        <w:rPr>
          <w:rFonts w:eastAsia="Calibri" w:cs="Times New Roman"/>
          <w:szCs w:val="24"/>
        </w:rPr>
        <w:t>objektam visu fasāžu siltināšana veikta pirms</w:t>
      </w:r>
      <w:r>
        <w:rPr>
          <w:rFonts w:eastAsia="Calibri" w:cs="Times New Roman"/>
          <w:szCs w:val="24"/>
        </w:rPr>
        <w:t xml:space="preserve"> </w:t>
      </w:r>
      <w:r w:rsidRPr="004B3AC6">
        <w:rPr>
          <w:rFonts w:eastAsia="Calibri" w:cs="Times New Roman"/>
          <w:szCs w:val="24"/>
        </w:rPr>
        <w:t>2014.</w:t>
      </w:r>
      <w:r w:rsidR="004C4203">
        <w:rPr>
          <w:rFonts w:eastAsia="Calibri" w:cs="Times New Roman"/>
          <w:szCs w:val="24"/>
        </w:rPr>
        <w:t xml:space="preserve"> </w:t>
      </w:r>
      <w:r w:rsidRPr="004B3AC6">
        <w:rPr>
          <w:rFonts w:eastAsia="Calibri" w:cs="Times New Roman"/>
          <w:szCs w:val="24"/>
        </w:rPr>
        <w:t>gada 1.</w:t>
      </w:r>
      <w:r w:rsidR="004C4203">
        <w:rPr>
          <w:rFonts w:eastAsia="Calibri" w:cs="Times New Roman"/>
          <w:szCs w:val="24"/>
        </w:rPr>
        <w:t xml:space="preserve"> </w:t>
      </w:r>
      <w:r w:rsidRPr="004B3AC6">
        <w:rPr>
          <w:rFonts w:eastAsia="Calibri" w:cs="Times New Roman"/>
          <w:szCs w:val="24"/>
        </w:rPr>
        <w:t>janvāra, atvieglojumu piešķiršanas priekšnoteikums ir derīgs ēkas energoefektivitātes sertifikāts, kurā ēkai noteiktā energoefektivitātes klase nav zemāka par C klasi.</w:t>
      </w:r>
    </w:p>
    <w:p w14:paraId="6C00EC3A" w14:textId="1D98BC1F" w:rsidR="00C87E04" w:rsidRDefault="00C87E04" w:rsidP="00C87E04">
      <w:r w:rsidRPr="000433E6">
        <w:t>Valmieras pilsētas saistošajos noteikumos</w:t>
      </w:r>
      <w:r>
        <w:t xml:space="preserve"> Nr.</w:t>
      </w:r>
      <w:r w:rsidR="004C4203">
        <w:t xml:space="preserve"> </w:t>
      </w:r>
      <w:r>
        <w:t>314 “</w:t>
      </w:r>
      <w:r w:rsidRPr="00BD608D">
        <w:t>Nekustamā īpašuma nodokļa atvieglojumu piešķiršanas kārtība Valmierā”</w:t>
      </w:r>
      <w:r w:rsidRPr="000433E6">
        <w:t xml:space="preserve"> noteikts, ka nodokļu atvieglojumi pienākas nodokļa maksātājam par atjaunotu ēku</w:t>
      </w:r>
      <w:r>
        <w:t>,</w:t>
      </w:r>
      <w:r w:rsidRPr="000433E6">
        <w:t> kas tiek izmantota saimnieciskās darbības veikšanai, ja tiek uzlabota ēkas energoefektivitāte, vienu gadu pēc būvdarbu pabeigšanas var saņemt atvieglojumus 50% apmērā no taksācijas gadam aprēķinātās nekustamā īpašuma nodokļa summas.</w:t>
      </w:r>
    </w:p>
    <w:p w14:paraId="26EF4782" w14:textId="258D2A77" w:rsidR="00C87E04" w:rsidRDefault="00C87E04" w:rsidP="00305661">
      <w:r>
        <w:t>Siguldas novadā, atbilstoši saistošajiem noteikumiem Nr.</w:t>
      </w:r>
      <w:r w:rsidR="004C4203">
        <w:t xml:space="preserve"> </w:t>
      </w:r>
      <w:r>
        <w:t>25 “</w:t>
      </w:r>
      <w:r w:rsidRPr="00BD608D">
        <w:t>Par atvieglojumu piemērošanu nekustamā īpašuma nodokļa maksātājiem Siguldas novadā</w:t>
      </w:r>
      <w:r>
        <w:t>” d</w:t>
      </w:r>
      <w:r w:rsidRPr="000433E6">
        <w:t>audzdzīvokļu dzīvojamo māju, kurās bez pašvaldības finansējuma veikti energoefektivitātes paaugstināšanas vai fasādes atjaunošanas darbi (veiktos darbus apliecina akts par objekta nodošanu ekspluatācijā vai ēkas fasādes apliecinājuma karte ar būvvaldes atzīmi par būvdarbu pabeigšanu), dzīvokļu īpašniekiem piešķirams nekustamā īpašuma nodokļa atvieglojums attiecīgajam mājoklim: pirmajā gadā pēc objekta nodošanas ekspluatācijā 90% apmērā; otrajā gadā pēc objekta nodošanas ekspluatācijā 70% apmērā; trešajā gadā pēc objekta nodošanas ekspluatācijā 50% apmērā</w:t>
      </w:r>
      <w:r>
        <w:t>.</w:t>
      </w:r>
    </w:p>
    <w:p w14:paraId="33A2D379" w14:textId="77777777" w:rsidR="00305661" w:rsidRPr="00305661" w:rsidRDefault="00305661" w:rsidP="00305661"/>
    <w:p w14:paraId="144E9A03" w14:textId="77777777" w:rsidR="003C5621" w:rsidRDefault="003C5621">
      <w:pPr>
        <w:rPr>
          <w:bCs/>
          <w:color w:val="000000" w:themeColor="text1"/>
          <w:szCs w:val="24"/>
          <w:u w:val="single"/>
        </w:rPr>
      </w:pPr>
      <w:r>
        <w:rPr>
          <w:bCs/>
          <w:color w:val="000000" w:themeColor="text1"/>
          <w:szCs w:val="24"/>
          <w:u w:val="single"/>
        </w:rPr>
        <w:br w:type="page"/>
      </w:r>
    </w:p>
    <w:p w14:paraId="44971B6C" w14:textId="2F601692" w:rsidR="00C87E04" w:rsidRPr="008A032A" w:rsidRDefault="00C87E04" w:rsidP="008A032A">
      <w:pPr>
        <w:spacing w:after="160" w:line="259" w:lineRule="auto"/>
        <w:ind w:firstLine="0"/>
        <w:jc w:val="left"/>
        <w:rPr>
          <w:bCs/>
          <w:color w:val="000000" w:themeColor="text1"/>
          <w:szCs w:val="24"/>
          <w:u w:val="single"/>
        </w:rPr>
      </w:pPr>
      <w:r w:rsidRPr="00305661">
        <w:rPr>
          <w:bCs/>
          <w:color w:val="000000" w:themeColor="text1"/>
          <w:szCs w:val="24"/>
          <w:u w:val="single"/>
        </w:rPr>
        <w:lastRenderedPageBreak/>
        <w:t xml:space="preserve">Pašvaldību </w:t>
      </w:r>
      <w:r w:rsidR="00770F82" w:rsidRPr="00305661">
        <w:rPr>
          <w:bCs/>
          <w:color w:val="000000" w:themeColor="text1"/>
          <w:szCs w:val="24"/>
          <w:u w:val="single"/>
        </w:rPr>
        <w:t>a</w:t>
      </w:r>
      <w:r w:rsidRPr="00305661">
        <w:rPr>
          <w:bCs/>
          <w:color w:val="000000" w:themeColor="text1"/>
          <w:szCs w:val="24"/>
          <w:u w:val="single"/>
        </w:rPr>
        <w:t xml:space="preserve">tbalsts </w:t>
      </w:r>
      <w:r w:rsidR="00971B7B">
        <w:rPr>
          <w:bCs/>
          <w:color w:val="000000" w:themeColor="text1"/>
          <w:szCs w:val="24"/>
          <w:u w:val="single"/>
        </w:rPr>
        <w:t>dokumentācijas sagatavošanai</w:t>
      </w:r>
    </w:p>
    <w:p w14:paraId="7403C5DD" w14:textId="77777777" w:rsidR="00C87E04" w:rsidRDefault="00C87E04" w:rsidP="00C87E04">
      <w:pPr>
        <w:ind w:firstLine="0"/>
        <w:rPr>
          <w:b/>
          <w:bCs/>
        </w:rPr>
      </w:pPr>
    </w:p>
    <w:p w14:paraId="2BB5B770" w14:textId="5B5CD7AC" w:rsidR="00C87E04" w:rsidRPr="005873CB" w:rsidRDefault="00C87E04" w:rsidP="005873CB">
      <w:pPr>
        <w:rPr>
          <w:b/>
          <w:bCs/>
          <w:color w:val="000000" w:themeColor="text1"/>
          <w:szCs w:val="24"/>
        </w:rPr>
      </w:pPr>
      <w:r w:rsidRPr="00A31176">
        <w:t xml:space="preserve">Nereti iedzīvotājiem viens no šķēršļiem ceļā uz energoefektīvu mājokli ir </w:t>
      </w:r>
      <w:r w:rsidRPr="00D076FE">
        <w:t>izmaksas</w:t>
      </w:r>
      <w:r w:rsidR="005873CB">
        <w:t>, lai ekonomiski un tehniski pamatotu siltināšanas nepieciešamību.</w:t>
      </w:r>
      <w:r w:rsidR="005873CB">
        <w:rPr>
          <w:b/>
          <w:bCs/>
          <w:color w:val="000000" w:themeColor="text1"/>
          <w:szCs w:val="24"/>
        </w:rPr>
        <w:t xml:space="preserve"> </w:t>
      </w:r>
      <w:r w:rsidR="005873CB">
        <w:t>Kā piemēram,</w:t>
      </w:r>
      <w:r w:rsidRPr="00A31176">
        <w:t xml:space="preserve"> ēkas energoaudita sagatavošanas izmaksas un ēkas energoefektivitātes paaugstināšanas pasākumu tehniskā projekta sagatavošanas izmaksas</w:t>
      </w:r>
      <w:r w:rsidR="005873CB">
        <w:t>.</w:t>
      </w:r>
    </w:p>
    <w:p w14:paraId="754B0A91" w14:textId="00BA6471" w:rsidR="00C87E04" w:rsidRPr="00A31176" w:rsidRDefault="00C87E04" w:rsidP="00770F82">
      <w:r w:rsidRPr="00A31176">
        <w:t>Liepājas pašvaldība sniedz atbalstu</w:t>
      </w:r>
      <w:r w:rsidRPr="00A31176">
        <w:rPr>
          <w:vertAlign w:val="superscript"/>
        </w:rPr>
        <w:footnoteReference w:id="17"/>
      </w:r>
      <w:r w:rsidRPr="00A31176">
        <w:t xml:space="preserve"> </w:t>
      </w:r>
      <w:r w:rsidR="005873CB">
        <w:t>tehniskās dokumentācijas izstrādei:</w:t>
      </w:r>
    </w:p>
    <w:p w14:paraId="5AE1566F" w14:textId="77777777" w:rsidR="00C87E04" w:rsidRPr="00A31176" w:rsidRDefault="00C87E04" w:rsidP="00A517AC">
      <w:pPr>
        <w:numPr>
          <w:ilvl w:val="0"/>
          <w:numId w:val="13"/>
        </w:numPr>
        <w:ind w:left="0" w:firstLine="567"/>
      </w:pPr>
      <w:r w:rsidRPr="00A31176">
        <w:t>Daudzdzīvokļu dzīvojamās mājas energoaudita pārskata un pagaidu energosertifikāta izstrādei, ēkas energosertifikāta aprēķinos izmantoto ievaddatu vērtību pārskata izstrādei,</w:t>
      </w:r>
    </w:p>
    <w:p w14:paraId="11BDC09C" w14:textId="77777777" w:rsidR="00C87E04" w:rsidRPr="00A31176" w:rsidRDefault="00C87E04" w:rsidP="00A517AC">
      <w:pPr>
        <w:numPr>
          <w:ilvl w:val="0"/>
          <w:numId w:val="13"/>
        </w:numPr>
        <w:ind w:left="0" w:firstLine="567"/>
      </w:pPr>
      <w:r w:rsidRPr="00A31176">
        <w:t>Daudzdzīvokļu dzīvojamās mājas tehniskās apsekošanas atzinuma sagatavošanai,</w:t>
      </w:r>
    </w:p>
    <w:p w14:paraId="3792E3CF" w14:textId="77777777" w:rsidR="00C87E04" w:rsidRPr="00A31176" w:rsidRDefault="00C87E04" w:rsidP="00A517AC">
      <w:pPr>
        <w:numPr>
          <w:ilvl w:val="0"/>
          <w:numId w:val="13"/>
        </w:numPr>
        <w:ind w:left="0" w:firstLine="567"/>
      </w:pPr>
      <w:r w:rsidRPr="00A31176">
        <w:t>Daudzdzīvokļu dzīvojamās mājas spēkā esoša atjaunošanas vai pārbūves būvprojekta (tajā skaitā ekspertīzes, ja nepieciešams) vai apliecinājuma kartes vienkāršotās fasādes atjaunošanai izstrādei, apliecinājuma kartes iekšējam inženiertīklam un būvdarbu tāmes izstrādei.</w:t>
      </w:r>
    </w:p>
    <w:p w14:paraId="193A4C73" w14:textId="77777777" w:rsidR="00C87E04" w:rsidRPr="00A31176" w:rsidRDefault="00C87E04" w:rsidP="00770F82">
      <w:r w:rsidRPr="00A31176">
        <w:t>Līdzfinansējums tiek piešķirts līdz 50% no kopējām atbalstāmo darbību izmaksām, bet ne vairāk kā 1,75 eiro par dzīvokļu īpašumu kopējās platības vienu kvadrātmetru.</w:t>
      </w:r>
    </w:p>
    <w:p w14:paraId="55E5D0E2" w14:textId="77777777" w:rsidR="00770F82" w:rsidRPr="00F05740" w:rsidRDefault="00770F82" w:rsidP="00770F82"/>
    <w:p w14:paraId="4F80CA00" w14:textId="48E6837B" w:rsidR="00C87E04" w:rsidRPr="00E122C6" w:rsidRDefault="00C87E04" w:rsidP="0096591D">
      <w:pPr>
        <w:spacing w:after="160" w:line="259" w:lineRule="auto"/>
        <w:ind w:firstLine="0"/>
        <w:jc w:val="left"/>
        <w:rPr>
          <w:color w:val="000000" w:themeColor="text1"/>
          <w:szCs w:val="24"/>
          <w:u w:val="single"/>
        </w:rPr>
      </w:pPr>
      <w:r w:rsidRPr="00E122C6">
        <w:rPr>
          <w:color w:val="000000" w:themeColor="text1"/>
          <w:szCs w:val="24"/>
          <w:u w:val="single"/>
        </w:rPr>
        <w:t>Ēku pakāpeniska atjaunošan</w:t>
      </w:r>
      <w:r w:rsidR="0096591D" w:rsidRPr="00E122C6">
        <w:rPr>
          <w:color w:val="000000" w:themeColor="text1"/>
          <w:szCs w:val="24"/>
          <w:u w:val="single"/>
        </w:rPr>
        <w:t xml:space="preserve">a - </w:t>
      </w:r>
      <w:r w:rsidR="00E122C6" w:rsidRPr="00E122C6">
        <w:rPr>
          <w:bCs/>
          <w:color w:val="000000" w:themeColor="text1"/>
          <w:u w:val="single"/>
        </w:rPr>
        <w:t>ē</w:t>
      </w:r>
      <w:r w:rsidRPr="00E122C6">
        <w:rPr>
          <w:bCs/>
          <w:color w:val="000000" w:themeColor="text1"/>
          <w:u w:val="single"/>
        </w:rPr>
        <w:t>ku atjaunošanas pasu sistēma</w:t>
      </w:r>
    </w:p>
    <w:p w14:paraId="1AD2358C" w14:textId="77777777" w:rsidR="00C87E04" w:rsidRPr="00E122C6" w:rsidRDefault="00C87E04" w:rsidP="00770F82">
      <w:pPr>
        <w:tabs>
          <w:tab w:val="left" w:pos="1860"/>
        </w:tabs>
        <w:rPr>
          <w:color w:val="000000" w:themeColor="text1"/>
        </w:rPr>
      </w:pPr>
      <w:r w:rsidRPr="00E122C6">
        <w:rPr>
          <w:color w:val="000000" w:themeColor="text1"/>
        </w:rPr>
        <w:t xml:space="preserve">Direktīvā 2010/31/ES, neskaitot jau iepriekš noteiktās prasības stratēģijā iekļaut </w:t>
      </w:r>
      <w:r w:rsidRPr="00E122C6">
        <w:rPr>
          <w:rFonts w:hint="eastAsia"/>
          <w:color w:val="000000" w:themeColor="text1"/>
        </w:rPr>
        <w:t xml:space="preserve">politiku un darbības ar mērķi stimulēt ēku rentablu pilnīgu atjaunošanu, </w:t>
      </w:r>
      <w:r w:rsidRPr="00E122C6">
        <w:rPr>
          <w:color w:val="000000" w:themeColor="text1"/>
        </w:rPr>
        <w:t xml:space="preserve"> papildus noteikts </w:t>
      </w:r>
      <w:r w:rsidRPr="00E122C6">
        <w:rPr>
          <w:rFonts w:hint="eastAsia"/>
          <w:color w:val="000000" w:themeColor="text1"/>
        </w:rPr>
        <w:t>atbalstīt mērķtiecīgus rentablus pasākumus un atjaunošanu, piemēram, ieviešot fakultatīvu ēku atjaunošanas pasu sistēmu</w:t>
      </w:r>
      <w:r w:rsidRPr="00E122C6">
        <w:rPr>
          <w:color w:val="000000" w:themeColor="text1"/>
        </w:rPr>
        <w:t xml:space="preserve">. </w:t>
      </w:r>
    </w:p>
    <w:p w14:paraId="0D5D03A5" w14:textId="343AAF20" w:rsidR="00C87E04" w:rsidRPr="00E122C6" w:rsidRDefault="00C87E04" w:rsidP="00770F82">
      <w:pPr>
        <w:tabs>
          <w:tab w:val="left" w:pos="1860"/>
        </w:tabs>
        <w:rPr>
          <w:color w:val="000000" w:themeColor="text1"/>
        </w:rPr>
      </w:pPr>
      <w:r w:rsidRPr="00E122C6">
        <w:rPr>
          <w:color w:val="000000" w:themeColor="text1"/>
        </w:rPr>
        <w:t xml:space="preserve">Atbilstoši Eiropas Komisijas ieteikumiem (ES) 2019/786 (2019. gada 8. maijs) </w:t>
      </w:r>
      <w:r w:rsidRPr="00E122C6">
        <w:rPr>
          <w:i/>
          <w:iCs/>
          <w:color w:val="000000" w:themeColor="text1"/>
        </w:rPr>
        <w:t>par ēku renovāciju</w:t>
      </w:r>
      <w:r w:rsidRPr="00E122C6">
        <w:rPr>
          <w:rStyle w:val="FootnoteReference"/>
          <w:i/>
          <w:iCs/>
          <w:color w:val="000000" w:themeColor="text1"/>
        </w:rPr>
        <w:footnoteReference w:id="18"/>
      </w:r>
      <w:r w:rsidRPr="00E122C6">
        <w:rPr>
          <w:i/>
          <w:iCs/>
          <w:color w:val="000000" w:themeColor="text1"/>
        </w:rPr>
        <w:t xml:space="preserve"> </w:t>
      </w:r>
      <w:r w:rsidRPr="00E122C6">
        <w:rPr>
          <w:color w:val="000000" w:themeColor="text1"/>
        </w:rPr>
        <w:t>Direktīvā nav sīkāk precizēts, kas ir ēku atjaunošanas pase, bet citos avotos ir noteikti vairāki kopīgi elementi, kuri būtu izmantojami kā piemēri - tiek minēts, ka tā var būt elektronisks vai papīra formāta dokuments, kurā ir sniegts konkrētas ēkas ilgtermiņa (15-20 gadu) pakāpeniskas renovācijas ceļvedis, kura pamatā varētu būt uz vietas veikts energoaudits ar īpašu kvalitātes kritēriju izpildi un kurā būtu izklāstīti attiecīgie pasākumi un renovācijas pasākumi, kas varētu uzlabot tās energoefektivitāti.</w:t>
      </w:r>
    </w:p>
    <w:p w14:paraId="1680D0C8" w14:textId="14995C42" w:rsidR="00C87E04" w:rsidRPr="00E122C6" w:rsidRDefault="00C87E04" w:rsidP="00256474">
      <w:pPr>
        <w:tabs>
          <w:tab w:val="left" w:pos="1860"/>
        </w:tabs>
        <w:rPr>
          <w:color w:val="000000" w:themeColor="text1"/>
        </w:rPr>
      </w:pPr>
      <w:r w:rsidRPr="00E122C6">
        <w:rPr>
          <w:color w:val="000000" w:themeColor="text1"/>
        </w:rPr>
        <w:t>Kopš 2010. gada Latvijā ir spēkā Dzīvojamo māju pārvaldīšanas likums.</w:t>
      </w:r>
      <w:r w:rsidRPr="00E122C6">
        <w:rPr>
          <w:rStyle w:val="FootnoteReference"/>
          <w:color w:val="000000" w:themeColor="text1"/>
        </w:rPr>
        <w:footnoteReference w:id="19"/>
      </w:r>
      <w:r w:rsidRPr="00E122C6">
        <w:rPr>
          <w:color w:val="000000" w:themeColor="text1"/>
        </w:rPr>
        <w:t xml:space="preserve"> Atbilstoši Dzīvojamo māju pārvaldīšanas likuma 8. pantam, ikvienai dzīvojamai mājai ir jāiekārto sava “mājas lieta” (turpmāk – Mājas lieta). Mājas lieta var būt papīra vai elektroniskā formā un tā sevī ietver, tajā skaitā tehnisko dokumentāciju - dzīvojamās mājas tehniskā pase (plāni, shēmas), projektu dokumentācija, energopase un energoplāns, mājas tehniskā apsekojuma atzinumi u.c..</w:t>
      </w:r>
      <w:r w:rsidR="00256474" w:rsidRPr="00E122C6">
        <w:rPr>
          <w:color w:val="000000" w:themeColor="text1"/>
        </w:rPr>
        <w:t xml:space="preserve"> </w:t>
      </w:r>
      <w:r w:rsidRPr="00E122C6">
        <w:rPr>
          <w:color w:val="000000" w:themeColor="text1"/>
        </w:rPr>
        <w:t>Mājas lietā var iekļaut citu dzīvojamās mājas pārvaldīšanai un apsaimniekošanai nozīmīgu informāciju.</w:t>
      </w:r>
    </w:p>
    <w:p w14:paraId="66D652D5" w14:textId="44E03501" w:rsidR="00C87E04" w:rsidRDefault="00C87E04" w:rsidP="00770F82">
      <w:pPr>
        <w:tabs>
          <w:tab w:val="left" w:pos="1860"/>
        </w:tabs>
        <w:rPr>
          <w:color w:val="000000" w:themeColor="text1"/>
        </w:rPr>
      </w:pPr>
      <w:r w:rsidRPr="00E122C6">
        <w:rPr>
          <w:color w:val="000000" w:themeColor="text1"/>
        </w:rPr>
        <w:t>Tāpat pastāv arī Ministru kabineta 2010. gada 28. septembra noteikumi Nr.907 “Noteikumi par dzīvojamās mājas apsekošanu, tehnisko apkopi, kārtējo remontu un energoefektivitātes minimālajam prasībām”</w:t>
      </w:r>
      <w:r w:rsidRPr="00E122C6">
        <w:rPr>
          <w:rStyle w:val="FootnoteReference"/>
          <w:color w:val="000000" w:themeColor="text1"/>
        </w:rPr>
        <w:footnoteReference w:id="20"/>
      </w:r>
      <w:r w:rsidRPr="00E122C6">
        <w:rPr>
          <w:color w:val="000000" w:themeColor="text1"/>
        </w:rPr>
        <w:t xml:space="preserve"> (turpmāk – MK noteikumi Nr.907), kas nosaka minimālās prasības dzīvojamās mājas energoefektivitātes nodrošināšanai. </w:t>
      </w:r>
      <w:r w:rsidRPr="00E122C6">
        <w:rPr>
          <w:color w:val="000000" w:themeColor="text1"/>
        </w:rPr>
        <w:lastRenderedPageBreak/>
        <w:t xml:space="preserve">Atbilstoši MK noteikumiem Nr.907, dzīvojamās mājas pārvaldītājam ir pienākums plānot energoefektivitātes paaugstināšanas pasākumus, ja dzīvojamās mājas vidējais siltumenerģijas patēriņš pārsniedz MK noteikumos Nr.907 noteikto. </w:t>
      </w:r>
    </w:p>
    <w:p w14:paraId="685E50DC" w14:textId="0550FE8A" w:rsidR="00821F5E" w:rsidRDefault="00821F5E" w:rsidP="00770F82">
      <w:pPr>
        <w:tabs>
          <w:tab w:val="left" w:pos="1860"/>
        </w:tabs>
        <w:rPr>
          <w:color w:val="000000" w:themeColor="text1"/>
        </w:rPr>
      </w:pPr>
    </w:p>
    <w:p w14:paraId="789698F3" w14:textId="77777777" w:rsidR="00821F5E" w:rsidRPr="00821F5E" w:rsidRDefault="00821F5E" w:rsidP="00821F5E">
      <w:pPr>
        <w:tabs>
          <w:tab w:val="left" w:pos="1860"/>
        </w:tabs>
        <w:ind w:firstLine="0"/>
        <w:rPr>
          <w:color w:val="000000" w:themeColor="text1"/>
          <w:u w:val="single"/>
        </w:rPr>
      </w:pPr>
      <w:r w:rsidRPr="00821F5E">
        <w:rPr>
          <w:color w:val="000000" w:themeColor="text1"/>
          <w:u w:val="single"/>
        </w:rPr>
        <w:t>Drošums</w:t>
      </w:r>
    </w:p>
    <w:p w14:paraId="4476A195" w14:textId="77777777" w:rsidR="00821F5E" w:rsidRPr="00821F5E" w:rsidRDefault="00821F5E" w:rsidP="00821F5E">
      <w:pPr>
        <w:tabs>
          <w:tab w:val="left" w:pos="1860"/>
        </w:tabs>
        <w:rPr>
          <w:color w:val="000000" w:themeColor="text1"/>
          <w:u w:val="single"/>
        </w:rPr>
      </w:pPr>
    </w:p>
    <w:p w14:paraId="2269D7A2" w14:textId="77777777" w:rsidR="00821F5E" w:rsidRPr="00821F5E" w:rsidRDefault="00821F5E" w:rsidP="00821F5E">
      <w:pPr>
        <w:tabs>
          <w:tab w:val="left" w:pos="1860"/>
        </w:tabs>
        <w:rPr>
          <w:color w:val="000000" w:themeColor="text1"/>
        </w:rPr>
      </w:pPr>
      <w:r w:rsidRPr="00821F5E">
        <w:rPr>
          <w:color w:val="000000" w:themeColor="text1"/>
        </w:rPr>
        <w:t>Atbilstoši</w:t>
      </w:r>
      <w:r w:rsidRPr="00821F5E">
        <w:rPr>
          <w:bCs/>
          <w:color w:val="000000" w:themeColor="text1"/>
        </w:rPr>
        <w:t xml:space="preserve"> 2013.gada 9.jūlija  noteikumi Ministru kabineta noteikumiem Nr.383 „Noteikumi par ēku energosertifikāciju” VI daļas prasībām ēkas īpašniekiem regulāri jānodrošina apkures un gaisa kondicionēšanas sistēmu pārbaudes.</w:t>
      </w:r>
    </w:p>
    <w:p w14:paraId="51822776" w14:textId="77777777" w:rsidR="00821F5E" w:rsidRPr="00821F5E" w:rsidRDefault="00821F5E" w:rsidP="00821F5E">
      <w:pPr>
        <w:tabs>
          <w:tab w:val="left" w:pos="1860"/>
        </w:tabs>
        <w:rPr>
          <w:color w:val="000000" w:themeColor="text1"/>
        </w:rPr>
      </w:pPr>
      <w:r w:rsidRPr="00821F5E">
        <w:rPr>
          <w:color w:val="000000" w:themeColor="text1"/>
        </w:rPr>
        <w:t xml:space="preserve">Apkures sistēmu pārbaudi veic ēku apkures sistēmu pieejamām daļām (piemēram, siltuma ģeneratoram, kontroles sistēmai un cirkulācijas sūknim vai sūkņiem), ja šo sistēmu apkures katlu lietderīgā nominālā jauda telpu apkures mērķim ir vairāk nekā 20 kilovati. </w:t>
      </w:r>
    </w:p>
    <w:p w14:paraId="0930A9E5" w14:textId="77777777" w:rsidR="00821F5E" w:rsidRPr="00821F5E" w:rsidRDefault="00821F5E" w:rsidP="00821F5E">
      <w:pPr>
        <w:tabs>
          <w:tab w:val="left" w:pos="1860"/>
        </w:tabs>
        <w:rPr>
          <w:color w:val="000000" w:themeColor="text1"/>
        </w:rPr>
      </w:pPr>
      <w:r w:rsidRPr="00821F5E">
        <w:rPr>
          <w:color w:val="000000" w:themeColor="text1"/>
        </w:rPr>
        <w:t>Apkures sistēmas pārbaude ietver apkures katla efektivitātes novērtējumu un apkures katla Apkures katlus pārbauda saskaņā ar standartu LVS EN 15378:2009L „Ēku apkures sistēmas. Apkures katlu un apkures sistēmu inspicēšana”. Par apkures sistēmas pārbaudi neatkarīgs eksperts sastāda:</w:t>
      </w:r>
    </w:p>
    <w:p w14:paraId="2AF2695E" w14:textId="77777777" w:rsidR="00821F5E" w:rsidRPr="00821F5E" w:rsidRDefault="00821F5E" w:rsidP="00821F5E">
      <w:pPr>
        <w:numPr>
          <w:ilvl w:val="0"/>
          <w:numId w:val="2"/>
        </w:numPr>
        <w:tabs>
          <w:tab w:val="left" w:pos="1860"/>
        </w:tabs>
        <w:rPr>
          <w:color w:val="000000" w:themeColor="text1"/>
        </w:rPr>
      </w:pPr>
      <w:r w:rsidRPr="00821F5E">
        <w:rPr>
          <w:color w:val="000000" w:themeColor="text1"/>
        </w:rPr>
        <w:t>apkures sistēmas apkures katlu pārbaudes aktus saskaņā ar standarta LVS EN 15378:2009L D pielikumu;</w:t>
      </w:r>
    </w:p>
    <w:p w14:paraId="30C11750" w14:textId="77777777" w:rsidR="00821F5E" w:rsidRPr="00821F5E" w:rsidRDefault="00821F5E" w:rsidP="00821F5E">
      <w:pPr>
        <w:numPr>
          <w:ilvl w:val="0"/>
          <w:numId w:val="2"/>
        </w:numPr>
        <w:tabs>
          <w:tab w:val="left" w:pos="1860"/>
        </w:tabs>
        <w:rPr>
          <w:color w:val="000000" w:themeColor="text1"/>
        </w:rPr>
      </w:pPr>
      <w:r w:rsidRPr="00821F5E">
        <w:rPr>
          <w:color w:val="000000" w:themeColor="text1"/>
        </w:rPr>
        <w:t>apkures sistēmas pārbaudes aktu saskaņā ar standarta LVS EN 15378:2009L K pielikumu.</w:t>
      </w:r>
    </w:p>
    <w:p w14:paraId="7AA81B92" w14:textId="1D440B89" w:rsidR="00821F5E" w:rsidRPr="00821F5E" w:rsidRDefault="00821F5E" w:rsidP="00821F5E">
      <w:pPr>
        <w:tabs>
          <w:tab w:val="left" w:pos="1860"/>
        </w:tabs>
        <w:rPr>
          <w:color w:val="000000" w:themeColor="text1"/>
        </w:rPr>
      </w:pPr>
      <w:r w:rsidRPr="00821F5E">
        <w:rPr>
          <w:color w:val="000000" w:themeColor="text1"/>
        </w:rPr>
        <w:t xml:space="preserve">Gaisa kondicionēšanas sistēmu pārbaudi veic gaisa kondicionēšanas sistēmu pieejamām daļām, ja gaisa kondicionēšanas sistēmas faktiskā nominālā jauda pārsniedz 12 kilovatus. Gaisa kondicionēšanas sistēmas pārbauda saskaņā ar standartu LVS EN 15240:2009 L „Ēku ventilācija. Ēku energoefektivitāte. Gaisa kondicionēšanas sistēmu apskates vadlīnijas”. Par gaisa kondicionēšanas sistēmas pārbaudi tiek sastādīts atbilstošs akts </w:t>
      </w:r>
    </w:p>
    <w:p w14:paraId="1E36A322" w14:textId="77777777" w:rsidR="00821F5E" w:rsidRPr="00821F5E" w:rsidRDefault="00821F5E" w:rsidP="00821F5E">
      <w:pPr>
        <w:tabs>
          <w:tab w:val="left" w:pos="1860"/>
        </w:tabs>
        <w:rPr>
          <w:color w:val="000000" w:themeColor="text1"/>
        </w:rPr>
      </w:pPr>
      <w:r w:rsidRPr="00821F5E">
        <w:rPr>
          <w:color w:val="000000" w:themeColor="text1"/>
        </w:rPr>
        <w:t>Gaisa kondicionēšanas sistēmu pārbauda:</w:t>
      </w:r>
    </w:p>
    <w:p w14:paraId="311D02D4" w14:textId="77777777" w:rsidR="00821F5E" w:rsidRPr="00821F5E" w:rsidRDefault="00821F5E" w:rsidP="00821F5E">
      <w:pPr>
        <w:numPr>
          <w:ilvl w:val="0"/>
          <w:numId w:val="3"/>
        </w:numPr>
        <w:tabs>
          <w:tab w:val="left" w:pos="1860"/>
        </w:tabs>
        <w:rPr>
          <w:color w:val="000000" w:themeColor="text1"/>
        </w:rPr>
      </w:pPr>
      <w:r w:rsidRPr="00821F5E">
        <w:rPr>
          <w:color w:val="000000" w:themeColor="text1"/>
        </w:rPr>
        <w:t>vismaz reizi sešos gados – ja gaisa kondicionēšanas sistēma aprīkota ar vadības un kontroles ierīcēm, kas nodrošina elektronisko sistēmu uzraudzību un kontroli;</w:t>
      </w:r>
    </w:p>
    <w:p w14:paraId="0F4195DB" w14:textId="2CAE27A1" w:rsidR="00821F5E" w:rsidRPr="00821F5E" w:rsidRDefault="00821F5E" w:rsidP="00821F5E">
      <w:pPr>
        <w:numPr>
          <w:ilvl w:val="0"/>
          <w:numId w:val="3"/>
        </w:numPr>
        <w:tabs>
          <w:tab w:val="left" w:pos="1860"/>
        </w:tabs>
        <w:rPr>
          <w:color w:val="000000" w:themeColor="text1"/>
        </w:rPr>
      </w:pPr>
      <w:r w:rsidRPr="00821F5E">
        <w:rPr>
          <w:color w:val="000000" w:themeColor="text1"/>
        </w:rPr>
        <w:t>vismaz reizi četros gados – citos gadījumos.</w:t>
      </w:r>
    </w:p>
    <w:p w14:paraId="799CF2E8" w14:textId="77777777" w:rsidR="00BF2B45" w:rsidRDefault="00BF2B45" w:rsidP="004E25D6">
      <w:pPr>
        <w:ind w:firstLine="0"/>
        <w:jc w:val="center"/>
        <w:rPr>
          <w:b/>
          <w:bCs/>
          <w:color w:val="000000" w:themeColor="text1"/>
          <w:sz w:val="28"/>
          <w:szCs w:val="28"/>
        </w:rPr>
      </w:pPr>
    </w:p>
    <w:p w14:paraId="448B7B6C" w14:textId="6B46030E" w:rsidR="004E25D6" w:rsidRPr="001D251A" w:rsidRDefault="00C87E04" w:rsidP="005B7721">
      <w:pPr>
        <w:ind w:firstLine="0"/>
        <w:jc w:val="left"/>
        <w:rPr>
          <w:color w:val="000000" w:themeColor="text1"/>
          <w:szCs w:val="24"/>
          <w:u w:val="single"/>
        </w:rPr>
      </w:pPr>
      <w:r w:rsidRPr="001D251A">
        <w:rPr>
          <w:color w:val="000000" w:themeColor="text1"/>
          <w:szCs w:val="24"/>
          <w:u w:val="single"/>
        </w:rPr>
        <w:t>Informatīvās kampaņas energoefektivitātes veicināšanai</w:t>
      </w:r>
    </w:p>
    <w:p w14:paraId="0AF29062" w14:textId="77777777" w:rsidR="007219D9" w:rsidRDefault="007219D9" w:rsidP="00BF2B45">
      <w:pPr>
        <w:ind w:firstLine="0"/>
        <w:rPr>
          <w:rFonts w:cs="Times New Roman"/>
          <w:bCs/>
          <w:color w:val="000000"/>
          <w:szCs w:val="24"/>
        </w:rPr>
      </w:pPr>
    </w:p>
    <w:p w14:paraId="6B435C84" w14:textId="77777777" w:rsidR="005873CB" w:rsidRPr="004E25D6" w:rsidRDefault="005873CB" w:rsidP="005873CB">
      <w:pPr>
        <w:ind w:firstLine="0"/>
        <w:rPr>
          <w:bCs/>
          <w:color w:val="000000" w:themeColor="text1"/>
          <w:szCs w:val="24"/>
        </w:rPr>
      </w:pPr>
      <w:r w:rsidRPr="004E25D6">
        <w:rPr>
          <w:bCs/>
          <w:color w:val="000000" w:themeColor="text1"/>
          <w:szCs w:val="24"/>
        </w:rPr>
        <w:t>Informatīvā kampaņa “Dzīvo siltāk!”</w:t>
      </w:r>
    </w:p>
    <w:p w14:paraId="1241222D" w14:textId="77777777" w:rsidR="005873CB" w:rsidRDefault="005873CB" w:rsidP="005873CB">
      <w:pPr>
        <w:rPr>
          <w:b/>
          <w:bCs/>
          <w:color w:val="000000" w:themeColor="text1"/>
          <w:sz w:val="28"/>
          <w:szCs w:val="28"/>
        </w:rPr>
      </w:pPr>
    </w:p>
    <w:p w14:paraId="1E5FA265" w14:textId="3BD16182" w:rsidR="005873CB" w:rsidRPr="004E426B" w:rsidRDefault="005873CB" w:rsidP="003651D6">
      <w:pPr>
        <w:shd w:val="clear" w:color="auto" w:fill="FFFFFF"/>
        <w:rPr>
          <w:rFonts w:eastAsia="Times New Roman" w:cs="Times New Roman"/>
          <w:szCs w:val="24"/>
          <w:lang w:eastAsia="lv-LV"/>
        </w:rPr>
      </w:pPr>
      <w:r w:rsidRPr="004E426B">
        <w:rPr>
          <w:rFonts w:eastAsia="Times New Roman" w:cs="Times New Roman"/>
          <w:szCs w:val="24"/>
          <w:lang w:eastAsia="lv-LV"/>
        </w:rPr>
        <w:t xml:space="preserve">EM sadarbībā ar partneriem 2010. gada februārī uzsāka informatīvo kampaņu “Dzīvo siltāk!” ar mērķi informēt iedzīvotājus par </w:t>
      </w:r>
      <w:r w:rsidR="00056746">
        <w:rPr>
          <w:rFonts w:eastAsia="Times New Roman" w:cs="Times New Roman"/>
          <w:szCs w:val="24"/>
          <w:lang w:eastAsia="lv-LV"/>
        </w:rPr>
        <w:t>energoefektivitāti, ieguldījumu ekonomisko atdevi un citiem tās pozitīvajiem ieguvumiem iesaistoties energoefektivitāti veicinošos pasākumos.</w:t>
      </w:r>
      <w:r w:rsidR="003651D6">
        <w:rPr>
          <w:rFonts w:eastAsia="Times New Roman" w:cs="Times New Roman"/>
          <w:szCs w:val="24"/>
          <w:lang w:eastAsia="lv-LV"/>
        </w:rPr>
        <w:t xml:space="preserve"> Kampaņa veiksmīgi darbojas jau desmito gadu un tās </w:t>
      </w:r>
      <w:r w:rsidRPr="004E426B">
        <w:rPr>
          <w:rFonts w:eastAsia="Times New Roman" w:cs="Times New Roman"/>
          <w:szCs w:val="24"/>
          <w:lang w:eastAsia="lv-LV"/>
        </w:rPr>
        <w:t xml:space="preserve">ietvaros </w:t>
      </w:r>
      <w:r>
        <w:rPr>
          <w:rFonts w:eastAsia="Times New Roman" w:cs="Times New Roman"/>
          <w:szCs w:val="24"/>
          <w:lang w:eastAsia="lv-LV"/>
        </w:rPr>
        <w:t>regulāri notikuši</w:t>
      </w:r>
      <w:r w:rsidRPr="004E426B">
        <w:rPr>
          <w:rFonts w:eastAsia="Times New Roman" w:cs="Times New Roman"/>
          <w:szCs w:val="24"/>
          <w:lang w:eastAsia="lv-LV"/>
        </w:rPr>
        <w:t xml:space="preserve"> informatīvi pasākumi visā Latvijā – semināri, konferences, izstādes. Daļa semināru tika pārraidīti arī interneta tiešsaistē un video materiālus var atrast www.youtube.com/siltinam. Pasākumu tēmas ir bijušas dažādas – par nepieciešamību uzlabot savas mājas tehnisko stāvokli, kā pieņemt lēmumu dzīvokļu īpašnieku kopsapulcēs, kā veikt kvalitatīvu mājokļu atjaunošanu, uzklausīta jau atjaunoto māju pieredze u.c.</w:t>
      </w:r>
      <w:r w:rsidR="003651D6">
        <w:rPr>
          <w:rFonts w:eastAsia="Times New Roman" w:cs="Times New Roman"/>
          <w:szCs w:val="24"/>
          <w:lang w:eastAsia="lv-LV"/>
        </w:rPr>
        <w:t xml:space="preserve"> Šādu pasākumu īstenošana viennozīmīgi veicinājusi sabiedrības izpratni un zināšanas par energoefektivitātes pasākumu nepieciešamību, veidojusi sadarbību starp pakalpojuma sniedzēju un saņēmēju, kas rezultējies </w:t>
      </w:r>
      <w:r w:rsidR="003651D6">
        <w:rPr>
          <w:rFonts w:eastAsia="Times New Roman" w:cs="Times New Roman"/>
          <w:szCs w:val="24"/>
          <w:lang w:eastAsia="lv-LV"/>
        </w:rPr>
        <w:lastRenderedPageBreak/>
        <w:t>atjaunotās ēkās visā Latvijā. Kopējais aktivitāšu skaits kampaņas ietvaros ir 426, ar kopējo dalībnieku skaitu, kas sasniedzis gandrīz 47 tūkstošus.</w:t>
      </w:r>
    </w:p>
    <w:p w14:paraId="55E5B99B" w14:textId="77777777" w:rsidR="005873CB" w:rsidRPr="004E426B" w:rsidRDefault="005873CB" w:rsidP="005873CB">
      <w:pPr>
        <w:shd w:val="clear" w:color="auto" w:fill="FFFFFF"/>
        <w:rPr>
          <w:rFonts w:eastAsia="Times New Roman" w:cs="Times New Roman"/>
          <w:szCs w:val="24"/>
          <w:lang w:eastAsia="lv-LV"/>
        </w:rPr>
      </w:pPr>
      <w:r w:rsidRPr="004E426B">
        <w:rPr>
          <w:rFonts w:eastAsia="Times New Roman" w:cs="Times New Roman"/>
          <w:szCs w:val="24"/>
          <w:lang w:eastAsia="lv-LV"/>
        </w:rPr>
        <w:t xml:space="preserve">Par aktuālajiem notikumiem kampaņas ietvaros notiek aktīva komunikācija sociālajos medijos www.twitter.com/siltinam, www.facebook.com/dzivosiltak, visas prezentācijas atrodamas www.slideshare.net/siltinam. </w:t>
      </w:r>
      <w:r>
        <w:rPr>
          <w:rFonts w:eastAsia="Times New Roman" w:cs="Times New Roman"/>
          <w:szCs w:val="24"/>
          <w:lang w:eastAsia="lv-LV"/>
        </w:rPr>
        <w:t>Tāpat r</w:t>
      </w:r>
      <w:r w:rsidRPr="004E426B">
        <w:rPr>
          <w:rFonts w:eastAsia="Times New Roman" w:cs="Times New Roman"/>
          <w:szCs w:val="24"/>
          <w:lang w:eastAsia="lv-LV"/>
        </w:rPr>
        <w:t xml:space="preserve">egulāri tiek izsūtīta informācija par aktuālajiem pasākumiem klientiem un sadarbības partneriem. </w:t>
      </w:r>
    </w:p>
    <w:p w14:paraId="738D3906" w14:textId="35FF29ED" w:rsidR="00821F5E" w:rsidRPr="004E426B" w:rsidRDefault="00056746" w:rsidP="000C3493">
      <w:pPr>
        <w:rPr>
          <w:rFonts w:eastAsia="Calibri" w:cs="Times New Roman"/>
          <w:szCs w:val="24"/>
        </w:rPr>
      </w:pPr>
      <w:r w:rsidRPr="004E426B">
        <w:rPr>
          <w:rFonts w:eastAsia="Calibri" w:cs="Times New Roman"/>
          <w:szCs w:val="24"/>
        </w:rPr>
        <w:t>EM ir izveidojusi arī atjaunoto māju e-karti, kur var atrast informāciju par atjaunotajām ēkām 3.4.4.1. aktivitātes „Daudzdzīvokļu māju siltumnoturības uzlabošanas pasākumi”</w:t>
      </w:r>
      <w:r>
        <w:rPr>
          <w:rFonts w:eastAsia="Calibri" w:cs="Times New Roman"/>
          <w:szCs w:val="24"/>
        </w:rPr>
        <w:t xml:space="preserve"> un </w:t>
      </w:r>
      <w:r w:rsidRPr="008875A4">
        <w:rPr>
          <w:rFonts w:eastAsia="Times New Roman" w:cs="Times New Roman"/>
          <w:bCs/>
          <w:szCs w:val="24"/>
          <w:lang w:eastAsia="de-DE"/>
        </w:rPr>
        <w:t>4.2.1.1.</w:t>
      </w:r>
      <w:r>
        <w:rPr>
          <w:rFonts w:eastAsia="Times New Roman" w:cs="Times New Roman"/>
          <w:bCs/>
          <w:szCs w:val="24"/>
          <w:lang w:eastAsia="de-DE"/>
        </w:rPr>
        <w:t xml:space="preserve"> aktivitātes</w:t>
      </w:r>
      <w:r w:rsidRPr="008875A4">
        <w:rPr>
          <w:rFonts w:eastAsia="Times New Roman" w:cs="Times New Roman"/>
          <w:bCs/>
          <w:szCs w:val="24"/>
          <w:lang w:eastAsia="de-DE"/>
        </w:rPr>
        <w:t xml:space="preserve"> “Veicināt energoefektivitātes paaugstināšanu dzīvojamās ēkās</w:t>
      </w:r>
      <w:r w:rsidRPr="004E426B">
        <w:rPr>
          <w:rFonts w:eastAsia="Calibri" w:cs="Times New Roman"/>
          <w:szCs w:val="24"/>
        </w:rPr>
        <w:t xml:space="preserve"> ietvaros. </w:t>
      </w:r>
      <w:r>
        <w:rPr>
          <w:rStyle w:val="FootnoteReference"/>
          <w:rFonts w:eastAsia="Calibri" w:cs="Times New Roman"/>
          <w:szCs w:val="24"/>
        </w:rPr>
        <w:footnoteReference w:id="21"/>
      </w:r>
    </w:p>
    <w:p w14:paraId="31CEF1FF" w14:textId="77777777" w:rsidR="005873CB" w:rsidRDefault="005873CB" w:rsidP="005873CB">
      <w:pPr>
        <w:shd w:val="clear" w:color="auto" w:fill="FFFFFF"/>
        <w:ind w:firstLine="0"/>
        <w:rPr>
          <w:rFonts w:eastAsia="Times New Roman" w:cs="Times New Roman"/>
          <w:bCs/>
          <w:szCs w:val="24"/>
          <w:lang w:eastAsia="lv-LV"/>
        </w:rPr>
      </w:pPr>
    </w:p>
    <w:p w14:paraId="690E62FF" w14:textId="4BF0D6C6" w:rsidR="005873CB" w:rsidRPr="00B952EF" w:rsidRDefault="00056746" w:rsidP="005873CB">
      <w:pPr>
        <w:shd w:val="clear" w:color="auto" w:fill="FFFFFF"/>
        <w:ind w:firstLine="0"/>
        <w:rPr>
          <w:rFonts w:eastAsia="Times New Roman" w:cs="Times New Roman"/>
          <w:bCs/>
          <w:szCs w:val="24"/>
          <w:lang w:eastAsia="lv-LV"/>
        </w:rPr>
      </w:pPr>
      <w:r w:rsidRPr="00B952EF">
        <w:rPr>
          <w:rFonts w:eastAsia="Times New Roman" w:cs="Times New Roman"/>
          <w:bCs/>
          <w:szCs w:val="24"/>
          <w:lang w:eastAsia="lv-LV"/>
        </w:rPr>
        <w:t>Konkurss e</w:t>
      </w:r>
      <w:r w:rsidR="005873CB" w:rsidRPr="00B952EF">
        <w:rPr>
          <w:rFonts w:eastAsia="Times New Roman" w:cs="Times New Roman"/>
          <w:bCs/>
          <w:szCs w:val="24"/>
          <w:lang w:eastAsia="lv-LV"/>
        </w:rPr>
        <w:t>nergoefektīvākā ēka</w:t>
      </w:r>
      <w:r w:rsidRPr="00B952EF">
        <w:rPr>
          <w:rFonts w:eastAsia="Times New Roman" w:cs="Times New Roman"/>
          <w:bCs/>
          <w:szCs w:val="24"/>
          <w:lang w:eastAsia="lv-LV"/>
        </w:rPr>
        <w:t xml:space="preserve"> Latvijā</w:t>
      </w:r>
    </w:p>
    <w:p w14:paraId="67F8BBDB" w14:textId="77777777" w:rsidR="005873CB" w:rsidRDefault="005873CB" w:rsidP="005873CB">
      <w:pPr>
        <w:shd w:val="clear" w:color="auto" w:fill="FFFFFF"/>
        <w:rPr>
          <w:rFonts w:eastAsia="Times New Roman" w:cs="Times New Roman"/>
          <w:szCs w:val="24"/>
          <w:lang w:eastAsia="lv-LV"/>
        </w:rPr>
      </w:pPr>
    </w:p>
    <w:p w14:paraId="091C34DA" w14:textId="106F5D2D" w:rsidR="00056746" w:rsidRDefault="00056746" w:rsidP="005873CB">
      <w:pPr>
        <w:shd w:val="clear" w:color="auto" w:fill="FFFFFF"/>
        <w:rPr>
          <w:rFonts w:eastAsia="Times New Roman" w:cs="Times New Roman"/>
          <w:szCs w:val="24"/>
          <w:lang w:eastAsia="lv-LV"/>
        </w:rPr>
      </w:pPr>
      <w:r>
        <w:rPr>
          <w:rFonts w:eastAsia="Times New Roman" w:cs="Times New Roman"/>
          <w:szCs w:val="24"/>
          <w:lang w:eastAsia="lv-LV"/>
        </w:rPr>
        <w:t>Šāds konkurss</w:t>
      </w:r>
      <w:r w:rsidR="003651D6">
        <w:rPr>
          <w:rFonts w:eastAsia="Times New Roman" w:cs="Times New Roman"/>
          <w:szCs w:val="24"/>
          <w:lang w:eastAsia="lv-LV"/>
        </w:rPr>
        <w:t xml:space="preserve"> sadarbībā ar informatīvo kampaņu “Dzīvo siltāk”</w:t>
      </w:r>
      <w:r>
        <w:rPr>
          <w:rFonts w:eastAsia="Times New Roman" w:cs="Times New Roman"/>
          <w:szCs w:val="24"/>
          <w:lang w:eastAsia="lv-LV"/>
        </w:rPr>
        <w:t xml:space="preserve"> tiek rīkots kopš</w:t>
      </w:r>
      <w:r w:rsidR="005873CB" w:rsidRPr="004E426B">
        <w:rPr>
          <w:rFonts w:eastAsia="Times New Roman" w:cs="Times New Roman"/>
          <w:szCs w:val="24"/>
          <w:lang w:eastAsia="lv-LV"/>
        </w:rPr>
        <w:t xml:space="preserve"> 2011. gada (www.energoefektivakaeka.lv), kura mērķis ir veicināt labo praksi ēku energoefektivitātes jomā, īstenojot energoefektīvu ēku būvniecību, atjaunošanu un rekonstrukciju, tādējādi samazinot oglekļa dioksīda (turpmāk - CO</w:t>
      </w:r>
      <w:r w:rsidR="005873CB" w:rsidRPr="004E426B">
        <w:rPr>
          <w:rFonts w:eastAsia="Times New Roman" w:cs="Times New Roman"/>
          <w:szCs w:val="24"/>
          <w:vertAlign w:val="subscript"/>
          <w:lang w:eastAsia="lv-LV"/>
        </w:rPr>
        <w:t>2</w:t>
      </w:r>
      <w:r w:rsidR="005873CB" w:rsidRPr="004E426B">
        <w:rPr>
          <w:rFonts w:eastAsia="Times New Roman" w:cs="Times New Roman"/>
          <w:szCs w:val="24"/>
          <w:lang w:eastAsia="lv-LV"/>
        </w:rPr>
        <w:t>)  izmešu daudzumu atmosfērā un veicinot sabiedrības izpratni par ēku siltumnoturību, kā arī siltumnīcefekta gāzu emisiju samazināšanas nozīmi un iespējām, lai radītu kvalitatīvu, arhitektoniski izteiksmīgas dzīves telpu.</w:t>
      </w:r>
    </w:p>
    <w:p w14:paraId="7CC26AC8" w14:textId="3F4391B1" w:rsidR="00056746" w:rsidRDefault="00056746" w:rsidP="005873CB">
      <w:pPr>
        <w:shd w:val="clear" w:color="auto" w:fill="FFFFFF"/>
        <w:rPr>
          <w:rFonts w:eastAsia="Times New Roman" w:cs="Times New Roman"/>
          <w:szCs w:val="24"/>
          <w:lang w:eastAsia="lv-LV"/>
        </w:rPr>
      </w:pPr>
      <w:r>
        <w:rPr>
          <w:rFonts w:eastAsia="Times New Roman" w:cs="Times New Roman"/>
          <w:szCs w:val="24"/>
          <w:lang w:eastAsia="lv-LV"/>
        </w:rPr>
        <w:t xml:space="preserve">Konkurss iedalās nominācijās - </w:t>
      </w:r>
      <w:r w:rsidRPr="00056746">
        <w:rPr>
          <w:rFonts w:eastAsia="Times New Roman" w:cs="Times New Roman"/>
          <w:szCs w:val="24"/>
          <w:lang w:eastAsia="lv-LV"/>
        </w:rPr>
        <w:t>“Energoefektīvākā atjaunotā daudzdzīvokļu ēka Latvijā 2019”</w:t>
      </w:r>
      <w:r>
        <w:rPr>
          <w:rFonts w:eastAsia="Times New Roman" w:cs="Times New Roman"/>
          <w:szCs w:val="24"/>
          <w:lang w:eastAsia="lv-LV"/>
        </w:rPr>
        <w:t xml:space="preserve">, </w:t>
      </w:r>
      <w:r w:rsidRPr="00056746">
        <w:rPr>
          <w:rFonts w:eastAsia="Times New Roman" w:cs="Times New Roman"/>
          <w:szCs w:val="24"/>
          <w:lang w:eastAsia="lv-LV"/>
        </w:rPr>
        <w:t>“Energoefektīvākā Jaunbūve</w:t>
      </w:r>
      <w:r>
        <w:rPr>
          <w:rFonts w:eastAsia="Times New Roman" w:cs="Times New Roman"/>
          <w:szCs w:val="24"/>
          <w:lang w:eastAsia="lv-LV"/>
        </w:rPr>
        <w:t xml:space="preserve"> 2019</w:t>
      </w:r>
      <w:r w:rsidRPr="00056746">
        <w:rPr>
          <w:rFonts w:eastAsia="Times New Roman" w:cs="Times New Roman"/>
          <w:szCs w:val="24"/>
          <w:lang w:eastAsia="lv-LV"/>
        </w:rPr>
        <w:t>”</w:t>
      </w:r>
      <w:r>
        <w:rPr>
          <w:rFonts w:eastAsia="Times New Roman" w:cs="Times New Roman"/>
          <w:szCs w:val="24"/>
          <w:lang w:eastAsia="lv-LV"/>
        </w:rPr>
        <w:t xml:space="preserve"> kā arī</w:t>
      </w:r>
      <w:r w:rsidRPr="00056746">
        <w:rPr>
          <w:rFonts w:eastAsia="Times New Roman" w:cs="Times New Roman"/>
          <w:szCs w:val="24"/>
          <w:lang w:eastAsia="lv-LV"/>
        </w:rPr>
        <w:t xml:space="preserve"> “Energoefektīvākā ražošanas ēka 2019”</w:t>
      </w:r>
      <w:r>
        <w:rPr>
          <w:rFonts w:eastAsia="Times New Roman" w:cs="Times New Roman"/>
          <w:szCs w:val="24"/>
          <w:lang w:eastAsia="lv-LV"/>
        </w:rPr>
        <w:t xml:space="preserve"> un </w:t>
      </w:r>
      <w:r w:rsidRPr="00056746">
        <w:rPr>
          <w:rFonts w:eastAsia="Times New Roman" w:cs="Times New Roman"/>
          <w:szCs w:val="24"/>
          <w:lang w:eastAsia="lv-LV"/>
        </w:rPr>
        <w:t>“Energoefektīvākā publiskā ēka 2019”</w:t>
      </w:r>
      <w:r>
        <w:rPr>
          <w:rFonts w:eastAsia="Times New Roman" w:cs="Times New Roman"/>
          <w:szCs w:val="24"/>
          <w:lang w:eastAsia="lv-LV"/>
        </w:rPr>
        <w:t>.</w:t>
      </w:r>
    </w:p>
    <w:p w14:paraId="4C4BBDFD" w14:textId="324DC7B6" w:rsidR="005873CB" w:rsidRPr="004E426B" w:rsidRDefault="005873CB" w:rsidP="005873CB">
      <w:pPr>
        <w:shd w:val="clear" w:color="auto" w:fill="FFFFFF"/>
        <w:rPr>
          <w:rFonts w:eastAsia="Times New Roman" w:cs="Times New Roman"/>
          <w:szCs w:val="24"/>
          <w:lang w:eastAsia="lv-LV"/>
        </w:rPr>
      </w:pPr>
      <w:r w:rsidRPr="004E426B">
        <w:rPr>
          <w:rFonts w:eastAsia="Times New Roman" w:cs="Times New Roman"/>
          <w:szCs w:val="24"/>
          <w:lang w:eastAsia="lv-LV"/>
        </w:rPr>
        <w:t xml:space="preserve"> </w:t>
      </w:r>
      <w:r>
        <w:rPr>
          <w:rFonts w:eastAsia="Times New Roman" w:cs="Times New Roman"/>
          <w:szCs w:val="24"/>
          <w:lang w:eastAsia="lv-LV"/>
        </w:rPr>
        <w:t xml:space="preserve">Piemēram, par 2019. gada energoefektivāko ēku nominācijā atjaunotā daudzdzīvokļu ēka uzvarētāja ir </w:t>
      </w:r>
      <w:r w:rsidRPr="004E426B">
        <w:rPr>
          <w:rFonts w:eastAsia="Times New Roman" w:cs="Times New Roman"/>
          <w:szCs w:val="24"/>
          <w:lang w:eastAsia="lv-LV"/>
        </w:rPr>
        <w:t xml:space="preserve"> </w:t>
      </w:r>
      <w:r>
        <w:rPr>
          <w:rFonts w:eastAsia="Times New Roman" w:cs="Times New Roman"/>
          <w:szCs w:val="24"/>
          <w:lang w:eastAsia="lv-LV"/>
        </w:rPr>
        <w:t>d</w:t>
      </w:r>
      <w:r w:rsidRPr="00250E75">
        <w:rPr>
          <w:rFonts w:eastAsia="Times New Roman" w:cs="Times New Roman"/>
          <w:szCs w:val="24"/>
          <w:lang w:eastAsia="lv-LV"/>
        </w:rPr>
        <w:t>audzdzīvokļu ēka Institūta ielā 10, Siguldā,</w:t>
      </w:r>
      <w:r>
        <w:rPr>
          <w:rFonts w:eastAsia="Times New Roman" w:cs="Times New Roman"/>
          <w:szCs w:val="24"/>
          <w:lang w:eastAsia="lv-LV"/>
        </w:rPr>
        <w:t xml:space="preserve"> kas</w:t>
      </w:r>
      <w:r w:rsidRPr="00250E75">
        <w:rPr>
          <w:rFonts w:eastAsia="Times New Roman" w:cs="Times New Roman"/>
          <w:szCs w:val="24"/>
          <w:lang w:eastAsia="lv-LV"/>
        </w:rPr>
        <w:t xml:space="preserve"> ekspluatācijā nodota 1979. gadā, bet ēkas renovācija veikta 2018. gadā. Tā ir piecu stāvu gāzbetona paneļu, </w:t>
      </w:r>
      <w:r w:rsidR="00360171" w:rsidRPr="00250E75">
        <w:rPr>
          <w:rFonts w:eastAsia="Times New Roman" w:cs="Times New Roman"/>
          <w:szCs w:val="24"/>
          <w:lang w:eastAsia="lv-LV"/>
        </w:rPr>
        <w:t>dobto</w:t>
      </w:r>
      <w:r w:rsidRPr="00250E75">
        <w:rPr>
          <w:rFonts w:eastAsia="Times New Roman" w:cs="Times New Roman"/>
          <w:szCs w:val="24"/>
          <w:lang w:eastAsia="lv-LV"/>
        </w:rPr>
        <w:t xml:space="preserve"> māla ķieģeļu daudzdzīvokļu dzīvojamā ēka. Kopējā aprēķina platība 3740,70 m</w:t>
      </w:r>
      <w:r w:rsidRPr="00250E75">
        <w:rPr>
          <w:rFonts w:eastAsia="Times New Roman" w:cs="Times New Roman"/>
          <w:szCs w:val="24"/>
          <w:vertAlign w:val="superscript"/>
          <w:lang w:eastAsia="lv-LV"/>
        </w:rPr>
        <w:t>2</w:t>
      </w:r>
      <w:r w:rsidRPr="00250E75">
        <w:rPr>
          <w:rFonts w:eastAsia="Times New Roman" w:cs="Times New Roman"/>
          <w:szCs w:val="24"/>
          <w:lang w:eastAsia="lv-LV"/>
        </w:rPr>
        <w:t> un kopumā ēkā ir 66 dzīvokļi.</w:t>
      </w:r>
      <w:r>
        <w:rPr>
          <w:rFonts w:eastAsia="Times New Roman" w:cs="Times New Roman"/>
          <w:szCs w:val="24"/>
          <w:lang w:eastAsia="lv-LV"/>
        </w:rPr>
        <w:t xml:space="preserve"> </w:t>
      </w:r>
      <w:r w:rsidRPr="00250E75">
        <w:rPr>
          <w:rFonts w:eastAsia="Times New Roman" w:cs="Times New Roman"/>
          <w:szCs w:val="24"/>
          <w:lang w:eastAsia="lv-LV"/>
        </w:rPr>
        <w:t>Saskaņā ar iesniegtajiem datiem ēkas apkurei pirms renovācijas tika izmantots 594 MWh vai 159 kWh/m2 gadā un 2018.gadā pēc renovācijas 189 MWh vai 50 kWh/m2 gadā, sasniedzot 68% ietaupījumu.</w:t>
      </w:r>
      <w:r>
        <w:rPr>
          <w:rStyle w:val="FootnoteReference"/>
          <w:rFonts w:eastAsia="Times New Roman" w:cs="Times New Roman"/>
          <w:szCs w:val="24"/>
          <w:lang w:eastAsia="lv-LV"/>
        </w:rPr>
        <w:footnoteReference w:id="22"/>
      </w:r>
      <w:r>
        <w:rPr>
          <w:rFonts w:eastAsia="Times New Roman" w:cs="Times New Roman"/>
          <w:szCs w:val="24"/>
          <w:lang w:eastAsia="lv-LV"/>
        </w:rPr>
        <w:t xml:space="preserve"> Līdz ar to var teikt, ka ir veikta ēkas pilnīga renovācija, ņemot vērā, ka energoefektivitātes pasākumi (siltumenerģijas ietaupījums) ir vairāk nekā 60%.</w:t>
      </w:r>
    </w:p>
    <w:p w14:paraId="3FDF2C3F" w14:textId="77777777" w:rsidR="005873CB" w:rsidRDefault="005873CB" w:rsidP="00BF2B45">
      <w:pPr>
        <w:ind w:firstLine="0"/>
        <w:rPr>
          <w:rFonts w:cs="Times New Roman"/>
          <w:bCs/>
          <w:color w:val="000000"/>
          <w:szCs w:val="24"/>
        </w:rPr>
      </w:pPr>
    </w:p>
    <w:p w14:paraId="409F45E5" w14:textId="6B268592" w:rsidR="00C87E04" w:rsidRPr="001D251A" w:rsidRDefault="00C87E04" w:rsidP="00BF2B45">
      <w:pPr>
        <w:ind w:firstLine="0"/>
        <w:rPr>
          <w:rFonts w:cs="Times New Roman"/>
          <w:bCs/>
          <w:color w:val="000000"/>
          <w:szCs w:val="24"/>
        </w:rPr>
      </w:pPr>
      <w:r w:rsidRPr="001D251A">
        <w:rPr>
          <w:rFonts w:cs="Times New Roman"/>
          <w:bCs/>
          <w:color w:val="000000"/>
          <w:szCs w:val="24"/>
        </w:rPr>
        <w:t>AS “Latvenergo” Energoefektivitātes centrs</w:t>
      </w:r>
    </w:p>
    <w:p w14:paraId="45237185" w14:textId="77777777" w:rsidR="004E25D6" w:rsidRPr="001D251A" w:rsidRDefault="004E25D6" w:rsidP="00F45B41">
      <w:pPr>
        <w:rPr>
          <w:rFonts w:cs="Times New Roman"/>
          <w:b/>
          <w:bCs/>
          <w:color w:val="000000"/>
          <w:szCs w:val="24"/>
        </w:rPr>
      </w:pPr>
    </w:p>
    <w:p w14:paraId="3949428D" w14:textId="77777777" w:rsidR="00C87E04" w:rsidRPr="001D251A" w:rsidRDefault="00C87E04" w:rsidP="00F45B41">
      <w:pPr>
        <w:rPr>
          <w:rFonts w:cs="Times New Roman"/>
          <w:color w:val="000000" w:themeColor="text1"/>
          <w:szCs w:val="24"/>
        </w:rPr>
      </w:pPr>
      <w:r w:rsidRPr="001D251A">
        <w:rPr>
          <w:rFonts w:cs="Times New Roman"/>
          <w:color w:val="000000" w:themeColor="text1"/>
          <w:szCs w:val="24"/>
        </w:rPr>
        <w:t>Energoefektivitātes veicināšana ir viens no AS "Latvenergo" stratēģiskajiem virzieniem, tāpēc, rūpējoties par klientu izglītošanu un energoefektivitātes celšanu Latvijas iedzīvotāju vidū, 1997. gadā tika izveidots Energoefektivitātes centrs, kas mērķtiecīgi īsteno virkni informatīvi izglītojošu pasākumu energoefektivitātē gan mājsaimniecību, gan arī juridisko klientu sektorā.</w:t>
      </w:r>
      <w:r w:rsidRPr="001D251A">
        <w:rPr>
          <w:rStyle w:val="FootnoteReference"/>
          <w:rFonts w:cs="Times New Roman"/>
          <w:color w:val="000000" w:themeColor="text1"/>
          <w:szCs w:val="24"/>
        </w:rPr>
        <w:footnoteReference w:id="23"/>
      </w:r>
    </w:p>
    <w:p w14:paraId="4A8AE554" w14:textId="77777777" w:rsidR="00C87E04" w:rsidRPr="001D251A" w:rsidRDefault="00C87E04" w:rsidP="00F45B41">
      <w:pPr>
        <w:rPr>
          <w:rFonts w:cs="Times New Roman"/>
          <w:iCs/>
          <w:color w:val="000000" w:themeColor="text1"/>
          <w:szCs w:val="24"/>
        </w:rPr>
      </w:pPr>
      <w:r w:rsidRPr="001D251A">
        <w:rPr>
          <w:rFonts w:cs="Times New Roman"/>
          <w:color w:val="000000" w:themeColor="text1"/>
          <w:szCs w:val="24"/>
        </w:rPr>
        <w:t xml:space="preserve">Energoefektivitātes centrs ir vienīgais šāda veida centrs Baltijā, un vairāk nekā 20 gadu laikā tas ir kļuvis </w:t>
      </w:r>
      <w:r w:rsidRPr="001D251A">
        <w:rPr>
          <w:rFonts w:cs="Times New Roman"/>
          <w:iCs/>
          <w:color w:val="000000" w:themeColor="text1"/>
          <w:szCs w:val="24"/>
        </w:rPr>
        <w:t>par platformu, kur satiekas nozares profesionāļi, lai centra organizētajos semināros un pasākumos diskutētu par aktuālo energoefektivitātes jomā.</w:t>
      </w:r>
    </w:p>
    <w:p w14:paraId="4D8C93A4" w14:textId="77777777" w:rsidR="00C87E04" w:rsidRPr="001D251A" w:rsidRDefault="00C87E04" w:rsidP="00F45B41">
      <w:pPr>
        <w:rPr>
          <w:rFonts w:eastAsia="Times New Roman" w:cs="Times New Roman"/>
          <w:color w:val="000000" w:themeColor="text1"/>
          <w:szCs w:val="24"/>
          <w:lang w:eastAsia="lv-LV"/>
        </w:rPr>
      </w:pPr>
      <w:r w:rsidRPr="001D251A">
        <w:rPr>
          <w:rFonts w:eastAsia="Times New Roman" w:cs="Times New Roman"/>
          <w:color w:val="000000" w:themeColor="text1"/>
          <w:szCs w:val="24"/>
          <w:lang w:eastAsia="lv-LV"/>
        </w:rPr>
        <w:t xml:space="preserve">Energoefektivitātes centrs ir izstrādājis </w:t>
      </w:r>
      <w:r w:rsidRPr="001D251A">
        <w:rPr>
          <w:rFonts w:cs="Times New Roman"/>
          <w:iCs/>
          <w:color w:val="000000" w:themeColor="text1"/>
          <w:szCs w:val="24"/>
        </w:rPr>
        <w:t xml:space="preserve">daudzveidīgus informatīvos materiālus, kā arī aktīvi iesaistās sabiedrības informēšanā ar plašsaziņas līdzekļu starpniecību. Tāpat </w:t>
      </w:r>
      <w:r w:rsidRPr="001D251A">
        <w:rPr>
          <w:rFonts w:eastAsia="Times New Roman" w:cs="Times New Roman"/>
          <w:color w:val="000000" w:themeColor="text1"/>
          <w:szCs w:val="24"/>
          <w:lang w:eastAsia="lv-LV"/>
        </w:rPr>
        <w:t xml:space="preserve">tiek piedāvātas aizraujošas un interaktīvas ekskursijas interesentu grupām </w:t>
      </w:r>
      <w:r w:rsidRPr="001D251A">
        <w:rPr>
          <w:rFonts w:eastAsia="Times New Roman" w:cs="Times New Roman"/>
          <w:color w:val="000000" w:themeColor="text1"/>
          <w:szCs w:val="24"/>
          <w:lang w:eastAsia="lv-LV"/>
        </w:rPr>
        <w:lastRenderedPageBreak/>
        <w:t>klātienē, kurās iespējams pārbaudīt savu atjautību un zināšanas ar enerģiju saistītos jautājumos. Centra speciālisti iesaistās arī dažādos izglītojošos pasākumos, dodas uz skolām un universitātēm, sniedzot izzinošas lekcijas skolēniem, studentiem, pedagogiem un dažādu uzņēmumu darbiniekiem.</w:t>
      </w:r>
    </w:p>
    <w:p w14:paraId="2508E966" w14:textId="77777777" w:rsidR="00C87E04" w:rsidRPr="001D251A" w:rsidRDefault="00C87E04" w:rsidP="00F45B41">
      <w:pPr>
        <w:rPr>
          <w:rFonts w:cs="Times New Roman"/>
          <w:color w:val="000000" w:themeColor="text1"/>
          <w:szCs w:val="24"/>
        </w:rPr>
      </w:pPr>
      <w:r w:rsidRPr="001D251A">
        <w:rPr>
          <w:rFonts w:eastAsia="Times New Roman" w:cs="Times New Roman"/>
          <w:color w:val="000000" w:themeColor="text1"/>
          <w:szCs w:val="24"/>
          <w:lang w:eastAsia="lv-LV"/>
        </w:rPr>
        <w:t xml:space="preserve">Jebkurš interesents tiek aicināts saņemt individuālas konsultācijas Energoefektivitātes centrā, kur klātienē iespējams apskatīt un izmēģināt centrā izvietoto ekspozīciju, sākot no elektrotransporta un saules enerģijas tehnoloģijām, līdz pat apgaismes risinājumiem, sadzīves elektroierīcēm un </w:t>
      </w:r>
      <w:r w:rsidRPr="001D251A">
        <w:rPr>
          <w:rFonts w:cs="Times New Roman"/>
          <w:color w:val="000000" w:themeColor="text1"/>
          <w:szCs w:val="24"/>
        </w:rPr>
        <w:t>viedajām tehnoloģijām.</w:t>
      </w:r>
    </w:p>
    <w:p w14:paraId="61EEBA54" w14:textId="17498E1A" w:rsidR="00C87E04" w:rsidRPr="001D251A" w:rsidRDefault="00C87E04" w:rsidP="00F45B41">
      <w:pPr>
        <w:rPr>
          <w:rFonts w:cs="Times New Roman"/>
          <w:iCs/>
          <w:color w:val="000000" w:themeColor="text1"/>
          <w:szCs w:val="24"/>
        </w:rPr>
      </w:pPr>
      <w:r w:rsidRPr="001D251A">
        <w:rPr>
          <w:rFonts w:eastAsia="Times New Roman" w:cs="Times New Roman"/>
          <w:color w:val="000000" w:themeColor="text1"/>
          <w:szCs w:val="24"/>
          <w:lang w:eastAsia="lv-LV"/>
        </w:rPr>
        <w:t xml:space="preserve">Portālā </w:t>
      </w:r>
      <w:r w:rsidRPr="001D251A">
        <w:rPr>
          <w:rFonts w:cs="Times New Roman"/>
          <w:color w:val="000000" w:themeColor="text1"/>
          <w:szCs w:val="24"/>
        </w:rPr>
        <w:t xml:space="preserve">elektrum.lv ir izstrādāta īpaša energoefektivitātes sadaļa, kurā apkopota un ērti pieejama daudzveidīga informācija par energoefektivitātes iespējām un risinājumiem gan mājsaimniecībām, gan uzņēmumiem, tai skaitā, pieejami arī dažādi digitālie rīki, piemēram, </w:t>
      </w:r>
      <w:r w:rsidRPr="001D251A">
        <w:rPr>
          <w:rFonts w:cs="Times New Roman"/>
          <w:iCs/>
          <w:color w:val="000000" w:themeColor="text1"/>
          <w:szCs w:val="24"/>
        </w:rPr>
        <w:t>spuldžu izvēles ceļvedis, interaktīvas energoefektivitātes e-mācības, 360</w:t>
      </w:r>
      <w:r w:rsidRPr="001D251A">
        <w:rPr>
          <w:rFonts w:cs="Times New Roman"/>
          <w:iCs/>
          <w:color w:val="000000" w:themeColor="text1"/>
          <w:szCs w:val="24"/>
          <w:vertAlign w:val="superscript"/>
        </w:rPr>
        <w:t>0</w:t>
      </w:r>
      <w:r w:rsidRPr="001D251A">
        <w:rPr>
          <w:rFonts w:cs="Times New Roman"/>
          <w:iCs/>
          <w:color w:val="000000" w:themeColor="text1"/>
          <w:szCs w:val="24"/>
        </w:rPr>
        <w:t xml:space="preserve"> padomu mājoklis. </w:t>
      </w:r>
    </w:p>
    <w:p w14:paraId="1E6F2546" w14:textId="77777777" w:rsidR="00C87E04" w:rsidRPr="001D251A" w:rsidRDefault="00C87E04" w:rsidP="00F45B41">
      <w:pPr>
        <w:rPr>
          <w:rFonts w:cs="Times New Roman"/>
          <w:iCs/>
          <w:color w:val="000000" w:themeColor="text1"/>
          <w:szCs w:val="24"/>
        </w:rPr>
      </w:pPr>
      <w:r w:rsidRPr="001D251A">
        <w:rPr>
          <w:rFonts w:eastAsia="Times New Roman" w:cs="Times New Roman"/>
          <w:color w:val="000000" w:themeColor="text1"/>
          <w:szCs w:val="24"/>
          <w:lang w:eastAsia="lv-LV"/>
        </w:rPr>
        <w:t xml:space="preserve">Energoefektivitātes centrā </w:t>
      </w:r>
      <w:r w:rsidRPr="001D251A">
        <w:rPr>
          <w:rFonts w:cs="Times New Roman"/>
          <w:color w:val="000000" w:themeColor="text1"/>
          <w:szCs w:val="24"/>
        </w:rPr>
        <w:t xml:space="preserve">ikviens var attīstīt savas kompetences energoefektivitātē, gūstot zināšanas par elektroenerģijas lietderīgu un efektīvu izmantošanu. </w:t>
      </w:r>
    </w:p>
    <w:p w14:paraId="0EE18166" w14:textId="2FA295D1" w:rsidR="00C87E04" w:rsidRPr="00704E0D" w:rsidRDefault="00704E0D" w:rsidP="00704E0D">
      <w:r>
        <w:t>Ņemot vērā, ka energoefektivitātes jēdziens ir krietni plašāks nekā šis Stratēģijas konteksts, tad šāda energoefektivitātes centra esamība veicina iedzīvotāju izpratni par enerģijas ietaupījumiem un kādu labumu ikvienam un apkārtējai videi var dot dažādu ar energoefektivitāti saistītu pasākumu veikšana. Stratēģijas ietvaros jau ir apzināts, ka viens no galvenajiem iemesliem, kas neveicina ēku atjaunošanu ir tieši sabiedrības šaurā izpratne par iespējamiem pozitīvajiem ieguvumiem no energoefektivitātes pasākumiem.</w:t>
      </w:r>
    </w:p>
    <w:p w14:paraId="50FC09F5" w14:textId="77777777" w:rsidR="009B5332" w:rsidRDefault="009B5332" w:rsidP="009B5332">
      <w:pPr>
        <w:ind w:firstLine="0"/>
        <w:rPr>
          <w:bCs/>
          <w:color w:val="000000" w:themeColor="text1"/>
          <w:szCs w:val="24"/>
        </w:rPr>
      </w:pPr>
    </w:p>
    <w:p w14:paraId="0CF9AF70" w14:textId="7016DDA2" w:rsidR="009F068E" w:rsidRPr="000C3493" w:rsidRDefault="009F068E" w:rsidP="009B5332">
      <w:pPr>
        <w:ind w:firstLine="0"/>
      </w:pPr>
      <w:r w:rsidRPr="000C3493">
        <w:t>Valsts un pašvaldību energoefektivitātes fonds</w:t>
      </w:r>
    </w:p>
    <w:p w14:paraId="384183B1" w14:textId="77777777" w:rsidR="009B5332" w:rsidRPr="009B5332" w:rsidRDefault="009B5332" w:rsidP="009B5332">
      <w:pPr>
        <w:ind w:firstLine="0"/>
        <w:rPr>
          <w:bCs/>
          <w:color w:val="000000" w:themeColor="text1"/>
          <w:szCs w:val="24"/>
        </w:rPr>
      </w:pPr>
    </w:p>
    <w:p w14:paraId="1B556163" w14:textId="401967F0" w:rsidR="009F068E" w:rsidRPr="009F068E" w:rsidRDefault="009F068E" w:rsidP="009F068E">
      <w:pPr>
        <w:shd w:val="clear" w:color="auto" w:fill="FFFFFF"/>
        <w:textAlignment w:val="baseline"/>
        <w:rPr>
          <w:rFonts w:eastAsia="Times New Roman" w:cs="Times New Roman"/>
          <w:color w:val="000000"/>
          <w:szCs w:val="24"/>
          <w:lang w:eastAsia="lv-LV"/>
        </w:rPr>
      </w:pPr>
      <w:r w:rsidRPr="009F068E">
        <w:rPr>
          <w:rFonts w:eastAsia="Times New Roman" w:cs="Times New Roman"/>
          <w:color w:val="000000"/>
          <w:szCs w:val="24"/>
          <w:lang w:eastAsia="lv-LV"/>
        </w:rPr>
        <w:t xml:space="preserve">Ar mērķi atbalstīt iniciatīvas energoefektivitātes jomā tika izveidots valsts un pašvaldību energoefektivitātes fonds un to pārvalda </w:t>
      </w:r>
      <w:r>
        <w:rPr>
          <w:rFonts w:eastAsia="Times New Roman" w:cs="Times New Roman"/>
          <w:color w:val="000000"/>
          <w:szCs w:val="24"/>
          <w:lang w:eastAsia="lv-LV"/>
        </w:rPr>
        <w:t>ALTUM</w:t>
      </w:r>
      <w:r w:rsidRPr="009F068E">
        <w:rPr>
          <w:rFonts w:eastAsia="Times New Roman" w:cs="Times New Roman"/>
          <w:color w:val="000000"/>
          <w:szCs w:val="24"/>
          <w:lang w:eastAsia="lv-LV"/>
        </w:rPr>
        <w:t>. Fonds veidojas no energoefektivitātes pienākuma shēmas atbildīgo pušu iemaksām, energoefektivitātes nodevas ieņēmumiem, kā arī citiem finanšu avotiem. Fonda līdzekļi ir izmantojami valsts energoefektivitātes mērķu sasniegšanai, kā arī sabiedrības informēšanas un izglītošanas pasākumiem. </w:t>
      </w:r>
      <w:r w:rsidRPr="009F068E">
        <w:rPr>
          <w:rFonts w:eastAsia="Times New Roman" w:cs="Times New Roman"/>
          <w:color w:val="000000"/>
          <w:szCs w:val="24"/>
          <w:bdr w:val="none" w:sz="0" w:space="0" w:color="auto" w:frame="1"/>
          <w:lang w:eastAsia="lv-LV"/>
        </w:rPr>
        <w:t>2019. gadā ar fonda atbalstu tika īstenota uzņēmēju un sabiedrības informēšana par energoefektivitātes iespējām</w:t>
      </w:r>
      <w:r w:rsidRPr="009F068E">
        <w:rPr>
          <w:rFonts w:eastAsia="Times New Roman" w:cs="Times New Roman"/>
          <w:color w:val="000000"/>
          <w:szCs w:val="24"/>
          <w:lang w:eastAsia="lv-LV"/>
        </w:rPr>
        <w:t>.</w:t>
      </w:r>
    </w:p>
    <w:p w14:paraId="6A11B817" w14:textId="51768BE6" w:rsidR="009F068E" w:rsidRPr="009F068E" w:rsidRDefault="0069519B" w:rsidP="0069519B">
      <w:pPr>
        <w:shd w:val="clear" w:color="auto" w:fill="FFFFFF"/>
        <w:textAlignment w:val="baseline"/>
        <w:rPr>
          <w:rFonts w:eastAsia="Times New Roman" w:cs="Times New Roman"/>
          <w:color w:val="000000"/>
          <w:szCs w:val="24"/>
          <w:lang w:eastAsia="lv-LV"/>
        </w:rPr>
      </w:pPr>
      <w:r>
        <w:rPr>
          <w:rFonts w:eastAsia="Times New Roman" w:cs="Times New Roman"/>
          <w:color w:val="000000"/>
          <w:szCs w:val="24"/>
          <w:bdr w:val="none" w:sz="0" w:space="0" w:color="auto" w:frame="1"/>
          <w:lang w:eastAsia="lv-LV"/>
        </w:rPr>
        <w:t>Piemēram, atskatoties uz</w:t>
      </w:r>
      <w:r w:rsidR="009F068E" w:rsidRPr="009F068E">
        <w:rPr>
          <w:rFonts w:eastAsia="Times New Roman" w:cs="Times New Roman"/>
          <w:color w:val="000000"/>
          <w:szCs w:val="24"/>
          <w:bdr w:val="none" w:sz="0" w:space="0" w:color="auto" w:frame="1"/>
          <w:lang w:eastAsia="lv-LV"/>
        </w:rPr>
        <w:t xml:space="preserve"> 2019. gad</w:t>
      </w:r>
      <w:r>
        <w:rPr>
          <w:rFonts w:eastAsia="Times New Roman" w:cs="Times New Roman"/>
          <w:color w:val="000000"/>
          <w:szCs w:val="24"/>
          <w:bdr w:val="none" w:sz="0" w:space="0" w:color="auto" w:frame="1"/>
          <w:lang w:eastAsia="lv-LV"/>
        </w:rPr>
        <w:t>u,</w:t>
      </w:r>
      <w:r w:rsidR="009F068E" w:rsidRPr="009F068E">
        <w:rPr>
          <w:rFonts w:eastAsia="Times New Roman" w:cs="Times New Roman"/>
          <w:color w:val="000000"/>
          <w:szCs w:val="24"/>
          <w:bdr w:val="none" w:sz="0" w:space="0" w:color="auto" w:frame="1"/>
          <w:lang w:eastAsia="lv-LV"/>
        </w:rPr>
        <w:t xml:space="preserve"> EM kopā ar dažādiem sadarbības partneriem rīkoja 43 informatīvus pasākumus par energoefektivitātes, būvniecības kvalitātes u.c. jautājumiem vairāk kā 20 pilsētās, kurus apmeklēja gandrīz 4000 interesentu.</w:t>
      </w:r>
    </w:p>
    <w:p w14:paraId="44D02B76" w14:textId="6510878A" w:rsidR="009F068E" w:rsidRPr="009F068E" w:rsidRDefault="009F068E" w:rsidP="009F068E">
      <w:pPr>
        <w:shd w:val="clear" w:color="auto" w:fill="FFFFFF"/>
        <w:textAlignment w:val="baseline"/>
        <w:rPr>
          <w:rFonts w:eastAsia="Times New Roman" w:cs="Times New Roman"/>
          <w:color w:val="000000"/>
          <w:szCs w:val="24"/>
          <w:lang w:eastAsia="lv-LV"/>
        </w:rPr>
      </w:pPr>
      <w:r w:rsidRPr="009F068E">
        <w:rPr>
          <w:rFonts w:eastAsia="Times New Roman" w:cs="Times New Roman"/>
          <w:color w:val="000000"/>
          <w:szCs w:val="24"/>
          <w:bdr w:val="none" w:sz="0" w:space="0" w:color="auto" w:frame="1"/>
          <w:lang w:eastAsia="lv-LV"/>
        </w:rPr>
        <w:t xml:space="preserve">2019. gada februārī un martā EM kopā ar </w:t>
      </w:r>
      <w:r>
        <w:rPr>
          <w:rFonts w:eastAsia="Times New Roman" w:cs="Times New Roman"/>
          <w:color w:val="000000"/>
          <w:szCs w:val="24"/>
          <w:bdr w:val="none" w:sz="0" w:space="0" w:color="auto" w:frame="1"/>
          <w:lang w:eastAsia="lv-LV"/>
        </w:rPr>
        <w:t>ALTUM</w:t>
      </w:r>
      <w:r w:rsidRPr="009F068E">
        <w:rPr>
          <w:rFonts w:eastAsia="Times New Roman" w:cs="Times New Roman"/>
          <w:color w:val="000000"/>
          <w:szCs w:val="24"/>
          <w:bdr w:val="none" w:sz="0" w:space="0" w:color="auto" w:frame="1"/>
          <w:lang w:eastAsia="lv-LV"/>
        </w:rPr>
        <w:t xml:space="preserve"> un BVKB organizēja 35 seminārus 21 Latvijas pilsētā</w:t>
      </w:r>
      <w:r w:rsidRPr="009F068E">
        <w:rPr>
          <w:rFonts w:eastAsia="Times New Roman" w:cs="Times New Roman"/>
          <w:color w:val="000000"/>
          <w:szCs w:val="24"/>
          <w:lang w:eastAsia="lv-LV"/>
        </w:rPr>
        <w:t> </w:t>
      </w:r>
      <w:r w:rsidRPr="009F068E">
        <w:rPr>
          <w:rFonts w:eastAsia="Times New Roman" w:cs="Times New Roman"/>
          <w:color w:val="000000"/>
          <w:szCs w:val="24"/>
          <w:bdr w:val="none" w:sz="0" w:space="0" w:color="auto" w:frame="1"/>
          <w:lang w:eastAsia="lv-LV"/>
        </w:rPr>
        <w:t>par ES fondu atbalsta saņemšanu daudzīvokļu ēku atjaunošanai</w:t>
      </w:r>
      <w:r w:rsidRPr="009F068E">
        <w:rPr>
          <w:rFonts w:eastAsia="Times New Roman" w:cs="Times New Roman"/>
          <w:color w:val="000000"/>
          <w:szCs w:val="24"/>
          <w:lang w:eastAsia="lv-LV"/>
        </w:rPr>
        <w:t xml:space="preserve">, aktualitātēm būvniecības normatīvajā regulējumā un kvalitatīva būvniecības procesa nodrošināšanu. </w:t>
      </w:r>
    </w:p>
    <w:p w14:paraId="4A758DD3" w14:textId="77777777" w:rsidR="008A26AE" w:rsidRDefault="008A26AE">
      <w:pPr>
        <w:spacing w:after="160" w:line="259" w:lineRule="auto"/>
        <w:ind w:firstLine="0"/>
        <w:jc w:val="left"/>
        <w:rPr>
          <w:b/>
          <w:bCs/>
          <w:sz w:val="28"/>
          <w:szCs w:val="28"/>
        </w:rPr>
      </w:pPr>
    </w:p>
    <w:p w14:paraId="234A49F6" w14:textId="4465F03F" w:rsidR="00B9605D" w:rsidRDefault="00B9605D">
      <w:pPr>
        <w:spacing w:after="160" w:line="259" w:lineRule="auto"/>
        <w:ind w:firstLine="0"/>
        <w:jc w:val="left"/>
        <w:rPr>
          <w:b/>
          <w:bCs/>
          <w:sz w:val="28"/>
          <w:szCs w:val="28"/>
        </w:rPr>
      </w:pPr>
      <w:r>
        <w:rPr>
          <w:b/>
          <w:bCs/>
          <w:sz w:val="28"/>
          <w:szCs w:val="28"/>
        </w:rPr>
        <w:br w:type="page"/>
      </w:r>
    </w:p>
    <w:p w14:paraId="7F9A81A8" w14:textId="424BA310" w:rsidR="003C3E41" w:rsidRPr="00151A93" w:rsidRDefault="00151A93" w:rsidP="00031EFF">
      <w:pPr>
        <w:pStyle w:val="Heading2"/>
      </w:pPr>
      <w:bookmarkStart w:id="37" w:name="_Toc40113668"/>
      <w:r w:rsidRPr="00151A93">
        <w:lastRenderedPageBreak/>
        <w:t xml:space="preserve">2.3. </w:t>
      </w:r>
      <w:r w:rsidR="00F471DC" w:rsidRPr="00151A93">
        <w:t>Ē</w:t>
      </w:r>
      <w:r w:rsidR="003C3E41" w:rsidRPr="00151A93">
        <w:rPr>
          <w:rFonts w:hint="eastAsia"/>
        </w:rPr>
        <w:t>ku fond</w:t>
      </w:r>
      <w:r w:rsidR="00F471DC" w:rsidRPr="00151A93">
        <w:t>s</w:t>
      </w:r>
      <w:r w:rsidR="003C3E41" w:rsidRPr="00151A93">
        <w:rPr>
          <w:rFonts w:hint="eastAsia"/>
        </w:rPr>
        <w:t xml:space="preserve"> </w:t>
      </w:r>
      <w:r w:rsidR="00BF2B45" w:rsidRPr="00151A93">
        <w:t>ar vissliktākajiem rādītājiem</w:t>
      </w:r>
      <w:r w:rsidR="003C3E41" w:rsidRPr="00151A93">
        <w:rPr>
          <w:rFonts w:hint="eastAsia"/>
        </w:rPr>
        <w:t xml:space="preserve">, </w:t>
      </w:r>
      <w:r w:rsidR="00F471DC" w:rsidRPr="00151A93">
        <w:t>atšķirīgām pušu</w:t>
      </w:r>
      <w:r w:rsidR="00BF2B45" w:rsidRPr="00151A93">
        <w:t xml:space="preserve"> interesēm</w:t>
      </w:r>
      <w:r w:rsidR="003C3E41" w:rsidRPr="00151A93">
        <w:rPr>
          <w:rFonts w:hint="eastAsia"/>
        </w:rPr>
        <w:t xml:space="preserve"> un tirgus nepilnībām</w:t>
      </w:r>
      <w:r w:rsidR="00F471DC" w:rsidRPr="00151A93">
        <w:t>.</w:t>
      </w:r>
      <w:r w:rsidR="003C3E41" w:rsidRPr="00151A93">
        <w:rPr>
          <w:rFonts w:hint="eastAsia"/>
        </w:rPr>
        <w:t xml:space="preserve"> </w:t>
      </w:r>
      <w:r w:rsidR="00F471DC" w:rsidRPr="00151A93">
        <w:t>D</w:t>
      </w:r>
      <w:r w:rsidR="003C3E41" w:rsidRPr="00151A93">
        <w:rPr>
          <w:rFonts w:hint="eastAsia"/>
        </w:rPr>
        <w:t>arbīb</w:t>
      </w:r>
      <w:r w:rsidR="00BF2B45" w:rsidRPr="00151A93">
        <w:t>as</w:t>
      </w:r>
      <w:r w:rsidR="003C3E41" w:rsidRPr="00151A93">
        <w:rPr>
          <w:rFonts w:hint="eastAsia"/>
        </w:rPr>
        <w:t xml:space="preserve"> </w:t>
      </w:r>
      <w:bookmarkStart w:id="38" w:name="_Hlk25331054"/>
      <w:r w:rsidR="003C3E41" w:rsidRPr="00151A93">
        <w:rPr>
          <w:rFonts w:hint="eastAsia"/>
        </w:rPr>
        <w:t>enerģētiskās nabadzības mazināšan</w:t>
      </w:r>
      <w:bookmarkEnd w:id="38"/>
      <w:r w:rsidR="00BF2B45" w:rsidRPr="00151A93">
        <w:t>ai</w:t>
      </w:r>
      <w:bookmarkEnd w:id="37"/>
    </w:p>
    <w:p w14:paraId="05C962F4" w14:textId="77777777" w:rsidR="00963CBA" w:rsidRDefault="00963CBA" w:rsidP="009844E4">
      <w:pPr>
        <w:ind w:firstLine="0"/>
        <w:rPr>
          <w:u w:val="single"/>
        </w:rPr>
      </w:pPr>
    </w:p>
    <w:p w14:paraId="115946CA" w14:textId="321C6131" w:rsidR="00963CBA" w:rsidRDefault="00963CBA" w:rsidP="009844E4">
      <w:pPr>
        <w:ind w:firstLine="0"/>
        <w:rPr>
          <w:u w:val="single"/>
        </w:rPr>
      </w:pPr>
      <w:r>
        <w:rPr>
          <w:u w:val="single"/>
        </w:rPr>
        <w:t>Ēku fonds ar vissliktākajiem rādītājiem</w:t>
      </w:r>
    </w:p>
    <w:p w14:paraId="109598F4" w14:textId="5619714A" w:rsidR="00963CBA" w:rsidRDefault="00963CBA" w:rsidP="009844E4">
      <w:pPr>
        <w:ind w:firstLine="0"/>
        <w:rPr>
          <w:u w:val="single"/>
        </w:rPr>
      </w:pPr>
    </w:p>
    <w:p w14:paraId="291BFF42" w14:textId="7BB0B05C" w:rsidR="00963CBA" w:rsidRDefault="00963CBA" w:rsidP="00963CBA">
      <w:pPr>
        <w:rPr>
          <w:szCs w:val="24"/>
        </w:rPr>
      </w:pPr>
      <w:r>
        <w:rPr>
          <w:szCs w:val="24"/>
        </w:rPr>
        <w:t>Ministru kabineta 2010. gada 28. septembra noteikumi Nr.907 “Noteikumi par dzīvojamās mājas apsekošanu, tehnisko apkopi, kārtējo remontu un energoefektivitātes minimālajam prasībām” (turpmāk – MK noteikumi Nr.907) nosaka minimālās prasības dzīvojamās mājas energoefektivitātes nodrošināšanai. Atbilstoši MK noteikumiem Nr.907, dzīvojamās mājas pārvaldītājam ir pienākums</w:t>
      </w:r>
      <w:r>
        <w:rPr>
          <w:rFonts w:ascii="Arial" w:hAnsi="Arial" w:cs="Arial"/>
          <w:color w:val="414142"/>
          <w:sz w:val="20"/>
          <w:szCs w:val="20"/>
          <w:shd w:val="clear" w:color="auto" w:fill="FFFFFF"/>
        </w:rPr>
        <w:t xml:space="preserve"> </w:t>
      </w:r>
      <w:r>
        <w:rPr>
          <w:szCs w:val="24"/>
        </w:rPr>
        <w:t>plānot energoefektivitātes paaugstināšanas pasākumus, ja dzīvojamās mājas vidējais siltumenerģijas patēriņš pārsniedz MK noteikumos Nr.907 noteikto. Dzīvojamo māju pārvaldīšanas likuma 6. panta otrās daļas f. punktā dzīvojamās mājas energoefektivitātei izvirzīto minimālo prasību izpildes nodrošināšana ir minēta kā viena no obligāti veicamajām dzīvojamās mājas pārvaldīšanas darbībām.</w:t>
      </w:r>
    </w:p>
    <w:p w14:paraId="446AB2E1" w14:textId="0B331B46" w:rsidR="00963CBA" w:rsidRDefault="00963CBA" w:rsidP="00963CBA">
      <w:r w:rsidRPr="00963CBA">
        <w:t>Dzīvojamās mājas pārvaldītāj</w:t>
      </w:r>
      <w:r>
        <w:t>am</w:t>
      </w:r>
      <w:r w:rsidRPr="00963CBA">
        <w:t xml:space="preserve"> </w:t>
      </w:r>
      <w:r>
        <w:t>jā</w:t>
      </w:r>
      <w:r w:rsidRPr="00963CBA">
        <w:t>plāno energoefektivitātes paaugstināšanas pasākumus, tajā skaitā nomainot nolietojušos elementus vai konstrukcijas, ja dzīvojamai mājai, kurā siltumenerģija izmantota dzīvojamās mājas apkurei un karstā ūdens sagatavošanai, vidējais siltumenerģijas patēriņš pēdējos trīs kalendāra gados pārsniedz 200 kWh/m</w:t>
      </w:r>
      <w:r w:rsidRPr="00963CBA">
        <w:rPr>
          <w:vertAlign w:val="superscript"/>
        </w:rPr>
        <w:t>2</w:t>
      </w:r>
      <w:r w:rsidRPr="00963CBA">
        <w:t> gadā vai 150 kWh/m</w:t>
      </w:r>
      <w:r w:rsidRPr="00963CBA">
        <w:rPr>
          <w:vertAlign w:val="superscript"/>
        </w:rPr>
        <w:t>2</w:t>
      </w:r>
      <w:r w:rsidRPr="00963CBA">
        <w:t> gadā, ja siltumenerģija izmantota tikai dzīvojamās mājas apkurei. Aprēķinot vidējo siltumenerģijas patēriņu pēdējos trīs kalendāra gados, ņem vērā ēkas apkurināmo lietderīgo platību.</w:t>
      </w:r>
    </w:p>
    <w:p w14:paraId="46247366" w14:textId="77777777" w:rsidR="004E25D6" w:rsidRDefault="004E25D6" w:rsidP="004E25D6">
      <w:pPr>
        <w:ind w:firstLine="0"/>
        <w:rPr>
          <w:b/>
          <w:bCs/>
        </w:rPr>
      </w:pPr>
    </w:p>
    <w:p w14:paraId="704324C2" w14:textId="5E27A8A2" w:rsidR="00651CA3" w:rsidRPr="009844E4" w:rsidRDefault="004E25D6" w:rsidP="00651CA3">
      <w:pPr>
        <w:ind w:firstLine="0"/>
        <w:rPr>
          <w:u w:val="single"/>
        </w:rPr>
      </w:pPr>
      <w:r w:rsidRPr="00BF2B45">
        <w:rPr>
          <w:rFonts w:cs="Times New Roman"/>
          <w:szCs w:val="24"/>
          <w:u w:val="single"/>
        </w:rPr>
        <w:t>T</w:t>
      </w:r>
      <w:r w:rsidR="003C3E41" w:rsidRPr="00BF2B45">
        <w:rPr>
          <w:rFonts w:cs="Times New Roman"/>
          <w:szCs w:val="24"/>
          <w:u w:val="single"/>
        </w:rPr>
        <w:t>irgus nepilnības</w:t>
      </w:r>
      <w:r w:rsidR="001D251A" w:rsidRPr="001D251A">
        <w:rPr>
          <w:u w:val="single"/>
        </w:rPr>
        <w:t xml:space="preserve"> </w:t>
      </w:r>
      <w:r w:rsidR="001D251A">
        <w:rPr>
          <w:u w:val="single"/>
        </w:rPr>
        <w:t>- t</w:t>
      </w:r>
      <w:r w:rsidR="001D251A" w:rsidRPr="009844E4">
        <w:rPr>
          <w:u w:val="single"/>
        </w:rPr>
        <w:t>irgus situācijas izvērtējum</w:t>
      </w:r>
      <w:r w:rsidR="00651CA3">
        <w:rPr>
          <w:u w:val="single"/>
        </w:rPr>
        <w:t>s un atšķirīgas</w:t>
      </w:r>
      <w:r w:rsidR="00651CA3" w:rsidRPr="009844E4">
        <w:rPr>
          <w:u w:val="single"/>
        </w:rPr>
        <w:t xml:space="preserve"> pušu intereses</w:t>
      </w:r>
    </w:p>
    <w:p w14:paraId="509A75D7" w14:textId="77777777" w:rsidR="00004D15" w:rsidRDefault="00004D15" w:rsidP="00F45B41">
      <w:pPr>
        <w:pStyle w:val="ListParagraph"/>
        <w:ind w:left="0"/>
        <w:rPr>
          <w:rFonts w:cs="Times New Roman"/>
          <w:szCs w:val="24"/>
        </w:rPr>
      </w:pPr>
    </w:p>
    <w:p w14:paraId="68FCA5EB" w14:textId="045A1DD4" w:rsidR="000A4110" w:rsidRDefault="000A4110" w:rsidP="00651CA3">
      <w:pPr>
        <w:rPr>
          <w:rFonts w:eastAsia="Times New Roman" w:cs="Times New Roman"/>
          <w:bCs/>
          <w:szCs w:val="24"/>
          <w:lang w:eastAsia="ja-JP"/>
        </w:rPr>
      </w:pPr>
      <w:bookmarkStart w:id="39" w:name="_Hlk31373151"/>
      <w:r>
        <w:rPr>
          <w:rFonts w:eastAsia="Times New Roman" w:cs="Times New Roman"/>
          <w:bCs/>
          <w:szCs w:val="24"/>
          <w:lang w:eastAsia="ja-JP"/>
        </w:rPr>
        <w:t>Latvijā viens no galvenajiem izaicinājumiem ir nepietiekami iedzīvotāju ieņēmumi. Tāpēc dzīvokļu īpašniekiem ir jāizšķiras starp pamat izdevumiem kuros ietilpst, piemēram, apkure, elektrība, pārtika, medicīnas izdevumi pretstatā savlaicīgiem ieguldījumiem ēku apsaimniekošanā</w:t>
      </w:r>
      <w:r w:rsidR="00651CA3">
        <w:rPr>
          <w:rFonts w:eastAsia="Times New Roman" w:cs="Times New Roman"/>
          <w:bCs/>
          <w:szCs w:val="24"/>
          <w:lang w:eastAsia="ja-JP"/>
        </w:rPr>
        <w:t xml:space="preserve"> un uzturēšanā</w:t>
      </w:r>
      <w:r>
        <w:rPr>
          <w:rFonts w:eastAsia="Times New Roman" w:cs="Times New Roman"/>
          <w:bCs/>
          <w:szCs w:val="24"/>
          <w:lang w:eastAsia="ja-JP"/>
        </w:rPr>
        <w:t>. Lielākajā vairumā šādās situācijās iedzīvotāji nosliecas par labu pamat izdevumu segšanai</w:t>
      </w:r>
      <w:r w:rsidRPr="00651CA3">
        <w:rPr>
          <w:rFonts w:eastAsia="Times New Roman" w:cs="Times New Roman"/>
          <w:bCs/>
          <w:color w:val="000000" w:themeColor="text1"/>
          <w:szCs w:val="24"/>
          <w:lang w:eastAsia="ja-JP"/>
        </w:rPr>
        <w:t>. Tādējādi</w:t>
      </w:r>
      <w:r w:rsidR="00651CA3">
        <w:rPr>
          <w:rFonts w:eastAsia="Times New Roman" w:cs="Times New Roman"/>
          <w:bCs/>
          <w:color w:val="000000" w:themeColor="text1"/>
          <w:szCs w:val="24"/>
          <w:lang w:eastAsia="ja-JP"/>
        </w:rPr>
        <w:t xml:space="preserve"> raugoties no šāda rakursa,</w:t>
      </w:r>
      <w:r w:rsidRPr="00651CA3">
        <w:rPr>
          <w:rFonts w:eastAsia="Times New Roman" w:cs="Times New Roman"/>
          <w:bCs/>
          <w:color w:val="000000" w:themeColor="text1"/>
          <w:szCs w:val="24"/>
          <w:lang w:eastAsia="ja-JP"/>
        </w:rPr>
        <w:t xml:space="preserve"> ir samērā kritiski turpināt mājokļu siltināšanas atbalstu, kā arī </w:t>
      </w:r>
      <w:r w:rsidR="00651CA3" w:rsidRPr="00651CA3">
        <w:rPr>
          <w:rFonts w:eastAsia="Times New Roman" w:cs="Times New Roman"/>
          <w:bCs/>
          <w:color w:val="000000" w:themeColor="text1"/>
          <w:szCs w:val="24"/>
          <w:lang w:eastAsia="ja-JP"/>
        </w:rPr>
        <w:t>paredzēt</w:t>
      </w:r>
      <w:r w:rsidRPr="00651CA3">
        <w:rPr>
          <w:rFonts w:eastAsia="Times New Roman" w:cs="Times New Roman"/>
          <w:bCs/>
          <w:color w:val="000000" w:themeColor="text1"/>
          <w:szCs w:val="24"/>
          <w:lang w:eastAsia="ja-JP"/>
        </w:rPr>
        <w:t xml:space="preserve"> jaunus finanšu instrumentus un fiskālos atbalstus, piemēram iedzīvotāju ienākuma nodokļu atlaides.</w:t>
      </w:r>
      <w:r w:rsidR="00651CA3">
        <w:rPr>
          <w:rFonts w:eastAsia="Times New Roman" w:cs="Times New Roman"/>
          <w:bCs/>
          <w:szCs w:val="24"/>
          <w:lang w:eastAsia="ja-JP"/>
        </w:rPr>
        <w:t xml:space="preserve"> </w:t>
      </w:r>
      <w:r>
        <w:rPr>
          <w:rFonts w:eastAsia="Times New Roman" w:cs="Times New Roman"/>
          <w:bCs/>
          <w:szCs w:val="24"/>
          <w:lang w:eastAsia="ja-JP"/>
        </w:rPr>
        <w:t>Attiecībā uz valsts un pašvaldību ēku fondu, prioritāri atbalstāmas ir ēkas, kas var veidot vislielāko ieguvumu attiecībā starp ieguldījumiem ēkas atjaunošanā un plānoto siltumenerģijas ietaupījumu.</w:t>
      </w:r>
    </w:p>
    <w:p w14:paraId="691B932E" w14:textId="77777777" w:rsidR="000A4110" w:rsidRDefault="000A4110" w:rsidP="000A4110">
      <w:pPr>
        <w:rPr>
          <w:rFonts w:eastAsia="Times New Roman" w:cs="Times New Roman"/>
          <w:bCs/>
          <w:szCs w:val="24"/>
          <w:lang w:eastAsia="ja-JP"/>
        </w:rPr>
      </w:pPr>
    </w:p>
    <w:p w14:paraId="013170E6" w14:textId="33783F17" w:rsidR="003C3E41" w:rsidRPr="00F45B41" w:rsidRDefault="003C3E41" w:rsidP="00F45B41">
      <w:pPr>
        <w:rPr>
          <w:rFonts w:eastAsia="Times New Roman" w:cs="Times New Roman"/>
          <w:bCs/>
          <w:szCs w:val="24"/>
          <w:lang w:eastAsia="ja-JP"/>
        </w:rPr>
      </w:pPr>
      <w:r w:rsidRPr="00F45B41">
        <w:rPr>
          <w:rFonts w:eastAsia="Times New Roman" w:cs="Times New Roman"/>
          <w:bCs/>
          <w:szCs w:val="24"/>
          <w:lang w:eastAsia="ja-JP"/>
        </w:rPr>
        <w:t>Vienlaikus jāmin, ka 2019.gada 21.septembrī stājās spē</w:t>
      </w:r>
      <w:r w:rsidR="00B10153">
        <w:rPr>
          <w:rFonts w:eastAsia="Times New Roman" w:cs="Times New Roman"/>
          <w:bCs/>
          <w:szCs w:val="24"/>
          <w:lang w:eastAsia="ja-JP"/>
        </w:rPr>
        <w:t>k</w:t>
      </w:r>
      <w:r w:rsidRPr="00F45B41">
        <w:rPr>
          <w:rFonts w:eastAsia="Times New Roman" w:cs="Times New Roman"/>
          <w:bCs/>
          <w:szCs w:val="24"/>
          <w:lang w:eastAsia="ja-JP"/>
        </w:rPr>
        <w:t>ā Noteikumi par Latvijas būvnormatīvu LBN 003-19 "Būvklimatoloģija"</w:t>
      </w:r>
      <w:r w:rsidRPr="00F45B41">
        <w:rPr>
          <w:rFonts w:eastAsia="Times New Roman" w:cs="Times New Roman"/>
          <w:bCs/>
          <w:szCs w:val="24"/>
          <w:vertAlign w:val="superscript"/>
          <w:lang w:eastAsia="ja-JP"/>
        </w:rPr>
        <w:footnoteReference w:id="24"/>
      </w:r>
      <w:r w:rsidRPr="00F45B41">
        <w:rPr>
          <w:rFonts w:eastAsia="Times New Roman" w:cs="Times New Roman"/>
          <w:bCs/>
          <w:szCs w:val="24"/>
          <w:lang w:eastAsia="ja-JP"/>
        </w:rPr>
        <w:t xml:space="preserve">, kas, atšķirībā no spēku zaudējušiem </w:t>
      </w:r>
      <w:r w:rsidR="00004D15">
        <w:rPr>
          <w:rFonts w:eastAsia="Times New Roman" w:cs="Times New Roman"/>
          <w:bCs/>
          <w:szCs w:val="24"/>
          <w:lang w:eastAsia="ja-JP"/>
        </w:rPr>
        <w:t>n</w:t>
      </w:r>
      <w:r w:rsidRPr="00F45B41">
        <w:rPr>
          <w:rFonts w:eastAsia="Times New Roman" w:cs="Times New Roman"/>
          <w:bCs/>
          <w:szCs w:val="24"/>
          <w:lang w:eastAsia="ja-JP"/>
        </w:rPr>
        <w:t>oteikumiem par Latvijas būvnormatīvu LBN 003-15 "Būvklimatoloģija"</w:t>
      </w:r>
      <w:r w:rsidRPr="00F45B41">
        <w:rPr>
          <w:rFonts w:eastAsia="Times New Roman" w:cs="Times New Roman"/>
          <w:bCs/>
          <w:szCs w:val="24"/>
          <w:vertAlign w:val="superscript"/>
          <w:lang w:eastAsia="ja-JP"/>
        </w:rPr>
        <w:footnoteReference w:id="25"/>
      </w:r>
      <w:r w:rsidRPr="00F45B41">
        <w:rPr>
          <w:rFonts w:eastAsia="Times New Roman" w:cs="Times New Roman"/>
          <w:bCs/>
          <w:szCs w:val="24"/>
          <w:lang w:eastAsia="ja-JP"/>
        </w:rPr>
        <w:t xml:space="preserve">, paredz apkures perioda ilguma samazināšanos no 205,8 dienām līdz 185,7 dienām, kā arī vidējās temperatūras palielināšanos no -0,6 °C līdz 1,0 °C (sk. augstāk minēto Latvijas būvnormatīvu </w:t>
      </w:r>
      <w:r w:rsidR="005F1395">
        <w:rPr>
          <w:rFonts w:eastAsia="Times New Roman" w:cs="Times New Roman"/>
          <w:bCs/>
          <w:szCs w:val="24"/>
          <w:lang w:eastAsia="ja-JP"/>
        </w:rPr>
        <w:t>9</w:t>
      </w:r>
      <w:r w:rsidRPr="00F45B41">
        <w:rPr>
          <w:rFonts w:eastAsia="Times New Roman" w:cs="Times New Roman"/>
          <w:bCs/>
          <w:szCs w:val="24"/>
          <w:lang w:eastAsia="ja-JP"/>
        </w:rPr>
        <w:t>. tabula). Piem., Rīgā apkures periods samazinājies no 203 līdz 171 dienai un vidējā gada temperatūra palielinājusies no 0 līdz +1 °C. Līdzīga situācija novērojama citās Latvijas pilsētās. Līdz ar to secināms, ka Latvijas klimats kļūst a</w:t>
      </w:r>
      <w:r w:rsidR="00FE1474">
        <w:rPr>
          <w:rFonts w:eastAsia="Times New Roman" w:cs="Times New Roman"/>
          <w:bCs/>
          <w:szCs w:val="24"/>
          <w:lang w:eastAsia="ja-JP"/>
        </w:rPr>
        <w:t>r</w:t>
      </w:r>
      <w:r w:rsidRPr="00F45B41">
        <w:rPr>
          <w:rFonts w:eastAsia="Times New Roman" w:cs="Times New Roman"/>
          <w:bCs/>
          <w:szCs w:val="24"/>
          <w:lang w:eastAsia="ja-JP"/>
        </w:rPr>
        <w:t xml:space="preserve">vien siltāks un samazinoties arī apkures periodam </w:t>
      </w:r>
      <w:r w:rsidRPr="00F45B41">
        <w:rPr>
          <w:rFonts w:eastAsia="Times New Roman" w:cs="Times New Roman"/>
          <w:bCs/>
          <w:szCs w:val="24"/>
          <w:lang w:eastAsia="ja-JP"/>
        </w:rPr>
        <w:lastRenderedPageBreak/>
        <w:t>energoefektivitātes veicināšanas pasākumi kļūst arvien mazāk ekonomiski pamatoti, jo pieaug investīciju atmaksāšanās laiks.</w:t>
      </w:r>
    </w:p>
    <w:bookmarkEnd w:id="39"/>
    <w:p w14:paraId="60C4E2AC" w14:textId="77777777" w:rsidR="003C3E41" w:rsidRPr="00B5462E" w:rsidRDefault="003C3E41" w:rsidP="003C3E41">
      <w:pPr>
        <w:spacing w:line="276" w:lineRule="auto"/>
        <w:rPr>
          <w:rFonts w:eastAsia="Times New Roman"/>
          <w:bCs/>
          <w:szCs w:val="24"/>
          <w:lang w:eastAsia="ja-JP"/>
        </w:rPr>
      </w:pPr>
    </w:p>
    <w:p w14:paraId="7C38C662" w14:textId="77777777" w:rsidR="003C3E41" w:rsidRDefault="003C3E41" w:rsidP="003C3E41">
      <w:pPr>
        <w:pStyle w:val="ListParagraph"/>
        <w:ind w:left="0" w:firstLine="0"/>
      </w:pPr>
      <w:r w:rsidRPr="001C0B46">
        <w:rPr>
          <w:noProof/>
          <w:lang w:eastAsia="lv-LV"/>
        </w:rPr>
        <w:drawing>
          <wp:inline distT="0" distB="0" distL="0" distR="0" wp14:anchorId="01DB6F29" wp14:editId="319FBD61">
            <wp:extent cx="5274310" cy="2312670"/>
            <wp:effectExtent l="0" t="0" r="2540" b="0"/>
            <wp:docPr id="6" name="Chart 6">
              <a:extLst xmlns:a="http://schemas.openxmlformats.org/drawingml/2006/main">
                <a:ext uri="{FF2B5EF4-FFF2-40B4-BE49-F238E27FC236}">
                  <a16:creationId xmlns:a16="http://schemas.microsoft.com/office/drawing/2014/main" id="{C9D35894-5529-42A6-A5DB-B55E6D1EC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DB83A7" w14:textId="239D811D" w:rsidR="003C3E41" w:rsidRPr="0023440A" w:rsidRDefault="003C3E41" w:rsidP="0023440A">
      <w:pPr>
        <w:spacing w:after="120"/>
        <w:ind w:firstLine="0"/>
        <w:jc w:val="left"/>
        <w:rPr>
          <w:sz w:val="20"/>
          <w:szCs w:val="20"/>
        </w:rPr>
      </w:pPr>
      <w:r w:rsidRPr="0023440A">
        <w:rPr>
          <w:sz w:val="20"/>
          <w:szCs w:val="20"/>
        </w:rPr>
        <w:t>Attēls Nr.</w:t>
      </w:r>
      <w:r w:rsidR="007219D9">
        <w:rPr>
          <w:sz w:val="20"/>
          <w:szCs w:val="20"/>
        </w:rPr>
        <w:t>3</w:t>
      </w:r>
      <w:r w:rsidRPr="0023440A">
        <w:rPr>
          <w:sz w:val="20"/>
          <w:szCs w:val="20"/>
        </w:rPr>
        <w:t xml:space="preserve"> - Siltumenerģijas tarifi Latvijas pilsētās 2019.gada sākumā un plānotie tarifi 2020.gadā, </w:t>
      </w:r>
      <w:r w:rsidRPr="0023440A">
        <w:rPr>
          <w:i/>
          <w:sz w:val="20"/>
          <w:szCs w:val="20"/>
        </w:rPr>
        <w:t>euro</w:t>
      </w:r>
      <w:r w:rsidRPr="0023440A">
        <w:rPr>
          <w:sz w:val="20"/>
          <w:szCs w:val="20"/>
        </w:rPr>
        <w:t>/MWh bez PVN</w:t>
      </w:r>
      <w:r w:rsidR="00976F6F" w:rsidRPr="0023440A">
        <w:rPr>
          <w:rStyle w:val="FootnoteReference"/>
          <w:sz w:val="20"/>
          <w:szCs w:val="20"/>
        </w:rPr>
        <w:footnoteReference w:id="26"/>
      </w:r>
    </w:p>
    <w:p w14:paraId="2ED5281F" w14:textId="0A7AEDCF" w:rsidR="00976F6F" w:rsidRPr="00976F6F" w:rsidRDefault="003C3E41" w:rsidP="00976F6F">
      <w:pPr>
        <w:rPr>
          <w:rFonts w:eastAsia="Times New Roman"/>
          <w:bCs/>
          <w:szCs w:val="24"/>
          <w:lang w:eastAsia="ja-JP"/>
        </w:rPr>
      </w:pPr>
      <w:r w:rsidRPr="001C0B46">
        <w:rPr>
          <w:rFonts w:eastAsia="Times New Roman"/>
          <w:bCs/>
          <w:szCs w:val="24"/>
          <w:lang w:eastAsia="ja-JP"/>
        </w:rPr>
        <w:t xml:space="preserve">Jāuzsver, ka </w:t>
      </w:r>
      <w:r w:rsidRPr="001C0B46">
        <w:rPr>
          <w:rFonts w:cs="Times New Roman"/>
          <w:szCs w:val="24"/>
          <w:shd w:val="clear" w:color="auto" w:fill="FFFFFF"/>
        </w:rPr>
        <w:t>projektu</w:t>
      </w:r>
      <w:r w:rsidRPr="001C0B46">
        <w:rPr>
          <w:rFonts w:eastAsia="Times New Roman"/>
          <w:bCs/>
          <w:szCs w:val="24"/>
          <w:lang w:eastAsia="ja-JP"/>
        </w:rPr>
        <w:t xml:space="preserve"> ekonomiskās pamatotības aprēķinā siltumenerģijas tarifs ir viens no nozīmīgākajiem mainīgajiem, ar kā palīdzību iespējams noteikt, cik lielu ietaupījumu radīs daudzdzīvokļu ēkā veiktie energoefektivitātes </w:t>
      </w:r>
      <w:r w:rsidRPr="00A15C92">
        <w:rPr>
          <w:rFonts w:eastAsia="Times New Roman"/>
          <w:bCs/>
          <w:szCs w:val="24"/>
          <w:lang w:eastAsia="ja-JP"/>
        </w:rPr>
        <w:t xml:space="preserve">pasākumi. </w:t>
      </w:r>
      <w:r w:rsidR="00A87D4F">
        <w:rPr>
          <w:rFonts w:eastAsia="Times New Roman"/>
          <w:bCs/>
          <w:szCs w:val="24"/>
          <w:lang w:eastAsia="ja-JP"/>
        </w:rPr>
        <w:t>4</w:t>
      </w:r>
      <w:r w:rsidRPr="00A15C92">
        <w:rPr>
          <w:rFonts w:eastAsia="Times New Roman"/>
          <w:bCs/>
          <w:szCs w:val="24"/>
          <w:lang w:eastAsia="ja-JP"/>
        </w:rPr>
        <w:t>. attēlā</w:t>
      </w:r>
      <w:r w:rsidRPr="001C0B46">
        <w:rPr>
          <w:rFonts w:eastAsia="Times New Roman"/>
          <w:bCs/>
          <w:szCs w:val="24"/>
          <w:lang w:eastAsia="ja-JP"/>
        </w:rPr>
        <w:t xml:space="preserve"> norādīta siltumenerģijas vidējās cenas dinamika gala patērētājiem pēdējo </w:t>
      </w:r>
      <w:r>
        <w:rPr>
          <w:rFonts w:eastAsia="Times New Roman"/>
          <w:bCs/>
          <w:szCs w:val="24"/>
          <w:lang w:eastAsia="ja-JP"/>
        </w:rPr>
        <w:t>7</w:t>
      </w:r>
      <w:r w:rsidRPr="001C0B46">
        <w:rPr>
          <w:rFonts w:eastAsia="Times New Roman"/>
          <w:bCs/>
          <w:szCs w:val="24"/>
          <w:lang w:eastAsia="ja-JP"/>
        </w:rPr>
        <w:t xml:space="preserve"> gadu laikā. Lai gan </w:t>
      </w:r>
      <w:r>
        <w:rPr>
          <w:rFonts w:eastAsia="Times New Roman"/>
          <w:bCs/>
          <w:szCs w:val="24"/>
          <w:lang w:eastAsia="ja-JP"/>
        </w:rPr>
        <w:t>laika periodā no 2012.gada līdz 2016.gadam</w:t>
      </w:r>
      <w:r w:rsidRPr="001C0B46">
        <w:rPr>
          <w:rFonts w:eastAsia="Times New Roman"/>
          <w:bCs/>
          <w:szCs w:val="24"/>
          <w:lang w:eastAsia="ja-JP"/>
        </w:rPr>
        <w:t xml:space="preserve"> siltumenerģijas tarifs samazinājās gandrīz uz pusi, pēdējo 2 gadu laikā tas ir nostabilizējies un nav pamat</w:t>
      </w:r>
      <w:r>
        <w:rPr>
          <w:rFonts w:eastAsia="Times New Roman"/>
          <w:bCs/>
          <w:szCs w:val="24"/>
          <w:lang w:eastAsia="ja-JP"/>
        </w:rPr>
        <w:t>ojuma</w:t>
      </w:r>
      <w:r w:rsidRPr="001C0B46">
        <w:rPr>
          <w:rFonts w:eastAsia="Times New Roman"/>
          <w:bCs/>
          <w:szCs w:val="24"/>
          <w:lang w:eastAsia="ja-JP"/>
        </w:rPr>
        <w:t xml:space="preserve"> uzskatīt, ka tas varētu turpināt samazināties</w:t>
      </w:r>
      <w:r>
        <w:rPr>
          <w:rFonts w:eastAsia="Times New Roman"/>
          <w:bCs/>
          <w:szCs w:val="24"/>
          <w:lang w:eastAsia="ja-JP"/>
        </w:rPr>
        <w:t xml:space="preserve">. </w:t>
      </w:r>
      <w:r w:rsidRPr="00A15C92">
        <w:rPr>
          <w:rFonts w:eastAsia="Times New Roman"/>
          <w:bCs/>
          <w:szCs w:val="24"/>
          <w:lang w:eastAsia="ja-JP"/>
        </w:rPr>
        <w:t xml:space="preserve">(skatīt </w:t>
      </w:r>
      <w:r w:rsidR="00A87D4F">
        <w:rPr>
          <w:rFonts w:eastAsia="Times New Roman"/>
          <w:bCs/>
          <w:szCs w:val="24"/>
          <w:lang w:eastAsia="ja-JP"/>
        </w:rPr>
        <w:t>4</w:t>
      </w:r>
      <w:r w:rsidRPr="00A15C92">
        <w:rPr>
          <w:rFonts w:eastAsia="Times New Roman"/>
          <w:bCs/>
          <w:szCs w:val="24"/>
          <w:lang w:eastAsia="ja-JP"/>
        </w:rPr>
        <w:t>. attēlu). To</w:t>
      </w:r>
      <w:r w:rsidRPr="001C0B46">
        <w:rPr>
          <w:rFonts w:eastAsia="Times New Roman"/>
          <w:bCs/>
          <w:szCs w:val="24"/>
          <w:lang w:eastAsia="ja-JP"/>
        </w:rPr>
        <w:t xml:space="preserve"> pierāda </w:t>
      </w:r>
      <w:r w:rsidRPr="00A15C92">
        <w:rPr>
          <w:rFonts w:eastAsia="Times New Roman"/>
          <w:bCs/>
          <w:szCs w:val="24"/>
          <w:lang w:eastAsia="ja-JP"/>
        </w:rPr>
        <w:t xml:space="preserve">arī </w:t>
      </w:r>
      <w:r w:rsidR="00A87D4F">
        <w:rPr>
          <w:rFonts w:eastAsia="Times New Roman"/>
          <w:bCs/>
          <w:szCs w:val="24"/>
          <w:lang w:eastAsia="ja-JP"/>
        </w:rPr>
        <w:t>3</w:t>
      </w:r>
      <w:r w:rsidRPr="00A15C92">
        <w:rPr>
          <w:rFonts w:eastAsia="Times New Roman"/>
          <w:bCs/>
          <w:szCs w:val="24"/>
          <w:lang w:eastAsia="ja-JP"/>
        </w:rPr>
        <w:t>. attēlā norād</w:t>
      </w:r>
      <w:r w:rsidRPr="001C0B46">
        <w:rPr>
          <w:rFonts w:eastAsia="Times New Roman"/>
          <w:bCs/>
          <w:szCs w:val="24"/>
          <w:lang w:eastAsia="ja-JP"/>
        </w:rPr>
        <w:t xml:space="preserve">ītie siltumenerģijas tarifi, līdz ar to, visticamāk turpmāko gadu laikā būs vērojama siltumenerģijas izmaksu </w:t>
      </w:r>
      <w:r>
        <w:rPr>
          <w:rFonts w:eastAsia="Times New Roman"/>
          <w:bCs/>
          <w:szCs w:val="24"/>
          <w:lang w:eastAsia="ja-JP"/>
        </w:rPr>
        <w:t xml:space="preserve">mērena </w:t>
      </w:r>
      <w:r w:rsidRPr="001C0B46">
        <w:rPr>
          <w:rFonts w:eastAsia="Times New Roman"/>
          <w:bCs/>
          <w:szCs w:val="24"/>
          <w:lang w:eastAsia="ja-JP"/>
        </w:rPr>
        <w:t>palielināšanās. Šāda situācija var pozitīvi ietekmēt daudzdzīvokļu ēku iedzīvotāju pozitīva lēmumu pieņemšanu par dalību energoefektivitātes paaugstināšanas projektā, kā arī daudzdzīvokļu ēku, kam programmas ietvaros energoefektivitātes pasākumi jau ir veikti, investīciju atmaksāšanās laiku.</w:t>
      </w:r>
    </w:p>
    <w:p w14:paraId="7E9B3667" w14:textId="77777777" w:rsidR="00976F6F" w:rsidRDefault="00976F6F" w:rsidP="00976F6F">
      <w:pPr>
        <w:keepNext/>
        <w:keepLines/>
        <w:ind w:firstLine="0"/>
        <w:rPr>
          <w:szCs w:val="24"/>
        </w:rPr>
      </w:pPr>
    </w:p>
    <w:p w14:paraId="4CF67275" w14:textId="78215069" w:rsidR="00976F6F" w:rsidRPr="00976F6F" w:rsidRDefault="00976F6F" w:rsidP="00976F6F">
      <w:pPr>
        <w:keepNext/>
        <w:keepLines/>
        <w:ind w:firstLine="0"/>
        <w:rPr>
          <w:szCs w:val="24"/>
        </w:rPr>
      </w:pPr>
      <w:r w:rsidRPr="00976F6F">
        <w:rPr>
          <w:szCs w:val="24"/>
        </w:rPr>
        <w:t>Attēls Nr.</w:t>
      </w:r>
      <w:r w:rsidR="007219D9">
        <w:rPr>
          <w:szCs w:val="24"/>
        </w:rPr>
        <w:t>4</w:t>
      </w:r>
      <w:r w:rsidR="0023440A">
        <w:rPr>
          <w:szCs w:val="24"/>
        </w:rPr>
        <w:t>.</w:t>
      </w:r>
      <w:r w:rsidRPr="00976F6F">
        <w:rPr>
          <w:szCs w:val="24"/>
        </w:rPr>
        <w:t xml:space="preserve"> Energoresursu vidējās cenas gala patērētājiem laika posmā no 2012.gada līdz 2018.gadam, </w:t>
      </w:r>
      <w:r w:rsidRPr="00976F6F">
        <w:rPr>
          <w:i/>
          <w:szCs w:val="24"/>
        </w:rPr>
        <w:t>euro</w:t>
      </w:r>
      <w:r w:rsidRPr="00976F6F">
        <w:rPr>
          <w:szCs w:val="24"/>
        </w:rPr>
        <w:t>/MWh bez PVN.</w:t>
      </w:r>
      <w:r w:rsidRPr="00976F6F">
        <w:rPr>
          <w:rStyle w:val="FootnoteReference"/>
          <w:i/>
          <w:iCs/>
          <w:szCs w:val="24"/>
        </w:rPr>
        <w:footnoteReference w:id="27"/>
      </w:r>
    </w:p>
    <w:p w14:paraId="3D3F32E4" w14:textId="77777777" w:rsidR="003C3E41" w:rsidRDefault="003C3E41" w:rsidP="003C3E41">
      <w:pPr>
        <w:pStyle w:val="ListParagraph"/>
        <w:ind w:left="0" w:firstLine="0"/>
      </w:pPr>
      <w:r>
        <w:rPr>
          <w:noProof/>
          <w:lang w:eastAsia="lv-LV"/>
        </w:rPr>
        <w:drawing>
          <wp:inline distT="0" distB="0" distL="0" distR="0" wp14:anchorId="06A7D184" wp14:editId="15C01E47">
            <wp:extent cx="5274310" cy="2212975"/>
            <wp:effectExtent l="0" t="0" r="2540" b="0"/>
            <wp:docPr id="7" name="Chart 2">
              <a:extLst xmlns:a="http://schemas.openxmlformats.org/drawingml/2006/main">
                <a:ext uri="{FF2B5EF4-FFF2-40B4-BE49-F238E27FC236}">
                  <a16:creationId xmlns:a16="http://schemas.microsoft.com/office/drawing/2014/main" id="{4AF819E4-CB40-4FD3-8273-C34968B1A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93D94F" w14:textId="5BBD11DB" w:rsidR="003C3E41" w:rsidRPr="001C0B46" w:rsidRDefault="003C3E41" w:rsidP="00F45B41">
      <w:pPr>
        <w:rPr>
          <w:rFonts w:eastAsia="Times New Roman"/>
          <w:bCs/>
          <w:szCs w:val="24"/>
          <w:lang w:eastAsia="ja-JP"/>
        </w:rPr>
      </w:pPr>
      <w:bookmarkStart w:id="40" w:name="_Hlk16245051"/>
      <w:r w:rsidRPr="001C0B46">
        <w:rPr>
          <w:rFonts w:eastAsia="Times New Roman"/>
          <w:bCs/>
          <w:szCs w:val="24"/>
          <w:lang w:eastAsia="ja-JP"/>
        </w:rPr>
        <w:lastRenderedPageBreak/>
        <w:t xml:space="preserve">Analizējot līdz 2019. gada jūlijam </w:t>
      </w:r>
      <w:r w:rsidR="00A41DD3">
        <w:rPr>
          <w:rFonts w:eastAsia="Times New Roman"/>
          <w:bCs/>
          <w:szCs w:val="24"/>
          <w:lang w:eastAsia="ja-JP"/>
        </w:rPr>
        <w:t>ALTUM</w:t>
      </w:r>
      <w:r w:rsidRPr="001C0B46">
        <w:rPr>
          <w:rFonts w:eastAsia="Times New Roman"/>
          <w:bCs/>
          <w:szCs w:val="24"/>
          <w:lang w:eastAsia="ja-JP"/>
        </w:rPr>
        <w:t xml:space="preserve"> iesniegto projektu izmaksas, tiek secināts, ka vidējās izmaksas 2019.gada jūlijā sasniedz 190 </w:t>
      </w:r>
      <w:r w:rsidRPr="001C0B46">
        <w:rPr>
          <w:rFonts w:eastAsia="Times New Roman"/>
          <w:bCs/>
          <w:i/>
          <w:szCs w:val="24"/>
          <w:lang w:eastAsia="ja-JP"/>
        </w:rPr>
        <w:t>euro</w:t>
      </w:r>
      <w:r w:rsidRPr="001C0B46">
        <w:rPr>
          <w:rFonts w:eastAsia="Times New Roman"/>
          <w:bCs/>
          <w:szCs w:val="24"/>
          <w:lang w:eastAsia="ja-JP"/>
        </w:rPr>
        <w:t>/m</w:t>
      </w:r>
      <w:r w:rsidRPr="001C0B46">
        <w:rPr>
          <w:rFonts w:eastAsia="Times New Roman"/>
          <w:bCs/>
          <w:szCs w:val="24"/>
          <w:vertAlign w:val="superscript"/>
          <w:lang w:eastAsia="ja-JP"/>
        </w:rPr>
        <w:t>2</w:t>
      </w:r>
      <w:r w:rsidRPr="001C0B46">
        <w:rPr>
          <w:rFonts w:eastAsia="Times New Roman"/>
          <w:bCs/>
          <w:szCs w:val="24"/>
          <w:lang w:eastAsia="ja-JP"/>
        </w:rPr>
        <w:t xml:space="preserve"> (t.sk. PVN), kas ir vērā ņemams sadārdzinājums pēdējo gadu laikā.</w:t>
      </w:r>
      <w:bookmarkEnd w:id="40"/>
      <w:r w:rsidRPr="001C0B46">
        <w:rPr>
          <w:rFonts w:eastAsia="Times New Roman"/>
          <w:bCs/>
          <w:szCs w:val="24"/>
          <w:lang w:eastAsia="ja-JP"/>
        </w:rPr>
        <w:t xml:space="preserve"> Ņemot vērā pieprasījuma palielināšanos publiskajā sektorā, kā arī būvniecības uzņēmumu ierobežoto kapacitāti, prognozējams, ka turpmākajos gados būvniecības izmaksas turpinās palielināties.</w:t>
      </w:r>
    </w:p>
    <w:p w14:paraId="5C049DD0" w14:textId="586E755E" w:rsidR="003C3E41" w:rsidRPr="001C0B46" w:rsidRDefault="003C3E41" w:rsidP="00F45B41">
      <w:pPr>
        <w:rPr>
          <w:szCs w:val="24"/>
        </w:rPr>
      </w:pPr>
      <w:r w:rsidRPr="001C0B46">
        <w:rPr>
          <w:szCs w:val="24"/>
        </w:rPr>
        <w:t xml:space="preserve">Pieaugot </w:t>
      </w:r>
      <w:r w:rsidRPr="001C0B46">
        <w:rPr>
          <w:rFonts w:cs="Times New Roman"/>
          <w:szCs w:val="24"/>
          <w:shd w:val="clear" w:color="auto" w:fill="FFFFFF"/>
        </w:rPr>
        <w:t>energoefektivitātes</w:t>
      </w:r>
      <w:r w:rsidRPr="001C0B46">
        <w:rPr>
          <w:szCs w:val="24"/>
        </w:rPr>
        <w:t xml:space="preserve"> pasākumu būvniecības izmaksām uz vienu m</w:t>
      </w:r>
      <w:r w:rsidRPr="001C0B46">
        <w:rPr>
          <w:szCs w:val="24"/>
          <w:vertAlign w:val="superscript"/>
        </w:rPr>
        <w:t>2</w:t>
      </w:r>
      <w:r w:rsidRPr="001C0B46">
        <w:rPr>
          <w:szCs w:val="24"/>
        </w:rPr>
        <w:t xml:space="preserve">, palielinās arī kopējās projekta izmaksas. </w:t>
      </w:r>
      <w:r w:rsidR="00C749F2">
        <w:rPr>
          <w:szCs w:val="24"/>
        </w:rPr>
        <w:t>V</w:t>
      </w:r>
      <w:r w:rsidRPr="001C0B46">
        <w:rPr>
          <w:szCs w:val="24"/>
        </w:rPr>
        <w:t xml:space="preserve">idējais kopējo investīciju apmērs energoefektivitātes paaugstināšanai daudzdzīvokļu ēkai bija 200 000 </w:t>
      </w:r>
      <w:r w:rsidRPr="001C0B46">
        <w:rPr>
          <w:i/>
          <w:szCs w:val="24"/>
        </w:rPr>
        <w:t>euro</w:t>
      </w:r>
      <w:r w:rsidRPr="001C0B46">
        <w:rPr>
          <w:szCs w:val="24"/>
        </w:rPr>
        <w:t>.</w:t>
      </w:r>
      <w:r>
        <w:rPr>
          <w:rStyle w:val="FootnoteReference"/>
          <w:szCs w:val="24"/>
        </w:rPr>
        <w:footnoteReference w:id="28"/>
      </w:r>
      <w:r w:rsidRPr="001C0B46">
        <w:rPr>
          <w:szCs w:val="24"/>
        </w:rPr>
        <w:t xml:space="preserve"> Apkopojot aktuālo informāciju par daudzdzīvokļu ēkām, kas uzsākušas būvdarbus līdz 2019. gada jūlijam 4.2.1.1 pasākuma ietvaros, </w:t>
      </w:r>
      <w:bookmarkStart w:id="41" w:name="_Hlk16245542"/>
      <w:r w:rsidRPr="001C0B46">
        <w:rPr>
          <w:szCs w:val="24"/>
        </w:rPr>
        <w:t xml:space="preserve">tika secināts, ka vidējās izmaksas energoefektivitātes pasākumu veikšanai daudzdzīvokļu ēkai ir 434 000 </w:t>
      </w:r>
      <w:r w:rsidRPr="001C0B46">
        <w:rPr>
          <w:i/>
          <w:szCs w:val="24"/>
        </w:rPr>
        <w:t>euro</w:t>
      </w:r>
    </w:p>
    <w:p w14:paraId="5556FD55" w14:textId="77777777" w:rsidR="004E25D6" w:rsidRDefault="004E25D6" w:rsidP="00031EFF">
      <w:pPr>
        <w:pStyle w:val="Heading2"/>
      </w:pPr>
      <w:bookmarkStart w:id="42" w:name="_Toc506975448"/>
      <w:bookmarkStart w:id="43" w:name="_Toc508634687"/>
      <w:bookmarkEnd w:id="41"/>
    </w:p>
    <w:p w14:paraId="382726FB" w14:textId="75277C94" w:rsidR="003C3E41" w:rsidRPr="005B7721" w:rsidRDefault="003C3E41" w:rsidP="00736D92">
      <w:pPr>
        <w:pStyle w:val="NoSpacing"/>
        <w:ind w:firstLine="0"/>
        <w:rPr>
          <w:u w:val="single"/>
        </w:rPr>
      </w:pPr>
      <w:r w:rsidRPr="005B7721">
        <w:rPr>
          <w:u w:val="single"/>
        </w:rPr>
        <w:t>Tirgus finansējuma pieejamība</w:t>
      </w:r>
      <w:bookmarkEnd w:id="42"/>
      <w:bookmarkEnd w:id="43"/>
    </w:p>
    <w:p w14:paraId="3C774B65" w14:textId="77777777" w:rsidR="004E25D6" w:rsidRPr="004E25D6" w:rsidRDefault="004E25D6" w:rsidP="004E25D6"/>
    <w:p w14:paraId="510F2CAC" w14:textId="77777777" w:rsidR="003C3E41" w:rsidRPr="001C0B46" w:rsidRDefault="003C3E41" w:rsidP="00F45B41">
      <w:r w:rsidRPr="001C0B46">
        <w:t xml:space="preserve">4.2.1.1. </w:t>
      </w:r>
      <w:r w:rsidRPr="001C0B46">
        <w:rPr>
          <w:rFonts w:cs="Times New Roman"/>
          <w:szCs w:val="24"/>
          <w:shd w:val="clear" w:color="auto" w:fill="FFFFFF"/>
        </w:rPr>
        <w:t>pasākuma</w:t>
      </w:r>
      <w:r w:rsidRPr="001C0B46">
        <w:t xml:space="preserve"> ietvaros aktīvākie aizdevumu izsniedzēji ir AS "Swedbank", AS "SEB Banka", AS "Luminor Bank" (agrākais nosaukums AS "DNB Bank" un AS "Nordea AB") un AS "Citadele banka".</w:t>
      </w:r>
    </w:p>
    <w:p w14:paraId="17D43EF4" w14:textId="68592CCE" w:rsidR="004C1AB7" w:rsidRDefault="003C3E41" w:rsidP="004E41EA">
      <w:r w:rsidRPr="001C0B46">
        <w:t>Līdz 2019.</w:t>
      </w:r>
      <w:r w:rsidR="0063189A">
        <w:t> </w:t>
      </w:r>
      <w:r w:rsidRPr="001C0B46">
        <w:t>gada jūlijam kopumā ir piešķirti 263 aizdevumi ar procentu likmēm no 1,36 % līdz 4,6 %</w:t>
      </w:r>
      <w:r w:rsidR="00C749F2">
        <w:t>.</w:t>
      </w:r>
    </w:p>
    <w:p w14:paraId="649728E3" w14:textId="5EFA2F0D" w:rsidR="003C3E41" w:rsidRPr="001C0B46" w:rsidRDefault="003C3E41" w:rsidP="00F45B41">
      <w:pPr>
        <w:rPr>
          <w:szCs w:val="24"/>
        </w:rPr>
      </w:pPr>
      <w:r w:rsidRPr="001C0B46">
        <w:t>Daudzdzīvokļu ēku atjaunošanas aizdevuma nodrošinājums ir nākotnes naudas plūsma un dzīvokļu īpašnieku savlaicīgi apsaimniekošanas maksājumi. Līdz ar to daudzdzīvokļu ēkām ir jābūt pēc iespējas mazākam debitoru parādnieku īpatsvaram (līdz 10% pēdējo 12 mēnešu laikā). Komercbanku pārstāvji uzskata, ka viens no kavējošiem faktoriem ir komunālo maksājumu disciplīnas neievērošana</w:t>
      </w:r>
      <w:r w:rsidR="00C749F2">
        <w:t>.</w:t>
      </w:r>
      <w:r w:rsidRPr="001C0B46">
        <w:t xml:space="preserve"> </w:t>
      </w:r>
    </w:p>
    <w:p w14:paraId="78BA84C4" w14:textId="301E2CAC" w:rsidR="003C3E41" w:rsidRPr="00672BA3" w:rsidRDefault="003C3E41" w:rsidP="00672BA3">
      <w:r w:rsidRPr="001C0B46">
        <w:rPr>
          <w:szCs w:val="24"/>
        </w:rPr>
        <w:t>Kredītiestādes</w:t>
      </w:r>
      <w:r w:rsidRPr="001C0B46">
        <w:t xml:space="preserve"> </w:t>
      </w:r>
      <w:r w:rsidRPr="001C0B46">
        <w:rPr>
          <w:rFonts w:cs="Times New Roman"/>
          <w:szCs w:val="24"/>
          <w:shd w:val="clear" w:color="auto" w:fill="FFFFFF"/>
        </w:rPr>
        <w:t>neizsniedz</w:t>
      </w:r>
      <w:r w:rsidRPr="001C0B46">
        <w:t xml:space="preserve"> aizdevumus administratīvajās teritorijās, kur nekustamā īpašuma (dzīvokļa) tirgus vērtība uz 1 m</w:t>
      </w:r>
      <w:r w:rsidRPr="001C0B46">
        <w:rPr>
          <w:vertAlign w:val="superscript"/>
        </w:rPr>
        <w:t>2</w:t>
      </w:r>
      <w:r w:rsidRPr="001C0B46">
        <w:t xml:space="preserve"> ir zemāka par būvdarbu izmaksām uz 1 m</w:t>
      </w:r>
      <w:r w:rsidRPr="001C0B46">
        <w:rPr>
          <w:vertAlign w:val="superscript"/>
        </w:rPr>
        <w:t>2</w:t>
      </w:r>
      <w:r w:rsidRPr="001C0B46">
        <w:t>. Tāpat arī kredītiestādes atsaka aizdevumus projektiem, pašu finansējuma nepietiekošo apjomu vai pārāk lielu daudzdzīvokļu ēkas atrašanās vietas attālumu no reģiona biznesa centra.</w:t>
      </w:r>
      <w:r w:rsidR="00C749F2">
        <w:t xml:space="preserve"> </w:t>
      </w:r>
    </w:p>
    <w:p w14:paraId="26844446" w14:textId="77777777" w:rsidR="003C3E41" w:rsidRPr="00F45B41" w:rsidRDefault="003C3E41" w:rsidP="00F45B41">
      <w:pPr>
        <w:contextualSpacing/>
        <w:rPr>
          <w:rFonts w:eastAsia="Calibri" w:cs="Times New Roman"/>
          <w:szCs w:val="24"/>
        </w:rPr>
      </w:pPr>
    </w:p>
    <w:p w14:paraId="3B3BE8A7" w14:textId="77777777" w:rsidR="003C3E41" w:rsidRPr="004D1174" w:rsidRDefault="003C3E41" w:rsidP="004C1AB7">
      <w:pPr>
        <w:pStyle w:val="apakapakvirsraksts"/>
        <w:numPr>
          <w:ilvl w:val="0"/>
          <w:numId w:val="0"/>
        </w:numPr>
        <w:spacing w:after="0" w:line="240" w:lineRule="auto"/>
        <w:ind w:left="284" w:hanging="284"/>
        <w:jc w:val="both"/>
        <w:rPr>
          <w:bCs/>
        </w:rPr>
      </w:pPr>
      <w:bookmarkStart w:id="44" w:name="_Toc480527992"/>
      <w:bookmarkStart w:id="45" w:name="_Toc491870938"/>
      <w:r w:rsidRPr="004D1174">
        <w:rPr>
          <w:bCs/>
        </w:rPr>
        <w:t>ES fondu aktivitāšu šķēršļi</w:t>
      </w:r>
      <w:bookmarkEnd w:id="44"/>
      <w:bookmarkEnd w:id="45"/>
    </w:p>
    <w:p w14:paraId="0459237E" w14:textId="77777777" w:rsidR="003C3E41" w:rsidRPr="00F45B41" w:rsidRDefault="003C3E41" w:rsidP="00F45B41">
      <w:pPr>
        <w:widowControl w:val="0"/>
        <w:shd w:val="clear" w:color="auto" w:fill="FFFFFF"/>
        <w:suppressAutoHyphens/>
        <w:autoSpaceDN w:val="0"/>
        <w:textAlignment w:val="baseline"/>
        <w:rPr>
          <w:rFonts w:eastAsia="Calibri" w:cs="Times New Roman"/>
          <w:i/>
          <w:szCs w:val="24"/>
        </w:rPr>
      </w:pPr>
    </w:p>
    <w:p w14:paraId="31BD988E" w14:textId="4631BB5F" w:rsidR="003C3E41" w:rsidRPr="002C4637" w:rsidRDefault="00C749F2" w:rsidP="002C4637">
      <w:pPr>
        <w:rPr>
          <w:rFonts w:eastAsia="Calibri" w:cs="Times New Roman"/>
          <w:szCs w:val="24"/>
        </w:rPr>
      </w:pPr>
      <w:r>
        <w:rPr>
          <w:rFonts w:eastAsia="Calibri" w:cs="Times New Roman"/>
          <w:szCs w:val="24"/>
        </w:rPr>
        <w:t>Lai v</w:t>
      </w:r>
      <w:r w:rsidR="003C3E41" w:rsidRPr="004C1AB7">
        <w:rPr>
          <w:rFonts w:eastAsia="Calibri" w:cs="Times New Roman"/>
          <w:szCs w:val="24"/>
        </w:rPr>
        <w:t>eicināt</w:t>
      </w:r>
      <w:r>
        <w:rPr>
          <w:rFonts w:eastAsia="Calibri" w:cs="Times New Roman"/>
          <w:szCs w:val="24"/>
        </w:rPr>
        <w:t>u</w:t>
      </w:r>
      <w:r w:rsidR="003C3E41" w:rsidRPr="004C1AB7">
        <w:rPr>
          <w:rFonts w:eastAsia="Calibri" w:cs="Times New Roman"/>
          <w:szCs w:val="24"/>
        </w:rPr>
        <w:t xml:space="preserve"> efektīvu energoresursu izmantošanu, enerģijas patēriņa samazināšanu un pāreju uz AER apstrādes rūpniecības nozar</w:t>
      </w:r>
      <w:r>
        <w:rPr>
          <w:rFonts w:eastAsia="Calibri" w:cs="Times New Roman"/>
          <w:szCs w:val="24"/>
        </w:rPr>
        <w:t>ē, galvenie šķēršļi ir:</w:t>
      </w:r>
    </w:p>
    <w:p w14:paraId="5192512F" w14:textId="77777777" w:rsidR="003C3E41" w:rsidRPr="00F45B41" w:rsidRDefault="003C3E41" w:rsidP="00A517AC">
      <w:pPr>
        <w:numPr>
          <w:ilvl w:val="0"/>
          <w:numId w:val="19"/>
        </w:numPr>
        <w:ind w:left="0" w:firstLine="567"/>
        <w:rPr>
          <w:rFonts w:eastAsia="Calibri" w:cs="Times New Roman"/>
          <w:szCs w:val="24"/>
        </w:rPr>
      </w:pPr>
      <w:r w:rsidRPr="00F45B41">
        <w:rPr>
          <w:rFonts w:eastAsia="Calibri" w:cs="Times New Roman"/>
          <w:szCs w:val="24"/>
        </w:rPr>
        <w:t>Apstrādes rūpniecības komersantu mazā pieredze un ierobežotās zināšanas par energoefektivitātes paaugstināšanas pasākumu īstenošanu.</w:t>
      </w:r>
    </w:p>
    <w:p w14:paraId="3757F438" w14:textId="2935E236" w:rsidR="003C3E41" w:rsidRPr="000C3493" w:rsidRDefault="003C3E41" w:rsidP="000C3493">
      <w:pPr>
        <w:numPr>
          <w:ilvl w:val="0"/>
          <w:numId w:val="19"/>
        </w:numPr>
        <w:ind w:left="0" w:firstLine="567"/>
        <w:rPr>
          <w:rFonts w:eastAsia="Calibri" w:cs="Times New Roman"/>
          <w:szCs w:val="24"/>
        </w:rPr>
      </w:pPr>
      <w:r w:rsidRPr="00F45B41">
        <w:rPr>
          <w:rFonts w:eastAsia="Calibri" w:cs="Times New Roman"/>
          <w:szCs w:val="24"/>
        </w:rPr>
        <w:t>Komersanti prioritāri vēlas mainīt iekārtas, ne veikt mērķtiecīgus energoefektivitātes pasākumus ražošanas ēkās.</w:t>
      </w:r>
    </w:p>
    <w:p w14:paraId="54FED312" w14:textId="77777777" w:rsidR="004D1174" w:rsidRDefault="004D1174" w:rsidP="004C1AB7">
      <w:pPr>
        <w:rPr>
          <w:rFonts w:eastAsia="Calibri" w:cs="Times New Roman"/>
          <w:szCs w:val="24"/>
        </w:rPr>
      </w:pPr>
    </w:p>
    <w:p w14:paraId="33B54693" w14:textId="180FB642" w:rsidR="003C3E41" w:rsidRPr="004D1174" w:rsidRDefault="003C3E41" w:rsidP="00034674">
      <w:pPr>
        <w:ind w:firstLine="0"/>
        <w:rPr>
          <w:rFonts w:eastAsia="Calibri" w:cs="Times New Roman"/>
          <w:iCs/>
          <w:color w:val="000000"/>
          <w:szCs w:val="24"/>
          <w:u w:val="single"/>
        </w:rPr>
      </w:pPr>
      <w:r w:rsidRPr="004D1174">
        <w:rPr>
          <w:rFonts w:eastAsia="Calibri" w:cs="Times New Roman"/>
          <w:iCs/>
          <w:color w:val="000000"/>
          <w:szCs w:val="24"/>
          <w:u w:val="single"/>
        </w:rPr>
        <w:t>Šķēršļi ESKO attīstībai:</w:t>
      </w:r>
    </w:p>
    <w:p w14:paraId="4BC47855" w14:textId="77777777" w:rsidR="004D1174" w:rsidRPr="00F45B41" w:rsidRDefault="004D1174" w:rsidP="004C1AB7">
      <w:pPr>
        <w:rPr>
          <w:rFonts w:eastAsia="Calibri" w:cs="Times New Roman"/>
          <w:i/>
          <w:color w:val="000000"/>
          <w:szCs w:val="24"/>
        </w:rPr>
      </w:pPr>
    </w:p>
    <w:p w14:paraId="4C6154B6" w14:textId="77777777" w:rsidR="003C3E41" w:rsidRPr="00F45B41" w:rsidRDefault="003C3E41" w:rsidP="004C1AB7">
      <w:pPr>
        <w:rPr>
          <w:rFonts w:eastAsia="Calibri" w:cs="Times New Roman"/>
          <w:color w:val="000000"/>
          <w:szCs w:val="24"/>
        </w:rPr>
      </w:pPr>
      <w:r w:rsidRPr="00F45B41">
        <w:rPr>
          <w:rFonts w:eastAsia="Calibri" w:cs="Times New Roman"/>
          <w:color w:val="000000"/>
          <w:szCs w:val="24"/>
        </w:rPr>
        <w:t xml:space="preserve">Pie ieguldījumu šķēršļiem jāmin arī šķēršļi, kas kavē veiksmīgu energopakalpojumu līgumu ieviešanu: </w:t>
      </w:r>
    </w:p>
    <w:p w14:paraId="02D9169E" w14:textId="60C5329E" w:rsidR="003C3E41" w:rsidRPr="00F45B41" w:rsidRDefault="003C3E41" w:rsidP="00A517AC">
      <w:pPr>
        <w:numPr>
          <w:ilvl w:val="0"/>
          <w:numId w:val="16"/>
        </w:numPr>
        <w:ind w:left="0" w:firstLine="567"/>
        <w:contextualSpacing/>
        <w:rPr>
          <w:rFonts w:eastAsia="Calibri" w:cs="Times New Roman"/>
          <w:color w:val="000000"/>
          <w:szCs w:val="24"/>
        </w:rPr>
      </w:pPr>
      <w:r w:rsidRPr="00F45B41">
        <w:rPr>
          <w:rFonts w:eastAsia="Calibri" w:cs="Times New Roman"/>
          <w:color w:val="000000"/>
          <w:szCs w:val="24"/>
        </w:rPr>
        <w:t xml:space="preserve">Lai arī energopakalpojuma sniedzējs teorētiski uzņemas energoefektivitātes paaugstināšanas un siltumenerģijas piegādes risku, šī riska sadale daļēji notiek starp energopakalpojuma sniedzēju un mājas apsaimniekotāju. Saskaņā ar Latvijā līdz šim izmantoto EPL energopakalpojuma maksājumus iekasē mājas apsaimniekotājs un tādējādi uzņemas debitoru parādu risku. Turklāt apkures, karstā </w:t>
      </w:r>
      <w:r w:rsidRPr="00F45B41">
        <w:rPr>
          <w:rFonts w:eastAsia="Calibri" w:cs="Times New Roman"/>
          <w:color w:val="000000"/>
          <w:szCs w:val="24"/>
        </w:rPr>
        <w:lastRenderedPageBreak/>
        <w:t xml:space="preserve">ūdens un ventilācijas sistēmu uzturēšana ir daļa no namu apsaimniekošanas funkcijām, kas praksē rada konfliktus starp energopakalpojuma sniedzēju, mājas apsaimniekotāju un iedzīvotājiem (iedzīvotāji daudzu gadu laikā ir pieraduši saņemt pakalpojumus no mājas apsaimniekotāja, tāpēc ESKO kompetencē esošos siltumapgādes jautājumus turpina risināt ar namu apsaimniekotāju palīdzību). </w:t>
      </w:r>
    </w:p>
    <w:p w14:paraId="5D455C53" w14:textId="77777777" w:rsidR="003C3E41" w:rsidRPr="00F45B41" w:rsidRDefault="003C3E41" w:rsidP="00A517AC">
      <w:pPr>
        <w:numPr>
          <w:ilvl w:val="0"/>
          <w:numId w:val="16"/>
        </w:numPr>
        <w:ind w:left="0" w:firstLine="567"/>
        <w:contextualSpacing/>
        <w:rPr>
          <w:rFonts w:eastAsia="Calibri" w:cs="Times New Roman"/>
          <w:color w:val="000000"/>
          <w:szCs w:val="24"/>
        </w:rPr>
      </w:pPr>
      <w:r w:rsidRPr="00F45B41">
        <w:rPr>
          <w:rFonts w:eastAsia="Calibri" w:cs="Times New Roman"/>
          <w:color w:val="000000"/>
          <w:szCs w:val="24"/>
        </w:rPr>
        <w:t xml:space="preserve">Energopakalpojumu sniedzēji ir ieinteresēti palielināt peļņu, atslēdzoties no centralizētās siltumapgādes sistēmas un izbūvējot lokālo siltumavotu. Tādejādi ikdienas nepieciešamo siltumenerģiju nodrošina lokālais siltumavots, bet aukstā laikā ēka pērk siltumenerģiju no centralizētās siltumapgādes sistēmas. Tas rada negatīvu ietekmi uz citiem centralizētās siltumapgādes patērētājiem, jo viņi subsidē siltumavotu jaudas pīķa slodzes izmaksas, kas pārsniedz apstiprinātā siltumapgādes tarifa izmaksas. </w:t>
      </w:r>
    </w:p>
    <w:p w14:paraId="48F3CD72" w14:textId="77777777" w:rsidR="003C3E41" w:rsidRPr="00F45B41" w:rsidRDefault="003C3E41" w:rsidP="00A517AC">
      <w:pPr>
        <w:numPr>
          <w:ilvl w:val="0"/>
          <w:numId w:val="16"/>
        </w:numPr>
        <w:ind w:left="0" w:firstLine="567"/>
        <w:contextualSpacing/>
        <w:rPr>
          <w:rFonts w:eastAsia="Calibri" w:cs="Times New Roman"/>
          <w:color w:val="000000"/>
          <w:szCs w:val="24"/>
        </w:rPr>
      </w:pPr>
      <w:r w:rsidRPr="00F45B41">
        <w:rPr>
          <w:rFonts w:eastAsia="Calibri" w:cs="Times New Roman"/>
          <w:color w:val="000000"/>
          <w:szCs w:val="24"/>
        </w:rPr>
        <w:t>ESKO nav nodrošinājumu aizdevumu saņemšanai (ieguldījumi tiek veikti ESKO nepiederošos īpašumos un attiecīgajam ieguldījuma atgūšanas iespējas ir apšaubāmas – nelikvīds tirgus, ierobežotas iespējas iekļūt ieguldījumu veikšanas vietā).</w:t>
      </w:r>
    </w:p>
    <w:p w14:paraId="4C1D7178" w14:textId="4F77B586" w:rsidR="003C3E41" w:rsidRPr="00F45B41" w:rsidRDefault="003C3E41" w:rsidP="00A517AC">
      <w:pPr>
        <w:numPr>
          <w:ilvl w:val="0"/>
          <w:numId w:val="16"/>
        </w:numPr>
        <w:ind w:left="0" w:firstLine="567"/>
        <w:contextualSpacing/>
        <w:rPr>
          <w:rFonts w:eastAsia="Calibri" w:cs="Times New Roman"/>
          <w:color w:val="000000"/>
          <w:szCs w:val="24"/>
        </w:rPr>
      </w:pPr>
      <w:r w:rsidRPr="00F45B41">
        <w:rPr>
          <w:rFonts w:eastAsia="Calibri" w:cs="Times New Roman"/>
          <w:color w:val="000000"/>
          <w:szCs w:val="24"/>
        </w:rPr>
        <w:t>ESKO darbībai ir nepietiekami ilga vēsture, kā rezultātā bank</w:t>
      </w:r>
      <w:r w:rsidR="004E1043">
        <w:rPr>
          <w:rFonts w:eastAsia="Calibri" w:cs="Times New Roman"/>
          <w:color w:val="000000"/>
          <w:szCs w:val="24"/>
        </w:rPr>
        <w:t>ā</w:t>
      </w:r>
      <w:r w:rsidRPr="00F45B41">
        <w:rPr>
          <w:rFonts w:eastAsia="Calibri" w:cs="Times New Roman"/>
          <w:color w:val="000000"/>
          <w:szCs w:val="24"/>
        </w:rPr>
        <w:t>s nav radusies pietiekama pieredze attiecīgo projektu jomā.</w:t>
      </w:r>
    </w:p>
    <w:p w14:paraId="2096E761" w14:textId="77777777" w:rsidR="003C3E41" w:rsidRPr="00F45B41" w:rsidRDefault="003C3E41" w:rsidP="00A517AC">
      <w:pPr>
        <w:numPr>
          <w:ilvl w:val="0"/>
          <w:numId w:val="16"/>
        </w:numPr>
        <w:ind w:left="0" w:firstLine="567"/>
        <w:contextualSpacing/>
        <w:rPr>
          <w:rFonts w:eastAsia="Calibri" w:cs="Times New Roman"/>
          <w:color w:val="000000"/>
          <w:szCs w:val="24"/>
        </w:rPr>
      </w:pPr>
      <w:r w:rsidRPr="00F45B41">
        <w:rPr>
          <w:rFonts w:eastAsia="Calibri" w:cs="Times New Roman"/>
          <w:color w:val="000000"/>
          <w:szCs w:val="24"/>
        </w:rPr>
        <w:t>ESKO darbības modelis nav pazīstams potenciālo klientu vidū.</w:t>
      </w:r>
    </w:p>
    <w:p w14:paraId="149D0906" w14:textId="77777777" w:rsidR="004E25D6" w:rsidRDefault="004E25D6" w:rsidP="002C4637">
      <w:pPr>
        <w:pStyle w:val="apakapakvirsraksts"/>
        <w:numPr>
          <w:ilvl w:val="0"/>
          <w:numId w:val="0"/>
        </w:numPr>
        <w:spacing w:after="0" w:line="240" w:lineRule="auto"/>
        <w:jc w:val="both"/>
        <w:rPr>
          <w:b/>
          <w:bCs/>
        </w:rPr>
      </w:pPr>
      <w:bookmarkStart w:id="46" w:name="_Toc379286116"/>
      <w:bookmarkStart w:id="47" w:name="_Toc480527993"/>
      <w:bookmarkStart w:id="48" w:name="_Toc491870939"/>
    </w:p>
    <w:bookmarkEnd w:id="46"/>
    <w:bookmarkEnd w:id="47"/>
    <w:bookmarkEnd w:id="48"/>
    <w:p w14:paraId="12D6F72D" w14:textId="1336AE8C" w:rsidR="003C3E41" w:rsidRPr="00672BA3" w:rsidRDefault="004D1174" w:rsidP="00672BA3">
      <w:pPr>
        <w:ind w:firstLine="0"/>
        <w:rPr>
          <w:u w:val="single"/>
        </w:rPr>
      </w:pPr>
      <w:r w:rsidRPr="009844E4">
        <w:rPr>
          <w:u w:val="single"/>
        </w:rPr>
        <w:t>E</w:t>
      </w:r>
      <w:r w:rsidR="003C3E41" w:rsidRPr="009844E4">
        <w:rPr>
          <w:u w:val="single"/>
        </w:rPr>
        <w:t>nerģētiskās nabadzības mazināšana</w:t>
      </w:r>
    </w:p>
    <w:p w14:paraId="5BD52481" w14:textId="77777777" w:rsidR="003C3E41" w:rsidRPr="00F45B41" w:rsidRDefault="003C3E41" w:rsidP="00F45B41">
      <w:pPr>
        <w:rPr>
          <w:rFonts w:cs="Times New Roman"/>
          <w:b/>
          <w:bCs/>
          <w:szCs w:val="24"/>
        </w:rPr>
      </w:pPr>
    </w:p>
    <w:p w14:paraId="1AE65AAF" w14:textId="653F71B3" w:rsidR="003C3E41" w:rsidRPr="00F45B41" w:rsidRDefault="003C3E41" w:rsidP="00F45B41">
      <w:pPr>
        <w:rPr>
          <w:rFonts w:cs="Times New Roman"/>
          <w:szCs w:val="24"/>
        </w:rPr>
      </w:pPr>
      <w:r w:rsidRPr="00F45B41">
        <w:rPr>
          <w:rFonts w:cs="Times New Roman"/>
          <w:szCs w:val="24"/>
        </w:rPr>
        <w:t>Enerģētiskā nabadzība saistīt</w:t>
      </w:r>
      <w:r w:rsidR="00B87C6F">
        <w:rPr>
          <w:rFonts w:cs="Times New Roman"/>
          <w:szCs w:val="24"/>
        </w:rPr>
        <w:t>a</w:t>
      </w:r>
      <w:r w:rsidRPr="00F45B41">
        <w:rPr>
          <w:rFonts w:cs="Times New Roman"/>
          <w:szCs w:val="24"/>
        </w:rPr>
        <w:t xml:space="preserve"> ar virkni nelabvēlīgu ietekmju uz cilvēku veselību un labklājību, piemēram, ar elpceļu slimībām, kas saasinās zemas temperatūras dēļ</w:t>
      </w:r>
      <w:r w:rsidR="001967D4">
        <w:rPr>
          <w:rFonts w:cs="Times New Roman"/>
          <w:szCs w:val="24"/>
        </w:rPr>
        <w:t xml:space="preserve">. Tāpat tas </w:t>
      </w:r>
      <w:r w:rsidRPr="00F45B41">
        <w:rPr>
          <w:rFonts w:cs="Times New Roman"/>
          <w:szCs w:val="24"/>
        </w:rPr>
        <w:t xml:space="preserve">saistīts ar rēķiniem par gāzes, siltuma un elektroenerģiju, kurus iedzīvotāji nevar atļauties apmaksāt. Enerģētiskajai nabadzībai ir netieša ietekme uz vairākiem mājsaimniecību un iedzīvotāju labklājību raksturojošiem dzīves kvalitātes rādītājiem, ieskaitot veselību, vidi un produktivitāti. Tādējādi varētu teikt, ka enerģētiskā nabadzība ir – zemu ienākumu, lielu izdevumu par enerģiju un sliktu mājokļu energoefektivitātes apkopojums. </w:t>
      </w:r>
    </w:p>
    <w:p w14:paraId="12319BAE" w14:textId="77777777" w:rsidR="003C3E41" w:rsidRPr="00F45B41" w:rsidRDefault="003C3E41" w:rsidP="00F45B41">
      <w:pPr>
        <w:rPr>
          <w:rFonts w:cs="Times New Roman"/>
          <w:szCs w:val="24"/>
        </w:rPr>
      </w:pPr>
      <w:r w:rsidRPr="00F45B41">
        <w:rPr>
          <w:rFonts w:cs="Times New Roman"/>
          <w:szCs w:val="24"/>
        </w:rPr>
        <w:t xml:space="preserve">Ar ļoti sliktiem sadzīves apstākļiem saskaras 15,2 % iedzīvotāju, kas ievērojami pārsniedz ES vidējo rādītāju – 4,5%. Puse no tām personām, kuras dzīvo zem nabadzības riska sliekšņa, dzīvo sliktos sadzīves apstākļos (tekošs jumts, mitras sienas, gaismas trūkums, logu rāmju puve, tualetes, vannas vai dušas neesamība iekštelpās). </w:t>
      </w:r>
    </w:p>
    <w:p w14:paraId="142E2D38" w14:textId="77777777" w:rsidR="003C3E41" w:rsidRPr="00F45B41" w:rsidRDefault="003C3E41" w:rsidP="00F45B41">
      <w:pPr>
        <w:rPr>
          <w:rFonts w:cs="Times New Roman"/>
          <w:szCs w:val="24"/>
        </w:rPr>
      </w:pPr>
      <w:r w:rsidRPr="00F45B41">
        <w:rPr>
          <w:rFonts w:cs="Times New Roman"/>
          <w:szCs w:val="24"/>
        </w:rPr>
        <w:t xml:space="preserve">Gandrīz viena trešdaļa (32,9 %) mājsaimniecību ziņo, ka mājokļu izmaksas rada lielu slogu. Pēc Ekonomikas ministrijas aprēķiniem 80% mājsaimniecību nevar atļauties īrēt mūsdienu būvniecības un labiekārtotības standartiem atbilstošu mājokli, netērējot par to vairāk nekā 30% no mājsaimniecības ienākumiem. Sociālie mājokļi 2016. gadā veidoja tikai 0,4 % no mājokļu fonda salīdzinājumā ar vidējo rādītāju ES – 8 %. Patlaban mājokli gaida 7000 cilvēku. </w:t>
      </w:r>
      <w:r w:rsidRPr="00F45B41">
        <w:rPr>
          <w:rStyle w:val="FootnoteReference"/>
          <w:rFonts w:cs="Times New Roman"/>
          <w:szCs w:val="24"/>
        </w:rPr>
        <w:footnoteReference w:id="29"/>
      </w:r>
    </w:p>
    <w:p w14:paraId="67AF87B4" w14:textId="0EE41242" w:rsidR="003C3E41" w:rsidRPr="00F45B41" w:rsidRDefault="003C3E41" w:rsidP="004E1043">
      <w:pPr>
        <w:rPr>
          <w:rFonts w:cs="Times New Roman"/>
          <w:szCs w:val="24"/>
        </w:rPr>
      </w:pPr>
      <w:r w:rsidRPr="00F45B41">
        <w:rPr>
          <w:rFonts w:cs="Times New Roman"/>
          <w:szCs w:val="24"/>
        </w:rPr>
        <w:t xml:space="preserve">Ņemot vērā, ka enerģētiskās nabadzības mazināšanā daļa no energoefektivitātes veicināšanas pasākumiem mijiedarbojas ar sociālās politikas pasākumiem, kā vienu no Latvijas veiktajām aktivitātēm var minēt jau aplūkoto 2007.-2013. gada ES fondu plānošanas perioda darbības programmas „Infrastruktūra un pakalpojumi” ietvaros veikto 3.4.4.2. aktivitāti „Sociālo dzīvojamo māju siltumnoturības uzlabošanas pasākumi”. Aktivitātes mērķis bija palielināt pašvaldības sociālā dzīvojamā fonda </w:t>
      </w:r>
      <w:r w:rsidRPr="00F45B41">
        <w:rPr>
          <w:rFonts w:cs="Times New Roman"/>
          <w:szCs w:val="24"/>
        </w:rPr>
        <w:lastRenderedPageBreak/>
        <w:t xml:space="preserve">energoefektivitāti, vienlaikus ceļot tā kvalitāti un ilgtspēju un nodrošinot sociāli mazaizsargātas personu grupas ar adekvātu mājokli. </w:t>
      </w:r>
    </w:p>
    <w:p w14:paraId="53F5FD40" w14:textId="77777777" w:rsidR="003C3E41" w:rsidRPr="00F45B41" w:rsidRDefault="003C3E41" w:rsidP="00F45B41">
      <w:pPr>
        <w:rPr>
          <w:rFonts w:cs="Times New Roman"/>
          <w:b/>
          <w:bCs/>
          <w:szCs w:val="24"/>
        </w:rPr>
      </w:pPr>
    </w:p>
    <w:p w14:paraId="1F015991" w14:textId="77777777" w:rsidR="003C3E41" w:rsidRPr="004D1174" w:rsidRDefault="003C3E41" w:rsidP="001967D4">
      <w:pPr>
        <w:ind w:firstLine="0"/>
        <w:rPr>
          <w:rFonts w:cs="Times New Roman"/>
          <w:bCs/>
          <w:szCs w:val="24"/>
          <w:u w:val="single"/>
        </w:rPr>
      </w:pPr>
      <w:r w:rsidRPr="004D1174">
        <w:rPr>
          <w:rFonts w:cs="Times New Roman"/>
          <w:bCs/>
          <w:szCs w:val="24"/>
          <w:u w:val="single"/>
        </w:rPr>
        <w:t>Rīcība enerģētiskās nabadzības mazināšanai nākotnē</w:t>
      </w:r>
    </w:p>
    <w:p w14:paraId="11D5D6F0" w14:textId="77777777" w:rsidR="003C3E41" w:rsidRPr="00F45B41" w:rsidRDefault="003C3E41" w:rsidP="00F45B41">
      <w:pPr>
        <w:rPr>
          <w:rFonts w:cs="Times New Roman"/>
          <w:szCs w:val="24"/>
        </w:rPr>
      </w:pPr>
    </w:p>
    <w:p w14:paraId="53A35EB2" w14:textId="77777777" w:rsidR="003C3E41" w:rsidRPr="00F45B41" w:rsidRDefault="003C3E41" w:rsidP="00F45B41">
      <w:pPr>
        <w:rPr>
          <w:rFonts w:cs="Times New Roman"/>
          <w:szCs w:val="24"/>
        </w:rPr>
      </w:pPr>
      <w:r w:rsidRPr="00F45B41">
        <w:rPr>
          <w:rFonts w:cs="Times New Roman"/>
          <w:szCs w:val="24"/>
        </w:rPr>
        <w:t>Latvija nosaka, ka periodā līdz 2030.gadam ir nepieciešams nepārtraukti samazināt enerģētiskās nabadzības rādītāju un nodrošināt, ka tas ir mazāks nekā ES vidējais rādītājs. Līdz ar to 2030.gada enerģētiskās nabadzības mērķis Latvijai ir – nodrošināt, ka enerģētiskās nabadzības līmenis Latvijā ir mazāks nekā 7,5%.</w:t>
      </w:r>
    </w:p>
    <w:p w14:paraId="43A838E4" w14:textId="5941A643" w:rsidR="003C3E41" w:rsidRPr="00FA223A" w:rsidRDefault="00F52B5D" w:rsidP="003C1F51">
      <w:r>
        <w:t>Lai veicinātu</w:t>
      </w:r>
      <w:r w:rsidR="0063189A">
        <w:t xml:space="preserve"> NAP2027</w:t>
      </w:r>
      <w:r>
        <w:rPr>
          <w:rStyle w:val="FootnoteReference"/>
        </w:rPr>
        <w:footnoteReference w:id="30"/>
      </w:r>
      <w:r w:rsidRPr="00F52B5D">
        <w:t xml:space="preserve"> </w:t>
      </w:r>
      <w:r>
        <w:t>izvirzīto uzdevumu -</w:t>
      </w:r>
      <w:r w:rsidR="004F4933">
        <w:t xml:space="preserve"> </w:t>
      </w:r>
      <w:r>
        <w:t>s</w:t>
      </w:r>
      <w:r w:rsidRPr="00F52B5D">
        <w:t>ociālo mājokļu atjaunošana un skaita palielināšana, vienlaikus izveidojot instrumentu, kas sniedz mājokļu atbalstu maznodrošinātām personām dzīvesvietas maiņai, lai veicinātu iesaistīšanos darba tirgū</w:t>
      </w:r>
      <w:r>
        <w:t>, EM pieprasījusi piešķirt 200 milj. EUR, no kuriem 1</w:t>
      </w:r>
      <w:r w:rsidR="003C1F51">
        <w:t>40</w:t>
      </w:r>
      <w:r>
        <w:t xml:space="preserve"> milj. EUR ERAF finansējums. </w:t>
      </w:r>
      <w:r w:rsidRPr="00F52B5D">
        <w:t>Ar EM palīdzību varētu risināt mājokļu pieejamību 3500 mājsaimniecībām, kas ilgtermiņā novestu pie situācijas, ka rindas uz atbalsta saņemšanu nebūtu.</w:t>
      </w:r>
    </w:p>
    <w:p w14:paraId="5B970C96" w14:textId="163F689D" w:rsidR="003C1F51" w:rsidRDefault="003C1F51" w:rsidP="003C1F51">
      <w:pPr>
        <w:ind w:firstLine="0"/>
      </w:pPr>
      <w:r w:rsidRPr="003C1F51">
        <w:t>Veicamās darbības</w:t>
      </w:r>
      <w:r>
        <w:t xml:space="preserve"> mērķu sasniegšanai</w:t>
      </w:r>
      <w:r w:rsidRPr="003C1F51">
        <w:t>:</w:t>
      </w:r>
    </w:p>
    <w:p w14:paraId="4A353FE9" w14:textId="77E63CF8" w:rsidR="003C1F51" w:rsidRPr="003C1F51" w:rsidRDefault="003C1F51" w:rsidP="003C1F51">
      <w:pPr>
        <w:pStyle w:val="ListParagraph"/>
        <w:numPr>
          <w:ilvl w:val="0"/>
          <w:numId w:val="37"/>
        </w:numPr>
      </w:pPr>
      <w:r w:rsidRPr="003C1F51">
        <w:t>sociālo mājokļu atjaunošana vai jauna fonda izbūve, t.sk. aprīkošana</w:t>
      </w:r>
      <w:r>
        <w:t>;</w:t>
      </w:r>
    </w:p>
    <w:p w14:paraId="77E19CB1" w14:textId="4E5CCD6D" w:rsidR="003C1F51" w:rsidRPr="003C1F51" w:rsidRDefault="003C1F51" w:rsidP="003C1F51">
      <w:pPr>
        <w:pStyle w:val="ListParagraph"/>
        <w:numPr>
          <w:ilvl w:val="0"/>
          <w:numId w:val="37"/>
        </w:numPr>
      </w:pPr>
      <w:r w:rsidRPr="003C1F51">
        <w:t>personu pārcelšanās uz jaunu mājokli izdevumu kompensēšana no teritorijas ar ierobežotām darba iespējām un augstām infrastruktūras un pakalpojumu saņemšanas izmaksām uz teritoriju, kura nodrošina nodarbinātības iespējas</w:t>
      </w:r>
      <w:r>
        <w:t>.</w:t>
      </w:r>
    </w:p>
    <w:p w14:paraId="7CEBEFD4" w14:textId="77777777" w:rsidR="003C3E41" w:rsidRPr="00FA223A" w:rsidRDefault="003C3E41" w:rsidP="003C3E41"/>
    <w:p w14:paraId="38F5A43B" w14:textId="0A570647" w:rsidR="003C3E41" w:rsidRPr="004F7920" w:rsidRDefault="003C3E41">
      <w:pPr>
        <w:spacing w:after="160" w:line="259" w:lineRule="auto"/>
        <w:ind w:firstLine="0"/>
        <w:jc w:val="left"/>
        <w:rPr>
          <w:b/>
          <w:bCs/>
          <w:color w:val="FF0000"/>
          <w:sz w:val="28"/>
          <w:szCs w:val="28"/>
        </w:rPr>
      </w:pPr>
    </w:p>
    <w:p w14:paraId="19A2D815" w14:textId="70170ED2" w:rsidR="004D1174" w:rsidRPr="002E1F53" w:rsidRDefault="004D1174" w:rsidP="003C5621">
      <w:pPr>
        <w:pStyle w:val="Heading1"/>
        <w:rPr>
          <w:szCs w:val="24"/>
        </w:rPr>
      </w:pPr>
      <w:r>
        <w:rPr>
          <w:bCs/>
          <w:szCs w:val="28"/>
        </w:rPr>
        <w:br w:type="page"/>
      </w:r>
    </w:p>
    <w:p w14:paraId="438FE949" w14:textId="0E631846" w:rsidR="000C64CD" w:rsidRPr="00151A93" w:rsidRDefault="00151A93" w:rsidP="00031EFF">
      <w:pPr>
        <w:pStyle w:val="Heading2"/>
      </w:pPr>
      <w:bookmarkStart w:id="49" w:name="_Toc40113669"/>
      <w:r w:rsidRPr="00151A93">
        <w:lastRenderedPageBreak/>
        <w:t>2.</w:t>
      </w:r>
      <w:r w:rsidR="00663DAD">
        <w:t>4</w:t>
      </w:r>
      <w:r w:rsidRPr="00151A93">
        <w:t xml:space="preserve">. </w:t>
      </w:r>
      <w:r w:rsidR="00975D1C" w:rsidRPr="00151A93">
        <w:t>V</w:t>
      </w:r>
      <w:r w:rsidR="000C64CD" w:rsidRPr="00151A93">
        <w:rPr>
          <w:rFonts w:hint="eastAsia"/>
        </w:rPr>
        <w:t>alsts iniciatīv</w:t>
      </w:r>
      <w:r w:rsidR="004A17BE" w:rsidRPr="00151A93">
        <w:t>as</w:t>
      </w:r>
      <w:r w:rsidR="000C64CD" w:rsidRPr="00151A93">
        <w:rPr>
          <w:rFonts w:hint="eastAsia"/>
        </w:rPr>
        <w:t>, veic</w:t>
      </w:r>
      <w:r w:rsidR="00975D1C" w:rsidRPr="00151A93">
        <w:t>inot</w:t>
      </w:r>
      <w:r w:rsidR="000C64CD" w:rsidRPr="00151A93">
        <w:rPr>
          <w:rFonts w:hint="eastAsia"/>
        </w:rPr>
        <w:t xml:space="preserve"> viedas tehnoloģijas un labi savienotas ēkas un kopienas, kā arī prasmes un izglītību būvniecības un energoefektivitātes nozarēs</w:t>
      </w:r>
      <w:bookmarkEnd w:id="49"/>
      <w:r w:rsidR="008626A6" w:rsidRPr="00151A93">
        <w:t xml:space="preserve"> </w:t>
      </w:r>
    </w:p>
    <w:p w14:paraId="02F57BBA" w14:textId="6E3A84BB" w:rsidR="000C64CD" w:rsidRDefault="000C64CD" w:rsidP="004C1AB7">
      <w:r>
        <w:t>E</w:t>
      </w:r>
      <w:r w:rsidRPr="00300B38">
        <w:t>nerģijas efektīvs patēriņš</w:t>
      </w:r>
      <w:r>
        <w:t xml:space="preserve"> </w:t>
      </w:r>
      <w:r w:rsidRPr="00300B38">
        <w:t>nozīmē iespēju galalietotājiem mainīt ikdienas ieradumus – vairāk domāt par iespēju netērēt enerģiju lieki, piemēram, izvēloties energoefektīvākas elektroiekārtas, tāpat arī kontrolēt, kur enerģij</w:t>
      </w:r>
      <w:r>
        <w:t>a tiek</w:t>
      </w:r>
      <w:r w:rsidRPr="00300B38">
        <w:t xml:space="preserve"> patērē</w:t>
      </w:r>
      <w:r>
        <w:t>ta</w:t>
      </w:r>
      <w:r w:rsidRPr="00300B38">
        <w:t xml:space="preserve"> nevajadzīgi.</w:t>
      </w:r>
      <w:r>
        <w:t xml:space="preserve"> </w:t>
      </w:r>
      <w:r w:rsidRPr="00002895">
        <w:t>Attīstot uz digitālām tehnoloģijām balstītu viedo elektrotīklu, AS “Sadales tīkls” turpina patērētājiem uzstādīt viedos elektroenerģijas skaitītājus.</w:t>
      </w:r>
      <w:r w:rsidRPr="00B56CD8">
        <w:rPr>
          <w:rFonts w:ascii="Arial" w:hAnsi="Arial" w:cs="Arial"/>
          <w:color w:val="4D4D4D"/>
          <w:sz w:val="20"/>
          <w:szCs w:val="20"/>
          <w:shd w:val="clear" w:color="auto" w:fill="FFFFFF"/>
        </w:rPr>
        <w:t xml:space="preserve"> </w:t>
      </w:r>
      <w:r>
        <w:t>J</w:t>
      </w:r>
      <w:r w:rsidRPr="00B56CD8">
        <w:t>au kopš 2014.</w:t>
      </w:r>
      <w:r w:rsidR="004A17BE">
        <w:t xml:space="preserve"> </w:t>
      </w:r>
      <w:r w:rsidRPr="00B56CD8">
        <w:t>gada aizsā</w:t>
      </w:r>
      <w:r>
        <w:t>ktā</w:t>
      </w:r>
      <w:r w:rsidRPr="00B56CD8">
        <w:t xml:space="preserve"> viedizācij</w:t>
      </w:r>
      <w:r>
        <w:t>a</w:t>
      </w:r>
      <w:r w:rsidRPr="00B56CD8">
        <w:t xml:space="preserve"> paredz, ka periodā līdz 2022.</w:t>
      </w:r>
      <w:r w:rsidR="004A17BE">
        <w:t xml:space="preserve"> </w:t>
      </w:r>
      <w:r w:rsidRPr="00B56CD8">
        <w:t>gadam visi elektroenerģijas skaitītāji tiks nomainīti uz viedajiem elektroenerģijas skaitītājiem.</w:t>
      </w:r>
      <w:r w:rsidRPr="00002895">
        <w:t xml:space="preserve"> Pakāpeniski palielinot viedā elektrotīkla īpatsvaru, tiks samazinātas skaitītāju apkalpošanas un uzturēšanas izmaksas, sniedzot ātru, pārskatāmu, jebkurā laikā un vietā pieejamu informāciju par patēriņu, noslodzi un pārtraukumiem elektrotīklā. </w:t>
      </w:r>
    </w:p>
    <w:p w14:paraId="1E9838C2" w14:textId="0BACD851" w:rsidR="000C64CD" w:rsidRDefault="00672BA3" w:rsidP="004C1AB7">
      <w:r>
        <w:t>5</w:t>
      </w:r>
      <w:r w:rsidR="006856BF" w:rsidRPr="00A15C92">
        <w:t>. attēlā</w:t>
      </w:r>
      <w:r w:rsidR="000C64CD" w:rsidRPr="00A15C92">
        <w:t xml:space="preserve"> redzams</w:t>
      </w:r>
      <w:r w:rsidR="000C64CD">
        <w:t>, cik (procentuāli) katrā no Latvijas lielākajām pilsētām jau ir uzstādīti viedie skaitītāji.</w:t>
      </w:r>
      <w:r w:rsidR="000C64CD">
        <w:rPr>
          <w:rStyle w:val="FootnoteReference"/>
        </w:rPr>
        <w:footnoteReference w:id="31"/>
      </w:r>
      <w:r w:rsidR="000C64CD">
        <w:t xml:space="preserve"> </w:t>
      </w:r>
    </w:p>
    <w:p w14:paraId="336C9EA7" w14:textId="10690E21" w:rsidR="004C1AB7" w:rsidRDefault="00672BA3" w:rsidP="006856BF">
      <w:pPr>
        <w:ind w:firstLine="0"/>
      </w:pPr>
      <w:r>
        <w:t>5</w:t>
      </w:r>
      <w:r w:rsidR="006856BF" w:rsidRPr="00A15C92">
        <w:t>. attēls</w:t>
      </w:r>
    </w:p>
    <w:p w14:paraId="41D9C634" w14:textId="64D93367" w:rsidR="000C64CD" w:rsidRPr="004E25D6" w:rsidRDefault="000C64CD" w:rsidP="004F68B1">
      <w:pPr>
        <w:ind w:firstLine="0"/>
      </w:pPr>
      <w:r>
        <w:rPr>
          <w:noProof/>
          <w:lang w:eastAsia="lv-LV"/>
        </w:rPr>
        <w:drawing>
          <wp:inline distT="0" distB="0" distL="0" distR="0" wp14:anchorId="5A36F331" wp14:editId="1A13D71D">
            <wp:extent cx="5274310" cy="3076575"/>
            <wp:effectExtent l="0" t="0" r="2540" b="952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AD94C5" w14:textId="0CC19020" w:rsidR="004A17BE" w:rsidRPr="007728C0" w:rsidRDefault="007728C0" w:rsidP="004A17BE">
      <w:pPr>
        <w:ind w:firstLine="0"/>
        <w:rPr>
          <w:b/>
          <w:bCs/>
          <w:sz w:val="20"/>
          <w:szCs w:val="20"/>
        </w:rPr>
      </w:pPr>
      <w:r>
        <w:rPr>
          <w:sz w:val="20"/>
          <w:szCs w:val="20"/>
        </w:rPr>
        <w:t>U</w:t>
      </w:r>
      <w:r w:rsidRPr="007728C0">
        <w:rPr>
          <w:i/>
          <w:iCs/>
          <w:sz w:val="20"/>
          <w:szCs w:val="20"/>
        </w:rPr>
        <w:t>zstādītie viedie elek</w:t>
      </w:r>
      <w:r w:rsidR="001D20F3">
        <w:rPr>
          <w:i/>
          <w:iCs/>
          <w:sz w:val="20"/>
          <w:szCs w:val="20"/>
        </w:rPr>
        <w:t>troenerģijas skaitītāji uz 01.01.2020</w:t>
      </w:r>
      <w:r>
        <w:rPr>
          <w:i/>
          <w:iCs/>
          <w:sz w:val="20"/>
          <w:szCs w:val="20"/>
        </w:rPr>
        <w:t>.</w:t>
      </w:r>
    </w:p>
    <w:p w14:paraId="11DEE84C" w14:textId="77777777" w:rsidR="007728C0" w:rsidRDefault="007728C0" w:rsidP="004A17BE">
      <w:pPr>
        <w:ind w:firstLine="0"/>
        <w:rPr>
          <w:u w:val="single"/>
        </w:rPr>
      </w:pPr>
    </w:p>
    <w:p w14:paraId="368708FA" w14:textId="0A1CE737" w:rsidR="000C64CD" w:rsidRDefault="000C64CD" w:rsidP="004A17BE">
      <w:pPr>
        <w:ind w:firstLine="0"/>
        <w:rPr>
          <w:u w:val="single"/>
        </w:rPr>
      </w:pPr>
      <w:r w:rsidRPr="004D1174">
        <w:rPr>
          <w:u w:val="single"/>
        </w:rPr>
        <w:t>Emisijas kvotu izsolīšanas instruments (EKII)</w:t>
      </w:r>
    </w:p>
    <w:p w14:paraId="78CA3A85" w14:textId="77777777" w:rsidR="00844C2C" w:rsidRPr="004D1174" w:rsidRDefault="00844C2C" w:rsidP="004A17BE">
      <w:pPr>
        <w:ind w:firstLine="0"/>
        <w:rPr>
          <w:u w:val="single"/>
        </w:rPr>
      </w:pPr>
    </w:p>
    <w:p w14:paraId="75703CED" w14:textId="77777777" w:rsidR="000C64CD" w:rsidRPr="009B2DD9" w:rsidRDefault="000C64CD" w:rsidP="004C1AB7">
      <w:r>
        <w:t xml:space="preserve">EKII </w:t>
      </w:r>
      <w:r w:rsidRPr="009B2DD9">
        <w:t xml:space="preserve"> ir Latvijas Republikas valsts budžeta programma.</w:t>
      </w:r>
      <w:r>
        <w:t xml:space="preserve"> </w:t>
      </w:r>
      <w:r w:rsidRPr="009B2DD9">
        <w:t>EKII mērķis ir mazināt klimata pārmaiņas un nodrošināt pielāgošanos klimata pārmaiņām.</w:t>
      </w:r>
    </w:p>
    <w:p w14:paraId="6DDE55B1" w14:textId="77777777" w:rsidR="000C64CD" w:rsidRPr="009B2DD9" w:rsidRDefault="000C64CD" w:rsidP="004C1AB7">
      <w:r w:rsidRPr="009B2DD9">
        <w:t>EKII finansē tādus pasākumus, kuru mērķis ir:</w:t>
      </w:r>
    </w:p>
    <w:p w14:paraId="058A6269" w14:textId="77777777" w:rsidR="000C64CD" w:rsidRPr="009B2DD9" w:rsidRDefault="000C64CD" w:rsidP="00A517AC">
      <w:pPr>
        <w:numPr>
          <w:ilvl w:val="0"/>
          <w:numId w:val="24"/>
        </w:numPr>
        <w:ind w:left="0" w:firstLine="567"/>
      </w:pPr>
      <w:r w:rsidRPr="009B2DD9">
        <w:t>paaugstināt ēku vai tehnoloģisko iekārtu un transportlīdzekļu energoefektivitāti,</w:t>
      </w:r>
    </w:p>
    <w:p w14:paraId="28EE1A68" w14:textId="77777777" w:rsidR="000C64CD" w:rsidRPr="009B2DD9" w:rsidRDefault="000C64CD" w:rsidP="00A517AC">
      <w:pPr>
        <w:numPr>
          <w:ilvl w:val="0"/>
          <w:numId w:val="24"/>
        </w:numPr>
        <w:ind w:left="0" w:firstLine="567"/>
      </w:pPr>
      <w:r w:rsidRPr="009B2DD9">
        <w:t>paplašināt atjaunojamo energoresursu izmantošanu,</w:t>
      </w:r>
    </w:p>
    <w:p w14:paraId="5177CD77" w14:textId="77777777" w:rsidR="000C64CD" w:rsidRPr="009B2DD9" w:rsidRDefault="000C64CD" w:rsidP="00A517AC">
      <w:pPr>
        <w:numPr>
          <w:ilvl w:val="0"/>
          <w:numId w:val="24"/>
        </w:numPr>
        <w:ind w:left="0" w:firstLine="567"/>
      </w:pPr>
      <w:r w:rsidRPr="009B2DD9">
        <w:t>veicināt pielāgošanos klimata pārmaiņām nacionālā un reģionālā mērogā,</w:t>
      </w:r>
    </w:p>
    <w:p w14:paraId="7C122538" w14:textId="77777777" w:rsidR="000C64CD" w:rsidRPr="009B2DD9" w:rsidRDefault="000C64CD" w:rsidP="00A517AC">
      <w:pPr>
        <w:numPr>
          <w:ilvl w:val="0"/>
          <w:numId w:val="24"/>
        </w:numPr>
        <w:ind w:left="0" w:firstLine="567"/>
      </w:pPr>
      <w:r w:rsidRPr="009B2DD9">
        <w:t>izstrādāt vides tehnoloģijas, kas nodrošina energoefektivitātes paaugstināšanu, atjaunojamo energoresursu izmantošanu, siltumnīcefekta gāzu emisijas samazināšanu tehnoloģiskajos procesos vai pielāgošanos klimata pārmaiņām,</w:t>
      </w:r>
    </w:p>
    <w:p w14:paraId="5F2AD120" w14:textId="77777777" w:rsidR="000C64CD" w:rsidRPr="009B2DD9" w:rsidRDefault="000C64CD" w:rsidP="00A517AC">
      <w:pPr>
        <w:numPr>
          <w:ilvl w:val="0"/>
          <w:numId w:val="24"/>
        </w:numPr>
        <w:ind w:left="0" w:firstLine="567"/>
      </w:pPr>
      <w:r w:rsidRPr="009B2DD9">
        <w:lastRenderedPageBreak/>
        <w:t>īstenot klimata politikas pasākumus, kas vērsti uz siltumnīcefekta gāzu emisijas samazināšanu un pielāgošanos klimata pārmaiņām, kā arī sagatavot integrēšanai dažādās nozarēs nepieciešamos pētījumu, plānošanas un tehniskos dokumentus,</w:t>
      </w:r>
    </w:p>
    <w:p w14:paraId="08A5952A" w14:textId="77777777" w:rsidR="000C64CD" w:rsidRPr="009B2DD9" w:rsidRDefault="000C64CD" w:rsidP="00A517AC">
      <w:pPr>
        <w:numPr>
          <w:ilvl w:val="0"/>
          <w:numId w:val="24"/>
        </w:numPr>
        <w:ind w:left="0" w:firstLine="567"/>
      </w:pPr>
      <w:r w:rsidRPr="009B2DD9">
        <w:t>īstenot izglītojošus pasākumus, kuru rezultātā uzlabojas sabiedrības izpratne un zināšanas par klimata pārmaiņām un pasākumiem, kas veicami, lai tās mazinātu un nodrošinātu pielāgošanos klimata pārmaiņām, un kuri veicina patērētāju paradumu maiņu, kā arī sekmē zemas oglekļa emisijas ekonomikas attīstību Latvijā.</w:t>
      </w:r>
    </w:p>
    <w:p w14:paraId="687759CD" w14:textId="0ABB89CD" w:rsidR="000C64CD" w:rsidRPr="00C94C2A" w:rsidRDefault="000C64CD" w:rsidP="004C1AB7">
      <w:pPr>
        <w:rPr>
          <w:bCs/>
        </w:rPr>
      </w:pPr>
      <w:r w:rsidRPr="009B2DD9">
        <w:rPr>
          <w:bCs/>
        </w:rPr>
        <w:t xml:space="preserve">Konkursos finansējums tika piešķirts energoefektivitātes pasākumu īstenošanai ēkās, kas sniedz gan tiešus SEG emisiju samazinājumus, gan arī netiešus SEG emisiju samazinājumus, kas rodas no projektu demonstrācijas un multiplikatīvā efekta. Netiešie SEG emisiju samazinājumi ir ļoti nozīmīgi, jo klimata politikas mērķu sasniegšanai nepieciešamas pakāpeniskas, visaptverošas un būtiskas izmaiņas tautsaimniecībā un iedzīvotāju dzīvesveidā. </w:t>
      </w:r>
    </w:p>
    <w:p w14:paraId="6ACBE24D" w14:textId="1F5AF1E8" w:rsidR="000C64CD" w:rsidRDefault="000C64CD" w:rsidP="003C5621">
      <w:r w:rsidRPr="009B2DD9">
        <w:t>M</w:t>
      </w:r>
      <w:r>
        <w:t>inistru kabineta</w:t>
      </w:r>
      <w:r w:rsidRPr="009B2DD9">
        <w:t xml:space="preserve"> 2018. gada 12. jūnija noteikumi Nr. 333 “Emisijas kvotu izsolīšanas instrumenta finansēto projektu atklāta konkursa “Siltumnīcefekta gāzu emisiju samazināšana ar viedajām pilsētvides tehnoloģijām” nolikums”</w:t>
      </w:r>
      <w:r>
        <w:t xml:space="preserve"> paredz p</w:t>
      </w:r>
      <w:r w:rsidRPr="009B2DD9">
        <w:t>ieejam</w:t>
      </w:r>
      <w:r>
        <w:t>o</w:t>
      </w:r>
      <w:r w:rsidRPr="009B2DD9">
        <w:t xml:space="preserve"> finansējum</w:t>
      </w:r>
      <w:r>
        <w:t>u</w:t>
      </w:r>
      <w:r w:rsidRPr="009B2DD9">
        <w:t xml:space="preserve"> 8 milj. </w:t>
      </w:r>
      <w:r w:rsidRPr="009B2DD9">
        <w:rPr>
          <w:i/>
        </w:rPr>
        <w:t>euro</w:t>
      </w:r>
      <w:r w:rsidRPr="009B2DD9">
        <w:t>. Konkursa mērķis ir ieviest un demonstrēt viedās pilsētvides tehnoloģijas, kas samazina SEG emisijas.</w:t>
      </w:r>
    </w:p>
    <w:p w14:paraId="2AB5911B" w14:textId="77777777" w:rsidR="000C64CD" w:rsidRPr="00C94C2A" w:rsidRDefault="000C64CD" w:rsidP="004C1AB7">
      <w:r w:rsidRPr="00C94C2A">
        <w:t xml:space="preserve">  Lai veicinātu atjaunojamo energoresursu izmantošanas un energoefektivitātes paaugstināšanas demonstrāciju netradicionālā veidā, paaugstinātu sabiedrības informētību un veicinātu tehnoloģiju ieviešanu turpmāk, </w:t>
      </w:r>
      <w:r>
        <w:t>Ministru kabineta noteikumos</w:t>
      </w:r>
      <w:r w:rsidRPr="00C94C2A">
        <w:t xml:space="preserve"> ir atsevišķi izdalīts piešķiramā finansējuma apjoms katrai no konkursa ietvaros atbalstāmajām projekta jomām.</w:t>
      </w:r>
    </w:p>
    <w:p w14:paraId="363EB7D7" w14:textId="77777777" w:rsidR="000C64CD" w:rsidRDefault="000C64CD" w:rsidP="004C1AB7"/>
    <w:p w14:paraId="1F1F7BB7" w14:textId="296AE35E" w:rsidR="000C64CD" w:rsidRDefault="00672BA3" w:rsidP="004C1AB7">
      <w:r>
        <w:t>6</w:t>
      </w:r>
      <w:r w:rsidR="006856BF" w:rsidRPr="00A15C92">
        <w:t>. attēlā s</w:t>
      </w:r>
      <w:r w:rsidR="000C64CD" w:rsidRPr="00A15C92">
        <w:t>tatistiski</w:t>
      </w:r>
      <w:r w:rsidR="000C64CD">
        <w:t xml:space="preserve"> redzams, ka atsevišķi izdalāmi 4 dažāda veida projekti (konkursi):</w:t>
      </w:r>
    </w:p>
    <w:p w14:paraId="15D9CF55" w14:textId="3F7C346A" w:rsidR="000C64CD" w:rsidRDefault="004A17BE" w:rsidP="004A17BE">
      <w:pPr>
        <w:ind w:firstLine="0"/>
      </w:pPr>
      <w:r>
        <w:t>Nr.1.</w:t>
      </w:r>
      <w:r w:rsidR="006854A6">
        <w:t> </w:t>
      </w:r>
      <w:r w:rsidR="000C64CD" w:rsidRPr="00BD1903">
        <w:t>Siltumnīcefekta gāzu emisiju samazināšana valsts nozīmes aizsargājamos arhitektūras pieminekļos</w:t>
      </w:r>
      <w:r>
        <w:t>;</w:t>
      </w:r>
    </w:p>
    <w:p w14:paraId="0938F520" w14:textId="77777777" w:rsidR="004A17BE" w:rsidRDefault="004A17BE" w:rsidP="004A17BE">
      <w:pPr>
        <w:ind w:firstLine="0"/>
      </w:pPr>
      <w:r>
        <w:t xml:space="preserve">Nr.2. </w:t>
      </w:r>
      <w:r w:rsidR="000C64CD" w:rsidRPr="00BD1903">
        <w:t>Siltumnīcefekta gāzu emisiju samazināšana - zema enerģijas patēriņa ēkās</w:t>
      </w:r>
      <w:r>
        <w:t>;</w:t>
      </w:r>
    </w:p>
    <w:p w14:paraId="7FCED7C6" w14:textId="77777777" w:rsidR="004A17BE" w:rsidRDefault="004A17BE" w:rsidP="004A17BE">
      <w:pPr>
        <w:ind w:firstLine="0"/>
      </w:pPr>
      <w:r>
        <w:t xml:space="preserve">Nr.3. </w:t>
      </w:r>
      <w:r w:rsidR="000C64CD" w:rsidRPr="00BD1903">
        <w:t>Siltumnīcefekta gāzu emisiju samazināšana ar viedajām pilsētvides tehnoloģijām</w:t>
      </w:r>
      <w:r>
        <w:t>;</w:t>
      </w:r>
    </w:p>
    <w:p w14:paraId="0BAF0C91" w14:textId="24B9B469" w:rsidR="000C64CD" w:rsidRDefault="004A17BE" w:rsidP="009D0220">
      <w:pPr>
        <w:ind w:firstLine="0"/>
      </w:pPr>
      <w:r>
        <w:t xml:space="preserve">Nr.4. </w:t>
      </w:r>
      <w:r w:rsidR="000C64CD" w:rsidRPr="00905C60">
        <w:t>Siltumnīcefekta gāzu emisiju samazināšana –</w:t>
      </w:r>
      <w:r w:rsidR="000C64CD">
        <w:t xml:space="preserve"> Attīstot enerģētiski pašpietiekamu ēku būvniecību</w:t>
      </w:r>
      <w:r>
        <w:t>.</w:t>
      </w:r>
    </w:p>
    <w:p w14:paraId="5581C85A" w14:textId="6FF8A16A" w:rsidR="000C64CD" w:rsidRDefault="003C5621" w:rsidP="004C1AB7">
      <w:r>
        <w:t>R</w:t>
      </w:r>
      <w:r w:rsidR="000C64CD">
        <w:t>edzams, ka siltumnīcefekta gāzu samazināšana ar viedajām pilsētvides tehnoloģijām ir skaita ziņā pieprasītākais projekts.</w:t>
      </w:r>
      <w:r w:rsidR="000C64CD">
        <w:rPr>
          <w:rStyle w:val="FootnoteReference"/>
        </w:rPr>
        <w:footnoteReference w:id="32"/>
      </w:r>
    </w:p>
    <w:p w14:paraId="608E57E0" w14:textId="77777777" w:rsidR="004C1AB7" w:rsidRDefault="004C1AB7" w:rsidP="004C1AB7"/>
    <w:p w14:paraId="6129C548" w14:textId="77777777" w:rsidR="006856BF" w:rsidRDefault="006856BF" w:rsidP="00491581">
      <w:pPr>
        <w:rPr>
          <w:b/>
          <w:bCs/>
        </w:rPr>
      </w:pPr>
    </w:p>
    <w:p w14:paraId="0A7A231F" w14:textId="08D7FDA1" w:rsidR="000C64CD" w:rsidRDefault="000C64CD" w:rsidP="00215947">
      <w:pPr>
        <w:ind w:firstLine="0"/>
        <w:rPr>
          <w:b/>
          <w:bCs/>
        </w:rPr>
      </w:pPr>
      <w:r>
        <w:rPr>
          <w:noProof/>
          <w:lang w:eastAsia="lv-LV"/>
        </w:rPr>
        <w:lastRenderedPageBreak/>
        <w:drawing>
          <wp:inline distT="0" distB="0" distL="0" distR="0" wp14:anchorId="271B9CEC" wp14:editId="7421608B">
            <wp:extent cx="5316840" cy="3340218"/>
            <wp:effectExtent l="0" t="0" r="17780" b="1270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A22193" w14:textId="734A9C3A" w:rsidR="000C64CD" w:rsidRPr="00694ECE" w:rsidRDefault="00672BA3" w:rsidP="000C64CD">
      <w:pPr>
        <w:rPr>
          <w:sz w:val="20"/>
          <w:szCs w:val="20"/>
        </w:rPr>
      </w:pPr>
      <w:r>
        <w:rPr>
          <w:sz w:val="20"/>
          <w:szCs w:val="20"/>
        </w:rPr>
        <w:t>6</w:t>
      </w:r>
      <w:r w:rsidR="006856BF" w:rsidRPr="00694ECE">
        <w:rPr>
          <w:sz w:val="20"/>
          <w:szCs w:val="20"/>
        </w:rPr>
        <w:t>. attēls – EKII budžeta programmas finansēto projektu sadalījums pēc skaita</w:t>
      </w:r>
    </w:p>
    <w:p w14:paraId="67501867" w14:textId="77777777" w:rsidR="00844C2C" w:rsidRDefault="00844C2C" w:rsidP="00F57ECE">
      <w:pPr>
        <w:pStyle w:val="ListParagraph"/>
        <w:ind w:left="0" w:firstLine="0"/>
        <w:rPr>
          <w:szCs w:val="24"/>
          <w:u w:val="single"/>
        </w:rPr>
      </w:pPr>
    </w:p>
    <w:p w14:paraId="3AA06CD2" w14:textId="634D5795" w:rsidR="000C64CD" w:rsidRDefault="000C64CD" w:rsidP="00F57ECE">
      <w:pPr>
        <w:pStyle w:val="ListParagraph"/>
        <w:ind w:left="0" w:firstLine="0"/>
        <w:rPr>
          <w:szCs w:val="24"/>
          <w:u w:val="single"/>
        </w:rPr>
      </w:pPr>
      <w:r w:rsidRPr="00736D92">
        <w:rPr>
          <w:szCs w:val="24"/>
          <w:u w:val="single"/>
        </w:rPr>
        <w:t>Veicināt prasmes un izglītību būvniecības un energoefektivitātes nozarēs</w:t>
      </w:r>
    </w:p>
    <w:p w14:paraId="2925E811" w14:textId="77777777" w:rsidR="00844C2C" w:rsidRPr="00F57ECE" w:rsidRDefault="00844C2C" w:rsidP="00F57ECE">
      <w:pPr>
        <w:pStyle w:val="ListParagraph"/>
        <w:ind w:left="0" w:firstLine="0"/>
        <w:rPr>
          <w:szCs w:val="24"/>
          <w:u w:val="single"/>
        </w:rPr>
      </w:pPr>
    </w:p>
    <w:p w14:paraId="377B86B6" w14:textId="77777777" w:rsidR="000C64CD" w:rsidRPr="00E034CB" w:rsidRDefault="000C64CD" w:rsidP="004C1AB7">
      <w:r w:rsidRPr="00E034CB">
        <w:t xml:space="preserve">2018. gada 21. augustā </w:t>
      </w:r>
      <w:r>
        <w:t xml:space="preserve">pieņemti Ministru kabineta noteikumi Nr.531 </w:t>
      </w:r>
      <w:r w:rsidRPr="00E034CB">
        <w:t>“Noteikumi par neatkarīgu ekspertu kompetences novērtēšanu un profesionālās darbības uzraudzību ēku energoefektivitātes jomā”.</w:t>
      </w:r>
      <w:r>
        <w:t xml:space="preserve"> </w:t>
      </w:r>
      <w:r w:rsidRPr="00E034CB">
        <w:t>Noteikumi nosaka:</w:t>
      </w:r>
    </w:p>
    <w:p w14:paraId="18EBC677" w14:textId="77777777" w:rsidR="000C64CD" w:rsidRPr="00E034CB" w:rsidRDefault="000C64CD" w:rsidP="00A517AC">
      <w:pPr>
        <w:pStyle w:val="ListParagraph"/>
        <w:numPr>
          <w:ilvl w:val="0"/>
          <w:numId w:val="25"/>
        </w:numPr>
        <w:ind w:left="0" w:firstLine="567"/>
      </w:pPr>
      <w:r w:rsidRPr="00E034CB">
        <w:t>neatkarīga eksperta kompetences prasības;</w:t>
      </w:r>
    </w:p>
    <w:p w14:paraId="28298E9C" w14:textId="77777777" w:rsidR="000C64CD" w:rsidRPr="00E034CB" w:rsidRDefault="000C64CD" w:rsidP="00A517AC">
      <w:pPr>
        <w:pStyle w:val="ListParagraph"/>
        <w:numPr>
          <w:ilvl w:val="0"/>
          <w:numId w:val="25"/>
        </w:numPr>
        <w:ind w:left="0" w:firstLine="567"/>
      </w:pPr>
      <w:r w:rsidRPr="00E034CB">
        <w:t>neatkarīga eksperta kompetences apliecināšanas kārtību;</w:t>
      </w:r>
    </w:p>
    <w:p w14:paraId="5D50C62B" w14:textId="77777777" w:rsidR="000C64CD" w:rsidRPr="00E034CB" w:rsidRDefault="000C64CD" w:rsidP="00A517AC">
      <w:pPr>
        <w:pStyle w:val="ListParagraph"/>
        <w:numPr>
          <w:ilvl w:val="0"/>
          <w:numId w:val="25"/>
        </w:numPr>
        <w:ind w:left="0" w:firstLine="567"/>
      </w:pPr>
      <w:r w:rsidRPr="00E034CB">
        <w:t>neatkarīga eksperta profesionālās darbības uzraudzības kārtību;</w:t>
      </w:r>
    </w:p>
    <w:p w14:paraId="7ECF551B" w14:textId="77777777" w:rsidR="000C64CD" w:rsidRPr="00E034CB" w:rsidRDefault="000C64CD" w:rsidP="00A517AC">
      <w:pPr>
        <w:pStyle w:val="ListParagraph"/>
        <w:numPr>
          <w:ilvl w:val="0"/>
          <w:numId w:val="25"/>
        </w:numPr>
        <w:ind w:left="0" w:firstLine="567"/>
      </w:pPr>
      <w:r w:rsidRPr="00E034CB">
        <w:t>neatkarīga eksperta reģistrācijas kārtību, reģistra datu saturu un izmantošanas kārtību;</w:t>
      </w:r>
    </w:p>
    <w:p w14:paraId="7300E5D1" w14:textId="3F81B9A5" w:rsidR="000C64CD" w:rsidRDefault="000C64CD" w:rsidP="00A517AC">
      <w:pPr>
        <w:pStyle w:val="ListParagraph"/>
        <w:numPr>
          <w:ilvl w:val="0"/>
          <w:numId w:val="25"/>
        </w:numPr>
        <w:ind w:left="0" w:firstLine="567"/>
      </w:pPr>
      <w:r w:rsidRPr="00E034CB">
        <w:t>kārtību kādā veic samaksu par neatkarīga eksperta kompetences novērtēšanu un profesionālās darbības uzraudzību, kā arī saņemto līdzekļu izmantošanas kārtību.</w:t>
      </w:r>
      <w:r>
        <w:rPr>
          <w:rStyle w:val="FootnoteReference"/>
        </w:rPr>
        <w:footnoteReference w:id="33"/>
      </w:r>
    </w:p>
    <w:p w14:paraId="047D6A42" w14:textId="77777777" w:rsidR="000C64CD" w:rsidRDefault="000C64CD" w:rsidP="004C1AB7"/>
    <w:p w14:paraId="5A6205AC" w14:textId="77777777" w:rsidR="000C64CD" w:rsidRDefault="000C64CD" w:rsidP="004C1AB7">
      <w:r>
        <w:t xml:space="preserve">Tādējādi, kā līdz šim paveiktais neatkarīgu </w:t>
      </w:r>
      <w:r w:rsidRPr="00E034CB">
        <w:t>​ekspertu kompetences novērtēšanu un profesionālās darbības uzraudzību ēku energoefektivitātes jom</w:t>
      </w:r>
      <w:r>
        <w:t>ā minams:</w:t>
      </w:r>
    </w:p>
    <w:p w14:paraId="7D806AF3" w14:textId="77777777" w:rsidR="000C64CD" w:rsidRDefault="000C64CD" w:rsidP="00A517AC">
      <w:pPr>
        <w:pStyle w:val="ListParagraph"/>
        <w:numPr>
          <w:ilvl w:val="0"/>
          <w:numId w:val="26"/>
        </w:numPr>
        <w:ind w:left="0" w:firstLine="567"/>
      </w:pPr>
      <w:r w:rsidRPr="00E034CB">
        <w:t>Būtiski uzlabota neatkarīgu ekspertu sertificēšanas un uzraudzības kārtība;​</w:t>
      </w:r>
    </w:p>
    <w:p w14:paraId="4293F9D1" w14:textId="77777777" w:rsidR="000C64CD" w:rsidRDefault="000C64CD" w:rsidP="00A517AC">
      <w:pPr>
        <w:pStyle w:val="ListParagraph"/>
        <w:numPr>
          <w:ilvl w:val="0"/>
          <w:numId w:val="26"/>
        </w:numPr>
        <w:ind w:left="0" w:firstLine="567"/>
      </w:pPr>
      <w:r w:rsidRPr="00E034CB">
        <w:t>Izstrādāti maksas pakalpojumu cenrāži, ar mērķi nodrošināt nepieciešamo finansējumu neatkarīgu ekspertu uzraudzībai;​</w:t>
      </w:r>
    </w:p>
    <w:p w14:paraId="1F0CB0CB" w14:textId="1921F2CC" w:rsidR="00736D92" w:rsidRDefault="000C64CD" w:rsidP="00A517AC">
      <w:pPr>
        <w:pStyle w:val="ListParagraph"/>
        <w:numPr>
          <w:ilvl w:val="0"/>
          <w:numId w:val="26"/>
        </w:numPr>
        <w:ind w:left="0" w:firstLine="567"/>
      </w:pPr>
      <w:r w:rsidRPr="00E034CB">
        <w:t>Pilnveidota kompetences pārbaudes iestāžu uzraudzība, noslēdzot deleģēšanas līgumus; </w:t>
      </w:r>
    </w:p>
    <w:p w14:paraId="1A881FFD" w14:textId="18C6D601" w:rsidR="000C64CD" w:rsidRDefault="000C64CD" w:rsidP="004C1AB7">
      <w:r>
        <w:t>Kā plānotās darbībās minamas:</w:t>
      </w:r>
    </w:p>
    <w:p w14:paraId="733FEBFF" w14:textId="77777777" w:rsidR="000C64CD" w:rsidRDefault="000C64CD" w:rsidP="00A517AC">
      <w:pPr>
        <w:pStyle w:val="ListParagraph"/>
        <w:numPr>
          <w:ilvl w:val="0"/>
          <w:numId w:val="27"/>
        </w:numPr>
        <w:ind w:left="0" w:firstLine="567"/>
      </w:pPr>
      <w:r>
        <w:t>nodrošināt Eiropas savienības standartu (Eirokodu) būvniecības un energoefektivitātes jomā abonēšanu, lai celtu neatkarīga eksperta profesionālās darbības kvalitāti;​</w:t>
      </w:r>
    </w:p>
    <w:p w14:paraId="6733947F" w14:textId="7BA068C0" w:rsidR="000C64CD" w:rsidRDefault="000C64CD" w:rsidP="00A517AC">
      <w:pPr>
        <w:pStyle w:val="ListParagraph"/>
        <w:numPr>
          <w:ilvl w:val="0"/>
          <w:numId w:val="27"/>
        </w:numPr>
        <w:ind w:left="0" w:firstLine="567"/>
      </w:pPr>
      <w:r>
        <w:t xml:space="preserve">Būvniecības informācijas sistēmas pilnveide - </w:t>
      </w:r>
      <w:r w:rsidRPr="006713E4">
        <w:t xml:space="preserve"> </w:t>
      </w:r>
      <w:r>
        <w:t>labi savienotu kopienu izveide – digitalizējot būvniecības nozari – BIS.</w:t>
      </w:r>
    </w:p>
    <w:p w14:paraId="5053EB58" w14:textId="77777777" w:rsidR="009D0220" w:rsidRPr="009D0220" w:rsidRDefault="009D0220" w:rsidP="009D0220"/>
    <w:p w14:paraId="624E047A" w14:textId="3FA60DD5" w:rsidR="000C64CD" w:rsidRDefault="000C64CD" w:rsidP="00736D92">
      <w:pPr>
        <w:pStyle w:val="ListParagraph"/>
        <w:ind w:left="0" w:firstLine="0"/>
        <w:rPr>
          <w:szCs w:val="24"/>
          <w:u w:val="single"/>
        </w:rPr>
      </w:pPr>
      <w:r w:rsidRPr="004D1174">
        <w:rPr>
          <w:szCs w:val="24"/>
          <w:u w:val="single"/>
        </w:rPr>
        <w:t>Valsts pētniecības programmu budžets ēku energoefektivitātes jomā</w:t>
      </w:r>
    </w:p>
    <w:p w14:paraId="606D735A" w14:textId="77777777" w:rsidR="00A9295F" w:rsidRPr="00736D92" w:rsidRDefault="00A9295F" w:rsidP="00736D92">
      <w:pPr>
        <w:pStyle w:val="ListParagraph"/>
        <w:ind w:left="0" w:firstLine="0"/>
        <w:rPr>
          <w:szCs w:val="24"/>
          <w:u w:val="single"/>
        </w:rPr>
      </w:pPr>
    </w:p>
    <w:p w14:paraId="660EA13F" w14:textId="77777777" w:rsidR="000C64CD" w:rsidRPr="00727D10" w:rsidRDefault="000C64CD" w:rsidP="004C1AB7">
      <w:r>
        <w:t xml:space="preserve">Atbilstoši Eiropas Komisijas ieteikumiem, viens no rādītājiem, kas veicina Direktīvas 2.a 1. f) punkta īstenošanu ir valsts pētniecības programmu budžets attiecībā uz pētījumiem ēku energoefektivitātes jomā. </w:t>
      </w:r>
      <w:r w:rsidRPr="00727D10">
        <w:t xml:space="preserve">Latvijas Zinātnes padome 2018. gada 11. oktobrī </w:t>
      </w:r>
      <w:r>
        <w:t>izsludināja</w:t>
      </w:r>
      <w:r w:rsidRPr="00727D10">
        <w:t xml:space="preserve"> valsts pētījumu programmas</w:t>
      </w:r>
      <w:r>
        <w:t xml:space="preserve"> “Enerģētika”</w:t>
      </w:r>
      <w:r w:rsidRPr="00727D10">
        <w:t xml:space="preserve"> atklāto projektu pieteikumu konkur</w:t>
      </w:r>
      <w:r>
        <w:t>su “Energoefektivitāte”.</w:t>
      </w:r>
    </w:p>
    <w:p w14:paraId="5A4CE16D" w14:textId="77777777" w:rsidR="000C64CD" w:rsidRDefault="000C64CD" w:rsidP="004C1AB7">
      <w:r w:rsidRPr="00727D10">
        <w:t>Kopējais konkursam pieejamais finansējums projektu īstenošanai ir </w:t>
      </w:r>
      <w:r w:rsidRPr="00813D5A">
        <w:t>1 523 999</w:t>
      </w:r>
      <w:r w:rsidRPr="00727D10">
        <w:t> </w:t>
      </w:r>
      <w:r w:rsidRPr="00727D10">
        <w:rPr>
          <w:i/>
          <w:iCs/>
        </w:rPr>
        <w:t>euro</w:t>
      </w:r>
      <w:r>
        <w:t>.</w:t>
      </w:r>
    </w:p>
    <w:p w14:paraId="5DEFBC47" w14:textId="73A04019" w:rsidR="004C1AB7" w:rsidRPr="00F57ECE" w:rsidRDefault="000C64CD" w:rsidP="00F57ECE">
      <w:r w:rsidRPr="00A15C92">
        <w:t>Tabulā Nr.</w:t>
      </w:r>
      <w:r w:rsidR="006856BF" w:rsidRPr="00A15C92">
        <w:t>1</w:t>
      </w:r>
      <w:r w:rsidR="00672BA3">
        <w:t>1</w:t>
      </w:r>
      <w:r>
        <w:t xml:space="preserve"> attēloti </w:t>
      </w:r>
      <w:r w:rsidRPr="00727D10">
        <w:t>Ekonomikas ministrijas finansētie projekti 2018. gadā izsludinātajā valsts pētījumu programmas "Enerģētika" atklātajā projektu pieteikumu konkursā “Energoefektivitāte”</w:t>
      </w:r>
      <w:r>
        <w:t>.</w:t>
      </w:r>
    </w:p>
    <w:p w14:paraId="5743E7C8" w14:textId="15900D8C" w:rsidR="000C64CD" w:rsidRPr="00727D10" w:rsidRDefault="000C64CD" w:rsidP="000C64CD">
      <w:pPr>
        <w:ind w:firstLine="0"/>
      </w:pPr>
      <w:r w:rsidRPr="00A15C92">
        <w:t>1</w:t>
      </w:r>
      <w:r w:rsidR="00672BA3">
        <w:t>1</w:t>
      </w:r>
      <w:r w:rsidR="0023440A">
        <w:t xml:space="preserve">. </w:t>
      </w:r>
      <w:r w:rsidR="004C3A60">
        <w:t>t</w:t>
      </w:r>
      <w:r w:rsidR="0023440A">
        <w:t>abula</w:t>
      </w:r>
    </w:p>
    <w:tbl>
      <w:tblPr>
        <w:tblW w:w="827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3557"/>
        <w:gridCol w:w="2116"/>
        <w:gridCol w:w="1826"/>
      </w:tblGrid>
      <w:tr w:rsidR="000C64CD" w:rsidRPr="00727D10" w14:paraId="1AFB350F" w14:textId="77777777" w:rsidTr="00F57ECE">
        <w:trPr>
          <w:trHeight w:val="62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631FC31D" w14:textId="77777777" w:rsidR="000C64CD" w:rsidRPr="00F57ECE" w:rsidRDefault="000C64CD" w:rsidP="000C64CD">
            <w:pPr>
              <w:ind w:firstLine="0"/>
              <w:rPr>
                <w:sz w:val="20"/>
                <w:szCs w:val="20"/>
              </w:rPr>
            </w:pPr>
            <w:r w:rsidRPr="00F57ECE">
              <w:rPr>
                <w:b/>
                <w:bCs/>
                <w:sz w:val="20"/>
                <w:szCs w:val="20"/>
              </w:rPr>
              <w:t>Nr.p.k.</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548D191C" w14:textId="77777777" w:rsidR="000C64CD" w:rsidRPr="00C56531" w:rsidRDefault="000C64CD" w:rsidP="000C64CD">
            <w:pPr>
              <w:ind w:firstLine="0"/>
              <w:jc w:val="center"/>
              <w:rPr>
                <w:sz w:val="22"/>
              </w:rPr>
            </w:pPr>
            <w:r w:rsidRPr="00C56531">
              <w:rPr>
                <w:b/>
                <w:bCs/>
                <w:sz w:val="22"/>
              </w:rPr>
              <w:t>Projekta nosaukums</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44091E63" w14:textId="77777777" w:rsidR="000C64CD" w:rsidRPr="00C56531" w:rsidRDefault="000C64CD" w:rsidP="000C64CD">
            <w:pPr>
              <w:ind w:firstLine="0"/>
              <w:jc w:val="center"/>
              <w:rPr>
                <w:sz w:val="22"/>
              </w:rPr>
            </w:pPr>
            <w:r w:rsidRPr="00C56531">
              <w:rPr>
                <w:b/>
                <w:bCs/>
                <w:sz w:val="22"/>
              </w:rPr>
              <w:t>Projektu īstenojošā zinātniskā institūcija</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2CDFA64A" w14:textId="05F80C6A" w:rsidR="000C64CD" w:rsidRPr="00C56531" w:rsidRDefault="00491581" w:rsidP="000C64CD">
            <w:pPr>
              <w:ind w:firstLine="0"/>
              <w:jc w:val="center"/>
              <w:rPr>
                <w:sz w:val="22"/>
              </w:rPr>
            </w:pPr>
            <w:r w:rsidRPr="00C56531">
              <w:rPr>
                <w:b/>
                <w:bCs/>
                <w:sz w:val="22"/>
              </w:rPr>
              <w:t>P</w:t>
            </w:r>
            <w:r w:rsidR="000C64CD" w:rsidRPr="00C56531">
              <w:rPr>
                <w:b/>
                <w:bCs/>
                <w:sz w:val="22"/>
              </w:rPr>
              <w:t>iešķirtais finansējums, EUR</w:t>
            </w:r>
          </w:p>
        </w:tc>
      </w:tr>
      <w:tr w:rsidR="000C64CD" w:rsidRPr="00727D10" w14:paraId="793B2B57" w14:textId="77777777" w:rsidTr="00491581">
        <w:trPr>
          <w:trHeight w:val="751"/>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322F4190" w14:textId="77777777" w:rsidR="000C64CD" w:rsidRPr="00C56531" w:rsidRDefault="000C64CD" w:rsidP="000C64CD">
            <w:pPr>
              <w:ind w:firstLine="0"/>
              <w:jc w:val="center"/>
              <w:rPr>
                <w:sz w:val="22"/>
              </w:rPr>
            </w:pPr>
            <w:r w:rsidRPr="00C56531">
              <w:rPr>
                <w:sz w:val="22"/>
              </w:rPr>
              <w:t>1.</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59F3053B" w14:textId="77777777" w:rsidR="000C64CD" w:rsidRPr="00C56531" w:rsidRDefault="000C64CD" w:rsidP="000C64CD">
            <w:pPr>
              <w:ind w:firstLine="0"/>
              <w:jc w:val="center"/>
              <w:rPr>
                <w:sz w:val="22"/>
              </w:rPr>
            </w:pPr>
            <w:r w:rsidRPr="00C56531">
              <w:rPr>
                <w:sz w:val="22"/>
              </w:rPr>
              <w:t>Latvijas siltumapgādes un dzesēšanas sistēmu attīstība</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5B1C930E"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72426C21" w14:textId="77777777" w:rsidR="000C64CD" w:rsidRPr="00C56531" w:rsidRDefault="000C64CD" w:rsidP="000C64CD">
            <w:pPr>
              <w:ind w:firstLine="0"/>
              <w:rPr>
                <w:sz w:val="22"/>
              </w:rPr>
            </w:pPr>
            <w:r w:rsidRPr="00C56531">
              <w:rPr>
                <w:sz w:val="22"/>
              </w:rPr>
              <w:t>354000,00</w:t>
            </w:r>
          </w:p>
        </w:tc>
      </w:tr>
      <w:tr w:rsidR="000C64CD" w:rsidRPr="00727D10" w14:paraId="1E655763" w14:textId="77777777" w:rsidTr="00491581">
        <w:trPr>
          <w:trHeight w:val="73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6DFAA476" w14:textId="77777777" w:rsidR="000C64CD" w:rsidRPr="00C56531" w:rsidRDefault="000C64CD" w:rsidP="000C64CD">
            <w:pPr>
              <w:ind w:firstLine="0"/>
              <w:jc w:val="center"/>
              <w:rPr>
                <w:sz w:val="22"/>
              </w:rPr>
            </w:pPr>
            <w:r w:rsidRPr="00C56531">
              <w:rPr>
                <w:sz w:val="22"/>
              </w:rPr>
              <w:t>2.</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43842672" w14:textId="77777777" w:rsidR="000C64CD" w:rsidRPr="00C56531" w:rsidRDefault="000C64CD" w:rsidP="000C64CD">
            <w:pPr>
              <w:ind w:firstLine="0"/>
              <w:jc w:val="center"/>
              <w:rPr>
                <w:sz w:val="22"/>
              </w:rPr>
            </w:pPr>
            <w:r w:rsidRPr="00C56531">
              <w:rPr>
                <w:sz w:val="22"/>
              </w:rPr>
              <w:t>Ceļvedis uz energoefektīvu Latvijas nākotni (</w:t>
            </w:r>
            <w:r w:rsidRPr="00C56531">
              <w:rPr>
                <w:i/>
                <w:iCs/>
                <w:sz w:val="22"/>
              </w:rPr>
              <w:t>EnergyPath</w:t>
            </w:r>
            <w:r w:rsidRPr="00C56531">
              <w:rPr>
                <w:sz w:val="22"/>
              </w:rPr>
              <w:t>)</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FC3CCB0"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55905DA5" w14:textId="77777777" w:rsidR="000C64CD" w:rsidRPr="00C56531" w:rsidRDefault="000C64CD" w:rsidP="000C64CD">
            <w:pPr>
              <w:ind w:firstLine="0"/>
              <w:rPr>
                <w:sz w:val="22"/>
              </w:rPr>
            </w:pPr>
            <w:r w:rsidRPr="00C56531">
              <w:rPr>
                <w:sz w:val="22"/>
              </w:rPr>
              <w:t>354000,00</w:t>
            </w:r>
          </w:p>
        </w:tc>
      </w:tr>
      <w:tr w:rsidR="000C64CD" w:rsidRPr="00727D10" w14:paraId="6C82E8E5" w14:textId="77777777" w:rsidTr="00491581">
        <w:trPr>
          <w:trHeight w:val="738"/>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30D63FA4" w14:textId="77777777" w:rsidR="000C64CD" w:rsidRPr="00C56531" w:rsidRDefault="000C64CD" w:rsidP="000C64CD">
            <w:pPr>
              <w:ind w:firstLine="0"/>
              <w:jc w:val="center"/>
              <w:rPr>
                <w:sz w:val="22"/>
              </w:rPr>
            </w:pPr>
            <w:r w:rsidRPr="00C56531">
              <w:rPr>
                <w:sz w:val="22"/>
              </w:rPr>
              <w:t>3.</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265445C7" w14:textId="77777777" w:rsidR="000C64CD" w:rsidRPr="00C56531" w:rsidRDefault="000C64CD" w:rsidP="000C64CD">
            <w:pPr>
              <w:ind w:firstLine="0"/>
              <w:jc w:val="center"/>
              <w:rPr>
                <w:sz w:val="22"/>
              </w:rPr>
            </w:pPr>
            <w:r w:rsidRPr="00C56531">
              <w:rPr>
                <w:sz w:val="22"/>
              </w:rPr>
              <w:t>Ēku energoefektivitātes tehnoloģisko risinājumu uzlabošana</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0A05BCE9"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192CF36A" w14:textId="77777777" w:rsidR="000C64CD" w:rsidRPr="00C56531" w:rsidRDefault="000C64CD" w:rsidP="000C64CD">
            <w:pPr>
              <w:ind w:firstLine="0"/>
              <w:rPr>
                <w:sz w:val="22"/>
              </w:rPr>
            </w:pPr>
            <w:r w:rsidRPr="00C56531">
              <w:rPr>
                <w:sz w:val="22"/>
              </w:rPr>
              <w:t>354000,00</w:t>
            </w:r>
          </w:p>
        </w:tc>
      </w:tr>
      <w:tr w:rsidR="000C64CD" w:rsidRPr="00727D10" w14:paraId="052CC265" w14:textId="77777777" w:rsidTr="00F57ECE">
        <w:trPr>
          <w:trHeight w:val="65"/>
          <w:tblCellSpacing w:w="0" w:type="dxa"/>
        </w:trPr>
        <w:tc>
          <w:tcPr>
            <w:tcW w:w="779" w:type="dxa"/>
            <w:tcBorders>
              <w:top w:val="outset" w:sz="6" w:space="0" w:color="auto"/>
              <w:left w:val="outset" w:sz="6" w:space="0" w:color="auto"/>
              <w:bottom w:val="outset" w:sz="6" w:space="0" w:color="auto"/>
              <w:right w:val="outset" w:sz="6" w:space="0" w:color="auto"/>
            </w:tcBorders>
            <w:shd w:val="clear" w:color="auto" w:fill="FFFFFF"/>
            <w:hideMark/>
          </w:tcPr>
          <w:p w14:paraId="752D8CA7" w14:textId="77777777" w:rsidR="000C64CD" w:rsidRPr="00C56531" w:rsidRDefault="000C64CD" w:rsidP="000C64CD">
            <w:pPr>
              <w:ind w:firstLine="0"/>
              <w:jc w:val="center"/>
              <w:rPr>
                <w:sz w:val="22"/>
              </w:rPr>
            </w:pPr>
            <w:r w:rsidRPr="00C56531">
              <w:rPr>
                <w:sz w:val="22"/>
              </w:rPr>
              <w:t>4.</w:t>
            </w:r>
          </w:p>
        </w:tc>
        <w:tc>
          <w:tcPr>
            <w:tcW w:w="3557" w:type="dxa"/>
            <w:tcBorders>
              <w:top w:val="outset" w:sz="6" w:space="0" w:color="auto"/>
              <w:left w:val="outset" w:sz="6" w:space="0" w:color="auto"/>
              <w:bottom w:val="outset" w:sz="6" w:space="0" w:color="auto"/>
              <w:right w:val="outset" w:sz="6" w:space="0" w:color="auto"/>
            </w:tcBorders>
            <w:shd w:val="clear" w:color="auto" w:fill="FFFFFF"/>
            <w:hideMark/>
          </w:tcPr>
          <w:p w14:paraId="6F79DF6C" w14:textId="77777777" w:rsidR="000C64CD" w:rsidRPr="00C56531" w:rsidRDefault="000C64CD" w:rsidP="000C64CD">
            <w:pPr>
              <w:ind w:firstLine="0"/>
              <w:jc w:val="center"/>
              <w:rPr>
                <w:sz w:val="22"/>
              </w:rPr>
            </w:pPr>
            <w:r w:rsidRPr="00C56531">
              <w:rPr>
                <w:sz w:val="22"/>
              </w:rPr>
              <w:t>Energoefektivitātes rīcībpolitikas novērtējums un analīze</w:t>
            </w:r>
          </w:p>
        </w:tc>
        <w:tc>
          <w:tcPr>
            <w:tcW w:w="2116" w:type="dxa"/>
            <w:tcBorders>
              <w:top w:val="outset" w:sz="6" w:space="0" w:color="auto"/>
              <w:left w:val="outset" w:sz="6" w:space="0" w:color="auto"/>
              <w:bottom w:val="outset" w:sz="6" w:space="0" w:color="auto"/>
              <w:right w:val="outset" w:sz="6" w:space="0" w:color="auto"/>
            </w:tcBorders>
            <w:shd w:val="clear" w:color="auto" w:fill="FFFFFF"/>
            <w:hideMark/>
          </w:tcPr>
          <w:p w14:paraId="317D1CB5" w14:textId="77777777" w:rsidR="000C64CD" w:rsidRPr="00C56531" w:rsidRDefault="000C64CD" w:rsidP="000C64CD">
            <w:pPr>
              <w:ind w:firstLine="0"/>
              <w:jc w:val="center"/>
              <w:rPr>
                <w:sz w:val="22"/>
              </w:rPr>
            </w:pPr>
            <w:r w:rsidRPr="00C56531">
              <w:rPr>
                <w:sz w:val="22"/>
              </w:rPr>
              <w:t>Rīgas Tehniskā universitāte</w:t>
            </w:r>
          </w:p>
        </w:tc>
        <w:tc>
          <w:tcPr>
            <w:tcW w:w="1826" w:type="dxa"/>
            <w:tcBorders>
              <w:top w:val="outset" w:sz="6" w:space="0" w:color="auto"/>
              <w:left w:val="outset" w:sz="6" w:space="0" w:color="auto"/>
              <w:bottom w:val="outset" w:sz="6" w:space="0" w:color="auto"/>
              <w:right w:val="outset" w:sz="6" w:space="0" w:color="auto"/>
            </w:tcBorders>
            <w:shd w:val="clear" w:color="auto" w:fill="FFFFFF"/>
            <w:hideMark/>
          </w:tcPr>
          <w:p w14:paraId="27C329F1" w14:textId="77777777" w:rsidR="000C64CD" w:rsidRPr="00C56531" w:rsidRDefault="000C64CD" w:rsidP="000C64CD">
            <w:pPr>
              <w:ind w:firstLine="0"/>
              <w:rPr>
                <w:sz w:val="22"/>
              </w:rPr>
            </w:pPr>
            <w:r w:rsidRPr="00C56531">
              <w:rPr>
                <w:sz w:val="22"/>
              </w:rPr>
              <w:t>354000,00</w:t>
            </w:r>
          </w:p>
        </w:tc>
      </w:tr>
    </w:tbl>
    <w:p w14:paraId="6DEDE354" w14:textId="77777777" w:rsidR="000C64CD" w:rsidRPr="00E034CB" w:rsidRDefault="000C64CD" w:rsidP="000C64CD">
      <w:pPr>
        <w:ind w:firstLine="0"/>
      </w:pPr>
    </w:p>
    <w:p w14:paraId="4DF4BD87" w14:textId="52679C3F" w:rsidR="00F57ECE" w:rsidRPr="00F57ECE" w:rsidRDefault="00F57ECE" w:rsidP="00F57ECE">
      <w:pPr>
        <w:ind w:firstLine="0"/>
        <w:rPr>
          <w:color w:val="000000" w:themeColor="text1"/>
          <w:u w:val="single"/>
        </w:rPr>
      </w:pPr>
      <w:r w:rsidRPr="00F57ECE">
        <w:rPr>
          <w:color w:val="000000" w:themeColor="text1"/>
          <w:u w:val="single"/>
        </w:rPr>
        <w:t>Elektromobilitāte</w:t>
      </w:r>
    </w:p>
    <w:p w14:paraId="48C222EB" w14:textId="77777777" w:rsidR="00F57ECE" w:rsidRDefault="00F57ECE" w:rsidP="00F57ECE">
      <w:pPr>
        <w:rPr>
          <w:color w:val="000000" w:themeColor="text1"/>
        </w:rPr>
      </w:pPr>
    </w:p>
    <w:p w14:paraId="27B2F68E" w14:textId="4117CA8C" w:rsidR="00F57ECE" w:rsidRPr="00F57ECE" w:rsidRDefault="00F57ECE" w:rsidP="00F57ECE">
      <w:pPr>
        <w:rPr>
          <w:color w:val="000000" w:themeColor="text1"/>
        </w:rPr>
      </w:pPr>
      <w:r w:rsidRPr="00F57ECE">
        <w:rPr>
          <w:color w:val="000000" w:themeColor="text1"/>
        </w:rPr>
        <w:t xml:space="preserve">Ministru kabinetā ir iesniegti grozījumi Dzīvokļu īpašuma likumā, ar mērķi veicināt lēmumu pieņemšanu attiecībā uz elektromobilitāti. </w:t>
      </w:r>
      <w:r w:rsidRPr="00F57ECE">
        <w:rPr>
          <w:rStyle w:val="FootnoteReference"/>
          <w:color w:val="000000" w:themeColor="text1"/>
        </w:rPr>
        <w:footnoteReference w:id="34"/>
      </w:r>
      <w:r w:rsidRPr="00F57ECE">
        <w:rPr>
          <w:color w:val="000000" w:themeColor="text1"/>
        </w:rPr>
        <w:t xml:space="preserve"> “Lai pieņemtu lēmumu par autostāvvietas izveidi personām ar invaliditāti vai autostāvvietas izveidi elektromobiļiem, ja vienlaikus tiek izveidots elektrotransportlīdzekļu uzlādes punkts, turpmāk būs nepieciešams, lai “par” nobalso dzīvokļu īpašnieki, kuri pārstāv vairāk nekā pusi no visiem dzīvokļu īpašumiem, nevis divas trešdaļas kā līdz šim. Līdz ar to Dzīvokļu īpašnieku kopībai pastāvēs iespēja veiksmīgāk vienoties par elektromobilitātes jautājumiem, veicinot viedo tehnoloģiju un labi savienotas ēku mijiedarbību.</w:t>
      </w:r>
    </w:p>
    <w:p w14:paraId="67466E26" w14:textId="0254CE6F" w:rsidR="000E51EF" w:rsidRDefault="00F57ECE" w:rsidP="00821F5E">
      <w:pPr>
        <w:spacing w:after="160" w:line="259" w:lineRule="auto"/>
        <w:ind w:firstLine="0"/>
        <w:jc w:val="left"/>
        <w:rPr>
          <w:rFonts w:eastAsiaTheme="majorEastAsia" w:cstheme="majorBidi"/>
          <w:b/>
          <w:color w:val="000000" w:themeColor="text1"/>
          <w:sz w:val="28"/>
          <w:szCs w:val="32"/>
        </w:rPr>
      </w:pPr>
      <w:r>
        <w:br w:type="page"/>
      </w:r>
    </w:p>
    <w:p w14:paraId="64EE0551" w14:textId="0FDC20DA" w:rsidR="00EB6E03" w:rsidRPr="0058175D" w:rsidRDefault="00031EFF" w:rsidP="0058175D">
      <w:pPr>
        <w:pStyle w:val="Heading1"/>
      </w:pPr>
      <w:bookmarkStart w:id="50" w:name="_Toc40113670"/>
      <w:r>
        <w:lastRenderedPageBreak/>
        <w:t xml:space="preserve">3. </w:t>
      </w:r>
      <w:r w:rsidR="00EB6E03" w:rsidRPr="0058175D">
        <w:t>Ceļvedis</w:t>
      </w:r>
      <w:bookmarkEnd w:id="50"/>
    </w:p>
    <w:p w14:paraId="08B9C2BB" w14:textId="77777777" w:rsidR="00D1109C" w:rsidRDefault="00D1109C" w:rsidP="00D1109C">
      <w:pPr>
        <w:rPr>
          <w:b/>
          <w:bCs/>
        </w:rPr>
      </w:pPr>
    </w:p>
    <w:p w14:paraId="3A73A0AC" w14:textId="09C0548D" w:rsidR="006A6F83" w:rsidRPr="00942A2E" w:rsidRDefault="006A6F83" w:rsidP="00D2562E">
      <w:pPr>
        <w:ind w:firstLine="0"/>
        <w:rPr>
          <w:color w:val="000000" w:themeColor="text1"/>
        </w:rPr>
      </w:pPr>
      <w:r w:rsidRPr="00942A2E">
        <w:rPr>
          <w:color w:val="000000" w:themeColor="text1"/>
        </w:rPr>
        <w:t>Latvijas sasniedzamie mērķi līdz 2050 gadam ir:</w:t>
      </w:r>
    </w:p>
    <w:p w14:paraId="327853E7" w14:textId="652907C3" w:rsidR="006A6F83" w:rsidRPr="00942A2E" w:rsidRDefault="006A6F83" w:rsidP="006A6F83">
      <w:pPr>
        <w:pStyle w:val="ListParagraph"/>
        <w:numPr>
          <w:ilvl w:val="0"/>
          <w:numId w:val="3"/>
        </w:numPr>
        <w:rPr>
          <w:color w:val="000000" w:themeColor="text1"/>
        </w:rPr>
      </w:pPr>
      <w:r w:rsidRPr="00942A2E">
        <w:rPr>
          <w:color w:val="000000" w:themeColor="text1"/>
        </w:rPr>
        <w:t>Latvijā visām mājsaimniecībām ir pieejami mājokļi</w:t>
      </w:r>
      <w:r w:rsidR="00D2562E">
        <w:rPr>
          <w:color w:val="000000" w:themeColor="text1"/>
        </w:rPr>
        <w:t>;</w:t>
      </w:r>
    </w:p>
    <w:p w14:paraId="71012BD4" w14:textId="721BABFD" w:rsidR="006A6F83" w:rsidRPr="00942A2E" w:rsidRDefault="006A6F83" w:rsidP="006A6F83">
      <w:pPr>
        <w:pStyle w:val="ListParagraph"/>
        <w:numPr>
          <w:ilvl w:val="0"/>
          <w:numId w:val="3"/>
        </w:numPr>
        <w:rPr>
          <w:color w:val="000000" w:themeColor="text1"/>
        </w:rPr>
      </w:pPr>
      <w:r w:rsidRPr="00942A2E">
        <w:rPr>
          <w:color w:val="000000" w:themeColor="text1"/>
        </w:rPr>
        <w:t>Esošais dzīvojamais fonds līdz 2050.</w:t>
      </w:r>
      <w:r w:rsidR="004F68B1">
        <w:rPr>
          <w:color w:val="000000" w:themeColor="text1"/>
        </w:rPr>
        <w:t> </w:t>
      </w:r>
      <w:r w:rsidRPr="00942A2E">
        <w:rPr>
          <w:color w:val="000000" w:themeColor="text1"/>
        </w:rPr>
        <w:t>gadam atbilst augstiem energoefektivitātes, būvniecības, drošības un labiekārtošanas standartiem</w:t>
      </w:r>
      <w:r w:rsidR="00D2562E">
        <w:rPr>
          <w:color w:val="000000" w:themeColor="text1"/>
        </w:rPr>
        <w:t>;</w:t>
      </w:r>
    </w:p>
    <w:p w14:paraId="56E49234" w14:textId="2AA1F52F" w:rsidR="006A6F83" w:rsidRPr="00942A2E" w:rsidRDefault="006A6F83" w:rsidP="006A6F83">
      <w:pPr>
        <w:pStyle w:val="ListParagraph"/>
        <w:numPr>
          <w:ilvl w:val="0"/>
          <w:numId w:val="3"/>
        </w:numPr>
        <w:rPr>
          <w:color w:val="000000" w:themeColor="text1"/>
        </w:rPr>
      </w:pPr>
      <w:r w:rsidRPr="00942A2E">
        <w:rPr>
          <w:color w:val="000000" w:themeColor="text1"/>
        </w:rPr>
        <w:t>Tiesiskais regulējums veicina privātos un publiskos ieguldījumus dzīvojamā fonda izveidei</w:t>
      </w:r>
      <w:r w:rsidR="00D2562E">
        <w:rPr>
          <w:color w:val="000000" w:themeColor="text1"/>
        </w:rPr>
        <w:t>;</w:t>
      </w:r>
    </w:p>
    <w:p w14:paraId="059CFC73" w14:textId="68A2FB9C" w:rsidR="006A6F83" w:rsidRPr="00942A2E" w:rsidRDefault="006A6F83" w:rsidP="006A6F83">
      <w:pPr>
        <w:pStyle w:val="ListParagraph"/>
        <w:numPr>
          <w:ilvl w:val="0"/>
          <w:numId w:val="3"/>
        </w:numPr>
        <w:rPr>
          <w:color w:val="000000" w:themeColor="text1"/>
        </w:rPr>
      </w:pPr>
      <w:r w:rsidRPr="00942A2E">
        <w:rPr>
          <w:color w:val="000000" w:themeColor="text1"/>
        </w:rPr>
        <w:t>Samazināt SEG emisijas Savienībā līdz 2050. gadam par 80-95% salīdzinājumā ar 1990. gada līmeni.</w:t>
      </w:r>
    </w:p>
    <w:p w14:paraId="511CC58D" w14:textId="77777777" w:rsidR="00D1109C" w:rsidRDefault="00D1109C" w:rsidP="00605952">
      <w:pPr>
        <w:ind w:firstLine="0"/>
        <w:rPr>
          <w:color w:val="000000" w:themeColor="text1"/>
        </w:rPr>
      </w:pPr>
    </w:p>
    <w:p w14:paraId="4BC3D84C" w14:textId="0FE93597" w:rsidR="00B7186F" w:rsidRDefault="00D1109C" w:rsidP="00B7186F">
      <w:pPr>
        <w:rPr>
          <w:color w:val="000000" w:themeColor="text1"/>
        </w:rPr>
      </w:pPr>
      <w:r w:rsidRPr="00270756">
        <w:rPr>
          <w:color w:val="000000" w:themeColor="text1"/>
        </w:rPr>
        <w:t>Raugoties caur energoefektivitātes prizmu, redzams, ka atbilstoši normatīvajam regulējumam visiem jaunajiem mājokļiem ir noteiktas prasības attiecībā uz energoefektivitātes minimālo pieļaujamo līmeni. ~10% no visām dzīvojamām ēkām ir uzbūvētas pēc 2003.gada, savukārt no kopējā daudzdzīvokļu ēku īpatsvara tikai 3% ēkas ir būvētas pēc 2003.gada</w:t>
      </w:r>
      <w:r w:rsidR="00B7186F">
        <w:rPr>
          <w:color w:val="000000" w:themeColor="text1"/>
        </w:rPr>
        <w:t xml:space="preserve"> (4% no 1993. gada)</w:t>
      </w:r>
      <w:r w:rsidRPr="00270756">
        <w:rPr>
          <w:color w:val="000000" w:themeColor="text1"/>
        </w:rPr>
        <w:t>, kad stājās spēkā jaunas būvnormatīvu prasības attiecībā uz norobežojošajām konstrukcijām – būvnormatīvs 002-001 “Ēku norobežojošo konstrukciju siltumtehnika”, ar kuru tika noteiktas būtiski augstākas siltumtehniskās prasības ēku norobežojošām konstrukcijām, līdz ar to visām ēkām, kuras projektētas un būvētas pēc 2003.gada ir jāatbilst augstām siltumtehniskajām prasībām.</w:t>
      </w:r>
      <w:r w:rsidRPr="00270756">
        <w:rPr>
          <w:rStyle w:val="FootnoteReference"/>
          <w:color w:val="000000" w:themeColor="text1"/>
        </w:rPr>
        <w:footnoteReference w:id="35"/>
      </w:r>
    </w:p>
    <w:p w14:paraId="7E3A1F96" w14:textId="77777777" w:rsidR="00E4004D" w:rsidRDefault="00E4004D" w:rsidP="00E4004D">
      <w:pPr>
        <w:ind w:firstLine="0"/>
        <w:rPr>
          <w:color w:val="000000" w:themeColor="text1"/>
        </w:rPr>
      </w:pPr>
    </w:p>
    <w:p w14:paraId="00B999AE" w14:textId="1F41A37D" w:rsidR="00B7186F" w:rsidRDefault="00672BA3" w:rsidP="00E4004D">
      <w:pPr>
        <w:ind w:firstLine="0"/>
        <w:rPr>
          <w:color w:val="000000" w:themeColor="text1"/>
        </w:rPr>
      </w:pPr>
      <w:r>
        <w:rPr>
          <w:color w:val="000000" w:themeColor="text1"/>
        </w:rPr>
        <w:t>7</w:t>
      </w:r>
      <w:r w:rsidR="00B7186F">
        <w:rPr>
          <w:color w:val="000000" w:themeColor="text1"/>
        </w:rPr>
        <w:t xml:space="preserve">. attēls. </w:t>
      </w:r>
      <w:r w:rsidR="00DC47B3">
        <w:rPr>
          <w:color w:val="000000" w:themeColor="text1"/>
        </w:rPr>
        <w:t>Daudzdzīvokļu namu sadalījums</w:t>
      </w:r>
      <w:r w:rsidR="00B7186F">
        <w:rPr>
          <w:color w:val="000000" w:themeColor="text1"/>
        </w:rPr>
        <w:t xml:space="preserve"> pēc uzbūvēšanas gada (procentos).</w:t>
      </w:r>
    </w:p>
    <w:p w14:paraId="7A298B45" w14:textId="136BC632" w:rsidR="00B7186F" w:rsidRDefault="00B7186F" w:rsidP="004F68B1">
      <w:pPr>
        <w:ind w:firstLine="0"/>
        <w:rPr>
          <w:color w:val="000000" w:themeColor="text1"/>
        </w:rPr>
      </w:pPr>
      <w:r w:rsidRPr="00B7186F">
        <w:rPr>
          <w:noProof/>
          <w:color w:val="000000" w:themeColor="text1"/>
          <w:lang w:eastAsia="lv-LV"/>
        </w:rPr>
        <w:drawing>
          <wp:inline distT="0" distB="0" distL="0" distR="0" wp14:anchorId="289F2FD3" wp14:editId="73E837D3">
            <wp:extent cx="4610100" cy="2314575"/>
            <wp:effectExtent l="0" t="0" r="0" b="0"/>
            <wp:docPr id="4" name="Chart 4">
              <a:extLst xmlns:a="http://schemas.openxmlformats.org/drawingml/2006/main">
                <a:ext uri="{FF2B5EF4-FFF2-40B4-BE49-F238E27FC236}">
                  <a16:creationId xmlns:a16="http://schemas.microsoft.com/office/drawing/2014/main" id="{1B90B66C-C084-497D-8E3C-3F3F48345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A2DFA4" w14:textId="77777777" w:rsidR="00D1109C" w:rsidRPr="005A49DB" w:rsidRDefault="00D1109C" w:rsidP="00D1109C">
      <w:pPr>
        <w:rPr>
          <w:color w:val="000000" w:themeColor="text1"/>
        </w:rPr>
      </w:pPr>
      <w:r w:rsidRPr="00270756">
        <w:rPr>
          <w:color w:val="000000" w:themeColor="text1"/>
        </w:rPr>
        <w:t xml:space="preserve">Kā jau iepriekš stratēģijā minēts, līdz šim atbilstoši </w:t>
      </w:r>
      <w:r>
        <w:rPr>
          <w:color w:val="000000" w:themeColor="text1"/>
        </w:rPr>
        <w:t>ALTUM</w:t>
      </w:r>
      <w:r w:rsidRPr="00270756">
        <w:rPr>
          <w:color w:val="000000" w:themeColor="text1"/>
        </w:rPr>
        <w:t xml:space="preserve"> apkopotajai informācijai par aktivitātes 4.2.1.1. apguves datiem</w:t>
      </w:r>
      <w:r w:rsidRPr="00270756">
        <w:rPr>
          <w:color w:val="000000" w:themeColor="text1"/>
          <w:vertAlign w:val="superscript"/>
        </w:rPr>
        <w:footnoteReference w:id="36"/>
      </w:r>
      <w:r w:rsidRPr="00270756">
        <w:rPr>
          <w:color w:val="000000" w:themeColor="text1"/>
        </w:rPr>
        <w:t xml:space="preserve">, salīdzinoši objektīvi var veikt pieņēmumus par </w:t>
      </w:r>
      <w:r>
        <w:rPr>
          <w:color w:val="000000" w:themeColor="text1"/>
        </w:rPr>
        <w:t>enerģijas ietaupījumiem</w:t>
      </w:r>
      <w:r w:rsidRPr="00270756">
        <w:rPr>
          <w:color w:val="000000" w:themeColor="text1"/>
        </w:rPr>
        <w:t xml:space="preserve"> 4.2.1.1. aktivitātes ietvaros, ja tiek pieņemts, ka viss minēto projektu skaits tiek īstenots.</w:t>
      </w:r>
    </w:p>
    <w:p w14:paraId="4DE604DA" w14:textId="6C3C9F7B" w:rsidR="00D1109C" w:rsidRPr="00E4004D" w:rsidRDefault="00D1109C" w:rsidP="00E4004D">
      <w:pPr>
        <w:rPr>
          <w:color w:val="000000" w:themeColor="text1"/>
        </w:rPr>
      </w:pPr>
      <w:r w:rsidRPr="00F171C0">
        <w:rPr>
          <w:rFonts w:eastAsia="Calibri" w:cs="Times New Roman"/>
          <w:szCs w:val="24"/>
        </w:rPr>
        <w:t>3.4.4.1. aktivitāte</w:t>
      </w:r>
      <w:r>
        <w:rPr>
          <w:rFonts w:eastAsia="Calibri" w:cs="Times New Roman"/>
          <w:szCs w:val="24"/>
        </w:rPr>
        <w:t>s</w:t>
      </w:r>
      <w:r w:rsidRPr="00F171C0">
        <w:rPr>
          <w:rFonts w:eastAsia="Calibri" w:cs="Times New Roman"/>
          <w:szCs w:val="24"/>
        </w:rPr>
        <w:t xml:space="preserve"> „Dzīvojamo māju siltumnoturības uzlabošanas pasākumi”</w:t>
      </w:r>
      <w:r>
        <w:rPr>
          <w:rFonts w:eastAsia="Calibri" w:cs="Times New Roman"/>
          <w:szCs w:val="24"/>
        </w:rPr>
        <w:t xml:space="preserve"> </w:t>
      </w:r>
      <w:r w:rsidRPr="00F171C0">
        <w:rPr>
          <w:rFonts w:eastAsia="Calibri" w:cs="Times New Roman"/>
          <w:szCs w:val="24"/>
        </w:rPr>
        <w:t>ietvaros</w:t>
      </w:r>
      <w:r>
        <w:rPr>
          <w:rFonts w:eastAsia="Calibri" w:cs="Times New Roman"/>
          <w:szCs w:val="24"/>
        </w:rPr>
        <w:t>, kas tika aizsākta 2009. gadā</w:t>
      </w:r>
      <w:r w:rsidRPr="00F171C0">
        <w:rPr>
          <w:rFonts w:eastAsia="Calibri" w:cs="Times New Roman"/>
          <w:szCs w:val="24"/>
        </w:rPr>
        <w:t xml:space="preserve"> ir pabeigta 741 energoefektivitātes paaugstināšanas projektu īstenošana</w:t>
      </w:r>
      <w:r>
        <w:rPr>
          <w:rFonts w:eastAsia="Calibri" w:cs="Times New Roman"/>
          <w:szCs w:val="24"/>
        </w:rPr>
        <w:t xml:space="preserve">. </w:t>
      </w:r>
      <w:r w:rsidRPr="00F171C0">
        <w:rPr>
          <w:rFonts w:eastAsia="Calibri" w:cs="Times New Roman"/>
          <w:szCs w:val="24"/>
        </w:rPr>
        <w:t>Pabeigto projektu ietvaros sasniegt</w:t>
      </w:r>
      <w:r>
        <w:rPr>
          <w:rFonts w:eastAsia="Calibri" w:cs="Times New Roman"/>
          <w:szCs w:val="24"/>
        </w:rPr>
        <w:t>ai</w:t>
      </w:r>
      <w:r w:rsidRPr="00F171C0">
        <w:rPr>
          <w:rFonts w:eastAsia="Calibri" w:cs="Times New Roman"/>
          <w:szCs w:val="24"/>
        </w:rPr>
        <w:t xml:space="preserve">s siltumenerģijas ietaupījums ir 30-60% no iepriekš patērētā siltumenerģijas apjoma (vidēji 43%). </w:t>
      </w:r>
      <w:r>
        <w:rPr>
          <w:color w:val="000000" w:themeColor="text1"/>
        </w:rPr>
        <w:t>Savukārt,</w:t>
      </w:r>
      <w:r w:rsidRPr="00270756">
        <w:rPr>
          <w:color w:val="000000" w:themeColor="text1"/>
        </w:rPr>
        <w:t xml:space="preserve"> 4.2.1.1. aktivitātes ietvaros, </w:t>
      </w:r>
      <w:r>
        <w:rPr>
          <w:color w:val="000000" w:themeColor="text1"/>
        </w:rPr>
        <w:t>j</w:t>
      </w:r>
      <w:r w:rsidRPr="00270756">
        <w:rPr>
          <w:color w:val="000000" w:themeColor="text1"/>
        </w:rPr>
        <w:t xml:space="preserve">a aplūko jau pabeigto projektu </w:t>
      </w:r>
      <w:r w:rsidRPr="00270756">
        <w:rPr>
          <w:color w:val="000000" w:themeColor="text1"/>
        </w:rPr>
        <w:lastRenderedPageBreak/>
        <w:t xml:space="preserve">siltumenerģijas patēriņu, tad tie </w:t>
      </w:r>
      <w:r w:rsidRPr="00270756">
        <w:rPr>
          <w:bCs/>
          <w:iCs/>
          <w:color w:val="000000" w:themeColor="text1"/>
        </w:rPr>
        <w:t>uzrāda būtisku enerģijas patēriņa samazinājumu – ja pirms mājas atjaunošanas vidējais enerģijas patēriņš bija 165 kWh gadā, tad pēc renovācijas darbiem tas ir vidēji par 67% zemāks jeb 54 kWh gadā.</w:t>
      </w:r>
      <w:r w:rsidRPr="00270756">
        <w:rPr>
          <w:bCs/>
          <w:iCs/>
          <w:color w:val="000000" w:themeColor="text1"/>
          <w:vertAlign w:val="superscript"/>
        </w:rPr>
        <w:footnoteReference w:id="37"/>
      </w:r>
      <w:r w:rsidRPr="005A49DB">
        <w:rPr>
          <w:color w:val="000000" w:themeColor="text1"/>
        </w:rPr>
        <w:t xml:space="preserve"> </w:t>
      </w:r>
      <w:r w:rsidRPr="006B37CD">
        <w:rPr>
          <w:color w:val="000000" w:themeColor="text1"/>
        </w:rPr>
        <w:t>Līdz ar to, abu aktivitāšu ietvaros kopā, vidējais enerģijas patēriņa ietaupījums kopumā varētu būt aptuveni 60%.</w:t>
      </w:r>
    </w:p>
    <w:p w14:paraId="3DFC9C66" w14:textId="77777777" w:rsidR="00F8294C" w:rsidRDefault="00F8294C" w:rsidP="00E4004D">
      <w:pPr>
        <w:rPr>
          <w:rFonts w:eastAsia="Calibri" w:cs="Times New Roman"/>
          <w:szCs w:val="24"/>
        </w:rPr>
      </w:pPr>
    </w:p>
    <w:p w14:paraId="4819C300" w14:textId="051CD3F9" w:rsidR="00E4004D" w:rsidRDefault="00E4004D" w:rsidP="00E4004D">
      <w:pPr>
        <w:rPr>
          <w:rFonts w:eastAsia="Calibri" w:cs="Times New Roman"/>
          <w:szCs w:val="24"/>
        </w:rPr>
      </w:pPr>
      <w:r w:rsidRPr="00E4004D">
        <w:rPr>
          <w:rFonts w:eastAsia="Calibri" w:cs="Times New Roman"/>
          <w:szCs w:val="24"/>
        </w:rPr>
        <w:t>Nacionālais attīstības plāns 2021.–2027. gadam (NAP2027) ir galvenais valsts vidēja termiņa attīstības plānošanas dokuments Latvijā. Tas ir izstrādāts, īstenojot Latvijas Ilgtspējīgas attīstības stratēģiju līdz 2030. gadam (Latvija2030) un ANO Ilgtspējīgas attīstības mērķus, lai nākamajos septiņos gados ikviens Latvijas iedzīvotājs un Latvijas sabiedrība kopumā panāktu dzīves kvalitātes uzlabošanos. Šis dokuments ir valsts augstākais ilgtermiņa attīstības dokuments un galvenais plānošanas dokuments, kas nosaka telpisko attīstības perspektīvu – iezīmē integrētu skatījumu valsts teritorijas līdzsvarotai un ilgtspējīgai attīstībai. NAP2027 nosaka stratēģiskos mērķus, ko Latvijā apņemamies sasniegt līdz 2027. gadam, iezīmē nozaru politiku virzienus un galvenās reformas, kā arī publisko investīciju virzienus valsts budžeta, Eiropas Savienības (ES) fondu un citu finanšu instrumentu ieguldījumiem Latvijā. NAP2027 ambiciozie mērķi un vajadzības ir salāgotas ar patiesajām iespējām un pieejamajiem līdzekļiem. Tāpēc plāns ir reāls un īstenojams.</w:t>
      </w:r>
    </w:p>
    <w:p w14:paraId="3822A581" w14:textId="24340E2C" w:rsidR="003C1F51" w:rsidRDefault="003C1F51" w:rsidP="00E4004D">
      <w:pPr>
        <w:rPr>
          <w:rFonts w:eastAsia="Calibri" w:cs="Times New Roman"/>
          <w:szCs w:val="24"/>
        </w:rPr>
      </w:pPr>
    </w:p>
    <w:p w14:paraId="4DBCEA27" w14:textId="00D80B09" w:rsidR="003C1F51" w:rsidRPr="004B6B8A" w:rsidRDefault="003C1F51" w:rsidP="003C1F51">
      <w:pPr>
        <w:ind w:firstLine="0"/>
        <w:rPr>
          <w:rFonts w:eastAsia="Calibri" w:cs="Times New Roman"/>
          <w:szCs w:val="24"/>
          <w:u w:val="single"/>
        </w:rPr>
      </w:pPr>
      <w:r w:rsidRPr="004B6B8A">
        <w:rPr>
          <w:rFonts w:eastAsia="Calibri" w:cs="Times New Roman"/>
          <w:szCs w:val="24"/>
          <w:u w:val="single"/>
        </w:rPr>
        <w:t>Ēku fonda tehniskā stāvokļa uzlabošana:</w:t>
      </w:r>
    </w:p>
    <w:p w14:paraId="4EC9C8DD" w14:textId="77777777" w:rsidR="003C1F51" w:rsidRDefault="003C1F51" w:rsidP="003C1F51">
      <w:pPr>
        <w:rPr>
          <w:rFonts w:eastAsia="Calibri" w:cs="Times New Roman"/>
          <w:szCs w:val="24"/>
        </w:rPr>
      </w:pPr>
    </w:p>
    <w:p w14:paraId="603C7D04" w14:textId="47806F3A" w:rsidR="003C1F51" w:rsidRPr="003C1F51" w:rsidRDefault="003C1F51" w:rsidP="003C1F51">
      <w:pPr>
        <w:rPr>
          <w:rFonts w:eastAsia="Calibri" w:cs="Times New Roman"/>
          <w:szCs w:val="24"/>
        </w:rPr>
      </w:pPr>
      <w:r w:rsidRPr="003C1F51">
        <w:rPr>
          <w:rFonts w:eastAsia="Calibri" w:cs="Times New Roman"/>
          <w:szCs w:val="24"/>
        </w:rPr>
        <w:t>Energoefektivitātes paaugstināšana dzīvojamās ēkās (daudzīvokļu, privātās un neliela dzīvokļu skaita ēku kompleksos)</w:t>
      </w:r>
      <w:r>
        <w:rPr>
          <w:rFonts w:eastAsia="Calibri" w:cs="Times New Roman"/>
          <w:szCs w:val="24"/>
        </w:rPr>
        <w:t xml:space="preserve">. </w:t>
      </w:r>
      <w:r w:rsidRPr="003C1F51">
        <w:rPr>
          <w:rFonts w:eastAsia="Calibri" w:cs="Times New Roman"/>
          <w:szCs w:val="24"/>
        </w:rPr>
        <w:t>Nepieciešamais finansējums: 450</w:t>
      </w:r>
      <w:r w:rsidR="004B6B8A">
        <w:rPr>
          <w:rFonts w:eastAsia="Calibri" w:cs="Times New Roman"/>
          <w:szCs w:val="24"/>
        </w:rPr>
        <w:t xml:space="preserve"> milj</w:t>
      </w:r>
      <w:r>
        <w:rPr>
          <w:rFonts w:eastAsia="Calibri" w:cs="Times New Roman"/>
          <w:szCs w:val="24"/>
        </w:rPr>
        <w:t>. (Daudzdzīvokļu ēkām – 250 milj. ERAF, 200 </w:t>
      </w:r>
      <w:r w:rsidR="004B6B8A">
        <w:rPr>
          <w:rFonts w:eastAsia="Calibri" w:cs="Times New Roman"/>
          <w:szCs w:val="24"/>
        </w:rPr>
        <w:t>milj.,</w:t>
      </w:r>
      <w:r>
        <w:rPr>
          <w:rFonts w:eastAsia="Calibri" w:cs="Times New Roman"/>
          <w:szCs w:val="24"/>
        </w:rPr>
        <w:t xml:space="preserve"> iedzīvotāju līdzfinansējums).</w:t>
      </w:r>
    </w:p>
    <w:p w14:paraId="6C0A15EE" w14:textId="1E004187" w:rsidR="003C1F51" w:rsidRPr="003C1F51" w:rsidRDefault="003C1F51" w:rsidP="003C1F51">
      <w:pPr>
        <w:rPr>
          <w:rFonts w:eastAsia="Calibri" w:cs="Times New Roman"/>
          <w:szCs w:val="24"/>
        </w:rPr>
      </w:pPr>
      <w:r w:rsidRPr="003C1F51">
        <w:rPr>
          <w:rFonts w:eastAsia="Calibri" w:cs="Times New Roman"/>
          <w:szCs w:val="24"/>
        </w:rPr>
        <w:t>Veicamās darbības: energoefektivitātes uzlabošanas pasākumi daudzdzīvokļu mājās; resursu efektīvas izmantošanas veicināšana, lai samazinātu patērētās siltumenerģijas apjomu</w:t>
      </w:r>
      <w:r>
        <w:rPr>
          <w:rFonts w:eastAsia="Calibri" w:cs="Times New Roman"/>
          <w:szCs w:val="24"/>
        </w:rPr>
        <w:t>.</w:t>
      </w:r>
    </w:p>
    <w:p w14:paraId="17AF3293" w14:textId="77777777" w:rsidR="003C1F51" w:rsidRDefault="003C1F51" w:rsidP="003C1F51">
      <w:pPr>
        <w:rPr>
          <w:rFonts w:eastAsia="Calibri" w:cs="Times New Roman"/>
          <w:szCs w:val="24"/>
        </w:rPr>
      </w:pPr>
    </w:p>
    <w:p w14:paraId="7C106C52" w14:textId="2054A32C" w:rsidR="003C1F51" w:rsidRDefault="003C1F51" w:rsidP="003C1F51">
      <w:pPr>
        <w:rPr>
          <w:rFonts w:eastAsia="Calibri" w:cs="Times New Roman"/>
          <w:szCs w:val="24"/>
        </w:rPr>
      </w:pPr>
      <w:r w:rsidRPr="003C1F51">
        <w:rPr>
          <w:rFonts w:eastAsia="Calibri" w:cs="Times New Roman"/>
          <w:szCs w:val="24"/>
        </w:rPr>
        <w:t>Energoefektivitātes paaugstināšana valsts ēkās</w:t>
      </w:r>
      <w:r>
        <w:rPr>
          <w:rFonts w:eastAsia="Calibri" w:cs="Times New Roman"/>
          <w:szCs w:val="24"/>
        </w:rPr>
        <w:t xml:space="preserve">. </w:t>
      </w:r>
      <w:r w:rsidRPr="003C1F51">
        <w:rPr>
          <w:rFonts w:eastAsia="Calibri" w:cs="Times New Roman"/>
          <w:szCs w:val="24"/>
        </w:rPr>
        <w:t>Nepieciešamais finansējums: 200</w:t>
      </w:r>
      <w:r w:rsidR="00F8294C">
        <w:rPr>
          <w:rFonts w:eastAsia="Calibri" w:cs="Times New Roman"/>
          <w:szCs w:val="24"/>
        </w:rPr>
        <w:t xml:space="preserve"> milj</w:t>
      </w:r>
      <w:r>
        <w:rPr>
          <w:rFonts w:eastAsia="Calibri" w:cs="Times New Roman"/>
          <w:szCs w:val="24"/>
        </w:rPr>
        <w:t xml:space="preserve">. </w:t>
      </w:r>
      <w:r w:rsidRPr="003C1F51">
        <w:rPr>
          <w:rFonts w:eastAsia="Calibri" w:cs="Times New Roman"/>
          <w:szCs w:val="24"/>
        </w:rPr>
        <w:t>Veicamās darbības: energoefektivitātes uzlabošanas, viedas energovadības un atjaunojamo energoresursu izmantošanas pasākumi valsts īpašumā esošajās ēkās</w:t>
      </w:r>
      <w:r>
        <w:rPr>
          <w:rFonts w:eastAsia="Calibri" w:cs="Times New Roman"/>
          <w:szCs w:val="24"/>
        </w:rPr>
        <w:t>.</w:t>
      </w:r>
    </w:p>
    <w:p w14:paraId="4E9DE685" w14:textId="77777777" w:rsidR="004B6B8A" w:rsidRDefault="004B6B8A" w:rsidP="004B6B8A">
      <w:pPr>
        <w:rPr>
          <w:rFonts w:eastAsia="Calibri" w:cs="Times New Roman"/>
          <w:szCs w:val="24"/>
        </w:rPr>
      </w:pPr>
    </w:p>
    <w:p w14:paraId="74DF47C1" w14:textId="75C6B0A5" w:rsidR="004B6B8A" w:rsidRPr="004B6B8A" w:rsidRDefault="004B6B8A" w:rsidP="004B6B8A">
      <w:pPr>
        <w:ind w:firstLine="0"/>
        <w:rPr>
          <w:rFonts w:eastAsia="Calibri" w:cs="Times New Roman"/>
          <w:szCs w:val="24"/>
          <w:u w:val="single"/>
        </w:rPr>
      </w:pPr>
      <w:r w:rsidRPr="004B6B8A">
        <w:rPr>
          <w:rFonts w:eastAsia="Calibri" w:cs="Times New Roman"/>
          <w:szCs w:val="24"/>
          <w:u w:val="single"/>
        </w:rPr>
        <w:t>Atbalsts ilgtspējīgu, zemu būvniecības un ekspluatācijas izmaksu mājokļu būvniecībai primāri teritorijās ar jaunu darba vietu potenciālu</w:t>
      </w:r>
      <w:r>
        <w:rPr>
          <w:rFonts w:eastAsia="Calibri" w:cs="Times New Roman"/>
          <w:szCs w:val="24"/>
          <w:u w:val="single"/>
        </w:rPr>
        <w:t>:</w:t>
      </w:r>
    </w:p>
    <w:p w14:paraId="79A2DAB3" w14:textId="77777777" w:rsidR="004B6B8A" w:rsidRPr="004B6B8A" w:rsidRDefault="004B6B8A" w:rsidP="004B6B8A">
      <w:pPr>
        <w:rPr>
          <w:rFonts w:eastAsia="Calibri" w:cs="Times New Roman"/>
          <w:szCs w:val="24"/>
        </w:rPr>
      </w:pPr>
    </w:p>
    <w:p w14:paraId="46BC28AC" w14:textId="080A5523" w:rsidR="004B6B8A" w:rsidRPr="004B6B8A" w:rsidRDefault="004B6B8A" w:rsidP="004B6B8A">
      <w:pPr>
        <w:rPr>
          <w:rFonts w:eastAsia="Calibri" w:cs="Times New Roman"/>
          <w:szCs w:val="24"/>
        </w:rPr>
      </w:pPr>
      <w:r w:rsidRPr="004B6B8A">
        <w:rPr>
          <w:rFonts w:eastAsia="Calibri" w:cs="Times New Roman"/>
          <w:szCs w:val="24"/>
        </w:rPr>
        <w:t>Nepieciešamais finansējums: 473</w:t>
      </w:r>
      <w:r>
        <w:rPr>
          <w:rFonts w:eastAsia="Calibri" w:cs="Times New Roman"/>
          <w:szCs w:val="24"/>
        </w:rPr>
        <w:t xml:space="preserve"> milj. </w:t>
      </w:r>
      <w:r w:rsidRPr="004B6B8A">
        <w:rPr>
          <w:rFonts w:eastAsia="Calibri" w:cs="Times New Roman"/>
          <w:szCs w:val="24"/>
        </w:rPr>
        <w:t>Mērķauditorija: pašvaldības, to kapitālsabiedrības un citi bezpeļņas vai zemas peļņas nekustamo īpašumu attīstītāji</w:t>
      </w:r>
      <w:r>
        <w:rPr>
          <w:rFonts w:eastAsia="Calibri" w:cs="Times New Roman"/>
          <w:szCs w:val="24"/>
        </w:rPr>
        <w:t>.</w:t>
      </w:r>
    </w:p>
    <w:p w14:paraId="3B712600" w14:textId="7981C5C5" w:rsidR="004B6B8A" w:rsidRPr="004B6B8A" w:rsidRDefault="004B6B8A" w:rsidP="004B6B8A">
      <w:pPr>
        <w:ind w:firstLine="0"/>
        <w:rPr>
          <w:rFonts w:eastAsia="Calibri" w:cs="Times New Roman"/>
          <w:szCs w:val="24"/>
        </w:rPr>
      </w:pPr>
      <w:r w:rsidRPr="004B6B8A">
        <w:rPr>
          <w:rFonts w:eastAsia="Calibri" w:cs="Times New Roman"/>
          <w:szCs w:val="24"/>
        </w:rPr>
        <w:t>Veicamās darbības: Radīts ilgtermiņa aizdevums ar zemu procentu likmi zemu izmaksu mājokļu būvniecībai</w:t>
      </w:r>
      <w:r>
        <w:rPr>
          <w:rFonts w:eastAsia="Calibri" w:cs="Times New Roman"/>
          <w:szCs w:val="24"/>
        </w:rPr>
        <w:t>. V</w:t>
      </w:r>
      <w:r w:rsidRPr="004B6B8A">
        <w:rPr>
          <w:rFonts w:eastAsia="Calibri" w:cs="Times New Roman"/>
          <w:szCs w:val="24"/>
        </w:rPr>
        <w:t>isa summa paredzēta, kā nepieciešamā summa aizdevumiem, bez tiešas ietekmes uz budžetu.</w:t>
      </w:r>
    </w:p>
    <w:p w14:paraId="1DB7EA43" w14:textId="77777777" w:rsidR="004B6B8A" w:rsidRDefault="004B6B8A" w:rsidP="004B6B8A">
      <w:pPr>
        <w:ind w:firstLine="0"/>
        <w:rPr>
          <w:rFonts w:eastAsia="Calibri" w:cs="Times New Roman"/>
          <w:szCs w:val="24"/>
        </w:rPr>
      </w:pPr>
    </w:p>
    <w:p w14:paraId="1F5ABB42" w14:textId="1A788CA2" w:rsidR="00E4004D" w:rsidRPr="00E4004D" w:rsidRDefault="00E4004D" w:rsidP="00E4004D">
      <w:pPr>
        <w:rPr>
          <w:rFonts w:eastAsia="Calibri" w:cs="Times New Roman"/>
          <w:szCs w:val="24"/>
        </w:rPr>
      </w:pPr>
      <w:r w:rsidRPr="00E4004D">
        <w:rPr>
          <w:rFonts w:eastAsia="Calibri" w:cs="Times New Roman"/>
          <w:szCs w:val="24"/>
        </w:rPr>
        <w:t xml:space="preserve">Atbilstoši NAP2027 rīcības virzienam “Mājoklis”, kura mērķis ir Latvijā visām mājsaimniecībām ir pieejami mājokļi un, lai esošais dzīvojamais fonds līdz 2050. gadam atbilst augstiem energoefektivitātes, būvniecības, drošības un labiekārtotības standartiem. Lai to panāktu ir sagatavoti rīcības virziena mērķa indikatori, kas nosaka, </w:t>
      </w:r>
      <w:r w:rsidRPr="00E4004D">
        <w:rPr>
          <w:rFonts w:eastAsia="Calibri" w:cs="Times New Roman"/>
          <w:szCs w:val="24"/>
        </w:rPr>
        <w:lastRenderedPageBreak/>
        <w:t xml:space="preserve">ka ekspluatācijā pieņemto jauno dzīvokļu skaits (mērķa vērtība 2024) gadā ir 7000, savukārt 2027. gadā 10000. </w:t>
      </w:r>
      <w:r w:rsidRPr="00E4004D">
        <w:rPr>
          <w:rFonts w:eastAsia="Calibri" w:cs="Times New Roman"/>
          <w:szCs w:val="24"/>
          <w:vertAlign w:val="superscript"/>
        </w:rPr>
        <w:footnoteReference w:id="38"/>
      </w:r>
      <w:r w:rsidRPr="00E4004D">
        <w:rPr>
          <w:rFonts w:eastAsia="Calibri" w:cs="Times New Roman"/>
          <w:szCs w:val="24"/>
        </w:rPr>
        <w:t xml:space="preserve"> </w:t>
      </w:r>
    </w:p>
    <w:p w14:paraId="1E11188E" w14:textId="77777777" w:rsidR="00E4004D" w:rsidRPr="00E4004D" w:rsidRDefault="00E4004D" w:rsidP="00E4004D">
      <w:pPr>
        <w:rPr>
          <w:rFonts w:eastAsia="Calibri" w:cs="Times New Roman"/>
          <w:b/>
          <w:bCs/>
          <w:szCs w:val="24"/>
        </w:rPr>
      </w:pPr>
      <w:bookmarkStart w:id="51" w:name="_Hlk18391680"/>
    </w:p>
    <w:p w14:paraId="10E7BCA8" w14:textId="466362FF" w:rsidR="00E4004D" w:rsidRPr="00E4004D" w:rsidRDefault="00672BA3" w:rsidP="004F68B1">
      <w:pPr>
        <w:ind w:firstLine="0"/>
        <w:rPr>
          <w:rFonts w:eastAsia="Calibri" w:cs="Times New Roman"/>
          <w:b/>
          <w:bCs/>
          <w:szCs w:val="24"/>
        </w:rPr>
      </w:pPr>
      <w:r>
        <w:rPr>
          <w:rFonts w:eastAsia="Calibri" w:cs="Times New Roman"/>
          <w:szCs w:val="24"/>
        </w:rPr>
        <w:t>8</w:t>
      </w:r>
      <w:r w:rsidR="00E4004D" w:rsidRPr="00E4004D">
        <w:rPr>
          <w:rFonts w:eastAsia="Calibri" w:cs="Times New Roman"/>
          <w:szCs w:val="24"/>
        </w:rPr>
        <w:t>.attēls</w:t>
      </w:r>
      <w:r w:rsidR="00E4004D" w:rsidRPr="00E4004D">
        <w:rPr>
          <w:rFonts w:eastAsia="Calibri" w:cs="Times New Roman"/>
          <w:b/>
          <w:bCs/>
          <w:noProof/>
          <w:szCs w:val="24"/>
          <w:lang w:eastAsia="lv-LV"/>
        </w:rPr>
        <w:drawing>
          <wp:inline distT="0" distB="0" distL="0" distR="0" wp14:anchorId="60F49DFD" wp14:editId="235DEED8">
            <wp:extent cx="5181600" cy="2786332"/>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D2DEF" w14:textId="77777777" w:rsidR="00E4004D" w:rsidRPr="00E4004D" w:rsidRDefault="00E4004D" w:rsidP="00E4004D">
      <w:pPr>
        <w:rPr>
          <w:rFonts w:eastAsia="Calibri" w:cs="Times New Roman"/>
          <w:b/>
          <w:bCs/>
          <w:szCs w:val="24"/>
        </w:rPr>
      </w:pPr>
    </w:p>
    <w:p w14:paraId="3717E671" w14:textId="10CA3B12" w:rsidR="00E4004D" w:rsidRDefault="00E4004D" w:rsidP="00E4004D">
      <w:pPr>
        <w:rPr>
          <w:rFonts w:eastAsia="Calibri" w:cs="Times New Roman"/>
          <w:szCs w:val="24"/>
        </w:rPr>
      </w:pPr>
      <w:r w:rsidRPr="00E4004D">
        <w:rPr>
          <w:rFonts w:eastAsia="Calibri" w:cs="Times New Roman"/>
          <w:szCs w:val="24"/>
        </w:rPr>
        <w:t xml:space="preserve">Aplūkojot </w:t>
      </w:r>
      <w:r w:rsidR="00672BA3">
        <w:rPr>
          <w:rFonts w:eastAsia="Calibri" w:cs="Times New Roman"/>
          <w:szCs w:val="24"/>
        </w:rPr>
        <w:t>8</w:t>
      </w:r>
      <w:r w:rsidRPr="00E4004D">
        <w:rPr>
          <w:rFonts w:eastAsia="Calibri" w:cs="Times New Roman"/>
          <w:szCs w:val="24"/>
        </w:rPr>
        <w:t>. attēlu, vērojamas pozitīvas tendences un redzams, ka pēdējo četru gadu griezumā, ekspluatācijā pieņemto jauno dzīvokļu skaits pakāpeniski pieaug. Arī dati par 2019. gadu norāda uz to, ka tendences nākotnē ir pozitīvas. Vienlaikus jānorāda uz investīciju trūkumu ārpus Rīgas un tās reģiona.</w:t>
      </w:r>
    </w:p>
    <w:p w14:paraId="7296B232" w14:textId="77777777" w:rsidR="007D66CF" w:rsidRDefault="007D66CF" w:rsidP="00E4004D">
      <w:pPr>
        <w:rPr>
          <w:rFonts w:eastAsia="Calibri" w:cs="Times New Roman"/>
          <w:szCs w:val="24"/>
        </w:rPr>
      </w:pPr>
    </w:p>
    <w:p w14:paraId="22F65ACC" w14:textId="3C8018D6" w:rsidR="007D66CF" w:rsidRPr="007D66CF" w:rsidRDefault="007D66CF" w:rsidP="007D66CF">
      <w:pPr>
        <w:rPr>
          <w:rFonts w:eastAsia="Calibri" w:cs="Times New Roman"/>
          <w:szCs w:val="24"/>
        </w:rPr>
      </w:pPr>
      <w:r>
        <w:rPr>
          <w:rFonts w:eastAsia="Calibri" w:cs="Times New Roman"/>
          <w:szCs w:val="24"/>
        </w:rPr>
        <w:t xml:space="preserve">Papildus investīciju piesaistei, </w:t>
      </w:r>
      <w:r w:rsidRPr="007D66CF">
        <w:rPr>
          <w:rFonts w:eastAsia="Calibri" w:cs="Times New Roman"/>
          <w:szCs w:val="24"/>
        </w:rPr>
        <w:t>Ekonomikas ministrija skatīšanai valdībā virzīs priekšlikumu daudzdzīvokļu māju renovā</w:t>
      </w:r>
      <w:r>
        <w:rPr>
          <w:rFonts w:eastAsia="Calibri" w:cs="Times New Roman"/>
          <w:szCs w:val="24"/>
        </w:rPr>
        <w:t>cijai piešķirt 75 miljonus eiro, kas palīdzēs</w:t>
      </w:r>
      <w:r w:rsidRPr="007D66CF">
        <w:rPr>
          <w:rFonts w:eastAsia="Calibri" w:cs="Times New Roman"/>
          <w:szCs w:val="24"/>
        </w:rPr>
        <w:t xml:space="preserve"> </w:t>
      </w:r>
      <w:r>
        <w:rPr>
          <w:rFonts w:eastAsia="Calibri" w:cs="Times New Roman"/>
          <w:szCs w:val="24"/>
        </w:rPr>
        <w:t xml:space="preserve">iedzīvotājiem </w:t>
      </w:r>
      <w:r w:rsidRPr="007D66CF">
        <w:rPr>
          <w:rFonts w:eastAsia="Calibri" w:cs="Times New Roman"/>
          <w:szCs w:val="24"/>
        </w:rPr>
        <w:t>sak</w:t>
      </w:r>
      <w:r>
        <w:rPr>
          <w:rFonts w:eastAsia="Calibri" w:cs="Times New Roman"/>
          <w:szCs w:val="24"/>
        </w:rPr>
        <w:t>ārtot dzīvojamo fondu un mazinās apkures izdevumus. P</w:t>
      </w:r>
      <w:r w:rsidRPr="007D66CF">
        <w:rPr>
          <w:rFonts w:eastAsia="Calibri" w:cs="Times New Roman"/>
          <w:szCs w:val="24"/>
        </w:rPr>
        <w:t>apildu finansējuma novirzīšana daudzdzīvokļu dzīvojamo māju energoefektivitātes veicināšanai ļautu realizēt attīstības finanšu institūcijā "Altum" 2019. gadā iesniegtos projektus, kam nepietika finansējuma Eiropas Savienība</w:t>
      </w:r>
      <w:r>
        <w:rPr>
          <w:rFonts w:eastAsia="Calibri" w:cs="Times New Roman"/>
          <w:szCs w:val="24"/>
        </w:rPr>
        <w:t xml:space="preserve">s (ES) struktūrfondu programmā. </w:t>
      </w:r>
      <w:r w:rsidRPr="007D66CF">
        <w:rPr>
          <w:rFonts w:eastAsia="Calibri" w:cs="Times New Roman"/>
          <w:szCs w:val="24"/>
        </w:rPr>
        <w:t>Vienlaikus papildu finansējums ļautu pieņemt papildu projektus 2020. gadā. Tādējādi tiktu novērsts būvdarbu pārrāvums pēc ES struktūrfondu 2016.-2020.</w:t>
      </w:r>
      <w:r>
        <w:rPr>
          <w:rFonts w:eastAsia="Calibri" w:cs="Times New Roman"/>
          <w:szCs w:val="24"/>
        </w:rPr>
        <w:t xml:space="preserve"> gada plānošanas perioda beigām, </w:t>
      </w:r>
      <w:r w:rsidRPr="007D66CF">
        <w:rPr>
          <w:rFonts w:eastAsia="Calibri" w:cs="Times New Roman"/>
          <w:szCs w:val="24"/>
        </w:rPr>
        <w:t>kā arī netiktu apturēta būvniecības uzņēmumu darbība, vienlaikus neļaujot aizplūst uz citām ES valstīm kvalificētam darbaspēkam</w:t>
      </w:r>
      <w:r>
        <w:rPr>
          <w:rFonts w:eastAsia="Calibri" w:cs="Times New Roman"/>
          <w:szCs w:val="24"/>
        </w:rPr>
        <w:t>, kas ir radījis līdzīgus šķēršļus iepriekšējā plānošanas periodā.</w:t>
      </w:r>
    </w:p>
    <w:p w14:paraId="2AF054DE" w14:textId="77777777" w:rsidR="00E4004D" w:rsidRPr="00E4004D" w:rsidRDefault="00E4004D" w:rsidP="007D66CF">
      <w:pPr>
        <w:ind w:firstLine="0"/>
        <w:rPr>
          <w:rFonts w:eastAsia="Calibri" w:cs="Times New Roman"/>
          <w:b/>
          <w:bCs/>
          <w:szCs w:val="24"/>
        </w:rPr>
      </w:pPr>
    </w:p>
    <w:p w14:paraId="5EC21BF2" w14:textId="61ACBAFF" w:rsidR="00D1109C" w:rsidRDefault="00D1109C" w:rsidP="00E4004D">
      <w:pPr>
        <w:ind w:firstLine="0"/>
        <w:rPr>
          <w:rFonts w:eastAsia="Calibri" w:cs="Times New Roman"/>
          <w:b/>
          <w:bCs/>
          <w:szCs w:val="24"/>
        </w:rPr>
      </w:pPr>
      <w:r>
        <w:rPr>
          <w:rFonts w:eastAsia="Calibri" w:cs="Times New Roman"/>
          <w:b/>
          <w:bCs/>
          <w:szCs w:val="24"/>
        </w:rPr>
        <w:t>E</w:t>
      </w:r>
      <w:r w:rsidRPr="00206AFE">
        <w:rPr>
          <w:rFonts w:eastAsia="Calibri" w:cs="Times New Roman"/>
          <w:b/>
          <w:bCs/>
          <w:szCs w:val="24"/>
        </w:rPr>
        <w:t xml:space="preserve">nergoefektivitātes uzlabošanas pasākumu </w:t>
      </w:r>
      <w:r>
        <w:rPr>
          <w:rFonts w:eastAsia="Calibri" w:cs="Times New Roman"/>
          <w:b/>
          <w:bCs/>
          <w:szCs w:val="24"/>
        </w:rPr>
        <w:t>ī</w:t>
      </w:r>
      <w:r w:rsidRPr="00206AFE">
        <w:rPr>
          <w:rFonts w:eastAsia="Calibri" w:cs="Times New Roman"/>
          <w:b/>
          <w:bCs/>
          <w:szCs w:val="24"/>
        </w:rPr>
        <w:t>steno</w:t>
      </w:r>
      <w:r>
        <w:rPr>
          <w:rFonts w:eastAsia="Calibri" w:cs="Times New Roman"/>
          <w:b/>
          <w:bCs/>
          <w:szCs w:val="24"/>
        </w:rPr>
        <w:t>šana</w:t>
      </w:r>
      <w:r w:rsidRPr="00206AFE">
        <w:rPr>
          <w:rFonts w:eastAsia="Calibri" w:cs="Times New Roman"/>
          <w:b/>
          <w:bCs/>
          <w:szCs w:val="24"/>
        </w:rPr>
        <w:t xml:space="preserve"> privātmājās vai neliela skaita ēku kompleksos</w:t>
      </w:r>
      <w:bookmarkEnd w:id="51"/>
    </w:p>
    <w:p w14:paraId="6ECA8D48" w14:textId="77777777" w:rsidR="009A1647" w:rsidRDefault="009A1647" w:rsidP="009A1647">
      <w:pPr>
        <w:ind w:firstLine="0"/>
        <w:rPr>
          <w:rFonts w:eastAsia="Calibri" w:cs="Times New Roman"/>
          <w:b/>
          <w:bCs/>
          <w:szCs w:val="24"/>
        </w:rPr>
      </w:pPr>
    </w:p>
    <w:p w14:paraId="26CD1B4A" w14:textId="2F50F4C5" w:rsidR="004B6B8A" w:rsidRPr="004C3A60" w:rsidRDefault="004B6B8A" w:rsidP="004C3A60">
      <w:pPr>
        <w:rPr>
          <w:rFonts w:eastAsia="Calibri" w:cs="Times New Roman"/>
          <w:szCs w:val="24"/>
        </w:rPr>
      </w:pPr>
      <w:r w:rsidRPr="004C3A60">
        <w:rPr>
          <w:rFonts w:eastAsia="Calibri" w:cs="Times New Roman"/>
          <w:szCs w:val="24"/>
        </w:rPr>
        <w:t>Atbalsts privātpersonām mājokļa iegādei vai būvniecībai (NAP 2027) ietvaros:</w:t>
      </w:r>
      <w:r w:rsidR="004C3A60">
        <w:rPr>
          <w:rFonts w:eastAsia="Calibri" w:cs="Times New Roman"/>
          <w:szCs w:val="24"/>
        </w:rPr>
        <w:t xml:space="preserve"> n</w:t>
      </w:r>
      <w:r w:rsidRPr="004B6B8A">
        <w:rPr>
          <w:rFonts w:eastAsia="Calibri" w:cs="Times New Roman"/>
          <w:szCs w:val="24"/>
        </w:rPr>
        <w:t>epieciešamais finansējums: 110</w:t>
      </w:r>
      <w:r>
        <w:rPr>
          <w:rFonts w:eastAsia="Calibri" w:cs="Times New Roman"/>
          <w:szCs w:val="24"/>
        </w:rPr>
        <w:t xml:space="preserve"> milj. </w:t>
      </w:r>
      <w:r w:rsidRPr="004B6B8A">
        <w:rPr>
          <w:rFonts w:eastAsia="Calibri" w:cs="Times New Roman"/>
          <w:szCs w:val="24"/>
        </w:rPr>
        <w:t>Mērķauditorija: ģimenes ar bērniem. Veicamās darbības: granta piešķiršana, kur tā apmērs atkarīgs no bērnu skaita ģimenē</w:t>
      </w:r>
      <w:r>
        <w:rPr>
          <w:rFonts w:eastAsia="Calibri" w:cs="Times New Roman"/>
          <w:szCs w:val="24"/>
        </w:rPr>
        <w:t>.</w:t>
      </w:r>
      <w:r w:rsidRPr="004B6B8A">
        <w:rPr>
          <w:rFonts w:asciiTheme="minorHAnsi" w:eastAsiaTheme="minorEastAsia" w:hAnsi="Calibri"/>
          <w:color w:val="000000" w:themeColor="text1"/>
          <w:kern w:val="24"/>
          <w:szCs w:val="24"/>
          <w:lang w:eastAsia="lv-LV"/>
        </w:rPr>
        <w:t xml:space="preserve"> </w:t>
      </w:r>
    </w:p>
    <w:p w14:paraId="7B731E9B" w14:textId="77777777" w:rsidR="004B6B8A" w:rsidRPr="004B6B8A" w:rsidRDefault="004B6B8A" w:rsidP="004B6B8A">
      <w:pPr>
        <w:rPr>
          <w:rFonts w:eastAsia="Calibri" w:cs="Times New Roman"/>
          <w:szCs w:val="24"/>
        </w:rPr>
      </w:pPr>
    </w:p>
    <w:p w14:paraId="0DB60BB0" w14:textId="457DB866" w:rsidR="004035CD" w:rsidRDefault="00D1109C" w:rsidP="004035CD">
      <w:pPr>
        <w:rPr>
          <w:rFonts w:eastAsia="Calibri" w:cs="Times New Roman"/>
          <w:szCs w:val="24"/>
        </w:rPr>
      </w:pPr>
      <w:r>
        <w:rPr>
          <w:rFonts w:eastAsia="Calibri" w:cs="Times New Roman"/>
          <w:szCs w:val="24"/>
        </w:rPr>
        <w:t>Atbilstoši datiem, Latvijā ir 309 t</w:t>
      </w:r>
      <w:r w:rsidR="004F68B1">
        <w:rPr>
          <w:rFonts w:eastAsia="Calibri" w:cs="Times New Roman"/>
          <w:szCs w:val="24"/>
        </w:rPr>
        <w:t>ūkstoši</w:t>
      </w:r>
      <w:r>
        <w:rPr>
          <w:rFonts w:eastAsia="Calibri" w:cs="Times New Roman"/>
          <w:szCs w:val="24"/>
        </w:rPr>
        <w:t xml:space="preserve"> viena dzīvokļa mājas, jeb privātmājas, kas veido ievērojamu pārsvaru no kopējā valsts ēku fonda</w:t>
      </w:r>
      <w:r w:rsidR="00642887">
        <w:rPr>
          <w:rFonts w:eastAsia="Calibri" w:cs="Times New Roman"/>
          <w:szCs w:val="24"/>
        </w:rPr>
        <w:t xml:space="preserve"> (</w:t>
      </w:r>
      <w:r w:rsidRPr="00A15C92">
        <w:rPr>
          <w:rFonts w:eastAsia="Calibri" w:cs="Times New Roman"/>
          <w:szCs w:val="24"/>
        </w:rPr>
        <w:t>skat. 2. tabulu</w:t>
      </w:r>
      <w:r w:rsidR="00642887">
        <w:rPr>
          <w:rFonts w:eastAsia="Calibri" w:cs="Times New Roman"/>
          <w:szCs w:val="24"/>
        </w:rPr>
        <w:t>).</w:t>
      </w:r>
    </w:p>
    <w:p w14:paraId="2193E38B" w14:textId="77777777" w:rsidR="00D1109C" w:rsidRPr="00206AFE" w:rsidRDefault="00D1109C" w:rsidP="004B6B8A">
      <w:pPr>
        <w:rPr>
          <w:rFonts w:eastAsia="Calibri" w:cs="Times New Roman"/>
          <w:szCs w:val="24"/>
        </w:rPr>
      </w:pPr>
      <w:r>
        <w:rPr>
          <w:rFonts w:eastAsia="Calibri" w:cs="Times New Roman"/>
          <w:szCs w:val="24"/>
        </w:rPr>
        <w:lastRenderedPageBreak/>
        <w:t xml:space="preserve">Kā viens no mērķiem uz 2030. gadu ir </w:t>
      </w:r>
      <w:r w:rsidRPr="00206AFE">
        <w:rPr>
          <w:rFonts w:eastAsia="Calibri" w:cs="Times New Roman"/>
          <w:szCs w:val="24"/>
        </w:rPr>
        <w:t>vismaz 7500 privātmājās</w:t>
      </w:r>
      <w:r w:rsidRPr="00206AFE">
        <w:rPr>
          <w:rFonts w:eastAsia="Calibri" w:cs="Times New Roman"/>
          <w:szCs w:val="24"/>
          <w:vertAlign w:val="superscript"/>
        </w:rPr>
        <w:footnoteReference w:id="39"/>
      </w:r>
      <w:r w:rsidRPr="00206AFE">
        <w:rPr>
          <w:rFonts w:eastAsia="Calibri" w:cs="Times New Roman"/>
          <w:szCs w:val="24"/>
        </w:rPr>
        <w:t xml:space="preserve"> veikt enerģijas ietaupījumu katalogā iekļaut</w:t>
      </w:r>
      <w:r>
        <w:rPr>
          <w:rFonts w:eastAsia="Calibri" w:cs="Times New Roman"/>
          <w:szCs w:val="24"/>
        </w:rPr>
        <w:t>os</w:t>
      </w:r>
      <w:r w:rsidRPr="00206AFE">
        <w:rPr>
          <w:rFonts w:eastAsia="Calibri" w:cs="Times New Roman"/>
          <w:szCs w:val="24"/>
        </w:rPr>
        <w:t xml:space="preserve"> ēku energoefektivitātes uzlabošanas pasākum</w:t>
      </w:r>
      <w:r>
        <w:rPr>
          <w:rFonts w:eastAsia="Calibri" w:cs="Times New Roman"/>
          <w:szCs w:val="24"/>
        </w:rPr>
        <w:t>us.</w:t>
      </w:r>
    </w:p>
    <w:p w14:paraId="418D129A" w14:textId="77777777" w:rsidR="00D1109C" w:rsidRDefault="00D1109C" w:rsidP="004B6B8A">
      <w:pPr>
        <w:rPr>
          <w:rFonts w:eastAsia="Calibri" w:cs="Times New Roman"/>
          <w:szCs w:val="24"/>
        </w:rPr>
      </w:pPr>
      <w:r>
        <w:rPr>
          <w:rFonts w:eastAsia="Calibri" w:cs="Times New Roman"/>
          <w:szCs w:val="24"/>
        </w:rPr>
        <w:t xml:space="preserve">Otrkārt, </w:t>
      </w:r>
      <w:r w:rsidRPr="00206AFE">
        <w:rPr>
          <w:rFonts w:eastAsia="Calibri" w:cs="Times New Roman"/>
          <w:szCs w:val="24"/>
        </w:rPr>
        <w:t>tiek atjaunoti neliela skaita ēku kompleksi, t.sk. ēku kompleksa atjaunošana, samazinot patērētās siltumenerģijas apjomu (apkures sistēmu uzstādīšanā dodot priekšroku tādām iekārtām, kas atbilst Regulā 2015/1189 noteiktajām emisiju un efektivitātes prasībām, kas stāsies spēkā no 2022. gada)</w:t>
      </w:r>
    </w:p>
    <w:p w14:paraId="50ED5121" w14:textId="0317FC52" w:rsidR="004B6B8A" w:rsidRPr="004B6B8A" w:rsidRDefault="004035CD" w:rsidP="004B6B8A">
      <w:pPr>
        <w:rPr>
          <w:rFonts w:eastAsia="Calibri" w:cs="Times New Roman"/>
          <w:iCs/>
          <w:szCs w:val="24"/>
        </w:rPr>
      </w:pPr>
      <w:r w:rsidRPr="004035CD">
        <w:rPr>
          <w:rFonts w:eastAsia="Calibri" w:cs="Times New Roman"/>
          <w:szCs w:val="24"/>
        </w:rPr>
        <w:t>Līdz šim no valsts puses privātmājas un individuālie kompleksi ir atbalstīti minimālā apjomā. Tomēr, tā kā Latvijā vidēji privātmājas ir būtiski mazāk efektīvas kā daudzdzīvokļu dzīvojamās ēkas, tad ir nepieciešams periodā pēc 2021.gada sniegt arī atbalstu privātmājās veicamajiem energoefektivitātes paaugstināšanas pasākumiem, vienlaikus tiek piedāvāts noteikts obligātu nosacījumu ne-emisiju AER tehnoloģiju uzstādīšanai šajās ēkās energoefektivitātes paaugstināšanas pasākumu īstenošanas laikā. Tā kā minēto pasākumu īstenotāji ir privātpersonas, ir nepieciešams nodrošināt pēc iespējas vienkāršāku pieteikšanās atbalstam procedūru ar iespēju pieteikties tīmekļa vietnē un rindas kārtībā, to pamatojot ar izdevumu apliecinošiem dokumentiem, ja Latvijas tiesību aktos nav noteikts citādi. Tāpat potenciālajiem atbalsta saņēmējiem būtu iespējams administratīvajai palīdzībai izmantot pašvaldību energokonsultantus vai AER vienas pieturas aģentūru. Tāpat iespēju robežās jāizstrādā līdzmaksājuma diversificēšanas nosacījumi, ņemot vērā īpašuma, kurā tiek veikti pasākumi, vērtību un iedzīvotāju maksātspēju, kā arī attiecībā uz apkures iekārtu nomaiņu - esošo gaisa kvalitāti teritorijā.</w:t>
      </w:r>
      <w:r>
        <w:rPr>
          <w:rStyle w:val="FootnoteReference"/>
          <w:rFonts w:eastAsia="Calibri" w:cs="Times New Roman"/>
          <w:szCs w:val="24"/>
        </w:rPr>
        <w:footnoteReference w:id="40"/>
      </w:r>
    </w:p>
    <w:p w14:paraId="19458C95" w14:textId="77777777" w:rsidR="007D66CF" w:rsidRDefault="007D66CF">
      <w:pPr>
        <w:rPr>
          <w:rFonts w:eastAsia="Calibri" w:cs="Times New Roman"/>
          <w:bCs/>
          <w:szCs w:val="24"/>
        </w:rPr>
      </w:pPr>
    </w:p>
    <w:p w14:paraId="735282B7" w14:textId="17A0A744" w:rsidR="00A6407A" w:rsidRPr="00A6407A" w:rsidRDefault="00A6407A">
      <w:pPr>
        <w:rPr>
          <w:rFonts w:eastAsia="Calibri" w:cs="Times New Roman"/>
          <w:bCs/>
          <w:szCs w:val="24"/>
        </w:rPr>
      </w:pPr>
      <w:r>
        <w:rPr>
          <w:rFonts w:eastAsia="Calibri" w:cs="Times New Roman"/>
          <w:bCs/>
          <w:szCs w:val="24"/>
        </w:rPr>
        <w:t xml:space="preserve">Sabiedrības līdzdalībai nodots Ministru kabineta noteikumu projekts, kas paredz kārtību, kādā </w:t>
      </w:r>
      <w:r w:rsidR="007D66CF">
        <w:rPr>
          <w:rFonts w:eastAsia="Calibri" w:cs="Times New Roman"/>
          <w:bCs/>
          <w:szCs w:val="24"/>
        </w:rPr>
        <w:t>ALTUM</w:t>
      </w:r>
      <w:r w:rsidRPr="00A6407A">
        <w:rPr>
          <w:rFonts w:eastAsia="Calibri" w:cs="Times New Roman"/>
          <w:bCs/>
          <w:szCs w:val="24"/>
        </w:rPr>
        <w:t>, izmantojot valsts energoefektivitātes fonda līdzekļus, īsteno atbalsta programmu obligātā enerģijas galapatēriņa mērķa sasniegšanai</w:t>
      </w:r>
      <w:r>
        <w:rPr>
          <w:rFonts w:eastAsia="Calibri" w:cs="Times New Roman"/>
          <w:bCs/>
          <w:szCs w:val="24"/>
        </w:rPr>
        <w:t>.</w:t>
      </w:r>
      <w:r w:rsidRPr="00A6407A">
        <w:rPr>
          <w:rFonts w:eastAsia="Calibri" w:cs="Times New Roman"/>
          <w:bCs/>
          <w:szCs w:val="24"/>
        </w:rPr>
        <w:t xml:space="preserve"> Šobrīd mājsaimniecību sektoram pieejams Eiropas Savienības fondu atbalsts energoefektivitātes paaugstināšanai 2014.-2020.</w:t>
      </w:r>
      <w:r>
        <w:rPr>
          <w:rFonts w:eastAsia="Calibri" w:cs="Times New Roman"/>
          <w:bCs/>
          <w:szCs w:val="24"/>
        </w:rPr>
        <w:t> </w:t>
      </w:r>
      <w:r w:rsidRPr="00A6407A">
        <w:rPr>
          <w:rFonts w:eastAsia="Calibri" w:cs="Times New Roman"/>
          <w:bCs/>
          <w:szCs w:val="24"/>
        </w:rPr>
        <w:t>gada plānošanas perioda ietvaros. Taču uz šo atbalstu var pretendēt tikai ēkas, kurās ir trīs vai vairāk dzīvokļu. Dzīvojamās ēkas ar mazāku dzīvokļu skaitu vai individuālās dzīvojamās ēkas ir bez atbalsta saņemšanas iespējām.</w:t>
      </w:r>
    </w:p>
    <w:p w14:paraId="4DF1395A" w14:textId="570FA260" w:rsidR="00A6407A" w:rsidRPr="00A6407A" w:rsidRDefault="00A6407A" w:rsidP="00A6407A">
      <w:pPr>
        <w:rPr>
          <w:rFonts w:eastAsia="Calibri" w:cs="Times New Roman"/>
          <w:bCs/>
          <w:szCs w:val="24"/>
        </w:rPr>
      </w:pPr>
      <w:r w:rsidRPr="00A6407A">
        <w:rPr>
          <w:rFonts w:eastAsia="Calibri" w:cs="Times New Roman"/>
          <w:bCs/>
          <w:szCs w:val="24"/>
        </w:rPr>
        <w:t xml:space="preserve">Lai nodrošinātu energoefektivitātes uzlabošanas pasākumu īstenošu privātmāju sektorā plānotajos apjomos sniedzot atbalstu vidēji 500 privātmājām gadā, Ekonomikas ministrija sadarbībā ar </w:t>
      </w:r>
      <w:r w:rsidR="007D66CF">
        <w:rPr>
          <w:rFonts w:eastAsia="Calibri" w:cs="Times New Roman"/>
          <w:bCs/>
          <w:szCs w:val="24"/>
        </w:rPr>
        <w:t>ALTUM</w:t>
      </w:r>
      <w:r w:rsidRPr="00A6407A">
        <w:rPr>
          <w:rFonts w:eastAsia="Calibri" w:cs="Times New Roman"/>
          <w:bCs/>
          <w:szCs w:val="24"/>
        </w:rPr>
        <w:t xml:space="preserve"> un Finanšu nozaru asociāciju ir izstrādājusi atbalsta programmu šim ēku sektoram, ņemot vērā, ka privātmāju īpašniekiem nav izpratnes un informācijas par ekonomiski pamatotiem energoefektivitātes pasākumiem un tie netiek veikti, īpašnieki nav pietiekami informēti par papildu investīciju finansēšanas iespējām un no banku puses nav īpašniekus interesējošs piedāvājums, tiem nav pietiekama līdzfinansējuma jaun</w:t>
      </w:r>
      <w:r>
        <w:rPr>
          <w:rFonts w:eastAsia="Calibri" w:cs="Times New Roman"/>
          <w:bCs/>
          <w:szCs w:val="24"/>
        </w:rPr>
        <w:t xml:space="preserve">u aizdevumu saņemšanai, kā arī </w:t>
      </w:r>
      <w:r w:rsidRPr="00A6407A">
        <w:rPr>
          <w:rFonts w:eastAsia="Calibri" w:cs="Times New Roman"/>
          <w:bCs/>
          <w:szCs w:val="24"/>
        </w:rPr>
        <w:t>atsevišķās Latvijas teritorijās privātmājām nav pietiekamas nodrošinājuma vērtības.</w:t>
      </w:r>
    </w:p>
    <w:p w14:paraId="3A321101" w14:textId="77777777" w:rsidR="00A6407A" w:rsidRPr="00A6407A" w:rsidRDefault="00A6407A" w:rsidP="00A6407A">
      <w:pPr>
        <w:rPr>
          <w:rFonts w:eastAsia="Calibri" w:cs="Times New Roman"/>
          <w:bCs/>
          <w:szCs w:val="24"/>
        </w:rPr>
      </w:pPr>
      <w:r w:rsidRPr="00A6407A">
        <w:rPr>
          <w:rFonts w:eastAsia="Calibri" w:cs="Times New Roman"/>
          <w:bCs/>
          <w:szCs w:val="24"/>
        </w:rPr>
        <w:t>Projekts ir izstrādāts, lai:</w:t>
      </w:r>
    </w:p>
    <w:p w14:paraId="2DC32F01" w14:textId="77777777" w:rsidR="00A6407A" w:rsidRPr="00A6407A" w:rsidRDefault="00A6407A" w:rsidP="00A6407A">
      <w:pPr>
        <w:rPr>
          <w:rFonts w:eastAsia="Calibri" w:cs="Times New Roman"/>
          <w:bCs/>
          <w:szCs w:val="24"/>
        </w:rPr>
      </w:pPr>
      <w:r w:rsidRPr="00A6407A">
        <w:rPr>
          <w:rFonts w:eastAsia="Calibri" w:cs="Times New Roman"/>
          <w:bCs/>
          <w:szCs w:val="24"/>
        </w:rPr>
        <w:t>1.</w:t>
      </w:r>
      <w:r w:rsidRPr="00A6407A">
        <w:rPr>
          <w:rFonts w:eastAsia="Calibri" w:cs="Times New Roman"/>
          <w:bCs/>
          <w:szCs w:val="24"/>
        </w:rPr>
        <w:tab/>
        <w:t>novērstu nepilnības finansējuma pieejamībā privātmāju energoefektivitātes uzlabošanai;</w:t>
      </w:r>
    </w:p>
    <w:p w14:paraId="70D85C13" w14:textId="77777777" w:rsidR="00A6407A" w:rsidRPr="00A6407A" w:rsidRDefault="00A6407A" w:rsidP="00A6407A">
      <w:pPr>
        <w:rPr>
          <w:rFonts w:eastAsia="Calibri" w:cs="Times New Roman"/>
          <w:bCs/>
          <w:szCs w:val="24"/>
        </w:rPr>
      </w:pPr>
      <w:r w:rsidRPr="00A6407A">
        <w:rPr>
          <w:rFonts w:eastAsia="Calibri" w:cs="Times New Roman"/>
          <w:bCs/>
          <w:szCs w:val="24"/>
        </w:rPr>
        <w:t>2.</w:t>
      </w:r>
      <w:r w:rsidRPr="00A6407A">
        <w:rPr>
          <w:rFonts w:eastAsia="Calibri" w:cs="Times New Roman"/>
          <w:bCs/>
          <w:szCs w:val="24"/>
        </w:rPr>
        <w:tab/>
        <w:t xml:space="preserve">ieviestu jaunu atbalsta programmu privātmāju energoefektivitātes uzlabošanai. </w:t>
      </w:r>
    </w:p>
    <w:p w14:paraId="0E844327" w14:textId="77777777" w:rsidR="00A6407A" w:rsidRPr="00A6407A" w:rsidRDefault="00A6407A" w:rsidP="00A6407A">
      <w:pPr>
        <w:rPr>
          <w:rFonts w:eastAsia="Calibri" w:cs="Times New Roman"/>
          <w:bCs/>
          <w:szCs w:val="24"/>
        </w:rPr>
      </w:pPr>
      <w:r w:rsidRPr="00A6407A">
        <w:rPr>
          <w:rFonts w:eastAsia="Calibri" w:cs="Times New Roman"/>
          <w:bCs/>
          <w:szCs w:val="24"/>
        </w:rPr>
        <w:lastRenderedPageBreak/>
        <w:t>Projektā programmas ieviešanai paredzēts izmantot valsts energoefektivitātes fonda finansējumu saskaņā ar Energoefektivitātes likuma 7. panta piektās daļas pirmo punktu šādā apmērā:</w:t>
      </w:r>
    </w:p>
    <w:p w14:paraId="3347647B" w14:textId="3C926335" w:rsidR="00A6407A" w:rsidRDefault="00A6407A" w:rsidP="00A6407A">
      <w:pPr>
        <w:rPr>
          <w:rFonts w:eastAsia="Calibri" w:cs="Times New Roman"/>
          <w:b/>
          <w:bCs/>
          <w:szCs w:val="24"/>
        </w:rPr>
      </w:pPr>
      <w:r w:rsidRPr="00A6407A">
        <w:rPr>
          <w:rFonts w:eastAsia="Calibri" w:cs="Times New Roman"/>
          <w:bCs/>
          <w:szCs w:val="24"/>
        </w:rPr>
        <w:t>59 250 euro 2020. gadā aptuveno 50 privātmāju finansēšanai un 296 250 euro 2021. gadā aptuveno 250 ēku finansēšanai, kopsummā 355 500  euro, kas paredzēti programmas īstenošanas zaudējumu (paredzamo un neparedzamo) segšanai un Altum pārvaldības maksas segšanai.</w:t>
      </w:r>
      <w:r>
        <w:rPr>
          <w:rStyle w:val="FootnoteReference"/>
          <w:rFonts w:eastAsia="Calibri" w:cs="Times New Roman"/>
          <w:bCs/>
          <w:szCs w:val="24"/>
        </w:rPr>
        <w:footnoteReference w:id="41"/>
      </w:r>
      <w:r>
        <w:rPr>
          <w:rFonts w:eastAsia="Calibri" w:cs="Times New Roman"/>
          <w:b/>
          <w:bCs/>
          <w:szCs w:val="24"/>
        </w:rPr>
        <w:br w:type="page"/>
      </w:r>
    </w:p>
    <w:p w14:paraId="440B5EA7" w14:textId="77777777" w:rsidR="009A1647" w:rsidRDefault="009A1647" w:rsidP="00A6407A">
      <w:pPr>
        <w:ind w:firstLine="0"/>
        <w:rPr>
          <w:rFonts w:eastAsia="Calibri" w:cs="Times New Roman"/>
          <w:b/>
          <w:bCs/>
          <w:szCs w:val="24"/>
        </w:rPr>
      </w:pPr>
    </w:p>
    <w:p w14:paraId="281E61D3" w14:textId="6B9AF8CB" w:rsidR="00D1109C" w:rsidRPr="006B37CD" w:rsidRDefault="00D1109C" w:rsidP="006B37CD">
      <w:pPr>
        <w:spacing w:after="160" w:line="259" w:lineRule="auto"/>
        <w:ind w:firstLine="0"/>
        <w:rPr>
          <w:rFonts w:eastAsia="Calibri" w:cs="Times New Roman"/>
          <w:b/>
          <w:bCs/>
          <w:szCs w:val="24"/>
        </w:rPr>
      </w:pPr>
      <w:r w:rsidRPr="003616DF">
        <w:rPr>
          <w:rFonts w:eastAsia="Calibri" w:cs="Times New Roman"/>
          <w:b/>
          <w:bCs/>
          <w:szCs w:val="24"/>
        </w:rPr>
        <w:t>Valsts ēkas</w:t>
      </w:r>
    </w:p>
    <w:p w14:paraId="309B90ED" w14:textId="77777777" w:rsidR="00D1109C" w:rsidRPr="00FE3D10" w:rsidRDefault="00D1109C" w:rsidP="00D1109C">
      <w:pPr>
        <w:shd w:val="clear" w:color="auto" w:fill="FFFFFF"/>
        <w:suppressAutoHyphens/>
        <w:autoSpaceDN w:val="0"/>
        <w:textAlignment w:val="baseline"/>
        <w:rPr>
          <w:rFonts w:cs="Times New Roman"/>
          <w:szCs w:val="24"/>
        </w:rPr>
      </w:pPr>
      <w:r>
        <w:rPr>
          <w:rFonts w:eastAsia="Calibri" w:cs="Times New Roman"/>
          <w:szCs w:val="24"/>
        </w:rPr>
        <w:t>S</w:t>
      </w:r>
      <w:r w:rsidRPr="00B47DE0">
        <w:rPr>
          <w:rFonts w:eastAsia="Calibri" w:cs="Times New Roman"/>
          <w:szCs w:val="24"/>
        </w:rPr>
        <w:t>askaņā ar Direktīvu 2012/27/ES Latvijas 2020.</w:t>
      </w:r>
      <w:r>
        <w:rPr>
          <w:rFonts w:eastAsia="Calibri" w:cs="Times New Roman"/>
          <w:szCs w:val="24"/>
        </w:rPr>
        <w:t> </w:t>
      </w:r>
      <w:r w:rsidRPr="00B47DE0">
        <w:rPr>
          <w:rFonts w:eastAsia="Calibri" w:cs="Times New Roman"/>
          <w:szCs w:val="24"/>
        </w:rPr>
        <w:t xml:space="preserve">gada mērķis ir </w:t>
      </w:r>
      <w:r w:rsidRPr="00B47DE0">
        <w:rPr>
          <w:rFonts w:cs="Times New Roman"/>
          <w:szCs w:val="24"/>
        </w:rPr>
        <w:t>ikgadējs 3% centrālās valdības ēku platības atjaunošanas mērķis, un Latvija piedāvā šo mērķi turpināt arī periodā līdz 2030.</w:t>
      </w:r>
      <w:r>
        <w:rPr>
          <w:rFonts w:cs="Times New Roman"/>
          <w:szCs w:val="24"/>
        </w:rPr>
        <w:t> </w:t>
      </w:r>
      <w:r w:rsidRPr="00B47DE0">
        <w:rPr>
          <w:rFonts w:cs="Times New Roman"/>
          <w:szCs w:val="24"/>
        </w:rPr>
        <w:t xml:space="preserve">gadam. </w:t>
      </w:r>
      <w:r w:rsidRPr="001E7A79">
        <w:rPr>
          <w:rFonts w:cs="Times New Roman"/>
          <w:szCs w:val="24"/>
        </w:rPr>
        <w:t>Valsts ēku sektorā</w:t>
      </w:r>
      <w:r w:rsidRPr="001E7A79">
        <w:rPr>
          <w:rFonts w:cs="Times New Roman"/>
          <w:szCs w:val="24"/>
          <w:vertAlign w:val="superscript"/>
        </w:rPr>
        <w:footnoteReference w:id="42"/>
      </w:r>
      <w:r w:rsidRPr="001E7A79">
        <w:rPr>
          <w:rFonts w:cs="Times New Roman"/>
          <w:szCs w:val="24"/>
        </w:rPr>
        <w:t xml:space="preserve"> (atbilstoši centrālās valdības ēku definīcijai</w:t>
      </w:r>
      <w:r w:rsidRPr="001E7A79">
        <w:rPr>
          <w:rFonts w:cs="Times New Roman"/>
          <w:szCs w:val="24"/>
          <w:vertAlign w:val="superscript"/>
        </w:rPr>
        <w:footnoteReference w:id="43"/>
      </w:r>
      <w:r w:rsidRPr="001E7A79">
        <w:rPr>
          <w:rFonts w:cs="Times New Roman"/>
          <w:szCs w:val="24"/>
        </w:rPr>
        <w:t>) ir 1245 ēkas, kuru vidējais siltumenerģijas patēriņš apkurei sastāda 126 kWh/m</w:t>
      </w:r>
      <w:r w:rsidRPr="001E7A79">
        <w:rPr>
          <w:rFonts w:cs="Times New Roman"/>
          <w:szCs w:val="24"/>
          <w:vertAlign w:val="superscript"/>
        </w:rPr>
        <w:t>2</w:t>
      </w:r>
      <w:r w:rsidRPr="001E7A79">
        <w:rPr>
          <w:rFonts w:cs="Times New Roman"/>
          <w:szCs w:val="24"/>
        </w:rPr>
        <w:t xml:space="preserve"> gadā. Direktīvas 2012/27/ES 5.panta 5.punktā noteiktajā sarakstā, no kā aprēķināma ikgadējā 3% renovācijas norma, ietilpst 863 ēkas ar vidējo apkures enerģijas patēriņu 140 kWh/m</w:t>
      </w:r>
      <w:r w:rsidRPr="001E7A79">
        <w:rPr>
          <w:rFonts w:cs="Times New Roman"/>
          <w:szCs w:val="24"/>
          <w:vertAlign w:val="superscript"/>
        </w:rPr>
        <w:t>2</w:t>
      </w:r>
      <w:r>
        <w:rPr>
          <w:rFonts w:cs="Times New Roman"/>
          <w:szCs w:val="24"/>
        </w:rPr>
        <w:t>.</w:t>
      </w:r>
    </w:p>
    <w:p w14:paraId="5B13B38E" w14:textId="4948F0F3" w:rsidR="00D1109C" w:rsidRPr="00B47DE0" w:rsidRDefault="00D1109C" w:rsidP="00D1109C">
      <w:pPr>
        <w:shd w:val="clear" w:color="auto" w:fill="FFFFFF"/>
        <w:suppressAutoHyphens/>
        <w:autoSpaceDN w:val="0"/>
        <w:textAlignment w:val="baseline"/>
        <w:rPr>
          <w:rFonts w:cs="Times New Roman"/>
          <w:szCs w:val="24"/>
        </w:rPr>
      </w:pPr>
      <w:r w:rsidRPr="00B47DE0">
        <w:rPr>
          <w:rFonts w:cs="Times New Roman"/>
          <w:szCs w:val="24"/>
        </w:rPr>
        <w:t>Periodā līdz 2030.</w:t>
      </w:r>
      <w:r w:rsidR="00780FCC">
        <w:rPr>
          <w:rFonts w:cs="Times New Roman"/>
          <w:szCs w:val="24"/>
        </w:rPr>
        <w:t xml:space="preserve"> </w:t>
      </w:r>
      <w:r w:rsidRPr="00B47DE0">
        <w:rPr>
          <w:rFonts w:cs="Times New Roman"/>
          <w:szCs w:val="24"/>
        </w:rPr>
        <w:t>gadam Latvija piedāvā nodrošināt vidējā īpatnējā siltumenerģijas patēriņa ēkās apkurei samazinājumu līdz 1</w:t>
      </w:r>
      <w:r>
        <w:rPr>
          <w:rFonts w:cs="Times New Roman"/>
          <w:szCs w:val="24"/>
        </w:rPr>
        <w:t>2</w:t>
      </w:r>
      <w:r w:rsidRPr="00B47DE0">
        <w:rPr>
          <w:rFonts w:cs="Times New Roman"/>
          <w:szCs w:val="24"/>
        </w:rPr>
        <w:t>0 kWh/m</w:t>
      </w:r>
      <w:r w:rsidRPr="00B47DE0">
        <w:rPr>
          <w:rFonts w:cs="Times New Roman"/>
          <w:szCs w:val="24"/>
          <w:vertAlign w:val="superscript"/>
        </w:rPr>
        <w:t>2</w:t>
      </w:r>
      <w:r w:rsidRPr="00B47DE0">
        <w:rPr>
          <w:rFonts w:cs="Times New Roman"/>
          <w:szCs w:val="24"/>
        </w:rPr>
        <w:t>/gadā.</w:t>
      </w:r>
      <w:r>
        <w:rPr>
          <w:rFonts w:cs="Times New Roman"/>
          <w:szCs w:val="24"/>
        </w:rPr>
        <w:t xml:space="preserve"> Kā jau norādīts stratēģijas nodaļā – Politika un darbības, kas vērstas uz publiskajām ēkām, </w:t>
      </w:r>
      <w:r>
        <w:rPr>
          <w:rFonts w:cs="Times New Roman"/>
          <w:bCs/>
          <w:szCs w:val="24"/>
        </w:rPr>
        <w:t>ņ</w:t>
      </w:r>
      <w:r w:rsidRPr="005709DB">
        <w:rPr>
          <w:rFonts w:cs="Times New Roman"/>
          <w:bCs/>
          <w:szCs w:val="24"/>
        </w:rPr>
        <w:t>emot vērā</w:t>
      </w:r>
      <w:r>
        <w:rPr>
          <w:rFonts w:cs="Times New Roman"/>
          <w:bCs/>
          <w:szCs w:val="24"/>
        </w:rPr>
        <w:t xml:space="preserve"> šī brīža</w:t>
      </w:r>
      <w:r w:rsidRPr="005709DB">
        <w:rPr>
          <w:rFonts w:cs="Times New Roman"/>
          <w:bCs/>
          <w:szCs w:val="24"/>
        </w:rPr>
        <w:t xml:space="preserve"> valsts ēku atjaunošanas lēno gaitu, Ekonomikas ministrija ir sagatavojusi informatīvo ziņojumu par izveidojušos situāciju un rosināja valdību lemt par turpmāko rīcību, lai nodrošinātu mērķtiecīgāku un efektīvāku ES fondu investīciju veikšanu valsts ēku atjaunošanā</w:t>
      </w:r>
      <w:r>
        <w:rPr>
          <w:rFonts w:cs="Times New Roman"/>
          <w:bCs/>
          <w:szCs w:val="24"/>
        </w:rPr>
        <w:t>.</w:t>
      </w:r>
      <w:r w:rsidR="00097A87">
        <w:rPr>
          <w:rStyle w:val="FootnoteReference"/>
          <w:rFonts w:cs="Times New Roman"/>
          <w:bCs/>
          <w:szCs w:val="24"/>
        </w:rPr>
        <w:footnoteReference w:id="44"/>
      </w:r>
      <w:r>
        <w:rPr>
          <w:rFonts w:cs="Times New Roman"/>
          <w:bCs/>
          <w:szCs w:val="24"/>
        </w:rPr>
        <w:t xml:space="preserve"> </w:t>
      </w:r>
    </w:p>
    <w:p w14:paraId="1DDC382A" w14:textId="77777777" w:rsidR="00D1109C" w:rsidRDefault="00D1109C" w:rsidP="00D1109C">
      <w:pPr>
        <w:keepNext/>
        <w:ind w:firstLine="0"/>
        <w:rPr>
          <w:rFonts w:eastAsia="Calibri" w:cs="Times New Roman"/>
          <w:b/>
          <w:iCs/>
          <w:szCs w:val="24"/>
        </w:rPr>
      </w:pPr>
      <w:bookmarkStart w:id="52" w:name="_Toc531333146"/>
    </w:p>
    <w:p w14:paraId="2463541D" w14:textId="4215823C" w:rsidR="00D1109C" w:rsidRPr="00E03B2A" w:rsidRDefault="00F976D2" w:rsidP="00D1109C">
      <w:pPr>
        <w:keepNext/>
        <w:ind w:firstLine="0"/>
        <w:rPr>
          <w:rFonts w:eastAsia="Calibri" w:cs="Times New Roman"/>
          <w:bCs/>
          <w:iCs/>
          <w:szCs w:val="24"/>
        </w:rPr>
      </w:pPr>
      <w:r>
        <w:rPr>
          <w:rFonts w:eastAsia="Calibri" w:cs="Times New Roman"/>
          <w:bCs/>
          <w:iCs/>
          <w:szCs w:val="24"/>
        </w:rPr>
        <w:t>1</w:t>
      </w:r>
      <w:r w:rsidR="00672BA3">
        <w:rPr>
          <w:rFonts w:eastAsia="Calibri" w:cs="Times New Roman"/>
          <w:bCs/>
          <w:iCs/>
          <w:szCs w:val="24"/>
        </w:rPr>
        <w:t>2</w:t>
      </w:r>
      <w:r w:rsidR="00D1109C" w:rsidRPr="00A15C92">
        <w:rPr>
          <w:rFonts w:eastAsiaTheme="majorEastAsia" w:cs="Times New Roman"/>
          <w:bCs/>
          <w:iCs/>
          <w:szCs w:val="24"/>
        </w:rPr>
        <w:t xml:space="preserve">.tabula. </w:t>
      </w:r>
      <w:r w:rsidR="006F2BE3">
        <w:rPr>
          <w:rFonts w:eastAsia="Calibri" w:cs="Times New Roman"/>
          <w:bCs/>
          <w:iCs/>
          <w:szCs w:val="24"/>
        </w:rPr>
        <w:t xml:space="preserve">Valsts </w:t>
      </w:r>
      <w:r w:rsidR="00D1109C" w:rsidRPr="00E03B2A">
        <w:rPr>
          <w:rFonts w:eastAsia="Calibri" w:cs="Times New Roman"/>
          <w:bCs/>
          <w:iCs/>
          <w:szCs w:val="24"/>
        </w:rPr>
        <w:t>ēku energoefektivitātes politikas mērķi</w:t>
      </w:r>
      <w:bookmarkEnd w:id="52"/>
      <w:r w:rsidR="00D1109C" w:rsidRPr="00E03B2A">
        <w:rPr>
          <w:rFonts w:eastAsia="Calibri" w:cs="Times New Roman"/>
          <w:bCs/>
          <w:iCs/>
          <w:szCs w:val="24"/>
        </w:rPr>
        <w:t xml:space="preserve"> un rezultatīvie rādītāji</w:t>
      </w:r>
    </w:p>
    <w:p w14:paraId="119EA080" w14:textId="77777777" w:rsidR="00D1109C" w:rsidRPr="00B47DE0" w:rsidRDefault="00D1109C" w:rsidP="00D1109C">
      <w:pPr>
        <w:keepNext/>
        <w:rPr>
          <w:rFonts w:eastAsia="Calibri" w:cs="Times New Roman"/>
          <w:b/>
          <w:iCs/>
          <w:szCs w:val="24"/>
        </w:rPr>
      </w:pP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60"/>
        <w:gridCol w:w="1677"/>
        <w:gridCol w:w="1831"/>
        <w:gridCol w:w="1827"/>
      </w:tblGrid>
      <w:tr w:rsidR="00D1109C" w:rsidRPr="00B47DE0" w14:paraId="4AD22B54" w14:textId="77777777" w:rsidTr="007E5D5A">
        <w:trPr>
          <w:tblHeader/>
          <w:jc w:val="center"/>
        </w:trPr>
        <w:tc>
          <w:tcPr>
            <w:tcW w:w="4160" w:type="dxa"/>
            <w:vMerge w:val="restart"/>
            <w:shd w:val="clear" w:color="auto" w:fill="F2F2F2" w:themeFill="background1" w:themeFillShade="F2"/>
            <w:vAlign w:val="center"/>
          </w:tcPr>
          <w:p w14:paraId="0D7FF850" w14:textId="77777777" w:rsidR="00D1109C" w:rsidRPr="00C56531" w:rsidRDefault="00D1109C" w:rsidP="007E5D5A">
            <w:pPr>
              <w:ind w:firstLine="0"/>
              <w:jc w:val="left"/>
              <w:rPr>
                <w:rFonts w:cs="Times New Roman"/>
                <w:b/>
                <w:color w:val="000000" w:themeColor="text1"/>
                <w:sz w:val="22"/>
              </w:rPr>
            </w:pPr>
            <w:r w:rsidRPr="00C56531">
              <w:rPr>
                <w:rFonts w:cs="Times New Roman"/>
                <w:b/>
                <w:color w:val="000000" w:themeColor="text1"/>
                <w:sz w:val="22"/>
              </w:rPr>
              <w:t>Politikas rezultāts energoefektivitātes dimensijā ēku energoefektivitātes apakšdimensijā</w:t>
            </w:r>
          </w:p>
        </w:tc>
        <w:tc>
          <w:tcPr>
            <w:tcW w:w="1677" w:type="dxa"/>
            <w:shd w:val="clear" w:color="auto" w:fill="F2F2F2" w:themeFill="background1" w:themeFillShade="F2"/>
            <w:vAlign w:val="center"/>
          </w:tcPr>
          <w:p w14:paraId="0165D62E"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Faktiskā vērtība</w:t>
            </w:r>
          </w:p>
        </w:tc>
        <w:tc>
          <w:tcPr>
            <w:tcW w:w="3658" w:type="dxa"/>
            <w:gridSpan w:val="2"/>
            <w:shd w:val="clear" w:color="auto" w:fill="F2F2F2" w:themeFill="background1" w:themeFillShade="F2"/>
            <w:vAlign w:val="center"/>
          </w:tcPr>
          <w:p w14:paraId="3AD65045"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Mērķa vērtība</w:t>
            </w:r>
            <w:r w:rsidRPr="00C56531">
              <w:rPr>
                <w:rFonts w:cs="Times New Roman"/>
                <w:sz w:val="22"/>
                <w:vertAlign w:val="superscript"/>
              </w:rPr>
              <w:footnoteReference w:id="45"/>
            </w:r>
          </w:p>
        </w:tc>
      </w:tr>
      <w:tr w:rsidR="00D1109C" w:rsidRPr="00B47DE0" w14:paraId="6EFEB1F7" w14:textId="77777777" w:rsidTr="007E5D5A">
        <w:trPr>
          <w:tblHeader/>
          <w:jc w:val="center"/>
        </w:trPr>
        <w:tc>
          <w:tcPr>
            <w:tcW w:w="4160" w:type="dxa"/>
            <w:vMerge/>
            <w:shd w:val="clear" w:color="auto" w:fill="F2F2F2" w:themeFill="background1" w:themeFillShade="F2"/>
            <w:vAlign w:val="center"/>
          </w:tcPr>
          <w:p w14:paraId="7BD506A9" w14:textId="77777777" w:rsidR="00D1109C" w:rsidRPr="00C56531" w:rsidRDefault="00D1109C" w:rsidP="007E5D5A">
            <w:pPr>
              <w:rPr>
                <w:rFonts w:cs="Times New Roman"/>
                <w:b/>
                <w:color w:val="000000" w:themeColor="text1"/>
                <w:sz w:val="22"/>
              </w:rPr>
            </w:pPr>
          </w:p>
        </w:tc>
        <w:tc>
          <w:tcPr>
            <w:tcW w:w="1677" w:type="dxa"/>
            <w:shd w:val="clear" w:color="auto" w:fill="F2F2F2" w:themeFill="background1" w:themeFillShade="F2"/>
            <w:vAlign w:val="center"/>
          </w:tcPr>
          <w:p w14:paraId="366D76BC"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2017</w:t>
            </w:r>
          </w:p>
        </w:tc>
        <w:tc>
          <w:tcPr>
            <w:tcW w:w="1831" w:type="dxa"/>
            <w:shd w:val="clear" w:color="auto" w:fill="F2F2F2" w:themeFill="background1" w:themeFillShade="F2"/>
            <w:vAlign w:val="center"/>
          </w:tcPr>
          <w:p w14:paraId="2070CF29"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2020</w:t>
            </w:r>
          </w:p>
        </w:tc>
        <w:tc>
          <w:tcPr>
            <w:tcW w:w="1827" w:type="dxa"/>
            <w:shd w:val="clear" w:color="auto" w:fill="F2F2F2" w:themeFill="background1" w:themeFillShade="F2"/>
            <w:vAlign w:val="center"/>
          </w:tcPr>
          <w:p w14:paraId="22C8089A" w14:textId="77777777" w:rsidR="00D1109C" w:rsidRPr="00C56531" w:rsidRDefault="00D1109C" w:rsidP="007E5D5A">
            <w:pPr>
              <w:rPr>
                <w:rFonts w:cs="Times New Roman"/>
                <w:b/>
                <w:color w:val="000000" w:themeColor="text1"/>
                <w:sz w:val="22"/>
              </w:rPr>
            </w:pPr>
            <w:r w:rsidRPr="00C56531">
              <w:rPr>
                <w:rFonts w:cs="Times New Roman"/>
                <w:b/>
                <w:color w:val="000000" w:themeColor="text1"/>
                <w:sz w:val="22"/>
              </w:rPr>
              <w:t>2030</w:t>
            </w:r>
          </w:p>
        </w:tc>
      </w:tr>
      <w:tr w:rsidR="00D1109C" w:rsidRPr="00B47DE0" w14:paraId="6CF48ECE" w14:textId="77777777" w:rsidTr="007E5D5A">
        <w:trPr>
          <w:jc w:val="center"/>
        </w:trPr>
        <w:tc>
          <w:tcPr>
            <w:tcW w:w="4160" w:type="dxa"/>
            <w:vAlign w:val="center"/>
          </w:tcPr>
          <w:p w14:paraId="3BFE4F82" w14:textId="77777777" w:rsidR="00D1109C" w:rsidRPr="00C56531" w:rsidRDefault="00D1109C" w:rsidP="007E5D5A">
            <w:pPr>
              <w:ind w:firstLine="0"/>
              <w:rPr>
                <w:rFonts w:cs="Times New Roman"/>
                <w:sz w:val="22"/>
              </w:rPr>
            </w:pPr>
            <w:r w:rsidRPr="00C56531">
              <w:rPr>
                <w:rFonts w:cs="Times New Roman"/>
                <w:sz w:val="22"/>
              </w:rPr>
              <w:t>katru gadu renovētas 3% no tiešās pārvaldes ēku platības (kopā renovēti, m</w:t>
            </w:r>
            <w:r w:rsidRPr="00C56531">
              <w:rPr>
                <w:rFonts w:cs="Times New Roman"/>
                <w:sz w:val="22"/>
                <w:vertAlign w:val="superscript"/>
              </w:rPr>
              <w:t>2</w:t>
            </w:r>
            <w:r w:rsidRPr="00C56531">
              <w:rPr>
                <w:rFonts w:cs="Times New Roman"/>
                <w:sz w:val="22"/>
              </w:rPr>
              <w:t>)</w:t>
            </w:r>
          </w:p>
        </w:tc>
        <w:tc>
          <w:tcPr>
            <w:tcW w:w="1677" w:type="dxa"/>
            <w:vAlign w:val="center"/>
          </w:tcPr>
          <w:p w14:paraId="263D14F5" w14:textId="77777777" w:rsidR="00D1109C" w:rsidRPr="00C56531" w:rsidRDefault="00D1109C" w:rsidP="007E5D5A">
            <w:pPr>
              <w:ind w:firstLine="0"/>
              <w:rPr>
                <w:rFonts w:cs="Times New Roman"/>
                <w:color w:val="000000" w:themeColor="text1"/>
                <w:sz w:val="22"/>
              </w:rPr>
            </w:pPr>
            <w:r w:rsidRPr="00C56531">
              <w:rPr>
                <w:rFonts w:cs="Times New Roman"/>
                <w:color w:val="000000" w:themeColor="text1"/>
                <w:sz w:val="22"/>
              </w:rPr>
              <w:t xml:space="preserve">     398 707</w:t>
            </w:r>
          </w:p>
        </w:tc>
        <w:tc>
          <w:tcPr>
            <w:tcW w:w="1831" w:type="dxa"/>
            <w:vAlign w:val="center"/>
          </w:tcPr>
          <w:p w14:paraId="1059AF9B" w14:textId="77777777" w:rsidR="00D1109C" w:rsidRPr="00C56531" w:rsidRDefault="00D1109C" w:rsidP="007E5D5A">
            <w:pPr>
              <w:ind w:firstLine="0"/>
              <w:rPr>
                <w:rFonts w:cs="Times New Roman"/>
                <w:color w:val="000000" w:themeColor="text1"/>
                <w:sz w:val="22"/>
              </w:rPr>
            </w:pPr>
            <w:r w:rsidRPr="00C56531">
              <w:rPr>
                <w:rFonts w:cs="Times New Roman"/>
                <w:color w:val="000000" w:themeColor="text1"/>
                <w:sz w:val="22"/>
              </w:rPr>
              <w:t xml:space="preserve">     678 460</w:t>
            </w:r>
            <w:r w:rsidRPr="00C56531">
              <w:rPr>
                <w:rFonts w:cs="Times New Roman"/>
                <w:color w:val="000000" w:themeColor="text1"/>
                <w:sz w:val="22"/>
                <w:vertAlign w:val="superscript"/>
              </w:rPr>
              <w:footnoteReference w:id="46"/>
            </w:r>
          </w:p>
        </w:tc>
        <w:tc>
          <w:tcPr>
            <w:tcW w:w="1827" w:type="dxa"/>
            <w:vAlign w:val="center"/>
          </w:tcPr>
          <w:p w14:paraId="5BB2946A" w14:textId="77777777" w:rsidR="00D1109C" w:rsidRPr="00C56531" w:rsidRDefault="00D1109C" w:rsidP="007E5D5A">
            <w:pPr>
              <w:ind w:firstLine="0"/>
              <w:rPr>
                <w:rFonts w:cs="Times New Roman"/>
                <w:b/>
                <w:bCs/>
                <w:iCs/>
                <w:color w:val="000000" w:themeColor="text1"/>
                <w:sz w:val="22"/>
              </w:rPr>
            </w:pPr>
            <w:r w:rsidRPr="00C56531">
              <w:rPr>
                <w:rFonts w:cs="Times New Roman"/>
                <w:b/>
                <w:bCs/>
                <w:iCs/>
                <w:color w:val="000000" w:themeColor="text1"/>
                <w:sz w:val="22"/>
              </w:rPr>
              <w:t xml:space="preserve">    500 000</w:t>
            </w:r>
            <w:r w:rsidRPr="00C56531">
              <w:rPr>
                <w:rFonts w:cs="Times New Roman"/>
                <w:iCs/>
                <w:color w:val="000000" w:themeColor="text1"/>
                <w:sz w:val="22"/>
                <w:vertAlign w:val="superscript"/>
              </w:rPr>
              <w:footnoteReference w:id="47"/>
            </w:r>
          </w:p>
        </w:tc>
      </w:tr>
      <w:tr w:rsidR="00D1109C" w:rsidRPr="00B47DE0" w14:paraId="26214E96" w14:textId="77777777" w:rsidTr="007E5D5A">
        <w:trPr>
          <w:jc w:val="center"/>
        </w:trPr>
        <w:tc>
          <w:tcPr>
            <w:tcW w:w="4160" w:type="dxa"/>
            <w:vAlign w:val="center"/>
          </w:tcPr>
          <w:p w14:paraId="7D176F0A" w14:textId="77777777" w:rsidR="00D1109C" w:rsidRPr="00C56531" w:rsidRDefault="00D1109C" w:rsidP="007E5D5A">
            <w:pPr>
              <w:ind w:firstLine="0"/>
              <w:jc w:val="left"/>
              <w:rPr>
                <w:rFonts w:cs="Times New Roman"/>
                <w:sz w:val="22"/>
              </w:rPr>
            </w:pPr>
            <w:r w:rsidRPr="00C56531">
              <w:rPr>
                <w:rFonts w:cs="Times New Roman"/>
                <w:sz w:val="22"/>
              </w:rPr>
              <w:t>īpatnējais siltumenerģijas patēriņš ēkās apkurei (kWh/m</w:t>
            </w:r>
            <w:r w:rsidRPr="00C56531">
              <w:rPr>
                <w:rFonts w:cs="Times New Roman"/>
                <w:sz w:val="22"/>
                <w:vertAlign w:val="superscript"/>
              </w:rPr>
              <w:t>2</w:t>
            </w:r>
            <w:r w:rsidRPr="00C56531">
              <w:rPr>
                <w:rFonts w:cs="Times New Roman"/>
                <w:sz w:val="22"/>
              </w:rPr>
              <w:t>/gadā)</w:t>
            </w:r>
          </w:p>
        </w:tc>
        <w:tc>
          <w:tcPr>
            <w:tcW w:w="1677" w:type="dxa"/>
            <w:vAlign w:val="center"/>
          </w:tcPr>
          <w:p w14:paraId="070BDCBB" w14:textId="77777777" w:rsidR="00D1109C" w:rsidRPr="00C56531" w:rsidRDefault="00D1109C" w:rsidP="007E5D5A">
            <w:pPr>
              <w:rPr>
                <w:rFonts w:cs="Times New Roman"/>
                <w:b/>
                <w:bCs/>
                <w:color w:val="000000" w:themeColor="text1"/>
                <w:sz w:val="22"/>
              </w:rPr>
            </w:pPr>
            <w:r w:rsidRPr="00C56531">
              <w:rPr>
                <w:rFonts w:cs="Times New Roman"/>
                <w:b/>
                <w:bCs/>
                <w:color w:val="000000" w:themeColor="text1"/>
                <w:sz w:val="22"/>
              </w:rPr>
              <w:t>-</w:t>
            </w:r>
          </w:p>
        </w:tc>
        <w:tc>
          <w:tcPr>
            <w:tcW w:w="1831" w:type="dxa"/>
            <w:vAlign w:val="center"/>
          </w:tcPr>
          <w:p w14:paraId="6D1F9C6A" w14:textId="77777777" w:rsidR="00D1109C" w:rsidRPr="00C56531" w:rsidRDefault="00D1109C" w:rsidP="007E5D5A">
            <w:pPr>
              <w:rPr>
                <w:rFonts w:cs="Times New Roman"/>
                <w:color w:val="000000" w:themeColor="text1"/>
                <w:sz w:val="22"/>
              </w:rPr>
            </w:pPr>
            <w:r w:rsidRPr="00C56531">
              <w:rPr>
                <w:rFonts w:cs="Times New Roman"/>
                <w:color w:val="000000" w:themeColor="text1"/>
                <w:sz w:val="22"/>
              </w:rPr>
              <w:t>150</w:t>
            </w:r>
          </w:p>
        </w:tc>
        <w:tc>
          <w:tcPr>
            <w:tcW w:w="1827" w:type="dxa"/>
            <w:vAlign w:val="center"/>
          </w:tcPr>
          <w:p w14:paraId="70C08E55" w14:textId="77777777" w:rsidR="00D1109C" w:rsidRPr="00C56531" w:rsidRDefault="00D1109C" w:rsidP="007E5D5A">
            <w:pPr>
              <w:rPr>
                <w:rFonts w:cs="Times New Roman"/>
                <w:i/>
                <w:color w:val="000000" w:themeColor="text1"/>
                <w:sz w:val="22"/>
              </w:rPr>
            </w:pPr>
            <w:r w:rsidRPr="00C56531">
              <w:rPr>
                <w:rFonts w:cs="Times New Roman"/>
                <w:i/>
                <w:color w:val="000000" w:themeColor="text1"/>
                <w:sz w:val="22"/>
              </w:rPr>
              <w:t>120</w:t>
            </w:r>
          </w:p>
        </w:tc>
      </w:tr>
    </w:tbl>
    <w:p w14:paraId="66D0A622" w14:textId="77777777" w:rsidR="00D1109C" w:rsidRDefault="00D1109C" w:rsidP="00D1109C">
      <w:pPr>
        <w:rPr>
          <w:rFonts w:cs="Times New Roman"/>
          <w:b/>
          <w:szCs w:val="24"/>
        </w:rPr>
      </w:pPr>
    </w:p>
    <w:p w14:paraId="6D8257CA" w14:textId="77777777" w:rsidR="00D1109C" w:rsidRDefault="00D1109C" w:rsidP="00D1109C">
      <w:pPr>
        <w:rPr>
          <w:b/>
          <w:bCs/>
        </w:rPr>
      </w:pPr>
      <w:r w:rsidRPr="00584747">
        <w:t>Minētajā periodā atjaunotas 15 valsts institūciju īpašumā, valdījumā un lietošanā esošās ēk</w:t>
      </w:r>
      <w:r>
        <w:t>a</w:t>
      </w:r>
      <w:r w:rsidRPr="00584747">
        <w:t>s</w:t>
      </w:r>
      <w:r>
        <w:t xml:space="preserve">, </w:t>
      </w:r>
      <w:r w:rsidRPr="00584747">
        <w:t>nodrošinot vidējo siltumenerģijas patēriņu apkurei 66 kWh/</w:t>
      </w:r>
      <w:bookmarkStart w:id="53" w:name="_Hlk31191003"/>
      <w:r w:rsidRPr="00584747">
        <w:t>m</w:t>
      </w:r>
      <w:r w:rsidRPr="00584747">
        <w:rPr>
          <w:vertAlign w:val="superscript"/>
        </w:rPr>
        <w:t>2</w:t>
      </w:r>
      <w:r w:rsidRPr="00584747">
        <w:t xml:space="preserve"> gadā</w:t>
      </w:r>
      <w:bookmarkEnd w:id="53"/>
      <w:r>
        <w:t>. Ja tiek pieņemts, ka no 120 iespējamiem projektiem 101 projekts, par kuriem iesniegti pieteikumi tiek realizēti, var secināt, ka aptuvenais siltumenerģijas patēriņš atjaunotajām ēkām būs līdz 70 kWh/</w:t>
      </w:r>
      <w:r w:rsidRPr="00C57797">
        <w:t>m</w:t>
      </w:r>
      <w:r w:rsidRPr="00C57797">
        <w:rPr>
          <w:vertAlign w:val="superscript"/>
        </w:rPr>
        <w:t>2</w:t>
      </w:r>
      <w:r w:rsidRPr="00C57797">
        <w:t xml:space="preserve"> gadā</w:t>
      </w:r>
      <w:r>
        <w:t xml:space="preserve">. </w:t>
      </w:r>
      <w:r w:rsidRPr="006B37CD">
        <w:t>Līdz ar to, no kopējā atjaunojamo valsts ēku skaita (863), atjaunojot 101 ēku, vidējais siltumenerģijas patēriņš no 140 kWh/m</w:t>
      </w:r>
      <w:r w:rsidRPr="006B37CD">
        <w:rPr>
          <w:vertAlign w:val="superscript"/>
        </w:rPr>
        <w:t>2</w:t>
      </w:r>
      <w:r w:rsidRPr="006B37CD">
        <w:t xml:space="preserve"> saruks līdz jau norādītajiem aptuveni 120 kWh/m</w:t>
      </w:r>
      <w:r w:rsidRPr="006B37CD">
        <w:rPr>
          <w:vertAlign w:val="superscript"/>
        </w:rPr>
        <w:t>2</w:t>
      </w:r>
      <w:r w:rsidRPr="006B37CD">
        <w:t>.</w:t>
      </w:r>
      <w:r w:rsidRPr="007E07D1">
        <w:rPr>
          <w:b/>
          <w:bCs/>
        </w:rPr>
        <w:t xml:space="preserve"> </w:t>
      </w:r>
    </w:p>
    <w:p w14:paraId="3C6EE0BC" w14:textId="77777777" w:rsidR="00D1109C" w:rsidRDefault="00D1109C" w:rsidP="00E870E9">
      <w:pPr>
        <w:ind w:firstLine="0"/>
        <w:rPr>
          <w:b/>
          <w:bCs/>
        </w:rPr>
      </w:pPr>
    </w:p>
    <w:p w14:paraId="04B06BFC" w14:textId="1A6CB79D" w:rsidR="00D1109C" w:rsidRPr="00097A78" w:rsidRDefault="00D1109C" w:rsidP="00D1109C">
      <w:pPr>
        <w:rPr>
          <w:b/>
          <w:bCs/>
        </w:rPr>
      </w:pPr>
      <w:r>
        <w:lastRenderedPageBreak/>
        <w:t xml:space="preserve">Pašvaldību ēku </w:t>
      </w:r>
      <w:r w:rsidRPr="00097A78">
        <w:t>noteiktie 4.2.2. SAM</w:t>
      </w:r>
      <w:r>
        <w:t xml:space="preserve"> aktivitātes</w:t>
      </w:r>
      <w:r w:rsidRPr="00097A78">
        <w:t xml:space="preserve"> iznākuma rādītāji “primārās enerģijas gada patēriņa samazinājums sabiedriskajās ēkās” (turpmāk – kWh rādītājs) (vismaz 13 718 237 kilovatstundas gadā) un “aprēķinātais siltumnīcefekta gāzu samazinājums gadā” (turpmāk – CO2 rādītājs) (vismaz 3460 ogļskābās gāzes ekvivalenta tonnas) tika izpildīti attiecīgi par 103% un 116% no plānotā, t.i. sasniegts primārās enerģijas ietaupījums 14 143 187 kWh/gadā apmērā un siltumnīcefekta gāzu samazinājums 4015 CO2 ekvivalenta tonnu apmērā</w:t>
      </w:r>
      <w:r>
        <w:t xml:space="preserve">. Par </w:t>
      </w:r>
      <w:r w:rsidRPr="000C5F79">
        <w:t>4.2.2. SAM</w:t>
      </w:r>
      <w:r>
        <w:t xml:space="preserve"> aktivitāti jau sīkāk tika aprakstīts nodaļā par – Politiku un darbībām, kas vērstas uz publiskajām ēkām un nodaļā - </w:t>
      </w:r>
      <w:r w:rsidRPr="000C5F79">
        <w:t>P</w:t>
      </w:r>
      <w:r w:rsidRPr="000C5F79">
        <w:rPr>
          <w:rFonts w:hint="eastAsia"/>
        </w:rPr>
        <w:t>olitik</w:t>
      </w:r>
      <w:r w:rsidRPr="000C5F79">
        <w:t>a</w:t>
      </w:r>
      <w:r w:rsidRPr="000C5F79">
        <w:rPr>
          <w:rFonts w:hint="eastAsia"/>
        </w:rPr>
        <w:t xml:space="preserve"> un darbības ēku rentabl</w:t>
      </w:r>
      <w:r w:rsidRPr="000C5F79">
        <w:t>ai un pakāpeniski</w:t>
      </w:r>
      <w:r w:rsidRPr="000C5F79">
        <w:rPr>
          <w:rFonts w:hint="eastAsia"/>
        </w:rPr>
        <w:t xml:space="preserve"> pilnīg</w:t>
      </w:r>
      <w:r w:rsidRPr="000C5F79">
        <w:t>ai</w:t>
      </w:r>
      <w:r w:rsidRPr="000C5F79">
        <w:rPr>
          <w:rFonts w:hint="eastAsia"/>
        </w:rPr>
        <w:t xml:space="preserve"> atjaunošan</w:t>
      </w:r>
      <w:r w:rsidRPr="000C5F79">
        <w:t>ai</w:t>
      </w:r>
      <w:r>
        <w:t xml:space="preserve">. </w:t>
      </w:r>
      <w:r w:rsidRPr="007E5DBF">
        <w:t>Pieprasījums pēc 4.2.2. SAM sniegtā atbalsta pasākumiem ir lielāks nekā 4.2.2. SAM ietvaros pieejamais finansējums.</w:t>
      </w:r>
      <w:r>
        <w:t xml:space="preserve"> Līdz ar to, sagaidāms, ka arī 3. kārtas iznākuma rādītāji</w:t>
      </w:r>
      <w:r w:rsidR="00BC6361">
        <w:t xml:space="preserve"> 4.2.2. SAM aktivitātes ietvaros</w:t>
      </w:r>
      <w:r>
        <w:t xml:space="preserve"> būs līdzīgi kā pirmajā un otrajā kārtā.</w:t>
      </w:r>
    </w:p>
    <w:p w14:paraId="7F2B544C" w14:textId="77777777" w:rsidR="00D1109C" w:rsidRPr="00004C38" w:rsidRDefault="00D1109C" w:rsidP="00D1109C"/>
    <w:p w14:paraId="384FC01E" w14:textId="1184022D" w:rsidR="00D1109C" w:rsidRDefault="00D1109C">
      <w:pPr>
        <w:rPr>
          <w:b/>
          <w:bCs/>
          <w:highlight w:val="red"/>
        </w:rPr>
      </w:pPr>
    </w:p>
    <w:p w14:paraId="63E2993A" w14:textId="2B2FB376" w:rsidR="006B37CD" w:rsidRPr="009A1647" w:rsidRDefault="006B37CD" w:rsidP="009A1647">
      <w:pPr>
        <w:ind w:firstLine="0"/>
      </w:pPr>
      <w:r w:rsidRPr="006B37CD">
        <w:rPr>
          <w:b/>
          <w:bCs/>
          <w:sz w:val="28"/>
          <w:szCs w:val="28"/>
        </w:rPr>
        <w:t>Prognoze 2030. gadam</w:t>
      </w:r>
    </w:p>
    <w:p w14:paraId="556963A1" w14:textId="77777777" w:rsidR="006B37CD" w:rsidRDefault="006B37CD" w:rsidP="006B37CD"/>
    <w:p w14:paraId="5E03A496" w14:textId="558B810C" w:rsidR="00EB6E03" w:rsidRDefault="00EB6E03" w:rsidP="006B37CD">
      <w:r>
        <w:t>Nenoliedzami</w:t>
      </w:r>
      <w:r w:rsidRPr="00B406F0">
        <w:t> ēkas ir ļoti būtiskas, lai panāktu</w:t>
      </w:r>
      <w:r>
        <w:t xml:space="preserve"> ES</w:t>
      </w:r>
      <w:r w:rsidR="00E171FB">
        <w:t xml:space="preserve"> izvirzīto visaptverošo</w:t>
      </w:r>
      <w:r>
        <w:t xml:space="preserve"> </w:t>
      </w:r>
      <w:r w:rsidRPr="00B406F0">
        <w:t>mērķi līdz 2050. gadam siltumnīcefekta gāzu emisijas samazināt par 80–95 %, salīdzinot ar 1990. gadu</w:t>
      </w:r>
      <w:r>
        <w:t>, izveidojot dekarbonizētu ēku fondu, kā arī veicinot esošo ēku atjaunošanu.</w:t>
      </w:r>
    </w:p>
    <w:p w14:paraId="366C6E38" w14:textId="321B0EF0" w:rsidR="00EB6E03" w:rsidRDefault="00EB6E03" w:rsidP="00B3694B">
      <w:r w:rsidRPr="002B0E1A">
        <w:t xml:space="preserve">Latvijā vislielāko siltumnīcefekta gāzu (SEG) emisiju apjomu rada enerģētikas </w:t>
      </w:r>
      <w:r w:rsidR="00A922AF">
        <w:t>joma</w:t>
      </w:r>
      <w:r w:rsidRPr="002B0E1A">
        <w:t>, kas vidēji gadā emitē 7</w:t>
      </w:r>
      <w:r>
        <w:t>263</w:t>
      </w:r>
      <w:r w:rsidRPr="002B0E1A">
        <w:t xml:space="preserve"> </w:t>
      </w:r>
      <w:r>
        <w:t>kilotonnas (k.t.)</w:t>
      </w:r>
      <w:r w:rsidRPr="002B0E1A">
        <w:t xml:space="preserve"> CO2 ekvivalenta (64 % no kopējām Latvijas SEG emisijām). Desmit gadu laikā no 2008. līdz 2017. gadam CO2 emisiju apjoms enerģētikas sektorā ir samazinājies par 13,6 %. </w:t>
      </w:r>
      <w:r>
        <w:t xml:space="preserve">Ja šos datus salīdzina ar atskaites punktu 1990. gadā, tad redzams, ka kopumā samazinājums veido jau 57% </w:t>
      </w:r>
      <w:r w:rsidRPr="00A15C92">
        <w:t xml:space="preserve">(skat. </w:t>
      </w:r>
      <w:r w:rsidR="00BC6361">
        <w:t>14</w:t>
      </w:r>
      <w:r w:rsidRPr="00A15C92">
        <w:t>. tabulu). No enerģētikas sektorā esošajām emisijām, aptuveni 30% veido mājsaimniecības</w:t>
      </w:r>
      <w:r>
        <w:t>.</w:t>
      </w:r>
    </w:p>
    <w:p w14:paraId="78CD3441" w14:textId="77777777" w:rsidR="00EB6E03" w:rsidRPr="000A4091" w:rsidRDefault="00EB6E03" w:rsidP="00EB6E03">
      <w:r w:rsidRPr="00ED2A3F">
        <w:t xml:space="preserve">Enerģētikas sektora emisijas svārstās atkarībā no ekonomiskajām izmaiņām valstī un būtiski atšķirīgām ziemas vidējām temperatūrām. Būtisks faktors enerģētikas SEG emisiju samazinājumam kopējā bilancē ir energoefektivitāte, kurināmā nomaiņa no šķidrajiem un cietajiem kurināmajiem uz dabasgāzi, kā arī fosilo energoresursu aizstāšana ar biomasu un citiem AER veidiem. Svarīgi faktori energoresursu nomaiņai ir tā cena un pieejamība, kā arī valsts politika un pasākumi, tai skaitā atbalsta pasākumi. </w:t>
      </w:r>
    </w:p>
    <w:p w14:paraId="68EC42E0" w14:textId="77777777" w:rsidR="005B059D" w:rsidRDefault="005B059D" w:rsidP="00097A78">
      <w:pPr>
        <w:keepNext/>
        <w:tabs>
          <w:tab w:val="left" w:pos="2269"/>
        </w:tabs>
        <w:ind w:firstLine="0"/>
        <w:contextualSpacing/>
        <w:rPr>
          <w:rFonts w:eastAsia="Calibri" w:cs="Times New Roman"/>
          <w:color w:val="000000" w:themeColor="text1"/>
          <w:szCs w:val="24"/>
        </w:rPr>
      </w:pPr>
    </w:p>
    <w:p w14:paraId="2521EC63" w14:textId="73317C7E" w:rsidR="005B059D" w:rsidRDefault="00E03B2A" w:rsidP="00097A78">
      <w:pPr>
        <w:keepNext/>
        <w:tabs>
          <w:tab w:val="left" w:pos="2269"/>
        </w:tabs>
        <w:ind w:firstLine="0"/>
        <w:contextualSpacing/>
        <w:rPr>
          <w:rFonts w:eastAsia="Calibri" w:cs="Times New Roman"/>
          <w:color w:val="FFFF00"/>
          <w:szCs w:val="24"/>
        </w:rPr>
      </w:pPr>
      <w:r w:rsidRPr="00A15C92">
        <w:rPr>
          <w:rFonts w:eastAsia="Calibri" w:cs="Times New Roman"/>
          <w:color w:val="000000" w:themeColor="text1"/>
          <w:szCs w:val="24"/>
        </w:rPr>
        <w:t>1</w:t>
      </w:r>
      <w:r w:rsidR="00672BA3">
        <w:rPr>
          <w:rFonts w:eastAsia="Calibri" w:cs="Times New Roman"/>
          <w:color w:val="000000" w:themeColor="text1"/>
          <w:szCs w:val="24"/>
        </w:rPr>
        <w:t>3</w:t>
      </w:r>
      <w:r w:rsidR="00EB6E03" w:rsidRPr="00A15C92">
        <w:rPr>
          <w:rFonts w:eastAsia="Calibri" w:cs="Times New Roman"/>
          <w:color w:val="000000" w:themeColor="text1"/>
          <w:szCs w:val="24"/>
        </w:rPr>
        <w:t>.tabula</w:t>
      </w:r>
      <w:r w:rsidR="00EB6E03" w:rsidRPr="00A15C92">
        <w:rPr>
          <w:rFonts w:eastAsia="Calibri" w:cs="Times New Roman"/>
          <w:color w:val="FFFF00"/>
          <w:szCs w:val="24"/>
        </w:rPr>
        <w:t>.</w:t>
      </w:r>
    </w:p>
    <w:p w14:paraId="735AA09D" w14:textId="58ADF878" w:rsidR="00EB6E03" w:rsidRPr="005B059D" w:rsidRDefault="00EB6E03" w:rsidP="00097A78">
      <w:pPr>
        <w:keepNext/>
        <w:tabs>
          <w:tab w:val="left" w:pos="2269"/>
        </w:tabs>
        <w:ind w:firstLine="0"/>
        <w:contextualSpacing/>
        <w:rPr>
          <w:rFonts w:eastAsia="Calibri" w:cs="Times New Roman"/>
          <w:sz w:val="20"/>
          <w:szCs w:val="20"/>
        </w:rPr>
      </w:pPr>
      <w:r w:rsidRPr="00A918B9">
        <w:rPr>
          <w:rFonts w:eastAsia="Calibri" w:cs="Times New Roman"/>
          <w:color w:val="FFFF00"/>
          <w:szCs w:val="24"/>
        </w:rPr>
        <w:t xml:space="preserve"> </w:t>
      </w:r>
      <w:r w:rsidRPr="005B059D">
        <w:rPr>
          <w:rFonts w:eastAsia="Calibri" w:cs="Times New Roman"/>
          <w:sz w:val="20"/>
          <w:szCs w:val="20"/>
        </w:rPr>
        <w:t>Energoresursu patēriņš mājsaimniecībās, ieskaitot patēriņu lauku saimniecībās un citās ekonomiskās aktivitātēs (TJ)</w:t>
      </w:r>
      <w:r w:rsidRPr="005B059D">
        <w:rPr>
          <w:rFonts w:eastAsia="Calibri" w:cs="Times New Roman"/>
          <w:sz w:val="20"/>
          <w:szCs w:val="20"/>
          <w:vertAlign w:val="superscript"/>
        </w:rPr>
        <w:footnoteReference w:id="48"/>
      </w:r>
    </w:p>
    <w:p w14:paraId="76D0A2BD" w14:textId="77777777" w:rsidR="00EB6E03" w:rsidRPr="00A918B9" w:rsidRDefault="00EB6E03" w:rsidP="00EB6E03">
      <w:pPr>
        <w:keepNext/>
        <w:tabs>
          <w:tab w:val="left" w:pos="2269"/>
        </w:tabs>
        <w:ind w:firstLine="0"/>
        <w:contextualSpacing/>
        <w:rPr>
          <w:rFonts w:eastAsia="Calibri"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104"/>
        <w:gridCol w:w="1104"/>
        <w:gridCol w:w="1104"/>
        <w:gridCol w:w="1104"/>
        <w:gridCol w:w="1015"/>
      </w:tblGrid>
      <w:tr w:rsidR="00EB6E03" w:rsidRPr="00A918B9" w14:paraId="0BF83417" w14:textId="77777777" w:rsidTr="00EB6E03">
        <w:trPr>
          <w:jc w:val="center"/>
        </w:trPr>
        <w:tc>
          <w:tcPr>
            <w:tcW w:w="2865" w:type="dxa"/>
            <w:shd w:val="clear" w:color="auto" w:fill="auto"/>
          </w:tcPr>
          <w:p w14:paraId="3D0028AB" w14:textId="77777777" w:rsidR="00EB6E03" w:rsidRPr="00A918B9" w:rsidRDefault="00EB6E03" w:rsidP="00EB6E03">
            <w:pPr>
              <w:tabs>
                <w:tab w:val="left" w:pos="2269"/>
              </w:tabs>
              <w:ind w:firstLine="34"/>
              <w:contextualSpacing/>
              <w:jc w:val="left"/>
              <w:rPr>
                <w:rFonts w:eastAsia="Calibri" w:cs="Times New Roman"/>
                <w:b/>
                <w:bCs/>
                <w:sz w:val="20"/>
                <w:szCs w:val="20"/>
              </w:rPr>
            </w:pPr>
          </w:p>
        </w:tc>
        <w:tc>
          <w:tcPr>
            <w:tcW w:w="1104" w:type="dxa"/>
            <w:shd w:val="clear" w:color="auto" w:fill="auto"/>
          </w:tcPr>
          <w:p w14:paraId="4A24F346" w14:textId="77777777" w:rsidR="00EB6E03" w:rsidRPr="00A918B9" w:rsidRDefault="00EB6E03" w:rsidP="00EB6E03">
            <w:pPr>
              <w:tabs>
                <w:tab w:val="left" w:pos="2269"/>
              </w:tabs>
              <w:ind w:firstLine="34"/>
              <w:contextualSpacing/>
              <w:jc w:val="center"/>
              <w:rPr>
                <w:rFonts w:eastAsia="Calibri" w:cs="Times New Roman"/>
                <w:b/>
                <w:bCs/>
                <w:sz w:val="20"/>
                <w:szCs w:val="20"/>
              </w:rPr>
            </w:pPr>
            <w:r w:rsidRPr="00A918B9">
              <w:rPr>
                <w:rFonts w:eastAsia="Calibri" w:cs="Times New Roman"/>
                <w:b/>
                <w:bCs/>
                <w:sz w:val="20"/>
                <w:szCs w:val="20"/>
              </w:rPr>
              <w:t>1996</w:t>
            </w:r>
          </w:p>
        </w:tc>
        <w:tc>
          <w:tcPr>
            <w:tcW w:w="1104" w:type="dxa"/>
            <w:shd w:val="clear" w:color="auto" w:fill="auto"/>
          </w:tcPr>
          <w:p w14:paraId="0695A564" w14:textId="77777777" w:rsidR="00EB6E03" w:rsidRPr="00A918B9" w:rsidRDefault="00EB6E03" w:rsidP="00EB6E03">
            <w:pPr>
              <w:tabs>
                <w:tab w:val="left" w:pos="2269"/>
              </w:tabs>
              <w:ind w:firstLine="34"/>
              <w:contextualSpacing/>
              <w:jc w:val="center"/>
              <w:rPr>
                <w:rFonts w:eastAsia="Calibri" w:cs="Times New Roman"/>
                <w:b/>
                <w:bCs/>
                <w:sz w:val="20"/>
                <w:szCs w:val="20"/>
              </w:rPr>
            </w:pPr>
            <w:r w:rsidRPr="00A918B9">
              <w:rPr>
                <w:rFonts w:eastAsia="Calibri" w:cs="Times New Roman"/>
                <w:b/>
                <w:bCs/>
                <w:sz w:val="20"/>
                <w:szCs w:val="20"/>
              </w:rPr>
              <w:t>2001</w:t>
            </w:r>
          </w:p>
        </w:tc>
        <w:tc>
          <w:tcPr>
            <w:tcW w:w="1104" w:type="dxa"/>
            <w:shd w:val="clear" w:color="auto" w:fill="auto"/>
          </w:tcPr>
          <w:p w14:paraId="35F6A274" w14:textId="77777777" w:rsidR="00EB6E03" w:rsidRPr="00A918B9" w:rsidRDefault="00EB6E03" w:rsidP="00EB6E03">
            <w:pPr>
              <w:tabs>
                <w:tab w:val="left" w:pos="2269"/>
              </w:tabs>
              <w:ind w:firstLine="34"/>
              <w:contextualSpacing/>
              <w:jc w:val="center"/>
              <w:rPr>
                <w:rFonts w:eastAsia="Calibri" w:cs="Times New Roman"/>
                <w:b/>
                <w:bCs/>
                <w:sz w:val="20"/>
                <w:szCs w:val="20"/>
              </w:rPr>
            </w:pPr>
            <w:r w:rsidRPr="00A918B9">
              <w:rPr>
                <w:rFonts w:eastAsia="Calibri" w:cs="Times New Roman"/>
                <w:b/>
                <w:bCs/>
                <w:sz w:val="20"/>
                <w:szCs w:val="20"/>
              </w:rPr>
              <w:t>2006</w:t>
            </w:r>
          </w:p>
        </w:tc>
        <w:tc>
          <w:tcPr>
            <w:tcW w:w="1104" w:type="dxa"/>
            <w:shd w:val="clear" w:color="auto" w:fill="auto"/>
          </w:tcPr>
          <w:p w14:paraId="51C30DA9" w14:textId="77777777" w:rsidR="00EB6E03" w:rsidRPr="00A918B9" w:rsidRDefault="00EB6E03" w:rsidP="00EB6E03">
            <w:pPr>
              <w:tabs>
                <w:tab w:val="left" w:pos="2269"/>
              </w:tabs>
              <w:ind w:firstLine="34"/>
              <w:contextualSpacing/>
              <w:jc w:val="center"/>
              <w:rPr>
                <w:rFonts w:eastAsia="Calibri" w:cs="Times New Roman"/>
                <w:b/>
                <w:bCs/>
                <w:sz w:val="20"/>
                <w:szCs w:val="20"/>
              </w:rPr>
            </w:pPr>
            <w:r w:rsidRPr="00A918B9">
              <w:rPr>
                <w:rFonts w:eastAsia="Calibri" w:cs="Times New Roman"/>
                <w:b/>
                <w:bCs/>
                <w:sz w:val="20"/>
                <w:szCs w:val="20"/>
              </w:rPr>
              <w:t>2010</w:t>
            </w:r>
          </w:p>
        </w:tc>
        <w:tc>
          <w:tcPr>
            <w:tcW w:w="1015" w:type="dxa"/>
          </w:tcPr>
          <w:p w14:paraId="42EFFE36" w14:textId="77777777" w:rsidR="00EB6E03" w:rsidRPr="00A918B9" w:rsidRDefault="00EB6E03" w:rsidP="00EB6E03">
            <w:pPr>
              <w:tabs>
                <w:tab w:val="left" w:pos="2269"/>
              </w:tabs>
              <w:ind w:firstLine="34"/>
              <w:contextualSpacing/>
              <w:jc w:val="center"/>
              <w:rPr>
                <w:rFonts w:eastAsia="Calibri" w:cs="Times New Roman"/>
                <w:b/>
                <w:bCs/>
                <w:sz w:val="20"/>
                <w:szCs w:val="20"/>
              </w:rPr>
            </w:pPr>
            <w:r w:rsidRPr="00A918B9">
              <w:rPr>
                <w:rFonts w:eastAsia="Calibri" w:cs="Times New Roman"/>
                <w:b/>
                <w:bCs/>
                <w:sz w:val="20"/>
                <w:szCs w:val="20"/>
              </w:rPr>
              <w:t>2015</w:t>
            </w:r>
          </w:p>
        </w:tc>
      </w:tr>
      <w:tr w:rsidR="00EB6E03" w:rsidRPr="00A918B9" w14:paraId="34286F77" w14:textId="77777777" w:rsidTr="00EB6E03">
        <w:trPr>
          <w:jc w:val="center"/>
        </w:trPr>
        <w:tc>
          <w:tcPr>
            <w:tcW w:w="2865" w:type="dxa"/>
            <w:shd w:val="clear" w:color="auto" w:fill="auto"/>
          </w:tcPr>
          <w:p w14:paraId="4BF2FAFF"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Elektroenerģija</w:t>
            </w:r>
          </w:p>
        </w:tc>
        <w:tc>
          <w:tcPr>
            <w:tcW w:w="1104" w:type="dxa"/>
            <w:shd w:val="clear" w:color="auto" w:fill="auto"/>
          </w:tcPr>
          <w:p w14:paraId="4393DBA8"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3935</w:t>
            </w:r>
          </w:p>
        </w:tc>
        <w:tc>
          <w:tcPr>
            <w:tcW w:w="1104" w:type="dxa"/>
            <w:shd w:val="clear" w:color="auto" w:fill="auto"/>
          </w:tcPr>
          <w:p w14:paraId="1A5E9FC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4460</w:t>
            </w:r>
          </w:p>
        </w:tc>
        <w:tc>
          <w:tcPr>
            <w:tcW w:w="1104" w:type="dxa"/>
            <w:shd w:val="clear" w:color="auto" w:fill="auto"/>
          </w:tcPr>
          <w:p w14:paraId="3B23CC9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6221</w:t>
            </w:r>
          </w:p>
        </w:tc>
        <w:tc>
          <w:tcPr>
            <w:tcW w:w="1104" w:type="dxa"/>
            <w:shd w:val="clear" w:color="auto" w:fill="auto"/>
          </w:tcPr>
          <w:p w14:paraId="676D7587"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6977</w:t>
            </w:r>
          </w:p>
        </w:tc>
        <w:tc>
          <w:tcPr>
            <w:tcW w:w="1015" w:type="dxa"/>
          </w:tcPr>
          <w:p w14:paraId="6D42BBB8"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6332</w:t>
            </w:r>
          </w:p>
        </w:tc>
      </w:tr>
      <w:tr w:rsidR="00EB6E03" w:rsidRPr="00A918B9" w14:paraId="5749D314" w14:textId="77777777" w:rsidTr="00EB6E03">
        <w:trPr>
          <w:jc w:val="center"/>
        </w:trPr>
        <w:tc>
          <w:tcPr>
            <w:tcW w:w="2865" w:type="dxa"/>
            <w:shd w:val="clear" w:color="auto" w:fill="auto"/>
          </w:tcPr>
          <w:p w14:paraId="0E48F82F"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Dabasgāze</w:t>
            </w:r>
          </w:p>
        </w:tc>
        <w:tc>
          <w:tcPr>
            <w:tcW w:w="1104" w:type="dxa"/>
            <w:shd w:val="clear" w:color="auto" w:fill="auto"/>
          </w:tcPr>
          <w:p w14:paraId="2065CF49"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4180</w:t>
            </w:r>
          </w:p>
        </w:tc>
        <w:tc>
          <w:tcPr>
            <w:tcW w:w="1104" w:type="dxa"/>
            <w:shd w:val="clear" w:color="auto" w:fill="auto"/>
          </w:tcPr>
          <w:p w14:paraId="7CCDDD70"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3334</w:t>
            </w:r>
          </w:p>
        </w:tc>
        <w:tc>
          <w:tcPr>
            <w:tcW w:w="1104" w:type="dxa"/>
            <w:shd w:val="clear" w:color="auto" w:fill="auto"/>
          </w:tcPr>
          <w:p w14:paraId="00B4FB31"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4807</w:t>
            </w:r>
          </w:p>
        </w:tc>
        <w:tc>
          <w:tcPr>
            <w:tcW w:w="1104" w:type="dxa"/>
            <w:shd w:val="clear" w:color="auto" w:fill="auto"/>
          </w:tcPr>
          <w:p w14:paraId="3A1530B0"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5219</w:t>
            </w:r>
          </w:p>
        </w:tc>
        <w:tc>
          <w:tcPr>
            <w:tcW w:w="1015" w:type="dxa"/>
          </w:tcPr>
          <w:p w14:paraId="59F99805"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4116</w:t>
            </w:r>
          </w:p>
        </w:tc>
      </w:tr>
      <w:tr w:rsidR="00EB6E03" w:rsidRPr="00A918B9" w14:paraId="18DB0DBB" w14:textId="77777777" w:rsidTr="00EB6E03">
        <w:trPr>
          <w:jc w:val="center"/>
        </w:trPr>
        <w:tc>
          <w:tcPr>
            <w:tcW w:w="2865" w:type="dxa"/>
            <w:shd w:val="clear" w:color="auto" w:fill="auto"/>
          </w:tcPr>
          <w:p w14:paraId="4633893F"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Sašķidrinātā naftas gāze</w:t>
            </w:r>
          </w:p>
        </w:tc>
        <w:tc>
          <w:tcPr>
            <w:tcW w:w="1104" w:type="dxa"/>
            <w:shd w:val="clear" w:color="auto" w:fill="auto"/>
          </w:tcPr>
          <w:p w14:paraId="42250DB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1230</w:t>
            </w:r>
          </w:p>
        </w:tc>
        <w:tc>
          <w:tcPr>
            <w:tcW w:w="1104" w:type="dxa"/>
            <w:shd w:val="clear" w:color="auto" w:fill="auto"/>
          </w:tcPr>
          <w:p w14:paraId="228B87BC"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1139</w:t>
            </w:r>
          </w:p>
        </w:tc>
        <w:tc>
          <w:tcPr>
            <w:tcW w:w="1104" w:type="dxa"/>
            <w:shd w:val="clear" w:color="auto" w:fill="auto"/>
          </w:tcPr>
          <w:p w14:paraId="5DE30CD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1230</w:t>
            </w:r>
          </w:p>
        </w:tc>
        <w:tc>
          <w:tcPr>
            <w:tcW w:w="1104" w:type="dxa"/>
            <w:shd w:val="clear" w:color="auto" w:fill="auto"/>
          </w:tcPr>
          <w:p w14:paraId="6A7164C2"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911</w:t>
            </w:r>
          </w:p>
        </w:tc>
        <w:tc>
          <w:tcPr>
            <w:tcW w:w="1015" w:type="dxa"/>
          </w:tcPr>
          <w:p w14:paraId="1B334497"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773</w:t>
            </w:r>
          </w:p>
        </w:tc>
      </w:tr>
      <w:tr w:rsidR="00EB6E03" w:rsidRPr="00A918B9" w14:paraId="5F62B9D7" w14:textId="77777777" w:rsidTr="00EB6E03">
        <w:trPr>
          <w:jc w:val="center"/>
        </w:trPr>
        <w:tc>
          <w:tcPr>
            <w:tcW w:w="2865" w:type="dxa"/>
            <w:shd w:val="clear" w:color="auto" w:fill="auto"/>
          </w:tcPr>
          <w:p w14:paraId="26AA6D3E"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Naftas produkti apkurei un karstajam ūdenim</w:t>
            </w:r>
          </w:p>
        </w:tc>
        <w:tc>
          <w:tcPr>
            <w:tcW w:w="1104" w:type="dxa"/>
            <w:shd w:val="clear" w:color="auto" w:fill="auto"/>
          </w:tcPr>
          <w:p w14:paraId="732DA0B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42</w:t>
            </w:r>
          </w:p>
        </w:tc>
        <w:tc>
          <w:tcPr>
            <w:tcW w:w="1104" w:type="dxa"/>
            <w:shd w:val="clear" w:color="auto" w:fill="auto"/>
          </w:tcPr>
          <w:p w14:paraId="387C5BDC"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170</w:t>
            </w:r>
          </w:p>
        </w:tc>
        <w:tc>
          <w:tcPr>
            <w:tcW w:w="1104" w:type="dxa"/>
            <w:shd w:val="clear" w:color="auto" w:fill="auto"/>
          </w:tcPr>
          <w:p w14:paraId="15DCE1AA"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127</w:t>
            </w:r>
          </w:p>
        </w:tc>
        <w:tc>
          <w:tcPr>
            <w:tcW w:w="1104" w:type="dxa"/>
            <w:shd w:val="clear" w:color="auto" w:fill="auto"/>
          </w:tcPr>
          <w:p w14:paraId="55C9E8F5"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79</w:t>
            </w:r>
          </w:p>
        </w:tc>
        <w:tc>
          <w:tcPr>
            <w:tcW w:w="1015" w:type="dxa"/>
          </w:tcPr>
          <w:p w14:paraId="3DFAF3AB"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89</w:t>
            </w:r>
          </w:p>
        </w:tc>
      </w:tr>
      <w:tr w:rsidR="00EB6E03" w:rsidRPr="00A918B9" w14:paraId="3011102B" w14:textId="77777777" w:rsidTr="00EB6E03">
        <w:trPr>
          <w:jc w:val="center"/>
        </w:trPr>
        <w:tc>
          <w:tcPr>
            <w:tcW w:w="2865" w:type="dxa"/>
            <w:shd w:val="clear" w:color="auto" w:fill="auto"/>
          </w:tcPr>
          <w:p w14:paraId="69805B53"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Akmeņogles</w:t>
            </w:r>
          </w:p>
        </w:tc>
        <w:tc>
          <w:tcPr>
            <w:tcW w:w="1104" w:type="dxa"/>
            <w:shd w:val="clear" w:color="auto" w:fill="auto"/>
          </w:tcPr>
          <w:p w14:paraId="7C3C6068"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1964</w:t>
            </w:r>
          </w:p>
        </w:tc>
        <w:tc>
          <w:tcPr>
            <w:tcW w:w="1104" w:type="dxa"/>
            <w:shd w:val="clear" w:color="auto" w:fill="auto"/>
          </w:tcPr>
          <w:p w14:paraId="334B6D25"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1338</w:t>
            </w:r>
          </w:p>
        </w:tc>
        <w:tc>
          <w:tcPr>
            <w:tcW w:w="1104" w:type="dxa"/>
            <w:shd w:val="clear" w:color="auto" w:fill="auto"/>
          </w:tcPr>
          <w:p w14:paraId="6FA6E58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813</w:t>
            </w:r>
          </w:p>
        </w:tc>
        <w:tc>
          <w:tcPr>
            <w:tcW w:w="1104" w:type="dxa"/>
            <w:shd w:val="clear" w:color="auto" w:fill="auto"/>
          </w:tcPr>
          <w:p w14:paraId="70C14C81"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1049</w:t>
            </w:r>
          </w:p>
        </w:tc>
        <w:tc>
          <w:tcPr>
            <w:tcW w:w="1015" w:type="dxa"/>
          </w:tcPr>
          <w:p w14:paraId="42A0DB7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501</w:t>
            </w:r>
          </w:p>
        </w:tc>
      </w:tr>
      <w:tr w:rsidR="00EB6E03" w:rsidRPr="00A918B9" w14:paraId="61249F01" w14:textId="77777777" w:rsidTr="00EB6E03">
        <w:trPr>
          <w:trHeight w:val="233"/>
          <w:jc w:val="center"/>
        </w:trPr>
        <w:tc>
          <w:tcPr>
            <w:tcW w:w="2865" w:type="dxa"/>
            <w:shd w:val="clear" w:color="auto" w:fill="auto"/>
          </w:tcPr>
          <w:p w14:paraId="19A61F95"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Malka</w:t>
            </w:r>
          </w:p>
        </w:tc>
        <w:tc>
          <w:tcPr>
            <w:tcW w:w="1104" w:type="dxa"/>
            <w:shd w:val="clear" w:color="auto" w:fill="auto"/>
          </w:tcPr>
          <w:p w14:paraId="1516686E"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31349</w:t>
            </w:r>
          </w:p>
        </w:tc>
        <w:tc>
          <w:tcPr>
            <w:tcW w:w="1104" w:type="dxa"/>
            <w:shd w:val="clear" w:color="auto" w:fill="auto"/>
          </w:tcPr>
          <w:p w14:paraId="17B0FA8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23388</w:t>
            </w:r>
          </w:p>
        </w:tc>
        <w:tc>
          <w:tcPr>
            <w:tcW w:w="1104" w:type="dxa"/>
            <w:shd w:val="clear" w:color="auto" w:fill="auto"/>
          </w:tcPr>
          <w:p w14:paraId="7B87300E"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27986</w:t>
            </w:r>
          </w:p>
        </w:tc>
        <w:tc>
          <w:tcPr>
            <w:tcW w:w="1104" w:type="dxa"/>
            <w:shd w:val="clear" w:color="auto" w:fill="auto"/>
          </w:tcPr>
          <w:p w14:paraId="0C4B7955"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23256</w:t>
            </w:r>
          </w:p>
        </w:tc>
        <w:tc>
          <w:tcPr>
            <w:tcW w:w="1015" w:type="dxa"/>
          </w:tcPr>
          <w:p w14:paraId="467A6940"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16355</w:t>
            </w:r>
          </w:p>
        </w:tc>
      </w:tr>
      <w:tr w:rsidR="00EB6E03" w:rsidRPr="00A918B9" w14:paraId="3B0AF824" w14:textId="77777777" w:rsidTr="00EB6E03">
        <w:trPr>
          <w:jc w:val="center"/>
        </w:trPr>
        <w:tc>
          <w:tcPr>
            <w:tcW w:w="2865" w:type="dxa"/>
            <w:shd w:val="clear" w:color="auto" w:fill="auto"/>
          </w:tcPr>
          <w:p w14:paraId="54F4D2A3"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Koksnes briketes</w:t>
            </w:r>
          </w:p>
        </w:tc>
        <w:tc>
          <w:tcPr>
            <w:tcW w:w="1104" w:type="dxa"/>
            <w:shd w:val="clear" w:color="auto" w:fill="auto"/>
          </w:tcPr>
          <w:p w14:paraId="4F4198EC"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22946A2E"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69</w:t>
            </w:r>
          </w:p>
        </w:tc>
        <w:tc>
          <w:tcPr>
            <w:tcW w:w="1104" w:type="dxa"/>
            <w:shd w:val="clear" w:color="auto" w:fill="auto"/>
          </w:tcPr>
          <w:p w14:paraId="32BA356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187</w:t>
            </w:r>
          </w:p>
        </w:tc>
        <w:tc>
          <w:tcPr>
            <w:tcW w:w="1104" w:type="dxa"/>
            <w:shd w:val="clear" w:color="auto" w:fill="auto"/>
          </w:tcPr>
          <w:p w14:paraId="2C9EE62A"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340</w:t>
            </w:r>
          </w:p>
        </w:tc>
        <w:tc>
          <w:tcPr>
            <w:tcW w:w="1015" w:type="dxa"/>
          </w:tcPr>
          <w:p w14:paraId="66F0B2DF"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375</w:t>
            </w:r>
          </w:p>
        </w:tc>
      </w:tr>
      <w:tr w:rsidR="00EB6E03" w:rsidRPr="00A918B9" w14:paraId="4422CDC1" w14:textId="77777777" w:rsidTr="00EB6E03">
        <w:trPr>
          <w:jc w:val="center"/>
        </w:trPr>
        <w:tc>
          <w:tcPr>
            <w:tcW w:w="2865" w:type="dxa"/>
            <w:shd w:val="clear" w:color="auto" w:fill="auto"/>
          </w:tcPr>
          <w:p w14:paraId="2EDE62D5"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lastRenderedPageBreak/>
              <w:t>Koksnes granulas</w:t>
            </w:r>
          </w:p>
        </w:tc>
        <w:tc>
          <w:tcPr>
            <w:tcW w:w="1104" w:type="dxa"/>
            <w:shd w:val="clear" w:color="auto" w:fill="auto"/>
          </w:tcPr>
          <w:p w14:paraId="2482527B"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36A30F00"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2883566E"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36</w:t>
            </w:r>
          </w:p>
        </w:tc>
        <w:tc>
          <w:tcPr>
            <w:tcW w:w="1104" w:type="dxa"/>
            <w:shd w:val="clear" w:color="auto" w:fill="auto"/>
          </w:tcPr>
          <w:p w14:paraId="51979539"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252</w:t>
            </w:r>
          </w:p>
        </w:tc>
        <w:tc>
          <w:tcPr>
            <w:tcW w:w="1015" w:type="dxa"/>
          </w:tcPr>
          <w:p w14:paraId="3F448EB0"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2052</w:t>
            </w:r>
          </w:p>
        </w:tc>
      </w:tr>
      <w:tr w:rsidR="00EB6E03" w:rsidRPr="00A918B9" w14:paraId="06C264CF" w14:textId="77777777" w:rsidTr="00EB6E03">
        <w:trPr>
          <w:jc w:val="center"/>
        </w:trPr>
        <w:tc>
          <w:tcPr>
            <w:tcW w:w="2865" w:type="dxa"/>
            <w:shd w:val="clear" w:color="auto" w:fill="auto"/>
          </w:tcPr>
          <w:p w14:paraId="063C3A76"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Koksnes atlikumi</w:t>
            </w:r>
          </w:p>
        </w:tc>
        <w:tc>
          <w:tcPr>
            <w:tcW w:w="1104" w:type="dxa"/>
            <w:shd w:val="clear" w:color="auto" w:fill="auto"/>
          </w:tcPr>
          <w:p w14:paraId="4F9B7012"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19274D0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7062</w:t>
            </w:r>
          </w:p>
        </w:tc>
        <w:tc>
          <w:tcPr>
            <w:tcW w:w="1104" w:type="dxa"/>
            <w:shd w:val="clear" w:color="auto" w:fill="auto"/>
          </w:tcPr>
          <w:p w14:paraId="13C24A3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2956</w:t>
            </w:r>
          </w:p>
        </w:tc>
        <w:tc>
          <w:tcPr>
            <w:tcW w:w="1104" w:type="dxa"/>
            <w:shd w:val="clear" w:color="auto" w:fill="auto"/>
          </w:tcPr>
          <w:p w14:paraId="1FA565C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1126</w:t>
            </w:r>
          </w:p>
        </w:tc>
        <w:tc>
          <w:tcPr>
            <w:tcW w:w="1015" w:type="dxa"/>
          </w:tcPr>
          <w:p w14:paraId="273DBE8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348</w:t>
            </w:r>
          </w:p>
        </w:tc>
      </w:tr>
      <w:tr w:rsidR="00EB6E03" w:rsidRPr="00A918B9" w14:paraId="4171B4CE" w14:textId="77777777" w:rsidTr="00EB6E03">
        <w:trPr>
          <w:jc w:val="center"/>
        </w:trPr>
        <w:tc>
          <w:tcPr>
            <w:tcW w:w="2865" w:type="dxa"/>
            <w:shd w:val="clear" w:color="auto" w:fill="auto"/>
          </w:tcPr>
          <w:p w14:paraId="6AA21C08"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Kokogles</w:t>
            </w:r>
          </w:p>
        </w:tc>
        <w:tc>
          <w:tcPr>
            <w:tcW w:w="1104" w:type="dxa"/>
            <w:shd w:val="clear" w:color="auto" w:fill="auto"/>
          </w:tcPr>
          <w:p w14:paraId="681A6001"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56E2054A"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37F1DC8C"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30</w:t>
            </w:r>
          </w:p>
        </w:tc>
        <w:tc>
          <w:tcPr>
            <w:tcW w:w="1104" w:type="dxa"/>
            <w:shd w:val="clear" w:color="auto" w:fill="auto"/>
          </w:tcPr>
          <w:p w14:paraId="54A6B99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60</w:t>
            </w:r>
          </w:p>
        </w:tc>
        <w:tc>
          <w:tcPr>
            <w:tcW w:w="1015" w:type="dxa"/>
          </w:tcPr>
          <w:p w14:paraId="1B2A50FD"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60</w:t>
            </w:r>
          </w:p>
        </w:tc>
      </w:tr>
      <w:tr w:rsidR="00EB6E03" w:rsidRPr="00A918B9" w14:paraId="6054DE60" w14:textId="77777777" w:rsidTr="00EB6E03">
        <w:trPr>
          <w:jc w:val="center"/>
        </w:trPr>
        <w:tc>
          <w:tcPr>
            <w:tcW w:w="2865" w:type="dxa"/>
            <w:shd w:val="clear" w:color="auto" w:fill="auto"/>
          </w:tcPr>
          <w:p w14:paraId="423213D5"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Cits ciets kurināmais</w:t>
            </w:r>
          </w:p>
        </w:tc>
        <w:tc>
          <w:tcPr>
            <w:tcW w:w="1104" w:type="dxa"/>
            <w:shd w:val="clear" w:color="auto" w:fill="auto"/>
          </w:tcPr>
          <w:p w14:paraId="162FB9C8"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241</w:t>
            </w:r>
          </w:p>
        </w:tc>
        <w:tc>
          <w:tcPr>
            <w:tcW w:w="1104" w:type="dxa"/>
            <w:shd w:val="clear" w:color="auto" w:fill="auto"/>
          </w:tcPr>
          <w:p w14:paraId="3FF6FA9C"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17</w:t>
            </w:r>
          </w:p>
        </w:tc>
        <w:tc>
          <w:tcPr>
            <w:tcW w:w="1104" w:type="dxa"/>
            <w:shd w:val="clear" w:color="auto" w:fill="auto"/>
          </w:tcPr>
          <w:p w14:paraId="00F8FB0F"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7</w:t>
            </w:r>
          </w:p>
        </w:tc>
        <w:tc>
          <w:tcPr>
            <w:tcW w:w="1104" w:type="dxa"/>
            <w:shd w:val="clear" w:color="auto" w:fill="auto"/>
          </w:tcPr>
          <w:p w14:paraId="6AC40D6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35</w:t>
            </w:r>
          </w:p>
        </w:tc>
        <w:tc>
          <w:tcPr>
            <w:tcW w:w="1015" w:type="dxa"/>
          </w:tcPr>
          <w:p w14:paraId="7E42B634"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r>
      <w:tr w:rsidR="00EB6E03" w:rsidRPr="00A918B9" w14:paraId="5CA6D676" w14:textId="77777777" w:rsidTr="00EB6E03">
        <w:trPr>
          <w:jc w:val="center"/>
        </w:trPr>
        <w:tc>
          <w:tcPr>
            <w:tcW w:w="2865" w:type="dxa"/>
            <w:shd w:val="clear" w:color="auto" w:fill="auto"/>
          </w:tcPr>
          <w:p w14:paraId="32E401E3" w14:textId="77777777" w:rsidR="00EB6E03" w:rsidRPr="00A918B9" w:rsidRDefault="00EB6E03" w:rsidP="00EB6E03">
            <w:pPr>
              <w:tabs>
                <w:tab w:val="left" w:pos="2269"/>
              </w:tabs>
              <w:ind w:firstLine="34"/>
              <w:contextualSpacing/>
              <w:jc w:val="left"/>
              <w:rPr>
                <w:rFonts w:eastAsia="Calibri" w:cs="Times New Roman"/>
                <w:b/>
                <w:bCs/>
                <w:sz w:val="20"/>
                <w:szCs w:val="20"/>
              </w:rPr>
            </w:pPr>
            <w:r w:rsidRPr="00A918B9">
              <w:rPr>
                <w:rFonts w:eastAsia="Calibri" w:cs="Times New Roman"/>
                <w:b/>
                <w:bCs/>
                <w:sz w:val="20"/>
                <w:szCs w:val="20"/>
              </w:rPr>
              <w:t>Naftas produkti citām vajadzībām (izņemot transportu)</w:t>
            </w:r>
          </w:p>
        </w:tc>
        <w:tc>
          <w:tcPr>
            <w:tcW w:w="1104" w:type="dxa"/>
            <w:shd w:val="clear" w:color="auto" w:fill="auto"/>
          </w:tcPr>
          <w:p w14:paraId="7029225A"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w:t>
            </w:r>
          </w:p>
        </w:tc>
        <w:tc>
          <w:tcPr>
            <w:tcW w:w="1104" w:type="dxa"/>
            <w:shd w:val="clear" w:color="auto" w:fill="auto"/>
          </w:tcPr>
          <w:p w14:paraId="7517BC12"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1087</w:t>
            </w:r>
          </w:p>
        </w:tc>
        <w:tc>
          <w:tcPr>
            <w:tcW w:w="1104" w:type="dxa"/>
            <w:shd w:val="clear" w:color="auto" w:fill="auto"/>
          </w:tcPr>
          <w:p w14:paraId="2A96F59A"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2701</w:t>
            </w:r>
          </w:p>
        </w:tc>
        <w:tc>
          <w:tcPr>
            <w:tcW w:w="1104" w:type="dxa"/>
            <w:shd w:val="clear" w:color="auto" w:fill="auto"/>
          </w:tcPr>
          <w:p w14:paraId="7C58E08B"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2825</w:t>
            </w:r>
          </w:p>
        </w:tc>
        <w:tc>
          <w:tcPr>
            <w:tcW w:w="1015" w:type="dxa"/>
          </w:tcPr>
          <w:p w14:paraId="78AB3F43" w14:textId="77777777" w:rsidR="00EB6E03" w:rsidRPr="00A918B9" w:rsidRDefault="00EB6E03" w:rsidP="00EB6E03">
            <w:pPr>
              <w:tabs>
                <w:tab w:val="left" w:pos="2269"/>
              </w:tabs>
              <w:ind w:firstLine="34"/>
              <w:contextualSpacing/>
              <w:jc w:val="center"/>
              <w:rPr>
                <w:rFonts w:eastAsia="Calibri" w:cs="Times New Roman"/>
                <w:sz w:val="20"/>
                <w:szCs w:val="20"/>
              </w:rPr>
            </w:pPr>
            <w:r w:rsidRPr="00A918B9">
              <w:rPr>
                <w:rFonts w:eastAsia="Calibri" w:cs="Times New Roman"/>
                <w:sz w:val="20"/>
                <w:szCs w:val="20"/>
              </w:rPr>
              <w:t>1151</w:t>
            </w:r>
          </w:p>
        </w:tc>
      </w:tr>
      <w:tr w:rsidR="00EB6E03" w:rsidRPr="00A918B9" w14:paraId="2BAB2285" w14:textId="77777777" w:rsidTr="00EB6E03">
        <w:trPr>
          <w:jc w:val="center"/>
        </w:trPr>
        <w:tc>
          <w:tcPr>
            <w:tcW w:w="2865" w:type="dxa"/>
            <w:shd w:val="clear" w:color="auto" w:fill="auto"/>
          </w:tcPr>
          <w:p w14:paraId="077E6714" w14:textId="77777777" w:rsidR="00EB6E03" w:rsidRPr="00A918B9" w:rsidRDefault="00EB6E03" w:rsidP="00EB6E03">
            <w:pPr>
              <w:tabs>
                <w:tab w:val="left" w:pos="2269"/>
              </w:tabs>
              <w:ind w:firstLine="0"/>
              <w:contextualSpacing/>
              <w:jc w:val="left"/>
              <w:rPr>
                <w:rFonts w:eastAsia="Calibri" w:cs="Times New Roman"/>
                <w:b/>
                <w:bCs/>
                <w:sz w:val="20"/>
                <w:szCs w:val="20"/>
              </w:rPr>
            </w:pPr>
            <w:r w:rsidRPr="00A918B9">
              <w:rPr>
                <w:rFonts w:eastAsia="Calibri" w:cs="Times New Roman"/>
                <w:b/>
                <w:bCs/>
                <w:sz w:val="20"/>
                <w:szCs w:val="20"/>
              </w:rPr>
              <w:t>Siltumenerģija (apkurei un karstajam ūdenim)</w:t>
            </w:r>
          </w:p>
        </w:tc>
        <w:tc>
          <w:tcPr>
            <w:tcW w:w="1104" w:type="dxa"/>
            <w:shd w:val="clear" w:color="auto" w:fill="auto"/>
          </w:tcPr>
          <w:p w14:paraId="1745278F"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 w:val="20"/>
                <w:szCs w:val="20"/>
              </w:rPr>
              <w:t>28310</w:t>
            </w:r>
          </w:p>
        </w:tc>
        <w:tc>
          <w:tcPr>
            <w:tcW w:w="1104" w:type="dxa"/>
            <w:shd w:val="clear" w:color="auto" w:fill="auto"/>
          </w:tcPr>
          <w:p w14:paraId="530B62C1"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 w:val="20"/>
                <w:szCs w:val="20"/>
              </w:rPr>
              <w:t>19627</w:t>
            </w:r>
          </w:p>
        </w:tc>
        <w:tc>
          <w:tcPr>
            <w:tcW w:w="1104" w:type="dxa"/>
            <w:shd w:val="clear" w:color="auto" w:fill="auto"/>
          </w:tcPr>
          <w:p w14:paraId="76D85CBA"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 w:val="20"/>
                <w:szCs w:val="20"/>
              </w:rPr>
              <w:t>17816</w:t>
            </w:r>
          </w:p>
        </w:tc>
        <w:tc>
          <w:tcPr>
            <w:tcW w:w="1104" w:type="dxa"/>
            <w:shd w:val="clear" w:color="auto" w:fill="auto"/>
          </w:tcPr>
          <w:p w14:paraId="656A4ADF"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 w:val="20"/>
                <w:szCs w:val="20"/>
              </w:rPr>
              <w:t>17622</w:t>
            </w:r>
          </w:p>
        </w:tc>
        <w:tc>
          <w:tcPr>
            <w:tcW w:w="1015" w:type="dxa"/>
          </w:tcPr>
          <w:p w14:paraId="39C73E3B"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 w:val="20"/>
                <w:szCs w:val="20"/>
              </w:rPr>
              <w:t>14101</w:t>
            </w:r>
          </w:p>
        </w:tc>
      </w:tr>
      <w:tr w:rsidR="00EB6E03" w:rsidRPr="00A918B9" w14:paraId="66143472" w14:textId="77777777" w:rsidTr="00EB6E03">
        <w:trPr>
          <w:jc w:val="center"/>
        </w:trPr>
        <w:tc>
          <w:tcPr>
            <w:tcW w:w="2865" w:type="dxa"/>
            <w:shd w:val="clear" w:color="auto" w:fill="auto"/>
          </w:tcPr>
          <w:p w14:paraId="5F580DEC" w14:textId="77777777" w:rsidR="00EB6E03" w:rsidRPr="00A918B9" w:rsidRDefault="00EB6E03" w:rsidP="00EB6E03">
            <w:pPr>
              <w:tabs>
                <w:tab w:val="left" w:pos="2269"/>
              </w:tabs>
              <w:ind w:firstLine="0"/>
              <w:contextualSpacing/>
              <w:jc w:val="left"/>
              <w:rPr>
                <w:rFonts w:eastAsia="Calibri" w:cs="Times New Roman"/>
                <w:b/>
                <w:bCs/>
                <w:sz w:val="20"/>
                <w:szCs w:val="20"/>
              </w:rPr>
            </w:pPr>
            <w:r w:rsidRPr="00A918B9">
              <w:rPr>
                <w:rFonts w:eastAsia="Calibri" w:cs="Times New Roman"/>
                <w:b/>
                <w:bCs/>
                <w:szCs w:val="24"/>
              </w:rPr>
              <w:t>Energoresursi pavisam</w:t>
            </w:r>
          </w:p>
        </w:tc>
        <w:tc>
          <w:tcPr>
            <w:tcW w:w="1104" w:type="dxa"/>
            <w:shd w:val="clear" w:color="auto" w:fill="auto"/>
          </w:tcPr>
          <w:p w14:paraId="501B0D1F"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Cs w:val="24"/>
              </w:rPr>
              <w:t>71251</w:t>
            </w:r>
          </w:p>
        </w:tc>
        <w:tc>
          <w:tcPr>
            <w:tcW w:w="1104" w:type="dxa"/>
            <w:shd w:val="clear" w:color="auto" w:fill="auto"/>
          </w:tcPr>
          <w:p w14:paraId="38D337CD"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Cs w:val="24"/>
              </w:rPr>
              <w:t>61691</w:t>
            </w:r>
          </w:p>
        </w:tc>
        <w:tc>
          <w:tcPr>
            <w:tcW w:w="1104" w:type="dxa"/>
            <w:shd w:val="clear" w:color="auto" w:fill="auto"/>
          </w:tcPr>
          <w:p w14:paraId="1A108FA3"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Cs w:val="24"/>
              </w:rPr>
              <w:t>64917</w:t>
            </w:r>
          </w:p>
        </w:tc>
        <w:tc>
          <w:tcPr>
            <w:tcW w:w="1104" w:type="dxa"/>
            <w:shd w:val="clear" w:color="auto" w:fill="auto"/>
          </w:tcPr>
          <w:p w14:paraId="086323BB"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Cs w:val="24"/>
              </w:rPr>
              <w:t>59751</w:t>
            </w:r>
          </w:p>
        </w:tc>
        <w:tc>
          <w:tcPr>
            <w:tcW w:w="1015" w:type="dxa"/>
          </w:tcPr>
          <w:p w14:paraId="5E5E634C" w14:textId="77777777" w:rsidR="00EB6E03" w:rsidRPr="00A918B9" w:rsidRDefault="00EB6E03" w:rsidP="00EB6E03">
            <w:pPr>
              <w:tabs>
                <w:tab w:val="left" w:pos="2269"/>
              </w:tabs>
              <w:ind w:firstLine="0"/>
              <w:contextualSpacing/>
              <w:jc w:val="center"/>
              <w:rPr>
                <w:rFonts w:eastAsia="Calibri" w:cs="Times New Roman"/>
                <w:sz w:val="20"/>
                <w:szCs w:val="20"/>
              </w:rPr>
            </w:pPr>
            <w:r w:rsidRPr="00A918B9">
              <w:rPr>
                <w:rFonts w:eastAsia="Calibri" w:cs="Times New Roman"/>
                <w:szCs w:val="24"/>
              </w:rPr>
              <w:t>46253</w:t>
            </w:r>
          </w:p>
        </w:tc>
      </w:tr>
    </w:tbl>
    <w:p w14:paraId="302CF173" w14:textId="77777777" w:rsidR="00EB6E03" w:rsidRPr="006C6FF3" w:rsidRDefault="00EB6E03" w:rsidP="00097A78">
      <w:pPr>
        <w:ind w:firstLine="0"/>
        <w:rPr>
          <w:sz w:val="20"/>
          <w:szCs w:val="20"/>
        </w:rPr>
      </w:pPr>
      <w:r w:rsidRPr="00A918B9">
        <w:rPr>
          <w:sz w:val="20"/>
          <w:szCs w:val="20"/>
        </w:rPr>
        <w:t>* Dati tiek vākti</w:t>
      </w:r>
      <w:r>
        <w:rPr>
          <w:sz w:val="20"/>
          <w:szCs w:val="20"/>
        </w:rPr>
        <w:t xml:space="preserve"> un apkopoti par visiem veidiem</w:t>
      </w:r>
      <w:r w:rsidRPr="00A918B9">
        <w:rPr>
          <w:sz w:val="20"/>
          <w:szCs w:val="20"/>
        </w:rPr>
        <w:t xml:space="preserve"> ik pēc 5 gadiem. Dati uz 2020. gadu tiks publicēti 2021. gadā.</w:t>
      </w:r>
    </w:p>
    <w:p w14:paraId="3C5519D9" w14:textId="5825B69C" w:rsidR="00EB6E03" w:rsidRPr="00EB6E03" w:rsidRDefault="00EB6E03" w:rsidP="00EB6E03">
      <w:pPr>
        <w:rPr>
          <w:color w:val="000000" w:themeColor="text1"/>
        </w:rPr>
      </w:pPr>
      <w:r w:rsidRPr="005709DB">
        <w:rPr>
          <w:color w:val="000000" w:themeColor="text1"/>
        </w:rPr>
        <w:t>Energoresursu patēriņš mājsaimniecībās 2018. gadā bija 51,5 PJ, kas ir par 2,9% vairāk nekā 2017.gadā. Mājsaimniecībās energoresursu patēriņa struktūra pēdējos gados būtiski nemainās – pārsvarā tiek izmantota kurināmā koksne.</w:t>
      </w:r>
      <w:r>
        <w:rPr>
          <w:color w:val="000000" w:themeColor="text1"/>
        </w:rPr>
        <w:t xml:space="preserve"> Ņemot vērā, ka dabasgāze veido salīdzinoši mazāk SEG emisiju, nekā cietais kurināmais, tad šajā jomā ir vērojama pozitīva tendence, jo s</w:t>
      </w:r>
      <w:r w:rsidRPr="006C6FF3">
        <w:rPr>
          <w:color w:val="000000" w:themeColor="text1"/>
        </w:rPr>
        <w:t>alīdzinājumā ar 2017.gadu ievērojami pieaudzis dabasgāzes patēriņš mājsaimniecībās (+9,3%) un samazinājies ogļu patēriņš (-32,7%).</w:t>
      </w:r>
      <w:r w:rsidRPr="005709DB">
        <w:rPr>
          <w:rStyle w:val="FootnoteReference"/>
          <w:color w:val="000000" w:themeColor="text1"/>
        </w:rPr>
        <w:footnoteReference w:id="49"/>
      </w:r>
      <w:r>
        <w:rPr>
          <w:color w:val="000000" w:themeColor="text1"/>
        </w:rPr>
        <w:t xml:space="preserve"> </w:t>
      </w:r>
    </w:p>
    <w:p w14:paraId="3D367260" w14:textId="77777777" w:rsidR="00B3694B" w:rsidRDefault="00B3694B" w:rsidP="00EB6E03">
      <w:pPr>
        <w:spacing w:after="160" w:line="259" w:lineRule="auto"/>
        <w:ind w:firstLine="0"/>
        <w:jc w:val="left"/>
        <w:rPr>
          <w:color w:val="000000" w:themeColor="text1"/>
          <w:u w:val="single"/>
        </w:rPr>
      </w:pPr>
      <w:bookmarkStart w:id="54" w:name="_Toc24408016"/>
    </w:p>
    <w:p w14:paraId="67637E92" w14:textId="4B6A045E" w:rsidR="00EB6E03" w:rsidRPr="000A4091" w:rsidRDefault="00EB6E03" w:rsidP="00EB6E03">
      <w:pPr>
        <w:spacing w:after="160" w:line="259" w:lineRule="auto"/>
        <w:ind w:firstLine="0"/>
        <w:jc w:val="left"/>
        <w:rPr>
          <w:color w:val="000000" w:themeColor="text1"/>
          <w:u w:val="single"/>
        </w:rPr>
      </w:pPr>
      <w:r w:rsidRPr="008E298D">
        <w:rPr>
          <w:color w:val="000000" w:themeColor="text1"/>
          <w:u w:val="single"/>
        </w:rPr>
        <w:t>Indikatīvās attīstības prognozes</w:t>
      </w:r>
      <w:bookmarkEnd w:id="54"/>
      <w:r>
        <w:rPr>
          <w:rStyle w:val="FootnoteReference"/>
          <w:color w:val="000000" w:themeColor="text1"/>
          <w:u w:val="single"/>
        </w:rPr>
        <w:footnoteReference w:id="50"/>
      </w:r>
      <w:r w:rsidR="005B059D" w:rsidRPr="008E298D">
        <w:rPr>
          <w:noProof/>
          <w:color w:val="000000" w:themeColor="text1"/>
          <w:lang w:eastAsia="lv-LV"/>
        </w:rPr>
        <w:drawing>
          <wp:inline distT="0" distB="0" distL="0" distR="0" wp14:anchorId="35832C92" wp14:editId="6469FFAA">
            <wp:extent cx="5383011" cy="3286125"/>
            <wp:effectExtent l="0" t="0" r="825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106" cy="3302665"/>
                    </a:xfrm>
                    <a:prstGeom prst="rect">
                      <a:avLst/>
                    </a:prstGeom>
                    <a:noFill/>
                  </pic:spPr>
                </pic:pic>
              </a:graphicData>
            </a:graphic>
          </wp:inline>
        </w:drawing>
      </w:r>
    </w:p>
    <w:p w14:paraId="427E3ABF" w14:textId="6C15E76E" w:rsidR="005B059D" w:rsidRPr="006F2BE3" w:rsidRDefault="00672BA3" w:rsidP="00B3694B">
      <w:pPr>
        <w:ind w:firstLine="0"/>
        <w:rPr>
          <w:bCs/>
          <w:iCs/>
          <w:color w:val="000000" w:themeColor="text1"/>
          <w:sz w:val="20"/>
          <w:szCs w:val="20"/>
        </w:rPr>
      </w:pPr>
      <w:r>
        <w:rPr>
          <w:bCs/>
          <w:iCs/>
          <w:color w:val="000000" w:themeColor="text1"/>
          <w:sz w:val="20"/>
          <w:szCs w:val="20"/>
        </w:rPr>
        <w:t>9</w:t>
      </w:r>
      <w:r w:rsidR="005B059D" w:rsidRPr="00B3694B">
        <w:rPr>
          <w:bCs/>
          <w:iCs/>
          <w:color w:val="000000" w:themeColor="text1"/>
          <w:sz w:val="20"/>
          <w:szCs w:val="20"/>
        </w:rPr>
        <w:t>.attēls. Enerģijas</w:t>
      </w:r>
      <w:r w:rsidR="005B059D" w:rsidRPr="005B059D">
        <w:rPr>
          <w:bCs/>
          <w:iCs/>
          <w:color w:val="000000" w:themeColor="text1"/>
          <w:sz w:val="20"/>
          <w:szCs w:val="20"/>
        </w:rPr>
        <w:t xml:space="preserve"> galapatēriņa prognozes dalījumā pa sektoriem līdz 2030.gadam (PJ)</w:t>
      </w:r>
    </w:p>
    <w:p w14:paraId="04CF3B60" w14:textId="77777777" w:rsidR="006F2BE3" w:rsidRPr="005B059D" w:rsidRDefault="006F2BE3" w:rsidP="005B059D">
      <w:pPr>
        <w:rPr>
          <w:bCs/>
          <w:iCs/>
          <w:color w:val="000000" w:themeColor="text1"/>
        </w:rPr>
      </w:pPr>
    </w:p>
    <w:p w14:paraId="2E02F503" w14:textId="6830D9C8" w:rsidR="005B059D" w:rsidRDefault="005B059D" w:rsidP="005B059D">
      <w:pPr>
        <w:rPr>
          <w:color w:val="000000" w:themeColor="text1"/>
        </w:rPr>
      </w:pPr>
      <w:r w:rsidRPr="00A15C92">
        <w:rPr>
          <w:color w:val="000000" w:themeColor="text1"/>
        </w:rPr>
        <w:t xml:space="preserve">No </w:t>
      </w:r>
      <w:r w:rsidR="00672BA3">
        <w:rPr>
          <w:color w:val="000000" w:themeColor="text1"/>
        </w:rPr>
        <w:t>9</w:t>
      </w:r>
      <w:r w:rsidRPr="00A15C92">
        <w:rPr>
          <w:color w:val="000000" w:themeColor="text1"/>
        </w:rPr>
        <w:t>. attēla redzams</w:t>
      </w:r>
      <w:r>
        <w:rPr>
          <w:color w:val="000000" w:themeColor="text1"/>
        </w:rPr>
        <w:t>, ka</w:t>
      </w:r>
      <w:r w:rsidRPr="008E298D">
        <w:rPr>
          <w:color w:val="000000" w:themeColor="text1"/>
        </w:rPr>
        <w:t xml:space="preserve"> tiek prognozēts enerģijas galapatēriņa samazinājums</w:t>
      </w:r>
      <w:r>
        <w:rPr>
          <w:color w:val="000000" w:themeColor="text1"/>
        </w:rPr>
        <w:t xml:space="preserve"> mājsaimniecības sektorā</w:t>
      </w:r>
      <w:r w:rsidRPr="008E298D">
        <w:rPr>
          <w:color w:val="000000" w:themeColor="text1"/>
        </w:rPr>
        <w:t>. Kopējais enerģijas galapatēriņš 2030.gadā ir par apmēram 11% mazāks nekā 2018.gadā.</w:t>
      </w:r>
    </w:p>
    <w:p w14:paraId="1F5B6A34" w14:textId="6C69B2F3" w:rsidR="00281906" w:rsidRPr="00281906" w:rsidRDefault="00EB6E03" w:rsidP="007062E7">
      <w:pPr>
        <w:rPr>
          <w:color w:val="000000" w:themeColor="text1"/>
        </w:rPr>
      </w:pPr>
      <w:r w:rsidRPr="008E298D">
        <w:rPr>
          <w:color w:val="000000" w:themeColor="text1"/>
        </w:rPr>
        <w:lastRenderedPageBreak/>
        <w:t>Izmantojot makroekonomisko prognozi un modelēšanā izmantotos pieņēmumus aprēķinātās enerģijas galapatēriņa prognozes paredz, ka arī 2030.</w:t>
      </w:r>
      <w:r w:rsidR="00113940">
        <w:rPr>
          <w:color w:val="000000" w:themeColor="text1"/>
        </w:rPr>
        <w:t> </w:t>
      </w:r>
      <w:r w:rsidRPr="008E298D">
        <w:rPr>
          <w:color w:val="000000" w:themeColor="text1"/>
        </w:rPr>
        <w:t xml:space="preserve">gadā galvenie enerģijas galapatēriņa sektori būs rūpniecības un būvniecības, transporta un mājsaimniecības sektori, kas no kopējā enerģijas galapatēriņa patērēs 23,5%, 24,2% un 26,7% attiecīgi. </w:t>
      </w:r>
      <w:bookmarkStart w:id="55" w:name="_Toc478630345"/>
      <w:r w:rsidR="00281906" w:rsidRPr="00281906">
        <w:rPr>
          <w:color w:val="000000" w:themeColor="text1"/>
        </w:rPr>
        <w:t xml:space="preserve">Enerģētikas sektora kopējās SEG emisiju prognozes bāzes scenārijā nosaka esošās politikas (AER politika un energoefektivitātes politika) iniciēto pasākumu turpināšana līdz 2030.gadam. </w:t>
      </w:r>
    </w:p>
    <w:p w14:paraId="5026EC26" w14:textId="77777777" w:rsidR="006F2BE3" w:rsidRDefault="00281906" w:rsidP="006F2BE3">
      <w:pPr>
        <w:rPr>
          <w:color w:val="000000" w:themeColor="text1"/>
        </w:rPr>
      </w:pPr>
      <w:r w:rsidRPr="00281906">
        <w:rPr>
          <w:color w:val="000000" w:themeColor="text1"/>
        </w:rPr>
        <w:t>SEG emisiju samazināšanos sektorā visvairāk ietekmē fosilā kurināmā aizvietošana ar biomasu centralizētā siltumapgādē, kā arī energoefektivitātes paaugstināšanas pasākumu (galvenokārt dzīvojamo un publisko ēku renovācija) īstenošana mājsaimniecībās un pakalpojumu sektorā. Šie minētie energoefektivitātes pasākumi kopējās SEG emisijas mājsaimniecībās, komerciālā un sabiedriskā sektorā uz 2030.gadu var samazinā</w:t>
      </w:r>
      <w:r>
        <w:rPr>
          <w:color w:val="000000" w:themeColor="text1"/>
        </w:rPr>
        <w:t>t</w:t>
      </w:r>
      <w:r w:rsidRPr="00281906">
        <w:rPr>
          <w:color w:val="000000" w:themeColor="text1"/>
        </w:rPr>
        <w:t xml:space="preserve"> par 135 kt CO</w:t>
      </w:r>
      <w:r w:rsidRPr="00281906">
        <w:rPr>
          <w:color w:val="000000" w:themeColor="text1"/>
          <w:vertAlign w:val="subscript"/>
        </w:rPr>
        <w:t>2</w:t>
      </w:r>
      <w:r w:rsidRPr="00281906">
        <w:rPr>
          <w:color w:val="000000" w:themeColor="text1"/>
        </w:rPr>
        <w:t xml:space="preserve"> ekv</w:t>
      </w:r>
      <w:r w:rsidRPr="00281906">
        <w:rPr>
          <w:color w:val="000000" w:themeColor="text1"/>
          <w:vertAlign w:val="subscript"/>
        </w:rPr>
        <w:t xml:space="preserve">, </w:t>
      </w:r>
      <w:r w:rsidRPr="00281906">
        <w:rPr>
          <w:color w:val="000000" w:themeColor="text1"/>
        </w:rPr>
        <w:t>salīdzinot ar 2017.gadu. Pāreja no fosilā kurināmā uz biomasas izmantošanu enerģijas pārveidošanas sektorā, galvenokārt centralizētās siltumapgādes sistēmā, samazinās emisijas par apmēram 80 kt CO</w:t>
      </w:r>
      <w:r w:rsidRPr="00281906">
        <w:rPr>
          <w:color w:val="000000" w:themeColor="text1"/>
          <w:vertAlign w:val="subscript"/>
        </w:rPr>
        <w:t>2</w:t>
      </w:r>
      <w:r w:rsidRPr="00281906">
        <w:rPr>
          <w:color w:val="000000" w:themeColor="text1"/>
        </w:rPr>
        <w:t xml:space="preserve"> ekv. uz 2030.gadu, salīdzinot ar 2017.gadu.</w:t>
      </w:r>
      <w:bookmarkStart w:id="56" w:name="_Toc23782697"/>
    </w:p>
    <w:p w14:paraId="626FDEE1" w14:textId="01587462" w:rsidR="00D768B0" w:rsidRDefault="006F2BE3" w:rsidP="00D768B0">
      <w:pPr>
        <w:ind w:firstLine="0"/>
        <w:rPr>
          <w:color w:val="000000" w:themeColor="text1"/>
        </w:rPr>
      </w:pPr>
      <w:r>
        <w:t xml:space="preserve">No kopējā SEG emisiju samazināšanas </w:t>
      </w:r>
      <w:r w:rsidRPr="00A15C92">
        <w:t xml:space="preserve">mērķa (skat. </w:t>
      </w:r>
      <w:r w:rsidR="00BC6361">
        <w:t>14</w:t>
      </w:r>
      <w:r w:rsidRPr="00A15C92">
        <w:t>.</w:t>
      </w:r>
      <w:r>
        <w:t> </w:t>
      </w:r>
      <w:r w:rsidRPr="00A15C92">
        <w:t>tabulu)</w:t>
      </w:r>
      <w:r>
        <w:t xml:space="preserve"> redzams, ka plānotā mērķa vērtība, kas sasniedzama uz 2030. gadu ir emisiju samazinājums par 65% kopš 1990. </w:t>
      </w:r>
      <w:r w:rsidRPr="005709DB">
        <w:rPr>
          <w:color w:val="000000" w:themeColor="text1"/>
        </w:rPr>
        <w:t>gada.</w:t>
      </w:r>
      <w:r w:rsidR="00D768B0" w:rsidRPr="00D768B0">
        <w:rPr>
          <w:color w:val="000000" w:themeColor="text1"/>
        </w:rPr>
        <w:t xml:space="preserve"> </w:t>
      </w:r>
    </w:p>
    <w:p w14:paraId="677FD83D" w14:textId="77777777" w:rsidR="00D768B0" w:rsidRDefault="00D768B0" w:rsidP="00D768B0">
      <w:pPr>
        <w:ind w:firstLine="0"/>
        <w:rPr>
          <w:color w:val="000000" w:themeColor="text1"/>
        </w:rPr>
      </w:pPr>
    </w:p>
    <w:p w14:paraId="5B76EF7F" w14:textId="0DFD16C7" w:rsidR="00605952" w:rsidRPr="00D768B0" w:rsidRDefault="00672BA3" w:rsidP="006B37CD">
      <w:pPr>
        <w:ind w:firstLine="0"/>
        <w:rPr>
          <w:color w:val="000000" w:themeColor="text1"/>
        </w:rPr>
      </w:pPr>
      <w:r>
        <w:rPr>
          <w:color w:val="000000" w:themeColor="text1"/>
        </w:rPr>
        <w:t>14</w:t>
      </w:r>
      <w:r w:rsidR="00D768B0" w:rsidRPr="006F2BE3">
        <w:rPr>
          <w:color w:val="000000" w:themeColor="text1"/>
        </w:rPr>
        <w:t>. ta</w:t>
      </w:r>
      <w:r w:rsidR="00D768B0">
        <w:rPr>
          <w:color w:val="000000" w:themeColor="text1"/>
        </w:rPr>
        <w:t>b</w:t>
      </w:r>
      <w:r w:rsidR="00D768B0" w:rsidRPr="006F2BE3">
        <w:rPr>
          <w:color w:val="000000" w:themeColor="text1"/>
        </w:rPr>
        <w:t>ula</w:t>
      </w:r>
      <w:bookmarkEnd w:id="55"/>
      <w:bookmarkEnd w:id="56"/>
    </w:p>
    <w:tbl>
      <w:tblPr>
        <w:tblpPr w:leftFromText="180" w:rightFromText="180" w:vertAnchor="page" w:horzAnchor="margin" w:tblpXSpec="center" w:tblpY="5566"/>
        <w:tblW w:w="94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6"/>
        <w:gridCol w:w="1075"/>
        <w:gridCol w:w="1075"/>
        <w:gridCol w:w="1309"/>
        <w:gridCol w:w="1017"/>
        <w:gridCol w:w="950"/>
      </w:tblGrid>
      <w:tr w:rsidR="007369A0" w:rsidRPr="006F2BE3" w14:paraId="0D31023B" w14:textId="77777777" w:rsidTr="00D768B0">
        <w:trPr>
          <w:trHeight w:val="200"/>
          <w:tblHeader/>
        </w:trPr>
        <w:tc>
          <w:tcPr>
            <w:tcW w:w="3986" w:type="dxa"/>
            <w:vMerge w:val="restart"/>
            <w:shd w:val="clear" w:color="auto" w:fill="F2F2F2" w:themeFill="background1" w:themeFillShade="F2"/>
            <w:vAlign w:val="center"/>
          </w:tcPr>
          <w:p w14:paraId="34C99887"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Politikas rezultāts</w:t>
            </w:r>
            <w:r w:rsidRPr="006F2BE3">
              <w:rPr>
                <w:bCs/>
                <w:iCs/>
                <w:color w:val="000000" w:themeColor="text1"/>
                <w:vertAlign w:val="superscript"/>
              </w:rPr>
              <w:footnoteReference w:id="51"/>
            </w:r>
          </w:p>
          <w:p w14:paraId="34ED3787" w14:textId="77777777" w:rsidR="007369A0" w:rsidRPr="006F2BE3" w:rsidRDefault="007369A0" w:rsidP="00D768B0">
            <w:pPr>
              <w:spacing w:after="160" w:line="259" w:lineRule="auto"/>
              <w:ind w:firstLine="0"/>
              <w:jc w:val="left"/>
              <w:rPr>
                <w:b/>
                <w:bCs/>
                <w:iCs/>
                <w:color w:val="000000" w:themeColor="text1"/>
              </w:rPr>
            </w:pPr>
          </w:p>
        </w:tc>
        <w:tc>
          <w:tcPr>
            <w:tcW w:w="2150" w:type="dxa"/>
            <w:gridSpan w:val="2"/>
            <w:shd w:val="clear" w:color="auto" w:fill="F2F2F2" w:themeFill="background1" w:themeFillShade="F2"/>
            <w:vAlign w:val="center"/>
          </w:tcPr>
          <w:p w14:paraId="0B7810A3"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ES</w:t>
            </w:r>
          </w:p>
        </w:tc>
        <w:tc>
          <w:tcPr>
            <w:tcW w:w="3276" w:type="dxa"/>
            <w:gridSpan w:val="3"/>
            <w:shd w:val="clear" w:color="auto" w:fill="F2F2F2" w:themeFill="background1" w:themeFillShade="F2"/>
            <w:vAlign w:val="center"/>
          </w:tcPr>
          <w:p w14:paraId="1822E17C"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Latvija</w:t>
            </w:r>
          </w:p>
        </w:tc>
      </w:tr>
      <w:tr w:rsidR="007369A0" w:rsidRPr="006F2BE3" w14:paraId="694CFA2C" w14:textId="77777777" w:rsidTr="00D768B0">
        <w:trPr>
          <w:trHeight w:val="331"/>
          <w:tblHeader/>
        </w:trPr>
        <w:tc>
          <w:tcPr>
            <w:tcW w:w="3986" w:type="dxa"/>
            <w:vMerge/>
            <w:shd w:val="clear" w:color="auto" w:fill="F2F2F2" w:themeFill="background1" w:themeFillShade="F2"/>
            <w:vAlign w:val="center"/>
          </w:tcPr>
          <w:p w14:paraId="2C2F3D0B" w14:textId="77777777" w:rsidR="007369A0" w:rsidRPr="006F2BE3" w:rsidRDefault="007369A0" w:rsidP="00D768B0">
            <w:pPr>
              <w:spacing w:after="160" w:line="259" w:lineRule="auto"/>
              <w:ind w:firstLine="0"/>
              <w:jc w:val="left"/>
              <w:rPr>
                <w:b/>
                <w:bCs/>
                <w:iCs/>
                <w:color w:val="000000" w:themeColor="text1"/>
              </w:rPr>
            </w:pPr>
          </w:p>
        </w:tc>
        <w:tc>
          <w:tcPr>
            <w:tcW w:w="2150" w:type="dxa"/>
            <w:gridSpan w:val="2"/>
            <w:shd w:val="clear" w:color="auto" w:fill="F2F2F2" w:themeFill="background1" w:themeFillShade="F2"/>
            <w:vAlign w:val="center"/>
          </w:tcPr>
          <w:p w14:paraId="2B459DE6"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mērķa vērtība</w:t>
            </w:r>
          </w:p>
        </w:tc>
        <w:tc>
          <w:tcPr>
            <w:tcW w:w="1309" w:type="dxa"/>
            <w:shd w:val="clear" w:color="auto" w:fill="F2F2F2" w:themeFill="background1" w:themeFillShade="F2"/>
            <w:vAlign w:val="center"/>
          </w:tcPr>
          <w:p w14:paraId="28C73E4C"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faktiskā vērtība</w:t>
            </w:r>
          </w:p>
        </w:tc>
        <w:tc>
          <w:tcPr>
            <w:tcW w:w="1967" w:type="dxa"/>
            <w:gridSpan w:val="2"/>
            <w:shd w:val="clear" w:color="auto" w:fill="F2F2F2" w:themeFill="background1" w:themeFillShade="F2"/>
            <w:vAlign w:val="center"/>
          </w:tcPr>
          <w:p w14:paraId="7EADB6DB"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mērķa vērtība</w:t>
            </w:r>
            <w:r w:rsidRPr="006F2BE3">
              <w:rPr>
                <w:bCs/>
                <w:iCs/>
                <w:color w:val="000000" w:themeColor="text1"/>
                <w:vertAlign w:val="superscript"/>
              </w:rPr>
              <w:footnoteReference w:id="52"/>
            </w:r>
          </w:p>
        </w:tc>
      </w:tr>
      <w:tr w:rsidR="007369A0" w:rsidRPr="006F2BE3" w14:paraId="0F696A07" w14:textId="77777777" w:rsidTr="00D768B0">
        <w:trPr>
          <w:trHeight w:val="194"/>
          <w:tblHeader/>
        </w:trPr>
        <w:tc>
          <w:tcPr>
            <w:tcW w:w="3986" w:type="dxa"/>
            <w:vMerge/>
            <w:shd w:val="clear" w:color="auto" w:fill="F2F2F2" w:themeFill="background1" w:themeFillShade="F2"/>
            <w:vAlign w:val="center"/>
          </w:tcPr>
          <w:p w14:paraId="49266BAF" w14:textId="77777777" w:rsidR="007369A0" w:rsidRPr="006F2BE3" w:rsidRDefault="007369A0" w:rsidP="00D768B0">
            <w:pPr>
              <w:spacing w:after="160" w:line="259" w:lineRule="auto"/>
              <w:ind w:firstLine="0"/>
              <w:jc w:val="left"/>
              <w:rPr>
                <w:b/>
                <w:bCs/>
                <w:iCs/>
                <w:color w:val="000000" w:themeColor="text1"/>
              </w:rPr>
            </w:pPr>
          </w:p>
        </w:tc>
        <w:tc>
          <w:tcPr>
            <w:tcW w:w="1075" w:type="dxa"/>
            <w:shd w:val="clear" w:color="auto" w:fill="F2F2F2" w:themeFill="background1" w:themeFillShade="F2"/>
            <w:vAlign w:val="center"/>
          </w:tcPr>
          <w:p w14:paraId="61FE0285"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2020</w:t>
            </w:r>
            <w:r w:rsidRPr="006F2BE3">
              <w:rPr>
                <w:b/>
                <w:bCs/>
                <w:iCs/>
                <w:color w:val="000000" w:themeColor="text1"/>
                <w:vertAlign w:val="superscript"/>
              </w:rPr>
              <w:footnoteReference w:id="53"/>
            </w:r>
          </w:p>
        </w:tc>
        <w:tc>
          <w:tcPr>
            <w:tcW w:w="1075" w:type="dxa"/>
            <w:shd w:val="clear" w:color="auto" w:fill="F2F2F2" w:themeFill="background1" w:themeFillShade="F2"/>
            <w:vAlign w:val="center"/>
          </w:tcPr>
          <w:p w14:paraId="68B3A25F"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2030</w:t>
            </w:r>
            <w:r w:rsidRPr="006F2BE3">
              <w:rPr>
                <w:b/>
                <w:bCs/>
                <w:iCs/>
                <w:color w:val="000000" w:themeColor="text1"/>
                <w:vertAlign w:val="superscript"/>
              </w:rPr>
              <w:footnoteReference w:id="54"/>
            </w:r>
          </w:p>
        </w:tc>
        <w:tc>
          <w:tcPr>
            <w:tcW w:w="1309" w:type="dxa"/>
            <w:shd w:val="clear" w:color="auto" w:fill="F2F2F2" w:themeFill="background1" w:themeFillShade="F2"/>
            <w:vAlign w:val="center"/>
          </w:tcPr>
          <w:p w14:paraId="4E691298"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2017</w:t>
            </w:r>
          </w:p>
        </w:tc>
        <w:tc>
          <w:tcPr>
            <w:tcW w:w="1017" w:type="dxa"/>
            <w:shd w:val="clear" w:color="auto" w:fill="F2F2F2" w:themeFill="background1" w:themeFillShade="F2"/>
            <w:vAlign w:val="center"/>
          </w:tcPr>
          <w:p w14:paraId="2FFB2344"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2020</w:t>
            </w:r>
          </w:p>
        </w:tc>
        <w:tc>
          <w:tcPr>
            <w:tcW w:w="950" w:type="dxa"/>
            <w:shd w:val="clear" w:color="auto" w:fill="F2F2F2" w:themeFill="background1" w:themeFillShade="F2"/>
            <w:vAlign w:val="center"/>
          </w:tcPr>
          <w:p w14:paraId="5084BD92" w14:textId="77777777" w:rsidR="007369A0" w:rsidRPr="006F2BE3" w:rsidRDefault="007369A0" w:rsidP="00D768B0">
            <w:pPr>
              <w:spacing w:after="160" w:line="259" w:lineRule="auto"/>
              <w:ind w:firstLine="0"/>
              <w:jc w:val="left"/>
              <w:rPr>
                <w:b/>
                <w:bCs/>
                <w:iCs/>
                <w:color w:val="000000" w:themeColor="text1"/>
              </w:rPr>
            </w:pPr>
            <w:r w:rsidRPr="006F2BE3">
              <w:rPr>
                <w:b/>
                <w:bCs/>
                <w:iCs/>
                <w:color w:val="000000" w:themeColor="text1"/>
              </w:rPr>
              <w:t>2030</w:t>
            </w:r>
          </w:p>
        </w:tc>
      </w:tr>
      <w:tr w:rsidR="007369A0" w:rsidRPr="006F2BE3" w14:paraId="2E85D1F7" w14:textId="77777777" w:rsidTr="00D768B0">
        <w:trPr>
          <w:trHeight w:val="250"/>
        </w:trPr>
        <w:tc>
          <w:tcPr>
            <w:tcW w:w="3986" w:type="dxa"/>
            <w:vAlign w:val="center"/>
          </w:tcPr>
          <w:p w14:paraId="5A1535CE"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SEG emisiju samazināšanas mērķis (% pret 1990.g.)</w:t>
            </w:r>
          </w:p>
        </w:tc>
        <w:tc>
          <w:tcPr>
            <w:tcW w:w="1075" w:type="dxa"/>
            <w:vAlign w:val="center"/>
          </w:tcPr>
          <w:p w14:paraId="7ABE0091"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-20</w:t>
            </w:r>
          </w:p>
        </w:tc>
        <w:tc>
          <w:tcPr>
            <w:tcW w:w="1075" w:type="dxa"/>
            <w:vAlign w:val="center"/>
          </w:tcPr>
          <w:p w14:paraId="6628A79F"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-40</w:t>
            </w:r>
          </w:p>
        </w:tc>
        <w:tc>
          <w:tcPr>
            <w:tcW w:w="1309" w:type="dxa"/>
            <w:vAlign w:val="center"/>
          </w:tcPr>
          <w:p w14:paraId="40B35CCC"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-57</w:t>
            </w:r>
          </w:p>
        </w:tc>
        <w:tc>
          <w:tcPr>
            <w:tcW w:w="1017" w:type="dxa"/>
            <w:vAlign w:val="center"/>
          </w:tcPr>
          <w:p w14:paraId="3BFBD660"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w:t>
            </w:r>
          </w:p>
        </w:tc>
        <w:tc>
          <w:tcPr>
            <w:tcW w:w="950" w:type="dxa"/>
            <w:shd w:val="clear" w:color="auto" w:fill="auto"/>
            <w:vAlign w:val="center"/>
          </w:tcPr>
          <w:p w14:paraId="475BF9AA" w14:textId="77777777" w:rsidR="007369A0" w:rsidRPr="006F2BE3" w:rsidRDefault="007369A0" w:rsidP="00D768B0">
            <w:pPr>
              <w:spacing w:after="160" w:line="259" w:lineRule="auto"/>
              <w:ind w:firstLine="0"/>
              <w:jc w:val="left"/>
              <w:rPr>
                <w:bCs/>
                <w:iCs/>
                <w:color w:val="000000" w:themeColor="text1"/>
              </w:rPr>
            </w:pPr>
            <w:r w:rsidRPr="006F2BE3">
              <w:rPr>
                <w:bCs/>
                <w:iCs/>
                <w:color w:val="000000" w:themeColor="text1"/>
              </w:rPr>
              <w:t>-</w:t>
            </w:r>
            <w:r w:rsidRPr="006F2BE3">
              <w:rPr>
                <w:b/>
                <w:bCs/>
                <w:iCs/>
                <w:color w:val="000000" w:themeColor="text1"/>
              </w:rPr>
              <w:t>65</w:t>
            </w:r>
          </w:p>
        </w:tc>
      </w:tr>
    </w:tbl>
    <w:p w14:paraId="2ABB21F8" w14:textId="77777777" w:rsidR="00B3694B" w:rsidRDefault="00B3694B" w:rsidP="006F2BE3">
      <w:pPr>
        <w:ind w:firstLine="0"/>
        <w:rPr>
          <w:color w:val="000000" w:themeColor="text1"/>
        </w:rPr>
      </w:pPr>
    </w:p>
    <w:p w14:paraId="730A0B2B" w14:textId="5BD77AEC" w:rsidR="0031479B" w:rsidRDefault="0031479B" w:rsidP="00B3694B">
      <w:pPr>
        <w:rPr>
          <w:color w:val="000000" w:themeColor="text1"/>
        </w:rPr>
      </w:pPr>
      <w:r>
        <w:rPr>
          <w:color w:val="000000" w:themeColor="text1"/>
        </w:rPr>
        <w:t xml:space="preserve">Kā jau Stratēģijā aplūkots un secināms, lielākie enerģijas un SEG emisiju izmešu samazinājumi plānoti no aktivitātēm ar ES fondu līdzfinansējumu. Aplūkojot jau pašreiz </w:t>
      </w:r>
      <w:r w:rsidR="00D1109C">
        <w:rPr>
          <w:color w:val="000000" w:themeColor="text1"/>
        </w:rPr>
        <w:t>sasniegtos</w:t>
      </w:r>
      <w:r>
        <w:rPr>
          <w:color w:val="000000" w:themeColor="text1"/>
        </w:rPr>
        <w:t xml:space="preserve"> rezultātus un plānotos indikatīvos rādītājus, var veikt </w:t>
      </w:r>
      <w:r w:rsidR="00D1109C">
        <w:rPr>
          <w:color w:val="000000" w:themeColor="text1"/>
        </w:rPr>
        <w:t>pieņēmumu</w:t>
      </w:r>
      <w:r>
        <w:rPr>
          <w:color w:val="000000" w:themeColor="text1"/>
        </w:rPr>
        <w:t>, ka:</w:t>
      </w:r>
    </w:p>
    <w:p w14:paraId="63A79E60" w14:textId="3973B1F4" w:rsidR="0031479B" w:rsidRDefault="0031479B" w:rsidP="0031479B">
      <w:pPr>
        <w:numPr>
          <w:ilvl w:val="0"/>
          <w:numId w:val="34"/>
        </w:numPr>
        <w:rPr>
          <w:color w:val="000000" w:themeColor="text1"/>
        </w:rPr>
      </w:pPr>
      <w:r w:rsidRPr="00D1109C">
        <w:rPr>
          <w:color w:val="000000" w:themeColor="text1"/>
        </w:rPr>
        <w:t>aktivitātes 4.1.1.SAM ietvaros</w:t>
      </w:r>
      <w:r w:rsidRPr="0031479B">
        <w:rPr>
          <w:color w:val="000000" w:themeColor="text1"/>
        </w:rPr>
        <w:t xml:space="preserve"> </w:t>
      </w:r>
      <w:r>
        <w:rPr>
          <w:color w:val="000000" w:themeColor="text1"/>
        </w:rPr>
        <w:t>r</w:t>
      </w:r>
      <w:r w:rsidRPr="0031479B">
        <w:rPr>
          <w:color w:val="000000" w:themeColor="text1"/>
        </w:rPr>
        <w:t>ažošanas ēk</w:t>
      </w:r>
      <w:r>
        <w:rPr>
          <w:color w:val="000000" w:themeColor="text1"/>
        </w:rPr>
        <w:t>ām pēc</w:t>
      </w:r>
      <w:r w:rsidRPr="0031479B">
        <w:rPr>
          <w:color w:val="000000" w:themeColor="text1"/>
        </w:rPr>
        <w:t xml:space="preserve"> 1. un 2. kārt</w:t>
      </w:r>
      <w:r>
        <w:rPr>
          <w:color w:val="000000" w:themeColor="text1"/>
        </w:rPr>
        <w:t>as ir</w:t>
      </w:r>
      <w:r w:rsidRPr="0031479B">
        <w:rPr>
          <w:color w:val="000000" w:themeColor="text1"/>
        </w:rPr>
        <w:t xml:space="preserve"> – 12 327</w:t>
      </w:r>
      <w:r>
        <w:rPr>
          <w:color w:val="000000" w:themeColor="text1"/>
        </w:rPr>
        <w:t xml:space="preserve"> tonnas</w:t>
      </w:r>
      <w:r w:rsidRPr="0031479B">
        <w:rPr>
          <w:color w:val="000000" w:themeColor="text1"/>
        </w:rPr>
        <w:t xml:space="preserve"> CO2</w:t>
      </w:r>
      <w:r>
        <w:rPr>
          <w:color w:val="000000" w:themeColor="text1"/>
        </w:rPr>
        <w:t xml:space="preserve"> ekvivalenta ietaupījums gadā. </w:t>
      </w:r>
      <w:r w:rsidRPr="0031479B">
        <w:rPr>
          <w:color w:val="000000" w:themeColor="text1"/>
        </w:rPr>
        <w:t>3. kārtā plānot</w:t>
      </w:r>
      <w:r>
        <w:rPr>
          <w:color w:val="000000" w:themeColor="text1"/>
        </w:rPr>
        <w:t>ais ietaupījums -</w:t>
      </w:r>
      <w:r w:rsidRPr="0031479B">
        <w:rPr>
          <w:color w:val="000000" w:themeColor="text1"/>
        </w:rPr>
        <w:t xml:space="preserve"> 3051 tonnas CO2 ekvivalenta</w:t>
      </w:r>
      <w:r>
        <w:rPr>
          <w:color w:val="000000" w:themeColor="text1"/>
        </w:rPr>
        <w:t>.</w:t>
      </w:r>
    </w:p>
    <w:p w14:paraId="701F64F3" w14:textId="2FC5DE8C" w:rsidR="0031479B" w:rsidRPr="0031479B" w:rsidRDefault="0031479B" w:rsidP="0031479B">
      <w:pPr>
        <w:pStyle w:val="ListParagraph"/>
        <w:numPr>
          <w:ilvl w:val="0"/>
          <w:numId w:val="34"/>
        </w:numPr>
        <w:rPr>
          <w:color w:val="000000" w:themeColor="text1"/>
        </w:rPr>
      </w:pPr>
      <w:r w:rsidRPr="0031479B">
        <w:rPr>
          <w:color w:val="000000" w:themeColor="text1"/>
        </w:rPr>
        <w:t>4.2.1.2. pasākum</w:t>
      </w:r>
      <w:r>
        <w:rPr>
          <w:color w:val="000000" w:themeColor="text1"/>
        </w:rPr>
        <w:t xml:space="preserve">a ietvaros, kurā tiek atjaunotas valsts ēkas, plānotais samazinājums – </w:t>
      </w:r>
      <w:r w:rsidRPr="0031479B">
        <w:rPr>
          <w:color w:val="000000" w:themeColor="text1"/>
        </w:rPr>
        <w:t>2</w:t>
      </w:r>
      <w:r>
        <w:rPr>
          <w:color w:val="000000" w:themeColor="text1"/>
        </w:rPr>
        <w:t xml:space="preserve"> </w:t>
      </w:r>
      <w:r w:rsidRPr="0031479B">
        <w:rPr>
          <w:color w:val="000000" w:themeColor="text1"/>
        </w:rPr>
        <w:t>670 tonnas CO2 ekvivalenta.</w:t>
      </w:r>
    </w:p>
    <w:p w14:paraId="08EF2A4A" w14:textId="6F00FFC5" w:rsidR="0031479B" w:rsidRPr="0031479B" w:rsidRDefault="0031479B" w:rsidP="0031479B">
      <w:pPr>
        <w:pStyle w:val="ListParagraph"/>
        <w:numPr>
          <w:ilvl w:val="0"/>
          <w:numId w:val="34"/>
        </w:numPr>
        <w:rPr>
          <w:color w:val="000000" w:themeColor="text1"/>
        </w:rPr>
      </w:pPr>
      <w:r>
        <w:rPr>
          <w:color w:val="000000" w:themeColor="text1"/>
        </w:rPr>
        <w:t xml:space="preserve">aktivitātes </w:t>
      </w:r>
      <w:r w:rsidRPr="0031479B">
        <w:rPr>
          <w:color w:val="000000" w:themeColor="text1"/>
        </w:rPr>
        <w:t>4.2.2. SAM</w:t>
      </w:r>
      <w:r>
        <w:rPr>
          <w:color w:val="000000" w:themeColor="text1"/>
        </w:rPr>
        <w:t xml:space="preserve"> ietvaros</w:t>
      </w:r>
      <w:r w:rsidRPr="0031479B">
        <w:rPr>
          <w:color w:val="000000" w:themeColor="text1"/>
        </w:rPr>
        <w:t xml:space="preserve"> </w:t>
      </w:r>
      <w:r>
        <w:rPr>
          <w:color w:val="000000" w:themeColor="text1"/>
        </w:rPr>
        <w:t>p</w:t>
      </w:r>
      <w:r w:rsidRPr="0031479B">
        <w:rPr>
          <w:color w:val="000000" w:themeColor="text1"/>
        </w:rPr>
        <w:t>ašvaldību ēk</w:t>
      </w:r>
      <w:r>
        <w:rPr>
          <w:color w:val="000000" w:themeColor="text1"/>
        </w:rPr>
        <w:t>ām samazinājums mērāms</w:t>
      </w:r>
      <w:r w:rsidRPr="0031479B">
        <w:rPr>
          <w:color w:val="000000" w:themeColor="text1"/>
        </w:rPr>
        <w:t xml:space="preserve"> – 5180 tūkst. tonnas CO2 ekvivalenta</w:t>
      </w:r>
      <w:r>
        <w:rPr>
          <w:color w:val="000000" w:themeColor="text1"/>
        </w:rPr>
        <w:t xml:space="preserve">, kā arī realizējot aktivitātes </w:t>
      </w:r>
      <w:r w:rsidRPr="0031479B">
        <w:rPr>
          <w:color w:val="000000" w:themeColor="text1"/>
        </w:rPr>
        <w:t>3. kārt</w:t>
      </w:r>
      <w:r>
        <w:rPr>
          <w:color w:val="000000" w:themeColor="text1"/>
        </w:rPr>
        <w:t>u, vēl papildus</w:t>
      </w:r>
      <w:r w:rsidRPr="0031479B">
        <w:rPr>
          <w:color w:val="000000" w:themeColor="text1"/>
        </w:rPr>
        <w:t xml:space="preserve"> 657,5 tonnas CO2 ekvivalenta</w:t>
      </w:r>
      <w:r w:rsidR="004B510E">
        <w:rPr>
          <w:color w:val="000000" w:themeColor="text1"/>
        </w:rPr>
        <w:t>.</w:t>
      </w:r>
    </w:p>
    <w:p w14:paraId="31181FA3" w14:textId="77777777" w:rsidR="0031479B" w:rsidRDefault="0031479B" w:rsidP="0031479B">
      <w:pPr>
        <w:rPr>
          <w:color w:val="000000" w:themeColor="text1"/>
        </w:rPr>
      </w:pPr>
    </w:p>
    <w:p w14:paraId="30240848" w14:textId="67F84858" w:rsidR="00D1109C" w:rsidRPr="00D1109C" w:rsidRDefault="0031479B" w:rsidP="007369A0">
      <w:pPr>
        <w:rPr>
          <w:color w:val="000000" w:themeColor="text1"/>
        </w:rPr>
      </w:pPr>
      <w:r w:rsidRPr="0031479B">
        <w:rPr>
          <w:color w:val="000000" w:themeColor="text1"/>
        </w:rPr>
        <w:t>Gadā  kop</w:t>
      </w:r>
      <w:r>
        <w:rPr>
          <w:color w:val="000000" w:themeColor="text1"/>
        </w:rPr>
        <w:t>umā par iepriekš minētajām aktivitātēm CO2 samazinājums ir mērāms</w:t>
      </w:r>
      <w:r w:rsidRPr="0031479B">
        <w:rPr>
          <w:color w:val="000000" w:themeColor="text1"/>
        </w:rPr>
        <w:t xml:space="preserve"> – 23</w:t>
      </w:r>
      <w:r>
        <w:rPr>
          <w:color w:val="000000" w:themeColor="text1"/>
        </w:rPr>
        <w:t> </w:t>
      </w:r>
      <w:r w:rsidRPr="0031479B">
        <w:rPr>
          <w:color w:val="000000" w:themeColor="text1"/>
        </w:rPr>
        <w:t>800</w:t>
      </w:r>
      <w:r>
        <w:rPr>
          <w:color w:val="000000" w:themeColor="text1"/>
        </w:rPr>
        <w:t xml:space="preserve"> </w:t>
      </w:r>
      <w:r w:rsidRPr="0031479B">
        <w:rPr>
          <w:color w:val="000000" w:themeColor="text1"/>
        </w:rPr>
        <w:t>tonn</w:t>
      </w:r>
      <w:r>
        <w:rPr>
          <w:color w:val="000000" w:themeColor="text1"/>
        </w:rPr>
        <w:t>u</w:t>
      </w:r>
      <w:r w:rsidRPr="0031479B">
        <w:rPr>
          <w:color w:val="000000" w:themeColor="text1"/>
        </w:rPr>
        <w:t xml:space="preserve"> CO2 ekvivalenta</w:t>
      </w:r>
      <w:r>
        <w:rPr>
          <w:color w:val="000000" w:themeColor="text1"/>
        </w:rPr>
        <w:t xml:space="preserve"> apmēŗa</w:t>
      </w:r>
      <w:r w:rsidRPr="0031479B">
        <w:rPr>
          <w:color w:val="000000" w:themeColor="text1"/>
        </w:rPr>
        <w:t xml:space="preserve">. </w:t>
      </w:r>
      <w:r w:rsidRPr="006A6F83">
        <w:rPr>
          <w:color w:val="000000" w:themeColor="text1"/>
        </w:rPr>
        <w:t>Jāuzsver, ka šeit nav minēti dati</w:t>
      </w:r>
      <w:r w:rsidR="00D1109C" w:rsidRPr="006A6F83">
        <w:rPr>
          <w:color w:val="000000" w:themeColor="text1"/>
        </w:rPr>
        <w:t xml:space="preserve"> un šāda statistika</w:t>
      </w:r>
      <w:r w:rsidRPr="006A6F83">
        <w:rPr>
          <w:color w:val="000000" w:themeColor="text1"/>
        </w:rPr>
        <w:t xml:space="preserve"> par iespējamiem CO2 samazinājumiem no daudzdzīvokļu dzīvojamo māju</w:t>
      </w:r>
      <w:r w:rsidR="00D1109C" w:rsidRPr="006A6F83">
        <w:rPr>
          <w:color w:val="000000" w:themeColor="text1"/>
        </w:rPr>
        <w:t xml:space="preserve"> energoefektivitātes uzlabošanas darbiem nav pieejama, taču ir paredzamais</w:t>
      </w:r>
      <w:r w:rsidR="00D1109C" w:rsidRPr="00D1109C">
        <w:rPr>
          <w:color w:val="000000" w:themeColor="text1"/>
        </w:rPr>
        <w:t xml:space="preserve"> un jau esošai</w:t>
      </w:r>
      <w:r w:rsidR="00D1109C">
        <w:rPr>
          <w:color w:val="000000" w:themeColor="text1"/>
        </w:rPr>
        <w:t>s</w:t>
      </w:r>
      <w:r w:rsidR="00D1109C" w:rsidRPr="00D1109C">
        <w:rPr>
          <w:color w:val="000000" w:themeColor="text1"/>
        </w:rPr>
        <w:t xml:space="preserve"> enerģijas ietaupījums. 3.4.4.1. aktivitātes „Dzīvojamo māju siltumnoturības uzlabošanas pasākumi” ietvaros, kas tika aizsākta 2009. gadā ir pabeigta 741 energoefektivitātes paaugstināšanas projektu īstenošana. Pabeigto projektu ietvaros sasniegtais siltumenerģijas ietaupījums ir 30-60% no iepriekš patērētā siltumenerģijas apjoma (vidēji 43%). Savukārt, 4.2.1.1. aktivitātes ietvaros, ja aplūko jau pabeigto projektu siltumenerģijas patēriņu, tad tie </w:t>
      </w:r>
      <w:r w:rsidR="00D1109C" w:rsidRPr="00D1109C">
        <w:rPr>
          <w:bCs/>
          <w:iCs/>
          <w:color w:val="000000" w:themeColor="text1"/>
        </w:rPr>
        <w:t>uzrāda būtisku enerģijas patēriņa samazinājumu – ja pirms mājas atjaunošanas vidējais enerģijas patēriņš bija 165 kWh gadā, tad pēc renovācijas darbiem tas ir vidēji par 67% zemāks jeb 54 kWh gadā.</w:t>
      </w:r>
      <w:r w:rsidR="00D1109C" w:rsidRPr="00D1109C">
        <w:rPr>
          <w:bCs/>
          <w:iCs/>
          <w:color w:val="000000" w:themeColor="text1"/>
          <w:vertAlign w:val="superscript"/>
        </w:rPr>
        <w:footnoteReference w:id="55"/>
      </w:r>
      <w:r w:rsidR="00D1109C" w:rsidRPr="00D1109C">
        <w:rPr>
          <w:color w:val="000000" w:themeColor="text1"/>
        </w:rPr>
        <w:t xml:space="preserve"> Līdz ar to, ja pieņem, ka 4.2.1.1. aktivitātes ietvaros tiek realizēti visi iesniegtie </w:t>
      </w:r>
      <w:r w:rsidR="00D1109C" w:rsidRPr="007369A0">
        <w:rPr>
          <w:color w:val="000000" w:themeColor="text1"/>
        </w:rPr>
        <w:t>projekti, abu aktivitāšu ietvaros kopā 1600 daudzdzīvokļu dzīvojamo māju vidējais enerģijas patēriņa ietaupījums kopumā indikatīvi varētu būt aptuveni 60% vai pat lielāks</w:t>
      </w:r>
      <w:r w:rsidR="00D1109C" w:rsidRPr="00D1109C">
        <w:rPr>
          <w:color w:val="000000" w:themeColor="text1"/>
        </w:rPr>
        <w:t>, ņemot vērā, ka 4.2.1.1. aktivitātes ietvaros</w:t>
      </w:r>
      <w:r w:rsidR="00D1109C">
        <w:rPr>
          <w:color w:val="000000" w:themeColor="text1"/>
        </w:rPr>
        <w:t xml:space="preserve"> uz šo brīdi iesniegto projektu skaits ir lielāks, nekā </w:t>
      </w:r>
      <w:r w:rsidR="00D1109C" w:rsidRPr="00D1109C">
        <w:rPr>
          <w:color w:val="000000" w:themeColor="text1"/>
        </w:rPr>
        <w:t>3.4.4.1. aktivitāte</w:t>
      </w:r>
      <w:r w:rsidR="00D1109C">
        <w:rPr>
          <w:color w:val="000000" w:themeColor="text1"/>
        </w:rPr>
        <w:t xml:space="preserve">s ietvaros tika renovētas dzīvojamās mājas. Pietam, aktuālās </w:t>
      </w:r>
      <w:r w:rsidR="00D1109C" w:rsidRPr="00D1109C">
        <w:rPr>
          <w:color w:val="000000" w:themeColor="text1"/>
        </w:rPr>
        <w:t>4.2.1.1. aktivitātes</w:t>
      </w:r>
      <w:r w:rsidR="00D1109C">
        <w:rPr>
          <w:color w:val="000000" w:themeColor="text1"/>
        </w:rPr>
        <w:t xml:space="preserve"> ietvaros renovētās mājas uzrāda ļoti augstus energoefektivitātes rādītājus.</w:t>
      </w:r>
    </w:p>
    <w:p w14:paraId="62C871BA" w14:textId="6610E3E0" w:rsidR="006B37CD" w:rsidRDefault="006B37CD" w:rsidP="006B37CD">
      <w:pPr>
        <w:rPr>
          <w:color w:val="000000" w:themeColor="text1"/>
        </w:rPr>
      </w:pPr>
      <w:r>
        <w:rPr>
          <w:color w:val="000000" w:themeColor="text1"/>
        </w:rPr>
        <w:t xml:space="preserve">Jāņem vērā, ka jau iepriekš minētā NAP2027 ietvaros plānots realizēt energoefektivitātes paaugstināšanu 40 000 dzīvokļu īpašumos </w:t>
      </w:r>
      <w:r w:rsidRPr="006B37CD">
        <w:rPr>
          <w:color w:val="000000" w:themeColor="text1"/>
        </w:rPr>
        <w:t>kas ir aptuveni 800 daudzdzīvokļu mājas (pieņemot, ka vidēji viens dzīvokļa īpašum</w:t>
      </w:r>
      <w:r>
        <w:rPr>
          <w:color w:val="000000" w:themeColor="text1"/>
        </w:rPr>
        <w:t>s</w:t>
      </w:r>
      <w:r w:rsidRPr="006B37CD">
        <w:rPr>
          <w:color w:val="000000" w:themeColor="text1"/>
        </w:rPr>
        <w:t xml:space="preserve"> ir 50m</w:t>
      </w:r>
      <w:r w:rsidRPr="006B37CD">
        <w:rPr>
          <w:color w:val="000000" w:themeColor="text1"/>
          <w:vertAlign w:val="superscript"/>
        </w:rPr>
        <w:t>2</w:t>
      </w:r>
      <w:r w:rsidRPr="006B37CD">
        <w:rPr>
          <w:color w:val="000000" w:themeColor="text1"/>
        </w:rPr>
        <w:t>). Tādējādi kopumā tiktu renovēti 2 milj. m</w:t>
      </w:r>
      <w:r w:rsidRPr="006B37CD">
        <w:rPr>
          <w:color w:val="000000" w:themeColor="text1"/>
          <w:vertAlign w:val="superscript"/>
        </w:rPr>
        <w:t>2</w:t>
      </w:r>
      <w:r w:rsidRPr="006B37CD">
        <w:rPr>
          <w:color w:val="000000" w:themeColor="text1"/>
        </w:rPr>
        <w:t>.</w:t>
      </w:r>
    </w:p>
    <w:p w14:paraId="758EDEBB" w14:textId="50B47AE9" w:rsidR="006B37CD" w:rsidRDefault="006B37CD" w:rsidP="006B37CD">
      <w:pPr>
        <w:rPr>
          <w:color w:val="000000" w:themeColor="text1"/>
        </w:rPr>
      </w:pPr>
      <w:r>
        <w:rPr>
          <w:color w:val="000000" w:themeColor="text1"/>
        </w:rPr>
        <w:t>Tāpat minētā plāna ietvaros plānots</w:t>
      </w:r>
      <w:r w:rsidR="00F60BC7">
        <w:rPr>
          <w:color w:val="000000" w:themeColor="text1"/>
        </w:rPr>
        <w:t xml:space="preserve">, ka uz 2027. gadu tiks uzbūvēti </w:t>
      </w:r>
      <w:r>
        <w:rPr>
          <w:color w:val="000000" w:themeColor="text1"/>
        </w:rPr>
        <w:t>10 000 jaun</w:t>
      </w:r>
      <w:r w:rsidR="00F60BC7">
        <w:rPr>
          <w:color w:val="000000" w:themeColor="text1"/>
        </w:rPr>
        <w:t>i</w:t>
      </w:r>
      <w:r>
        <w:rPr>
          <w:color w:val="000000" w:themeColor="text1"/>
        </w:rPr>
        <w:t xml:space="preserve"> dzīvokļa īpašum</w:t>
      </w:r>
      <w:r w:rsidR="00F60BC7">
        <w:rPr>
          <w:color w:val="000000" w:themeColor="text1"/>
        </w:rPr>
        <w:t xml:space="preserve">i gadā. Šobrīd esošais progress attēlots </w:t>
      </w:r>
      <w:r w:rsidR="005F1395">
        <w:rPr>
          <w:color w:val="000000" w:themeColor="text1"/>
        </w:rPr>
        <w:t>8</w:t>
      </w:r>
      <w:r w:rsidR="00F60BC7">
        <w:rPr>
          <w:color w:val="000000" w:themeColor="text1"/>
        </w:rPr>
        <w:t>. attēlā.</w:t>
      </w:r>
    </w:p>
    <w:p w14:paraId="11DCB1D2" w14:textId="71F293DE" w:rsidR="00D117C7" w:rsidRPr="006B37CD" w:rsidRDefault="00D117C7" w:rsidP="006B37CD">
      <w:pPr>
        <w:rPr>
          <w:color w:val="000000" w:themeColor="text1"/>
        </w:rPr>
      </w:pPr>
      <w:r>
        <w:rPr>
          <w:color w:val="000000" w:themeColor="text1"/>
        </w:rPr>
        <w:t>Līdz 2030. gadam kopumā varētu būt renovētas vismaz 6% no visām daudzdzīvokļu ēkām.</w:t>
      </w:r>
    </w:p>
    <w:p w14:paraId="6DA07213" w14:textId="77777777" w:rsidR="00B3694B" w:rsidRDefault="00B3694B">
      <w:pPr>
        <w:spacing w:after="160" w:line="259" w:lineRule="auto"/>
        <w:ind w:firstLine="0"/>
        <w:jc w:val="left"/>
        <w:rPr>
          <w:b/>
          <w:bCs/>
        </w:rPr>
      </w:pPr>
    </w:p>
    <w:p w14:paraId="2D594F47" w14:textId="02395C8E" w:rsidR="00C97932" w:rsidRPr="00942A2E" w:rsidRDefault="007A28DC">
      <w:pPr>
        <w:spacing w:after="160" w:line="259" w:lineRule="auto"/>
        <w:ind w:firstLine="0"/>
        <w:jc w:val="left"/>
        <w:rPr>
          <w:b/>
          <w:bCs/>
          <w:sz w:val="28"/>
          <w:szCs w:val="28"/>
        </w:rPr>
      </w:pPr>
      <w:r w:rsidRPr="00942A2E">
        <w:rPr>
          <w:b/>
          <w:bCs/>
          <w:sz w:val="28"/>
          <w:szCs w:val="28"/>
        </w:rPr>
        <w:t>Prognoze</w:t>
      </w:r>
      <w:r w:rsidR="00C97932" w:rsidRPr="00942A2E">
        <w:rPr>
          <w:b/>
          <w:bCs/>
          <w:sz w:val="28"/>
          <w:szCs w:val="28"/>
        </w:rPr>
        <w:t xml:space="preserve"> 2040</w:t>
      </w:r>
      <w:r w:rsidR="00942A2E">
        <w:rPr>
          <w:b/>
          <w:bCs/>
          <w:sz w:val="28"/>
          <w:szCs w:val="28"/>
        </w:rPr>
        <w:t>.</w:t>
      </w:r>
      <w:r w:rsidR="00C97932" w:rsidRPr="00942A2E">
        <w:rPr>
          <w:b/>
          <w:bCs/>
          <w:sz w:val="28"/>
          <w:szCs w:val="28"/>
        </w:rPr>
        <w:t xml:space="preserve"> un 2050</w:t>
      </w:r>
      <w:r w:rsidR="00942A2E">
        <w:rPr>
          <w:b/>
          <w:bCs/>
          <w:sz w:val="28"/>
          <w:szCs w:val="28"/>
        </w:rPr>
        <w:t>.</w:t>
      </w:r>
      <w:r w:rsidR="00C97932" w:rsidRPr="00942A2E">
        <w:rPr>
          <w:b/>
          <w:bCs/>
          <w:sz w:val="28"/>
          <w:szCs w:val="28"/>
        </w:rPr>
        <w:t xml:space="preserve"> gadam</w:t>
      </w:r>
    </w:p>
    <w:p w14:paraId="1AACF429" w14:textId="65484504" w:rsidR="00FE6967" w:rsidRDefault="00C97932" w:rsidP="00475CA1">
      <w:r>
        <w:t>Latvijas indikatīvie, kā arī jau pašreizējie rādītāji</w:t>
      </w:r>
      <w:r w:rsidR="00FE6967">
        <w:t xml:space="preserve"> raugoties uz SEG emisiju (CO2) samazinājumu kopumā ir apmierinoši. Enerģētikas jomā, kurā ietilpst arī mājsaimniecības sektors joprojām vērojams emisiju samazinājums un tas tiek prognozēts arī uz 2030. gadu</w:t>
      </w:r>
      <w:r w:rsidR="00475CA1">
        <w:t>, tādējādi šie rādītāji uzskatāmi par progresīviem kopēju mērķu sasniegšanā.</w:t>
      </w:r>
    </w:p>
    <w:p w14:paraId="3EFCBE60" w14:textId="3BD41772" w:rsidR="006A6F83" w:rsidRDefault="00533BDE">
      <w:r>
        <w:t>Valsts pašreizējā politika ēku energoefektivitātes veicināšanai, kā arī dzīvojamo, nedzīvojamo, tajā skaitā, ražošanas un publisko ēku atjaunošanas aktivitāšu ietvaros</w:t>
      </w:r>
      <w:r w:rsidR="000357D6">
        <w:t>, kurās daļā joprojām notiek projektu iesniegšanas process, vai aktīvs būvniecības process rezultāti un patiesie ieguvumi (emisiju un siltumenerģijas samazinājums) ir sagaidāmi tikai turpmāko gadu periodā, tādējādi prognozējams, ka tendences attiecībā uz mājsaimniecības sektorā patērēto siltumenerģijas daudzumu un SEG emisiju apjomu samazinājumu būs pozitīvas.</w:t>
      </w:r>
    </w:p>
    <w:p w14:paraId="747E63BB" w14:textId="77777777" w:rsidR="00C21C84" w:rsidRDefault="00C21C84"/>
    <w:p w14:paraId="15CF9041" w14:textId="77777777" w:rsidR="00B3694B" w:rsidRDefault="00B3694B">
      <w:r>
        <w:br w:type="page"/>
      </w:r>
    </w:p>
    <w:p w14:paraId="0B2E6DD6" w14:textId="77777777" w:rsidR="00C21C84" w:rsidRDefault="00C21C84"/>
    <w:tbl>
      <w:tblPr>
        <w:tblW w:w="10915" w:type="dxa"/>
        <w:tblInd w:w="-1286" w:type="dxa"/>
        <w:tblCellMar>
          <w:left w:w="0" w:type="dxa"/>
          <w:right w:w="0" w:type="dxa"/>
        </w:tblCellMar>
        <w:tblLook w:val="04A0" w:firstRow="1" w:lastRow="0" w:firstColumn="1" w:lastColumn="0" w:noHBand="0" w:noVBand="1"/>
      </w:tblPr>
      <w:tblGrid>
        <w:gridCol w:w="3746"/>
        <w:gridCol w:w="1293"/>
        <w:gridCol w:w="1178"/>
        <w:gridCol w:w="1173"/>
        <w:gridCol w:w="1173"/>
        <w:gridCol w:w="1218"/>
        <w:gridCol w:w="1134"/>
      </w:tblGrid>
      <w:tr w:rsidR="00C21C84" w:rsidRPr="00C21C84" w14:paraId="60B193D6" w14:textId="77777777" w:rsidTr="006337DB">
        <w:trPr>
          <w:trHeight w:val="300"/>
        </w:trPr>
        <w:tc>
          <w:tcPr>
            <w:tcW w:w="37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A444B5" w14:textId="0CC3160C" w:rsidR="00B3694B" w:rsidRPr="00B3694B" w:rsidRDefault="00672BA3" w:rsidP="00B3694B">
            <w:pPr>
              <w:ind w:firstLine="0"/>
              <w:jc w:val="left"/>
              <w:rPr>
                <w:b/>
                <w:bCs/>
              </w:rPr>
            </w:pPr>
            <w:r>
              <w:rPr>
                <w:b/>
                <w:bCs/>
              </w:rPr>
              <w:t>15</w:t>
            </w:r>
            <w:r w:rsidR="00B3694B" w:rsidRPr="00B3694B">
              <w:rPr>
                <w:b/>
                <w:bCs/>
              </w:rPr>
              <w:t>. tabula</w:t>
            </w:r>
          </w:p>
          <w:p w14:paraId="719461D3" w14:textId="77777777" w:rsidR="00C21C84" w:rsidRPr="00C21C84" w:rsidRDefault="00C21C84" w:rsidP="00C21C84">
            <w:pPr>
              <w:ind w:firstLine="0"/>
              <w:jc w:val="left"/>
              <w:rPr>
                <w:rFonts w:eastAsia="Calibri" w:cs="Times New Roman"/>
                <w:sz w:val="20"/>
              </w:rPr>
            </w:pPr>
          </w:p>
        </w:tc>
        <w:tc>
          <w:tcPr>
            <w:tcW w:w="4817"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79DC87" w14:textId="77777777" w:rsidR="00C21C84" w:rsidRPr="00C21C84" w:rsidRDefault="00C21C84" w:rsidP="00C21C84">
            <w:pPr>
              <w:ind w:firstLine="0"/>
              <w:jc w:val="center"/>
              <w:rPr>
                <w:rFonts w:eastAsia="Calibri" w:cs="Times New Roman"/>
                <w:b/>
                <w:bCs/>
                <w:sz w:val="20"/>
                <w:szCs w:val="20"/>
                <w:lang w:eastAsia="lv-LV"/>
              </w:rPr>
            </w:pPr>
            <w:r w:rsidRPr="00C21C84">
              <w:rPr>
                <w:rFonts w:eastAsia="Calibri" w:cs="Times New Roman"/>
                <w:b/>
                <w:bCs/>
                <w:color w:val="000000"/>
                <w:sz w:val="22"/>
                <w:lang w:eastAsia="lv-LV"/>
              </w:rPr>
              <w:t>ēku enerģijas patēriņš</w:t>
            </w:r>
          </w:p>
        </w:tc>
        <w:tc>
          <w:tcPr>
            <w:tcW w:w="235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0E1111"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radītais SEG emisiju apjoms</w:t>
            </w:r>
          </w:p>
        </w:tc>
      </w:tr>
      <w:tr w:rsidR="00C21C84" w:rsidRPr="00C21C84" w14:paraId="3F9BA514" w14:textId="77777777" w:rsidTr="006337DB">
        <w:trPr>
          <w:trHeight w:val="300"/>
        </w:trPr>
        <w:tc>
          <w:tcPr>
            <w:tcW w:w="3746" w:type="dxa"/>
            <w:vMerge/>
            <w:tcBorders>
              <w:top w:val="single" w:sz="8" w:space="0" w:color="auto"/>
              <w:left w:val="single" w:sz="8" w:space="0" w:color="auto"/>
              <w:bottom w:val="single" w:sz="8" w:space="0" w:color="auto"/>
              <w:right w:val="single" w:sz="8" w:space="0" w:color="auto"/>
            </w:tcBorders>
            <w:vAlign w:val="center"/>
            <w:hideMark/>
          </w:tcPr>
          <w:p w14:paraId="178170B5" w14:textId="77777777" w:rsidR="00C21C84" w:rsidRPr="00C21C84" w:rsidRDefault="00C21C84" w:rsidP="00C21C84">
            <w:pPr>
              <w:ind w:firstLine="0"/>
              <w:jc w:val="left"/>
              <w:rPr>
                <w:rFonts w:eastAsia="Calibri" w:cs="Times New Roman"/>
                <w:sz w:val="20"/>
              </w:rPr>
            </w:pPr>
          </w:p>
        </w:tc>
        <w:tc>
          <w:tcPr>
            <w:tcW w:w="247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D7BCF"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1990</w:t>
            </w:r>
          </w:p>
        </w:tc>
        <w:tc>
          <w:tcPr>
            <w:tcW w:w="234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3ACE8"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2017</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D3207"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1990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4DFD4"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2017</w:t>
            </w:r>
          </w:p>
        </w:tc>
      </w:tr>
      <w:tr w:rsidR="00C21C84" w:rsidRPr="00C21C84" w14:paraId="0F805A5B" w14:textId="77777777" w:rsidTr="006337DB">
        <w:trPr>
          <w:trHeight w:val="300"/>
        </w:trPr>
        <w:tc>
          <w:tcPr>
            <w:tcW w:w="3746" w:type="dxa"/>
            <w:vMerge/>
            <w:tcBorders>
              <w:top w:val="single" w:sz="8" w:space="0" w:color="auto"/>
              <w:left w:val="single" w:sz="8" w:space="0" w:color="auto"/>
              <w:bottom w:val="single" w:sz="8" w:space="0" w:color="auto"/>
              <w:right w:val="single" w:sz="8" w:space="0" w:color="auto"/>
            </w:tcBorders>
            <w:vAlign w:val="center"/>
            <w:hideMark/>
          </w:tcPr>
          <w:p w14:paraId="5118BAAB" w14:textId="77777777" w:rsidR="00C21C84" w:rsidRPr="00C21C84" w:rsidRDefault="00C21C84" w:rsidP="00C21C84">
            <w:pPr>
              <w:ind w:firstLine="0"/>
              <w:jc w:val="left"/>
              <w:rPr>
                <w:rFonts w:eastAsia="Calibri" w:cs="Times New Roman"/>
                <w:sz w:val="20"/>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E1A1F"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TJ</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CF598"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GWh</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6BC5B"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TJ</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4DDBA"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GWh</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B0D5A"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kt CO2 ekv</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BF4F0" w14:textId="77777777" w:rsidR="00C21C84" w:rsidRPr="00C21C84" w:rsidRDefault="00C21C84" w:rsidP="00C21C84">
            <w:pPr>
              <w:ind w:firstLine="0"/>
              <w:jc w:val="center"/>
              <w:rPr>
                <w:rFonts w:eastAsia="Calibri" w:cs="Times New Roman"/>
                <w:b/>
                <w:bCs/>
                <w:color w:val="000000"/>
                <w:sz w:val="22"/>
                <w:lang w:eastAsia="lv-LV"/>
              </w:rPr>
            </w:pPr>
            <w:r w:rsidRPr="00C21C84">
              <w:rPr>
                <w:rFonts w:eastAsia="Calibri" w:cs="Times New Roman"/>
                <w:b/>
                <w:bCs/>
                <w:color w:val="000000"/>
                <w:sz w:val="22"/>
                <w:lang w:eastAsia="lv-LV"/>
              </w:rPr>
              <w:t>kt CO2 ekv</w:t>
            </w:r>
          </w:p>
        </w:tc>
      </w:tr>
      <w:tr w:rsidR="00C21C84" w:rsidRPr="00C21C84" w14:paraId="37D1B5CD" w14:textId="77777777" w:rsidTr="006337DB">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170D41" w14:textId="77777777" w:rsidR="00C21C84" w:rsidRPr="00C21C84" w:rsidRDefault="00C21C84" w:rsidP="00C21C84">
            <w:pPr>
              <w:ind w:firstLine="0"/>
              <w:jc w:val="left"/>
              <w:rPr>
                <w:rFonts w:eastAsia="Calibri" w:cs="Times New Roman"/>
                <w:color w:val="000000"/>
                <w:sz w:val="22"/>
                <w:lang w:eastAsia="lv-LV"/>
              </w:rPr>
            </w:pPr>
            <w:r w:rsidRPr="00C21C84">
              <w:rPr>
                <w:rFonts w:eastAsia="Calibri" w:cs="Times New Roman"/>
                <w:color w:val="000000"/>
                <w:sz w:val="22"/>
                <w:lang w:eastAsia="lv-LV"/>
              </w:rPr>
              <w:t>1A1 - izmantotā siltumenerģija</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4594B"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51 339,00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2748E"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14 169,56</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E2B0E"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22 030,12</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665CB"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6 080,31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463BEEF1" w14:textId="77777777" w:rsidR="00C21C84" w:rsidRPr="00C21C84" w:rsidRDefault="00C21C84" w:rsidP="00C21C84">
            <w:pPr>
              <w:ind w:firstLine="0"/>
              <w:jc w:val="right"/>
              <w:rPr>
                <w:rFonts w:eastAsia="Calibri" w:cs="Times New Roman"/>
                <w:sz w:val="22"/>
              </w:rPr>
            </w:pPr>
            <w:r w:rsidRPr="00C21C84">
              <w:rPr>
                <w:rFonts w:eastAsia="Calibri" w:cs="Times New Roman"/>
                <w:sz w:val="22"/>
              </w:rPr>
              <w:t>3 555,01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44A775C" w14:textId="77777777" w:rsidR="00C21C84" w:rsidRPr="00C21C84" w:rsidRDefault="00C21C84" w:rsidP="00C21C84">
            <w:pPr>
              <w:ind w:firstLine="0"/>
              <w:jc w:val="right"/>
              <w:rPr>
                <w:rFonts w:eastAsia="Calibri" w:cs="Times New Roman"/>
                <w:sz w:val="22"/>
              </w:rPr>
            </w:pPr>
            <w:r w:rsidRPr="00C21C84">
              <w:rPr>
                <w:rFonts w:eastAsia="Calibri" w:cs="Times New Roman"/>
                <w:sz w:val="22"/>
              </w:rPr>
              <w:t>1 250,46</w:t>
            </w:r>
          </w:p>
        </w:tc>
      </w:tr>
      <w:tr w:rsidR="00C21C84" w:rsidRPr="00C21C84" w14:paraId="0DC8A005" w14:textId="77777777" w:rsidTr="006337DB">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3847DA" w14:textId="77777777" w:rsidR="00C21C84" w:rsidRPr="00C21C84" w:rsidRDefault="00C21C84" w:rsidP="00C21C84">
            <w:pPr>
              <w:ind w:firstLine="0"/>
              <w:jc w:val="left"/>
              <w:rPr>
                <w:rFonts w:eastAsia="Calibri" w:cs="Times New Roman"/>
                <w:color w:val="000000"/>
                <w:sz w:val="22"/>
                <w:lang w:eastAsia="lv-LV"/>
              </w:rPr>
            </w:pPr>
            <w:r w:rsidRPr="00C21C84">
              <w:rPr>
                <w:rFonts w:eastAsia="Calibri" w:cs="Times New Roman"/>
                <w:color w:val="000000"/>
                <w:sz w:val="22"/>
                <w:lang w:eastAsia="lv-LV"/>
              </w:rPr>
              <w:t>1A4 - izmantotais kurināmais - pakalpojumu, mājsaimniecības un citos sektoros</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92986"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102 091,96</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ABD6B"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28 177,38</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18424"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47 916,56</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2743DB" w14:textId="77777777" w:rsidR="00C21C84" w:rsidRPr="00C21C84" w:rsidRDefault="00C21C84" w:rsidP="00C21C84">
            <w:pPr>
              <w:ind w:firstLine="0"/>
              <w:jc w:val="right"/>
              <w:rPr>
                <w:rFonts w:eastAsia="Calibri" w:cs="Times New Roman"/>
                <w:color w:val="000000"/>
                <w:sz w:val="22"/>
                <w:lang w:eastAsia="lv-LV"/>
              </w:rPr>
            </w:pPr>
            <w:r w:rsidRPr="00C21C84">
              <w:rPr>
                <w:rFonts w:eastAsia="Calibri" w:cs="Times New Roman"/>
                <w:color w:val="000000"/>
                <w:sz w:val="22"/>
                <w:lang w:eastAsia="lv-LV"/>
              </w:rPr>
              <w:t>13 224,97</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1F62D5D1" w14:textId="77777777" w:rsidR="00C21C84" w:rsidRPr="00C21C84" w:rsidRDefault="00C21C84" w:rsidP="00C21C84">
            <w:pPr>
              <w:ind w:firstLine="0"/>
              <w:jc w:val="right"/>
              <w:rPr>
                <w:rFonts w:eastAsia="Calibri" w:cs="Times New Roman"/>
                <w:sz w:val="22"/>
              </w:rPr>
            </w:pPr>
            <w:r w:rsidRPr="00C21C84">
              <w:rPr>
                <w:rFonts w:eastAsia="Calibri" w:cs="Times New Roman"/>
                <w:sz w:val="22"/>
              </w:rPr>
              <w:t>5 794,15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DB181AD" w14:textId="77777777" w:rsidR="00C21C84" w:rsidRPr="00C21C84" w:rsidRDefault="00C21C84" w:rsidP="00C21C84">
            <w:pPr>
              <w:ind w:firstLine="0"/>
              <w:jc w:val="right"/>
              <w:rPr>
                <w:rFonts w:eastAsia="Calibri" w:cs="Times New Roman"/>
                <w:sz w:val="22"/>
              </w:rPr>
            </w:pPr>
            <w:r w:rsidRPr="00C21C84">
              <w:rPr>
                <w:rFonts w:eastAsia="Calibri" w:cs="Times New Roman"/>
                <w:sz w:val="22"/>
              </w:rPr>
              <w:t>1 514,65</w:t>
            </w:r>
          </w:p>
        </w:tc>
      </w:tr>
      <w:tr w:rsidR="00C21C84" w:rsidRPr="00C21C84" w14:paraId="71BE3A04" w14:textId="77777777" w:rsidTr="006337DB">
        <w:trPr>
          <w:trHeight w:val="300"/>
        </w:trPr>
        <w:tc>
          <w:tcPr>
            <w:tcW w:w="37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AF8EF2" w14:textId="77777777" w:rsidR="00C21C84" w:rsidRPr="00C21C84" w:rsidRDefault="00C21C84" w:rsidP="00C21C84">
            <w:pPr>
              <w:ind w:firstLine="0"/>
              <w:jc w:val="left"/>
              <w:rPr>
                <w:rFonts w:eastAsia="Calibri" w:cs="Times New Roman"/>
                <w:sz w:val="22"/>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0BBD6B" w14:textId="77777777" w:rsidR="00C21C84" w:rsidRPr="00C21C84" w:rsidRDefault="00C21C84" w:rsidP="00C21C84">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153 430,96</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E941A" w14:textId="77777777" w:rsidR="00C21C84" w:rsidRPr="00C21C84" w:rsidRDefault="00C21C84" w:rsidP="00C21C84">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42 346,94</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34884E" w14:textId="77777777" w:rsidR="00C21C84" w:rsidRPr="00C21C84" w:rsidRDefault="00C21C84" w:rsidP="00C21C84">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69 946,68</w:t>
            </w: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5DF088" w14:textId="77777777" w:rsidR="00C21C84" w:rsidRPr="00C21C84" w:rsidRDefault="00C21C84" w:rsidP="00C21C84">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19 305,28</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hideMark/>
          </w:tcPr>
          <w:p w14:paraId="44E13CDD" w14:textId="77777777" w:rsidR="00C21C84" w:rsidRPr="00C21C84" w:rsidRDefault="00C21C84" w:rsidP="00C21C84">
            <w:pPr>
              <w:ind w:firstLine="0"/>
              <w:jc w:val="right"/>
              <w:rPr>
                <w:rFonts w:eastAsia="Calibri" w:cs="Times New Roman"/>
                <w:b/>
                <w:bCs/>
                <w:sz w:val="22"/>
              </w:rPr>
            </w:pPr>
            <w:r w:rsidRPr="00C21C84">
              <w:rPr>
                <w:rFonts w:eastAsia="Calibri" w:cs="Times New Roman"/>
                <w:b/>
                <w:bCs/>
                <w:sz w:val="22"/>
              </w:rPr>
              <w:t>9 349,16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FE8D19D" w14:textId="77777777" w:rsidR="00C21C84" w:rsidRPr="00C21C84" w:rsidRDefault="00C21C84" w:rsidP="00C21C84">
            <w:pPr>
              <w:ind w:firstLine="0"/>
              <w:jc w:val="right"/>
              <w:rPr>
                <w:rFonts w:eastAsia="Calibri" w:cs="Times New Roman"/>
                <w:b/>
                <w:bCs/>
                <w:sz w:val="22"/>
              </w:rPr>
            </w:pPr>
            <w:r w:rsidRPr="00C21C84">
              <w:rPr>
                <w:rFonts w:eastAsia="Calibri" w:cs="Times New Roman"/>
                <w:b/>
                <w:bCs/>
                <w:sz w:val="22"/>
              </w:rPr>
              <w:t>2 765,12</w:t>
            </w:r>
          </w:p>
        </w:tc>
      </w:tr>
      <w:tr w:rsidR="00C21C84" w:rsidRPr="00C21C84" w14:paraId="4F78BF47" w14:textId="77777777" w:rsidTr="006337DB">
        <w:trPr>
          <w:trHeight w:val="300"/>
        </w:trPr>
        <w:tc>
          <w:tcPr>
            <w:tcW w:w="50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C49E52" w14:textId="61FB0EF9" w:rsidR="00C21C84" w:rsidRPr="00C21C84" w:rsidRDefault="00160AB8" w:rsidP="00C21C84">
            <w:pPr>
              <w:ind w:firstLine="0"/>
              <w:jc w:val="left"/>
              <w:rPr>
                <w:rFonts w:eastAsia="Calibri" w:cs="Times New Roman"/>
                <w:b/>
                <w:bCs/>
                <w:color w:val="000000"/>
                <w:sz w:val="22"/>
                <w:lang w:eastAsia="lv-LV"/>
              </w:rPr>
            </w:pPr>
            <w:r w:rsidRPr="00C21C84">
              <w:rPr>
                <w:rFonts w:eastAsia="Calibri" w:cs="Times New Roman"/>
                <w:b/>
                <w:bCs/>
                <w:color w:val="000000"/>
                <w:sz w:val="22"/>
                <w:lang w:eastAsia="lv-LV"/>
              </w:rPr>
              <w:t>1990/</w:t>
            </w:r>
            <w:r w:rsidR="00C21C84" w:rsidRPr="00C21C84">
              <w:rPr>
                <w:rFonts w:eastAsia="Calibri" w:cs="Times New Roman"/>
                <w:b/>
                <w:bCs/>
                <w:color w:val="000000"/>
                <w:sz w:val="22"/>
                <w:lang w:eastAsia="lv-LV"/>
              </w:rPr>
              <w:t>2017</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A74CC" w14:textId="77777777" w:rsidR="00C21C84" w:rsidRPr="00C21C84" w:rsidRDefault="00C21C84" w:rsidP="00C21C84">
            <w:pPr>
              <w:ind w:firstLine="0"/>
              <w:jc w:val="left"/>
              <w:rPr>
                <w:rFonts w:eastAsia="Calibri" w:cs="Times New Roman"/>
                <w:b/>
                <w:bCs/>
                <w:color w:val="000000"/>
                <w:sz w:val="22"/>
                <w:lang w:eastAsia="lv-LV"/>
              </w:rPr>
            </w:pP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F9B1E" w14:textId="77777777" w:rsidR="00C21C84" w:rsidRPr="00C21C84" w:rsidRDefault="00C21C84" w:rsidP="00C21C84">
            <w:pPr>
              <w:ind w:firstLine="0"/>
              <w:jc w:val="left"/>
              <w:rPr>
                <w:rFonts w:eastAsia="Times New Roman" w:cs="Times New Roman"/>
                <w:sz w:val="20"/>
                <w:szCs w:val="20"/>
                <w:lang w:eastAsia="lv-LV"/>
              </w:rPr>
            </w:pPr>
          </w:p>
        </w:tc>
        <w:tc>
          <w:tcPr>
            <w:tcW w:w="11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CE7BAE" w14:textId="77777777" w:rsidR="00C21C84" w:rsidRPr="00C21C84" w:rsidRDefault="00C21C84" w:rsidP="00C21C84">
            <w:pPr>
              <w:ind w:firstLine="0"/>
              <w:jc w:val="right"/>
              <w:rPr>
                <w:rFonts w:eastAsia="Calibri" w:cs="Times New Roman"/>
                <w:b/>
                <w:bCs/>
                <w:color w:val="000000"/>
                <w:sz w:val="22"/>
                <w:lang w:eastAsia="lv-LV"/>
              </w:rPr>
            </w:pPr>
            <w:r w:rsidRPr="00C21C84">
              <w:rPr>
                <w:rFonts w:eastAsia="Calibri" w:cs="Times New Roman"/>
                <w:b/>
                <w:bCs/>
                <w:color w:val="000000"/>
                <w:sz w:val="22"/>
                <w:lang w:eastAsia="lv-LV"/>
              </w:rPr>
              <w:t>-54,41%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6B9B60" w14:textId="77777777" w:rsidR="00C21C84" w:rsidRPr="00C21C84" w:rsidRDefault="00C21C84" w:rsidP="00C21C84">
            <w:pPr>
              <w:ind w:firstLine="0"/>
              <w:jc w:val="left"/>
              <w:rPr>
                <w:rFonts w:eastAsia="Calibri" w:cs="Times New Roman"/>
                <w:b/>
                <w:bCs/>
                <w:color w:val="000000"/>
                <w:sz w:val="22"/>
                <w:lang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7A349D05" w14:textId="77777777" w:rsidR="00C21C84" w:rsidRPr="00C21C84" w:rsidRDefault="00C21C84" w:rsidP="00C21C84">
            <w:pPr>
              <w:ind w:firstLine="0"/>
              <w:jc w:val="right"/>
              <w:rPr>
                <w:rFonts w:eastAsia="Calibri" w:cs="Times New Roman"/>
                <w:b/>
                <w:bCs/>
                <w:sz w:val="22"/>
              </w:rPr>
            </w:pPr>
            <w:r w:rsidRPr="00C21C84">
              <w:rPr>
                <w:rFonts w:eastAsia="Calibri" w:cs="Times New Roman"/>
                <w:b/>
                <w:bCs/>
                <w:sz w:val="22"/>
              </w:rPr>
              <w:t>-70,42%</w:t>
            </w:r>
          </w:p>
        </w:tc>
      </w:tr>
    </w:tbl>
    <w:p w14:paraId="7A3715B4" w14:textId="77777777" w:rsidR="006A6F83" w:rsidRDefault="006A6F83" w:rsidP="006A6F83">
      <w:pPr>
        <w:ind w:firstLine="0"/>
      </w:pPr>
    </w:p>
    <w:p w14:paraId="332E43F5" w14:textId="150B7960" w:rsidR="00C21C84" w:rsidRPr="006337DB" w:rsidRDefault="00C21C84" w:rsidP="00C21C84">
      <w:pPr>
        <w:rPr>
          <w:color w:val="000000" w:themeColor="text1"/>
        </w:rPr>
      </w:pPr>
      <w:r w:rsidRPr="006337DB">
        <w:rPr>
          <w:color w:val="000000" w:themeColor="text1"/>
        </w:rPr>
        <w:t xml:space="preserve">Kā redzams no </w:t>
      </w:r>
      <w:r w:rsidR="00672BA3">
        <w:rPr>
          <w:color w:val="000000" w:themeColor="text1"/>
        </w:rPr>
        <w:t>15</w:t>
      </w:r>
      <w:r w:rsidRPr="006337DB">
        <w:rPr>
          <w:color w:val="000000" w:themeColor="text1"/>
        </w:rPr>
        <w:t>. tabulā norādītā, tad SEG emisiju samazinājums</w:t>
      </w:r>
      <w:r w:rsidR="002F52EA">
        <w:rPr>
          <w:color w:val="000000" w:themeColor="text1"/>
        </w:rPr>
        <w:t xml:space="preserve"> tikai</w:t>
      </w:r>
      <w:r w:rsidRPr="006337DB">
        <w:rPr>
          <w:color w:val="000000" w:themeColor="text1"/>
        </w:rPr>
        <w:t xml:space="preserve"> ēkās salīdzinājumā ar  1990. gadu jau sastāda aptuveni 70% SEG emisiju apjoms patērētajai siltumenerģijai ir rēķināts ņemot vērā vidējo siltumenerģijas SEG emisijas faktoru 1990. un 2017.gadā, bet kurināmā patēriņam – ņemot vērā katra konkrētā kurināmā emisiju faktorus. Vienlaikus norādāms, ka esošie dati ir aptuveni, jo 1990. gada SEG emisiju faktors nav pilnīgi precīzs.</w:t>
      </w:r>
    </w:p>
    <w:p w14:paraId="5B906116" w14:textId="4CE9781C" w:rsidR="00C21C84" w:rsidRDefault="00C21C84" w:rsidP="00C21C84">
      <w:pPr>
        <w:ind w:firstLine="0"/>
      </w:pPr>
    </w:p>
    <w:p w14:paraId="33B1B253" w14:textId="6EA45C97" w:rsidR="00C21C84" w:rsidRPr="00C21C84" w:rsidRDefault="00C21C84" w:rsidP="00B3694B">
      <w:pPr>
        <w:ind w:firstLine="0"/>
        <w:rPr>
          <w:u w:val="single"/>
        </w:rPr>
      </w:pPr>
      <w:r w:rsidRPr="00C21C84">
        <w:rPr>
          <w:u w:val="single"/>
        </w:rPr>
        <w:t>Esošais un siltināmo ēku skaits</w:t>
      </w:r>
    </w:p>
    <w:p w14:paraId="56CCB894" w14:textId="06D1F989" w:rsidR="00C21C84" w:rsidRDefault="00C21C84" w:rsidP="00C21C84">
      <w:pPr>
        <w:ind w:firstLine="0"/>
      </w:pPr>
    </w:p>
    <w:p w14:paraId="4880F73E" w14:textId="0E326710" w:rsidR="007B3FB4" w:rsidRDefault="007B3FB4" w:rsidP="00B3694B">
      <w:r>
        <w:t xml:space="preserve">Kā jau tika aplūkots Stratēģijas </w:t>
      </w:r>
      <w:r w:rsidR="006337DB">
        <w:t>2.</w:t>
      </w:r>
      <w:r w:rsidRPr="006337DB">
        <w:t xml:space="preserve"> tabulā</w:t>
      </w:r>
      <w:r w:rsidR="006337DB">
        <w:t>,</w:t>
      </w:r>
      <w:r>
        <w:t xml:space="preserve"> tad Latvijā kopējais dzīvojamo ēku skaits ir 363000</w:t>
      </w:r>
      <w:r w:rsidR="00F67D05">
        <w:t xml:space="preserve"> tūkstoši</w:t>
      </w:r>
      <w:r>
        <w:t>. No tām aptuveni 285000 tūkstoši ir ar apkuri. Nedzīvojamo ēku skaits – 1.068 miljoni, no tām 108000 tūkstoši ar apkuri.</w:t>
      </w:r>
    </w:p>
    <w:p w14:paraId="2AF203BD" w14:textId="7B91B52D" w:rsidR="007B3FB4" w:rsidRDefault="007B3FB4" w:rsidP="00C21C84">
      <w:pPr>
        <w:ind w:firstLine="0"/>
      </w:pPr>
      <w:r>
        <w:t>Veicot pieņēmumus par situāciju uz 2050. gadu:</w:t>
      </w:r>
    </w:p>
    <w:p w14:paraId="1FE0785C" w14:textId="60CDB62D" w:rsidR="007B3FB4" w:rsidRDefault="007B3FB4" w:rsidP="007B3FB4">
      <w:pPr>
        <w:pStyle w:val="ListParagraph"/>
        <w:numPr>
          <w:ilvl w:val="0"/>
          <w:numId w:val="35"/>
        </w:numPr>
      </w:pPr>
      <w:r>
        <w:t>30% no dzīvojamām ēkām vairs nebūs lietderīgi atjaunot;</w:t>
      </w:r>
    </w:p>
    <w:p w14:paraId="1D976BBA" w14:textId="4A029F23" w:rsidR="007B3FB4" w:rsidRDefault="007B3FB4" w:rsidP="00B3694B">
      <w:pPr>
        <w:pStyle w:val="ListParagraph"/>
        <w:numPr>
          <w:ilvl w:val="0"/>
          <w:numId w:val="35"/>
        </w:numPr>
      </w:pPr>
      <w:r>
        <w:t>10% no nedzīvojamām ēkām nebūs lietderīgi atjaunot;</w:t>
      </w:r>
    </w:p>
    <w:p w14:paraId="43954262" w14:textId="77777777" w:rsidR="007B3FB4" w:rsidRPr="007B3FB4" w:rsidRDefault="007B3FB4" w:rsidP="007B3FB4">
      <w:pPr>
        <w:ind w:firstLine="0"/>
      </w:pPr>
      <w:r w:rsidRPr="007B3FB4">
        <w:t>Kopējā siltināmā platība dzīvojamām ēkām – 56 milj.m</w:t>
      </w:r>
      <w:r w:rsidRPr="007B3FB4">
        <w:rPr>
          <w:vertAlign w:val="superscript"/>
        </w:rPr>
        <w:t>2</w:t>
      </w:r>
    </w:p>
    <w:p w14:paraId="50207EA5" w14:textId="649EDAAA" w:rsidR="007B3FB4" w:rsidRDefault="007B3FB4" w:rsidP="007B3FB4">
      <w:pPr>
        <w:ind w:firstLine="0"/>
        <w:rPr>
          <w:vertAlign w:val="superscript"/>
        </w:rPr>
      </w:pPr>
      <w:r w:rsidRPr="007B3FB4">
        <w:t>Kopējā siltināmā platība nedzīvojamām ēkām – 18,4milj.m</w:t>
      </w:r>
      <w:r w:rsidRPr="007B3FB4">
        <w:rPr>
          <w:vertAlign w:val="superscript"/>
        </w:rPr>
        <w:t>2</w:t>
      </w:r>
    </w:p>
    <w:p w14:paraId="3D378FF0" w14:textId="1799BE69" w:rsidR="00B3694B" w:rsidRDefault="00B3694B">
      <w:pPr>
        <w:rPr>
          <w:vertAlign w:val="superscript"/>
        </w:rPr>
      </w:pPr>
      <w:r>
        <w:rPr>
          <w:vertAlign w:val="superscript"/>
        </w:rPr>
        <w:br w:type="page"/>
      </w:r>
    </w:p>
    <w:p w14:paraId="002A7BEB" w14:textId="77777777" w:rsidR="00B3694B" w:rsidRPr="007B3FB4" w:rsidRDefault="00B3694B" w:rsidP="007B3FB4">
      <w:pPr>
        <w:ind w:firstLine="0"/>
      </w:pPr>
    </w:p>
    <w:p w14:paraId="22EE8DB6" w14:textId="52B8423A" w:rsidR="007B3FB4" w:rsidRDefault="00B3694B" w:rsidP="007B3FB4">
      <w:r>
        <w:rPr>
          <w:noProof/>
          <w:lang w:eastAsia="lv-LV"/>
        </w:rPr>
        <w:drawing>
          <wp:inline distT="0" distB="0" distL="0" distR="0" wp14:anchorId="01D17E65" wp14:editId="5CEA9B91">
            <wp:extent cx="4914900" cy="3213088"/>
            <wp:effectExtent l="0" t="0" r="0" b="6985"/>
            <wp:docPr id="266" name="Picture 8">
              <a:extLst xmlns:a="http://schemas.openxmlformats.org/drawingml/2006/main">
                <a:ext uri="{FF2B5EF4-FFF2-40B4-BE49-F238E27FC236}">
                  <a16:creationId xmlns:a16="http://schemas.microsoft.com/office/drawing/2014/main" id="{3FFCC756-0604-4CF3-AE34-2A89EF440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FFCC756-0604-4CF3-AE34-2A89EF4407F2}"/>
                        </a:ext>
                      </a:extLst>
                    </pic:cNvPr>
                    <pic:cNvPicPr>
                      <a:picLocks noChangeAspect="1"/>
                    </pic:cNvPicPr>
                  </pic:nvPicPr>
                  <pic:blipFill>
                    <a:blip r:embed="rId17"/>
                    <a:stretch>
                      <a:fillRect/>
                    </a:stretch>
                  </pic:blipFill>
                  <pic:spPr>
                    <a:xfrm>
                      <a:off x="0" y="0"/>
                      <a:ext cx="4949820" cy="3235916"/>
                    </a:xfrm>
                    <a:prstGeom prst="rect">
                      <a:avLst/>
                    </a:prstGeom>
                  </pic:spPr>
                </pic:pic>
              </a:graphicData>
            </a:graphic>
          </wp:inline>
        </w:drawing>
      </w:r>
    </w:p>
    <w:p w14:paraId="74DD17C8" w14:textId="1C3B2FDC" w:rsidR="00C21C84" w:rsidRPr="00B3694B" w:rsidRDefault="006337DB" w:rsidP="00C21C84">
      <w:pPr>
        <w:ind w:firstLine="0"/>
        <w:rPr>
          <w:sz w:val="20"/>
          <w:szCs w:val="20"/>
        </w:rPr>
      </w:pPr>
      <w:r w:rsidRPr="00B3694B">
        <w:rPr>
          <w:sz w:val="20"/>
          <w:szCs w:val="20"/>
        </w:rPr>
        <w:t>1</w:t>
      </w:r>
      <w:r w:rsidR="00672BA3">
        <w:rPr>
          <w:sz w:val="20"/>
          <w:szCs w:val="20"/>
        </w:rPr>
        <w:t>0</w:t>
      </w:r>
      <w:r w:rsidRPr="00B3694B">
        <w:rPr>
          <w:sz w:val="20"/>
          <w:szCs w:val="20"/>
        </w:rPr>
        <w:t>. attēls</w:t>
      </w:r>
      <w:r w:rsidR="00B3694B" w:rsidRPr="00B3694B">
        <w:rPr>
          <w:sz w:val="20"/>
          <w:szCs w:val="20"/>
        </w:rPr>
        <w:t>. Siltināmo ēku skaits (indikatīvi) līdz 2050. gadam.</w:t>
      </w:r>
    </w:p>
    <w:p w14:paraId="0D1FBA18" w14:textId="4C30B3B0" w:rsidR="007B3FB4" w:rsidRPr="007B3FB4" w:rsidRDefault="007B3FB4" w:rsidP="007B3FB4">
      <w:pPr>
        <w:ind w:firstLine="0"/>
        <w:rPr>
          <w:sz w:val="20"/>
          <w:szCs w:val="20"/>
        </w:rPr>
      </w:pPr>
      <w:r>
        <w:rPr>
          <w:sz w:val="20"/>
          <w:szCs w:val="20"/>
        </w:rPr>
        <w:t>*</w:t>
      </w:r>
      <w:r w:rsidRPr="007B3FB4">
        <w:rPr>
          <w:sz w:val="20"/>
          <w:szCs w:val="20"/>
        </w:rPr>
        <w:t>Siltināmo ēku sarakstā nav iekļautas garāžas, rūpnieciskās ēkas, noliktavas, lauku saimniecību ēkas, kultūrvēsturiskie objekti, kulta objekti un citas neklasificētas ēkas</w:t>
      </w:r>
      <w:r>
        <w:rPr>
          <w:sz w:val="20"/>
          <w:szCs w:val="20"/>
        </w:rPr>
        <w:t>.</w:t>
      </w:r>
    </w:p>
    <w:p w14:paraId="7E6E3933" w14:textId="77777777" w:rsidR="00C21C84" w:rsidRDefault="00C21C84" w:rsidP="00C21C84">
      <w:pPr>
        <w:ind w:firstLine="0"/>
      </w:pPr>
    </w:p>
    <w:p w14:paraId="05D94689" w14:textId="62F02E9E" w:rsidR="00304FD9" w:rsidRPr="00BB244D" w:rsidRDefault="005E1692" w:rsidP="00BB244D">
      <w:r w:rsidRPr="005E1692">
        <w:t>Nepieciešamās investīcijas ēkām līdz 2050.gadam atkarībā no to platības – no 200 līdz  400 Eur/m2, ņemot vērā pašreizējās būvniecības izmaksas</w:t>
      </w:r>
      <w:r>
        <w:t xml:space="preserve"> -</w:t>
      </w:r>
      <w:r w:rsidRPr="005E1692">
        <w:t xml:space="preserve"> 19 miljardi EUR</w:t>
      </w:r>
      <w:r>
        <w:t>.</w:t>
      </w:r>
    </w:p>
    <w:p w14:paraId="260B5CF4" w14:textId="4CCD2411" w:rsidR="00C00A74" w:rsidRDefault="00B26368" w:rsidP="00B26368">
      <w:r>
        <w:t>Raugoties</w:t>
      </w:r>
      <w:r w:rsidR="00304FD9" w:rsidRPr="00304FD9">
        <w:t xml:space="preserve"> 2040</w:t>
      </w:r>
      <w:r>
        <w:t>.</w:t>
      </w:r>
      <w:r w:rsidR="00304FD9" w:rsidRPr="00304FD9">
        <w:t xml:space="preserve"> un 2050</w:t>
      </w:r>
      <w:r>
        <w:t>.</w:t>
      </w:r>
      <w:r w:rsidR="00304FD9" w:rsidRPr="00304FD9">
        <w:t xml:space="preserve"> gad</w:t>
      </w:r>
      <w:r>
        <w:t>a perspektīvā, secināms, ka</w:t>
      </w:r>
      <w:r w:rsidR="00304FD9" w:rsidRPr="00304FD9">
        <w:t xml:space="preserve"> </w:t>
      </w:r>
      <w:r w:rsidR="00304FD9">
        <w:t xml:space="preserve">būtu jāturpina koncentrēties uz daudzdzīvokļu dzīvojamo māju atjaunošanu, padarot tās pēc iespējas </w:t>
      </w:r>
      <w:r w:rsidR="006337DB">
        <w:t>energoefektīvākas</w:t>
      </w:r>
      <w:r w:rsidR="00B40CE1">
        <w:t>, jo neskatoties uz to, ka skaita ziņā tās ir teju desmit reizes mazāk kā viena dzīvokļa ēkas, platības ziņā tās ir vairāk.</w:t>
      </w:r>
      <w:r w:rsidR="00304FD9">
        <w:t xml:space="preserve"> </w:t>
      </w:r>
      <w:r>
        <w:t>Savukārt, l</w:t>
      </w:r>
      <w:r w:rsidR="00304FD9">
        <w:t xml:space="preserve">ai nodrošinātu emisiju samazinājumu, ņemot vērā lielo viendzīvokļa ēku - privātmāju skaitu, būtu jāvērš pastiprināta uzmanība dažādiem alternatīviem kurināmajiem koksnei, tādējādi mazinot SEG emisiju izmešus. Piemēram, kā jau tika minēts stratēģijā - </w:t>
      </w:r>
      <w:r>
        <w:t>ņ</w:t>
      </w:r>
      <w:r w:rsidR="00304FD9" w:rsidRPr="00304FD9">
        <w:t>emot vērā, ka dabasgāze veido salīdzinoši mazāk SEG emisiju, nekā cietais kurināmais, tad šajā jomā ir vērojama pozitīva tendence, jo salīdzinājumā ar 2017.gadu ievērojami pieaudzis dabasgāzes patēriņš mājsaimniecībās (+9,3%) un samazinājies ogļu patēriņš (-32,7%)</w:t>
      </w:r>
      <w:r w:rsidR="00304FD9">
        <w:t>.</w:t>
      </w:r>
      <w:r w:rsidR="00C00A74">
        <w:t xml:space="preserve"> </w:t>
      </w:r>
      <w:r w:rsidR="00304FD9" w:rsidRPr="00304FD9">
        <w:t>SEG emisiju samazināšanos sektorā visvairāk ietekmē fosilā kurināmā aizvietošana ar biomasu</w:t>
      </w:r>
      <w:r>
        <w:t>.</w:t>
      </w:r>
    </w:p>
    <w:p w14:paraId="30D49234" w14:textId="77777777" w:rsidR="006337DB" w:rsidRDefault="00304FD9" w:rsidP="0071685C">
      <w:r w:rsidRPr="00304FD9">
        <w:t>Biomasa tās izmantošanas veidu dažādībā (cietā, šķidrā un gāzveida formā) ir uzskatāma par vienu no galvenajiem atjaunojamo energoresursu veidiem un SEG emisiju samazināšanas pasākumu avotiem Latvijā. Turklāt biomasa ir arī viens no plašāk izmantotajiem dabas resursiem, kur tā iekšzemes ieguve pēdējos gados ir tuvu 30 miljoniem tonnu gadā</w:t>
      </w:r>
      <w:r>
        <w:rPr>
          <w:rStyle w:val="FootnoteReference"/>
        </w:rPr>
        <w:footnoteReference w:id="56"/>
      </w:r>
    </w:p>
    <w:p w14:paraId="377A448E" w14:textId="77777777" w:rsidR="006337DB" w:rsidRDefault="006337DB" w:rsidP="0071685C"/>
    <w:p w14:paraId="5BBD0888" w14:textId="77777777" w:rsidR="00B3694B" w:rsidRDefault="00B3694B">
      <w:pPr>
        <w:rPr>
          <w:u w:val="single"/>
        </w:rPr>
      </w:pPr>
      <w:r>
        <w:rPr>
          <w:u w:val="single"/>
        </w:rPr>
        <w:br w:type="page"/>
      </w:r>
    </w:p>
    <w:p w14:paraId="1F595369" w14:textId="4079BA56" w:rsidR="006337DB" w:rsidRDefault="006337DB" w:rsidP="006337DB">
      <w:pPr>
        <w:ind w:firstLine="0"/>
        <w:rPr>
          <w:u w:val="single"/>
        </w:rPr>
      </w:pPr>
      <w:r w:rsidRPr="006337DB">
        <w:rPr>
          <w:u w:val="single"/>
        </w:rPr>
        <w:lastRenderedPageBreak/>
        <w:t>Iespējamie</w:t>
      </w:r>
      <w:r w:rsidR="00544165">
        <w:rPr>
          <w:u w:val="single"/>
        </w:rPr>
        <w:t xml:space="preserve"> plānotie</w:t>
      </w:r>
      <w:r w:rsidRPr="006337DB">
        <w:rPr>
          <w:u w:val="single"/>
        </w:rPr>
        <w:t xml:space="preserve"> pasākumi veicinot energoefektivitātes mērķu sasniegšanu</w:t>
      </w:r>
    </w:p>
    <w:p w14:paraId="2E6C891C" w14:textId="77777777" w:rsidR="006337DB" w:rsidRDefault="006337DB" w:rsidP="006337DB">
      <w:pPr>
        <w:ind w:firstLine="0"/>
        <w:rPr>
          <w:u w:val="single"/>
        </w:rPr>
      </w:pPr>
    </w:p>
    <w:p w14:paraId="3B5FED8F" w14:textId="4C29752C" w:rsidR="008414F0" w:rsidRDefault="008414F0" w:rsidP="008414F0">
      <w:r w:rsidRPr="008414F0">
        <w:t xml:space="preserve">No fiskālā viedokļa ir kritiski valstij uzņemties visu slogu attiecībā uz ēku atjaunošanu, vienlaikus iedzīvotāju zemās pirktspējas dēļ šādu slogu nevar uzņemties arī pati sabiedrība. Lai motivētu sabiedrības daļu, kas vēlas atjaunot savus mājokļus, legāli māju atjaunošanas procesā iesaistot šādu darbu veicējus, paredzēti šādi </w:t>
      </w:r>
      <w:r w:rsidR="00BC6361">
        <w:t xml:space="preserve">iespējamie, </w:t>
      </w:r>
      <w:r w:rsidRPr="008414F0">
        <w:t>indikatīvie priekšlikumi veicinot ieguldījumus mājokļu savlaicīgā uzturēšanā:</w:t>
      </w:r>
    </w:p>
    <w:p w14:paraId="74B6F250" w14:textId="77777777" w:rsidR="008414F0" w:rsidRPr="008414F0" w:rsidRDefault="008414F0" w:rsidP="008414F0">
      <w:pPr>
        <w:ind w:firstLine="0"/>
      </w:pPr>
    </w:p>
    <w:p w14:paraId="6A295266" w14:textId="39C83B98" w:rsidR="008414F0" w:rsidRPr="00D768B0" w:rsidRDefault="008414F0" w:rsidP="00D768B0">
      <w:pPr>
        <w:ind w:firstLine="0"/>
        <w:rPr>
          <w:b/>
          <w:bCs/>
        </w:rPr>
      </w:pPr>
      <w:r w:rsidRPr="00D768B0">
        <w:rPr>
          <w:b/>
          <w:bCs/>
        </w:rPr>
        <w:t>Paredzēt, ka no maksātāja ienākumiem, par kuriem maksā algas nodokli, izslēdz ēku atjaunošanas un pārbūves izdevumus 50% no darbaspēka izmaksām līdz 2000 EUR gadā, veicot grozījumus likumā “Par Iedzīvotāju ienākuma nodokli”</w:t>
      </w:r>
    </w:p>
    <w:p w14:paraId="51A31394" w14:textId="77777777" w:rsidR="008414F0" w:rsidRPr="008414F0" w:rsidRDefault="008414F0" w:rsidP="008414F0">
      <w:pPr>
        <w:pStyle w:val="ListParagraph"/>
        <w:ind w:left="502" w:firstLine="0"/>
        <w:rPr>
          <w:b/>
          <w:bCs/>
        </w:rPr>
      </w:pPr>
    </w:p>
    <w:p w14:paraId="4E4B0FE2" w14:textId="73B55E6A" w:rsidR="008414F0" w:rsidRPr="008414F0" w:rsidRDefault="008414F0" w:rsidP="008414F0">
      <w:pPr>
        <w:ind w:firstLine="0"/>
      </w:pPr>
      <w:r w:rsidRPr="008414F0">
        <w:rPr>
          <w:b/>
          <w:bCs/>
        </w:rPr>
        <w:t>Mērķis:</w:t>
      </w:r>
      <w:r w:rsidRPr="008414F0">
        <w:t xml:space="preserve"> motivēt iedzīvotājus veikt ieguldījumus mājokļu savlaicīgai uzturēšanai un atjaunojamo energoresursu izmantošanai. </w:t>
      </w:r>
    </w:p>
    <w:p w14:paraId="56D5AC83" w14:textId="77777777" w:rsidR="008414F0" w:rsidRDefault="008414F0" w:rsidP="008414F0">
      <w:pPr>
        <w:ind w:left="720" w:firstLine="0"/>
        <w:rPr>
          <w:b/>
          <w:bCs/>
        </w:rPr>
      </w:pPr>
    </w:p>
    <w:p w14:paraId="30AD4278" w14:textId="4206F70C" w:rsidR="008414F0" w:rsidRPr="00D768B0" w:rsidRDefault="008414F0" w:rsidP="00D768B0">
      <w:pPr>
        <w:ind w:firstLine="0"/>
        <w:rPr>
          <w:b/>
          <w:bCs/>
        </w:rPr>
      </w:pPr>
      <w:r w:rsidRPr="00D768B0">
        <w:rPr>
          <w:b/>
          <w:bCs/>
        </w:rPr>
        <w:t xml:space="preserve">Par 25% samazināt kadastrālo vērtību </w:t>
      </w:r>
      <w:r w:rsidR="00BC6361">
        <w:rPr>
          <w:b/>
          <w:bCs/>
        </w:rPr>
        <w:t>nekustamā īpašuma nodokļa</w:t>
      </w:r>
      <w:r w:rsidRPr="00D768B0">
        <w:rPr>
          <w:b/>
          <w:bCs/>
        </w:rPr>
        <w:t xml:space="preserve"> aprēķināšanas vajadzībām gandrīz nulles enerģijas ēkām maznodrošinātām personām</w:t>
      </w:r>
    </w:p>
    <w:p w14:paraId="3F570530" w14:textId="77777777" w:rsidR="008414F0" w:rsidRPr="008414F0" w:rsidRDefault="008414F0" w:rsidP="008414F0">
      <w:pPr>
        <w:pStyle w:val="ListParagraph"/>
        <w:ind w:left="502" w:firstLine="0"/>
        <w:rPr>
          <w:b/>
          <w:bCs/>
        </w:rPr>
      </w:pPr>
    </w:p>
    <w:p w14:paraId="67AC12C3" w14:textId="762B3C4D" w:rsidR="008414F0" w:rsidRPr="008414F0" w:rsidRDefault="008414F0" w:rsidP="008414F0">
      <w:pPr>
        <w:ind w:firstLine="0"/>
      </w:pPr>
      <w:r w:rsidRPr="008414F0">
        <w:rPr>
          <w:b/>
          <w:bCs/>
        </w:rPr>
        <w:t>Mērķis</w:t>
      </w:r>
      <w:r w:rsidRPr="008414F0">
        <w:t xml:space="preserve">: motivēt maznodrošinātām personas veikt ieguldījumus mājokļu savlaicīgai uzturēšanai un atjaunojamo energoresursu izmantošanai. </w:t>
      </w:r>
    </w:p>
    <w:p w14:paraId="30B9B6B7" w14:textId="77777777" w:rsidR="008414F0" w:rsidRPr="008414F0" w:rsidRDefault="008414F0" w:rsidP="008414F0">
      <w:pPr>
        <w:ind w:firstLine="0"/>
      </w:pPr>
    </w:p>
    <w:p w14:paraId="5FA35A47" w14:textId="09B05CA8" w:rsidR="008414F0" w:rsidRDefault="008414F0" w:rsidP="008414F0">
      <w:r w:rsidRPr="008414F0">
        <w:t>Alternatīvi esošā dzīvojamā fonda tehniskā stāvokļa uzlabošanai, nepieciešama atbilstoša politika, lai veicinātu jauna dzīvojamā fonda izbūvi, kas spētu aizvietot dzīvojamo fondu kuru nebūtu rentabli atjaunot, vienlaikus paplašinot esošo. Kā iespējamie, indikatīvie mehānismi, veicinot ieguldījumus jaunā nekustamā īpašumā, pārskatot nodokļu regulējumu varētu būt:</w:t>
      </w:r>
    </w:p>
    <w:p w14:paraId="4DDF46A9" w14:textId="77777777" w:rsidR="008414F0" w:rsidRPr="008414F0" w:rsidRDefault="008414F0" w:rsidP="008414F0">
      <w:pPr>
        <w:ind w:firstLine="0"/>
      </w:pPr>
    </w:p>
    <w:p w14:paraId="18CB40CB" w14:textId="61EAB9C7" w:rsidR="008414F0" w:rsidRPr="00D768B0" w:rsidRDefault="008414F0" w:rsidP="00D768B0">
      <w:pPr>
        <w:ind w:firstLine="0"/>
        <w:rPr>
          <w:b/>
          <w:bCs/>
        </w:rPr>
      </w:pPr>
      <w:r w:rsidRPr="00D768B0">
        <w:rPr>
          <w:b/>
          <w:bCs/>
        </w:rPr>
        <w:t xml:space="preserve">Daudzdzīvokļu mājām piemērot </w:t>
      </w:r>
      <w:r w:rsidR="00BC6361">
        <w:rPr>
          <w:b/>
          <w:bCs/>
        </w:rPr>
        <w:t>nekustamā īpašuma nodokli</w:t>
      </w:r>
      <w:r w:rsidRPr="00D768B0">
        <w:rPr>
          <w:b/>
          <w:bCs/>
        </w:rPr>
        <w:t xml:space="preserve"> no brīža, kad jaunā ēka ir ierakstīta zemesgrāmatā (nevis kā šobrīd – kad </w:t>
      </w:r>
      <w:r w:rsidR="00BC6361">
        <w:rPr>
          <w:b/>
          <w:bCs/>
        </w:rPr>
        <w:t>nekustamā īpašuma nodoklis</w:t>
      </w:r>
      <w:r w:rsidRPr="00D768B0">
        <w:rPr>
          <w:b/>
          <w:bCs/>
        </w:rPr>
        <w:t xml:space="preserve"> tiek piemērots no kadastrālās uzmērīšanas lietas izgatavošanas brīža) </w:t>
      </w:r>
    </w:p>
    <w:p w14:paraId="5B2D5579" w14:textId="77777777" w:rsidR="008414F0" w:rsidRPr="008414F0" w:rsidRDefault="008414F0" w:rsidP="008414F0">
      <w:pPr>
        <w:pStyle w:val="ListParagraph"/>
        <w:ind w:left="502" w:firstLine="0"/>
        <w:rPr>
          <w:b/>
          <w:bCs/>
        </w:rPr>
      </w:pPr>
    </w:p>
    <w:p w14:paraId="48816DE8" w14:textId="77777777" w:rsidR="008414F0" w:rsidRPr="008414F0" w:rsidRDefault="008414F0" w:rsidP="008414F0">
      <w:pPr>
        <w:ind w:firstLine="0"/>
      </w:pPr>
      <w:r w:rsidRPr="008414F0">
        <w:rPr>
          <w:b/>
          <w:bCs/>
        </w:rPr>
        <w:t>Mērķis</w:t>
      </w:r>
      <w:r w:rsidRPr="008414F0">
        <w:t>: palielināt jaunu mājokļu pieejamību, samazināt to izmaksas</w:t>
      </w:r>
    </w:p>
    <w:p w14:paraId="28624608" w14:textId="667C17C1" w:rsidR="008414F0" w:rsidRPr="008414F0" w:rsidRDefault="008414F0" w:rsidP="008414F0">
      <w:pPr>
        <w:numPr>
          <w:ilvl w:val="0"/>
          <w:numId w:val="40"/>
        </w:numPr>
      </w:pPr>
      <w:r w:rsidRPr="008414F0">
        <w:t xml:space="preserve">Patlaban </w:t>
      </w:r>
      <w:r w:rsidR="00BC6361">
        <w:t>nekustamā īpašuma nodokļa</w:t>
      </w:r>
      <w:r w:rsidRPr="008414F0">
        <w:t xml:space="preserve"> maksājumi jaunam nekustamajam īpašumam tiek aprēķināti no brīža, kad ir veikta kadastrālās uzmērīšanas lieta (kas ir priekšnoteikums ēkas nodošanai ekspluatācijā)</w:t>
      </w:r>
    </w:p>
    <w:p w14:paraId="5D257832" w14:textId="160E6B93" w:rsidR="008414F0" w:rsidRPr="008414F0" w:rsidRDefault="008414F0" w:rsidP="008414F0">
      <w:pPr>
        <w:numPr>
          <w:ilvl w:val="0"/>
          <w:numId w:val="40"/>
        </w:numPr>
      </w:pPr>
      <w:r w:rsidRPr="008414F0">
        <w:t>No uzmērīšanas lietas līdz brīdim, kad dzīvokļa īpašums tiek ierakstīts Zemesgrāmatā, daudzdzīvokļu ēkām var paiet vismaz 4 līdz 6 mēneši (</w:t>
      </w:r>
      <w:r w:rsidR="00BC6361" w:rsidRPr="00BC6361">
        <w:t>Nekustamā īpašuma attīstītāju alianse</w:t>
      </w:r>
      <w:r w:rsidR="00BC6361">
        <w:t>s</w:t>
      </w:r>
      <w:r w:rsidRPr="008414F0">
        <w:t xml:space="preserve"> dati) </w:t>
      </w:r>
    </w:p>
    <w:p w14:paraId="01810776" w14:textId="7E9B2946" w:rsidR="008414F0" w:rsidRPr="008414F0" w:rsidRDefault="008414F0" w:rsidP="008414F0">
      <w:pPr>
        <w:numPr>
          <w:ilvl w:val="0"/>
          <w:numId w:val="40"/>
        </w:numPr>
      </w:pPr>
      <w:r w:rsidRPr="008414F0">
        <w:t xml:space="preserve">Tas nozīmē, ka dzīvokļus vēl nav iespējams pārdot, bet </w:t>
      </w:r>
      <w:r w:rsidR="00BC6361">
        <w:t>nekustamā īpašuma nodoklis</w:t>
      </w:r>
      <w:r w:rsidRPr="008414F0">
        <w:t xml:space="preserve"> par tiem ir jāmaksā. Tādēļ </w:t>
      </w:r>
      <w:r w:rsidR="00BC6361">
        <w:t>nekustamā īpašuma</w:t>
      </w:r>
      <w:r w:rsidRPr="008414F0">
        <w:t xml:space="preserve"> nodoklis būtu jāaprēķina no brīža, kad īpašums tiek ierakstīts Zemesgrāmatā un to ir iespējams realizēt </w:t>
      </w:r>
    </w:p>
    <w:p w14:paraId="1F183271" w14:textId="77777777" w:rsidR="008414F0" w:rsidRPr="008414F0" w:rsidRDefault="008414F0" w:rsidP="008414F0">
      <w:pPr>
        <w:ind w:firstLine="0"/>
      </w:pPr>
    </w:p>
    <w:p w14:paraId="7E53CE8C" w14:textId="4159B9FB" w:rsidR="008414F0" w:rsidRPr="00D768B0" w:rsidRDefault="008414F0" w:rsidP="00D768B0">
      <w:pPr>
        <w:ind w:firstLine="0"/>
        <w:rPr>
          <w:b/>
          <w:bCs/>
        </w:rPr>
      </w:pPr>
      <w:r w:rsidRPr="00D768B0">
        <w:rPr>
          <w:b/>
          <w:bCs/>
        </w:rPr>
        <w:t xml:space="preserve">Samazināt nodevu par īpašuma reģistrāciju Zemesgrāmatā no 2 – 6% uz 1% no nekustamā īpašuma vērtības vai darījuma summas, kā arī atjaunot Zemesgrāmatas nodevas maksimālo ierobežojumu 50 000 eiro apmērā visiem darījumiem (saskaņā ar </w:t>
      </w:r>
      <w:r w:rsidR="00BC6361" w:rsidRPr="00BC6361">
        <w:rPr>
          <w:b/>
          <w:bCs/>
        </w:rPr>
        <w:t>Nekustamā īpašuma attīstītāju alianse</w:t>
      </w:r>
      <w:r w:rsidR="00BC6361">
        <w:rPr>
          <w:b/>
          <w:bCs/>
        </w:rPr>
        <w:t>s</w:t>
      </w:r>
      <w:r w:rsidRPr="00D768B0">
        <w:rPr>
          <w:b/>
          <w:bCs/>
        </w:rPr>
        <w:t xml:space="preserve"> datiem Igaunijā </w:t>
      </w:r>
      <w:r w:rsidRPr="00D768B0">
        <w:rPr>
          <w:b/>
          <w:bCs/>
        </w:rPr>
        <w:lastRenderedPageBreak/>
        <w:t>ar darījumu veikšanu saistītie maksājumi ir ierobežoti ar 15 000 eiro, Lietuvā – ar 7 000 eiro)</w:t>
      </w:r>
    </w:p>
    <w:p w14:paraId="7985A3FA" w14:textId="77777777" w:rsidR="008414F0" w:rsidRPr="008414F0" w:rsidRDefault="008414F0" w:rsidP="008414F0">
      <w:pPr>
        <w:pStyle w:val="ListParagraph"/>
        <w:ind w:firstLine="0"/>
        <w:rPr>
          <w:b/>
          <w:bCs/>
        </w:rPr>
      </w:pPr>
    </w:p>
    <w:p w14:paraId="7027C538" w14:textId="77777777" w:rsidR="008414F0" w:rsidRPr="008414F0" w:rsidRDefault="008414F0" w:rsidP="008414F0">
      <w:pPr>
        <w:ind w:firstLine="0"/>
      </w:pPr>
      <w:r w:rsidRPr="008414F0">
        <w:rPr>
          <w:b/>
          <w:bCs/>
        </w:rPr>
        <w:t xml:space="preserve">Mērķis: </w:t>
      </w:r>
      <w:r w:rsidRPr="008414F0">
        <w:rPr>
          <w:i/>
          <w:iCs/>
        </w:rPr>
        <w:t>mazināt izmaksas nekustamā īpašuma iegādei Latvijā, īpaši komersantiem</w:t>
      </w:r>
    </w:p>
    <w:p w14:paraId="40C5F8FE" w14:textId="77777777" w:rsidR="008414F0" w:rsidRPr="008414F0" w:rsidRDefault="008414F0" w:rsidP="008414F0">
      <w:pPr>
        <w:numPr>
          <w:ilvl w:val="0"/>
          <w:numId w:val="40"/>
        </w:numPr>
      </w:pPr>
      <w:r w:rsidRPr="008414F0">
        <w:t xml:space="preserve">Izvairās no nodevas nomaksas, norādot zemāku nekustamā īpašuma darījuma summu vai </w:t>
      </w:r>
    </w:p>
    <w:p w14:paraId="05EE07A9" w14:textId="77777777" w:rsidR="008414F0" w:rsidRPr="008414F0" w:rsidRDefault="008414F0" w:rsidP="008414F0">
      <w:pPr>
        <w:numPr>
          <w:ilvl w:val="0"/>
          <w:numId w:val="40"/>
        </w:numPr>
      </w:pPr>
      <w:r w:rsidRPr="008414F0">
        <w:t>Lai izvairītos no nodevas nomaksas komersanti nekustamo īpašumu iegādi aizstāj ar komersanta iegādi, kur aktīvos ir nekustamais īpašums</w:t>
      </w:r>
    </w:p>
    <w:p w14:paraId="17A89AA4" w14:textId="77777777" w:rsidR="008414F0" w:rsidRPr="008414F0" w:rsidRDefault="008414F0" w:rsidP="008414F0">
      <w:pPr>
        <w:numPr>
          <w:ilvl w:val="0"/>
          <w:numId w:val="40"/>
        </w:numPr>
      </w:pPr>
      <w:r w:rsidRPr="008414F0">
        <w:t>Sadārdzina attīstības izdevumus investoriem, mazina iedzīvotāju mobilitāti un mājokļu pieejamību</w:t>
      </w:r>
    </w:p>
    <w:p w14:paraId="73701D2B" w14:textId="77777777" w:rsidR="008414F0" w:rsidRPr="008414F0" w:rsidRDefault="008414F0" w:rsidP="008414F0">
      <w:pPr>
        <w:ind w:firstLine="0"/>
      </w:pPr>
    </w:p>
    <w:p w14:paraId="2F1BF4AE" w14:textId="68AE68D0" w:rsidR="008414F0" w:rsidRPr="00D768B0" w:rsidRDefault="008414F0" w:rsidP="00D768B0">
      <w:pPr>
        <w:ind w:firstLine="0"/>
        <w:rPr>
          <w:b/>
          <w:bCs/>
        </w:rPr>
      </w:pPr>
      <w:r w:rsidRPr="00D768B0">
        <w:rPr>
          <w:b/>
          <w:bCs/>
        </w:rPr>
        <w:t>Atteikties no nodevas par pašvaldības infrastruktūras uzturēšanu un attīstību, veicot grozījumus likumā “Par nodokļiem un nodevām”</w:t>
      </w:r>
    </w:p>
    <w:p w14:paraId="05F7E78E" w14:textId="77777777" w:rsidR="008414F0" w:rsidRPr="00D768B0" w:rsidRDefault="008414F0" w:rsidP="00D768B0">
      <w:pPr>
        <w:ind w:firstLine="0"/>
        <w:rPr>
          <w:b/>
          <w:bCs/>
        </w:rPr>
      </w:pPr>
    </w:p>
    <w:p w14:paraId="5E868D01" w14:textId="77777777" w:rsidR="008414F0" w:rsidRPr="008414F0" w:rsidRDefault="008414F0" w:rsidP="008414F0">
      <w:pPr>
        <w:ind w:firstLine="0"/>
      </w:pPr>
      <w:r w:rsidRPr="008414F0">
        <w:rPr>
          <w:b/>
          <w:bCs/>
        </w:rPr>
        <w:t>Mērķis:</w:t>
      </w:r>
      <w:r w:rsidRPr="008414F0">
        <w:t xml:space="preserve"> </w:t>
      </w:r>
      <w:r w:rsidRPr="008414F0">
        <w:rPr>
          <w:i/>
          <w:iCs/>
        </w:rPr>
        <w:t>veicināt Latvijas starptautisko konkurētspēju investīciju piesaistē nekustamo īpašumu attīstībai.</w:t>
      </w:r>
    </w:p>
    <w:p w14:paraId="6ADC3860" w14:textId="77777777" w:rsidR="008414F0" w:rsidRPr="008414F0" w:rsidRDefault="008414F0" w:rsidP="008414F0">
      <w:pPr>
        <w:ind w:firstLine="0"/>
      </w:pPr>
      <w:r w:rsidRPr="008414F0">
        <w:t>- Šādas infrastruktūras nodevas nav nedz Tallinā, nedz Viļņā</w:t>
      </w:r>
    </w:p>
    <w:p w14:paraId="1D6BB2FD" w14:textId="743C201A" w:rsidR="008414F0" w:rsidRPr="008414F0" w:rsidRDefault="008414F0" w:rsidP="008414F0">
      <w:pPr>
        <w:ind w:firstLine="0"/>
      </w:pPr>
      <w:r w:rsidRPr="008414F0">
        <w:t xml:space="preserve">- Saskaņā ar </w:t>
      </w:r>
      <w:r w:rsidR="00BC6361" w:rsidRPr="00BC6361">
        <w:t>Nacionālā nekustamo īpašumu attīstītāju alianse</w:t>
      </w:r>
      <w:r w:rsidR="00BC6361">
        <w:t>s</w:t>
      </w:r>
      <w:r w:rsidRPr="008414F0">
        <w:t xml:space="preserve"> informāciju infrastruktūras nodeva līdz pat simtiem tūkstošu eiro apmērā tiek piemērota tikai objektiem Rīgā</w:t>
      </w:r>
      <w:r w:rsidR="00DE642B">
        <w:t>.</w:t>
      </w:r>
    </w:p>
    <w:p w14:paraId="27046B2F" w14:textId="6203A375" w:rsidR="006337DB" w:rsidRPr="00EA2656" w:rsidRDefault="006337DB" w:rsidP="00EA2656">
      <w:pPr>
        <w:ind w:firstLine="0"/>
        <w:rPr>
          <w:rFonts w:eastAsiaTheme="majorEastAsia" w:cstheme="majorBidi"/>
          <w:b/>
          <w:bCs/>
          <w:color w:val="000000" w:themeColor="text1"/>
          <w:sz w:val="28"/>
          <w:szCs w:val="28"/>
        </w:rPr>
      </w:pPr>
      <w:r w:rsidRPr="00EA2656">
        <w:rPr>
          <w:b/>
          <w:bCs/>
          <w:sz w:val="28"/>
          <w:szCs w:val="28"/>
        </w:rPr>
        <w:br w:type="page"/>
      </w:r>
    </w:p>
    <w:p w14:paraId="53954506" w14:textId="005166DE" w:rsidR="00C66E28" w:rsidRPr="00C94F0D" w:rsidRDefault="00031EFF" w:rsidP="003E4605">
      <w:pPr>
        <w:pStyle w:val="Heading1"/>
        <w:rPr>
          <w:b w:val="0"/>
          <w:bCs/>
          <w:sz w:val="20"/>
          <w:szCs w:val="20"/>
        </w:rPr>
      </w:pPr>
      <w:bookmarkStart w:id="57" w:name="_Toc40113671"/>
      <w:r>
        <w:lastRenderedPageBreak/>
        <w:t xml:space="preserve">4. </w:t>
      </w:r>
      <w:r w:rsidR="004E25D6" w:rsidRPr="000716A3">
        <w:t xml:space="preserve">Atbalsts </w:t>
      </w:r>
      <w:r w:rsidR="00C66E28">
        <w:t xml:space="preserve">ēku </w:t>
      </w:r>
      <w:r w:rsidR="004E25D6" w:rsidRPr="000716A3">
        <w:t>energoefektivitātes mērķu sasniegšanai</w:t>
      </w:r>
      <w:bookmarkEnd w:id="57"/>
    </w:p>
    <w:p w14:paraId="6600AA1C" w14:textId="0AA39A43" w:rsidR="007E1CE1" w:rsidRDefault="007E1CE1" w:rsidP="00421AEC"/>
    <w:p w14:paraId="5B1E7C8C" w14:textId="31E28D5B" w:rsidR="007E1CE1" w:rsidRPr="001163BC" w:rsidRDefault="007E1CE1" w:rsidP="007E1CE1">
      <w:pPr>
        <w:ind w:firstLine="0"/>
        <w:rPr>
          <w:u w:val="single"/>
        </w:rPr>
      </w:pPr>
      <w:r w:rsidRPr="007E1CE1">
        <w:rPr>
          <w:b/>
          <w:bCs/>
        </w:rPr>
        <w:t xml:space="preserve"> </w:t>
      </w:r>
      <w:r w:rsidR="00510A8C" w:rsidRPr="001163BC">
        <w:rPr>
          <w:u w:val="single"/>
        </w:rPr>
        <w:t>P</w:t>
      </w:r>
      <w:r w:rsidRPr="001163BC">
        <w:rPr>
          <w:u w:val="single"/>
        </w:rPr>
        <w:t xml:space="preserve">rivāto investīciju piesaiste un šķēršļu novēršana, finanšu mehānismu izveide </w:t>
      </w:r>
    </w:p>
    <w:p w14:paraId="14499B44" w14:textId="77777777" w:rsidR="007E1CE1" w:rsidRPr="007E1CE1" w:rsidRDefault="007E1CE1" w:rsidP="007E1CE1">
      <w:pPr>
        <w:ind w:firstLine="0"/>
        <w:rPr>
          <w:b/>
          <w:bCs/>
        </w:rPr>
      </w:pPr>
    </w:p>
    <w:p w14:paraId="5BB4645B" w14:textId="59BFE42F" w:rsidR="001355B7" w:rsidRPr="001355B7" w:rsidRDefault="001355B7" w:rsidP="001355B7">
      <w:pPr>
        <w:rPr>
          <w:bCs/>
        </w:rPr>
      </w:pPr>
      <w:r>
        <w:rPr>
          <w:bCs/>
        </w:rPr>
        <w:t>Š</w:t>
      </w:r>
      <w:r w:rsidRPr="001355B7">
        <w:rPr>
          <w:bCs/>
        </w:rPr>
        <w:t xml:space="preserve">obrīd </w:t>
      </w:r>
      <w:r>
        <w:rPr>
          <w:bCs/>
        </w:rPr>
        <w:t xml:space="preserve">Latvijā </w:t>
      </w:r>
      <w:r w:rsidRPr="001355B7">
        <w:rPr>
          <w:bCs/>
        </w:rPr>
        <w:t>nenotiek</w:t>
      </w:r>
      <w:r>
        <w:rPr>
          <w:bCs/>
        </w:rPr>
        <w:t xml:space="preserve"> aktīva</w:t>
      </w:r>
      <w:r w:rsidRPr="001355B7">
        <w:rPr>
          <w:bCs/>
        </w:rPr>
        <w:t xml:space="preserve">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Plānots, ka ar jauno likumprojektu “Dzīvojamo telpu īres likums”</w:t>
      </w:r>
      <w:r w:rsidRPr="001355B7">
        <w:rPr>
          <w:bCs/>
          <w:vertAlign w:val="superscript"/>
        </w:rPr>
        <w:footnoteReference w:id="57"/>
      </w:r>
      <w:r w:rsidRPr="001355B7">
        <w:rPr>
          <w:bCs/>
        </w:rPr>
        <w:t xml:space="preserve"> kurā ietverti konceptuāli atšķirīgie risinājumi šobrīd pastāvošos riskus būtiski samazinās. </w:t>
      </w:r>
    </w:p>
    <w:p w14:paraId="327AD89E" w14:textId="77777777" w:rsidR="001355B7" w:rsidRPr="001355B7" w:rsidRDefault="001355B7" w:rsidP="001355B7">
      <w:r w:rsidRPr="001355B7">
        <w:t>Līdz ar to, ar jauna likuma izstrādi, mērķis ir panākt: 1) īres namu būvniecības un mājokļu pieejamības veicināšanu; 2) taisnīga līdzsvara nodrošināšana starp izīrētāju un īrnieku interesēm. Paredzams, ka īres tirgus spēs piesaistīt investīcijas aptuveni 600 milj. EUR gadā jaunu ļoti energoefektīvu mājokļu būvniecībai.</w:t>
      </w:r>
    </w:p>
    <w:p w14:paraId="2BAB0A3C" w14:textId="77777777" w:rsidR="001355B7" w:rsidRDefault="001355B7" w:rsidP="00CF7875">
      <w:pPr>
        <w:ind w:firstLine="0"/>
      </w:pPr>
    </w:p>
    <w:p w14:paraId="0F5DAEE0" w14:textId="6EF0EC6D" w:rsidR="001355B7" w:rsidRPr="007E1CE1" w:rsidRDefault="007E1CE1" w:rsidP="001355B7">
      <w:r w:rsidRPr="007E1CE1">
        <w:t>Finanšu institūcija ALTUM turpinās attīstīt finanšu instrumentus energoefektivitātes projektu finansēšanai, tostarp,</w:t>
      </w:r>
      <w:r w:rsidRPr="007E1CE1">
        <w:rPr>
          <w:b/>
          <w:bCs/>
        </w:rPr>
        <w:t xml:space="preserve"> </w:t>
      </w:r>
      <w:r w:rsidRPr="007E1CE1">
        <w:t>aizdevumu programmu uzņēmuma energoefektivitātei un atjaunojamo energoresursu projektu ieviešanai. Lai nodrošinātu papildu mērķtiecīga finansējuma radīšanu un izlietošanu, tiek piedāvāts izveidot AER veicināšanas un energoefektivitātes uzlabošanas fondu, kurā varētu tikt novirzīti finanšu līdzekļi no ienākumiem, kas iegūti no ar enerģētiku saistītām darbībām – akcīzes nodokļa un DRN, kas piemērots enerģijas ieguvei izmantotajam kurināmajam un degvielai, gūtajiem ieņēmumiem no meža zemju izsolēm un valsts nekustamo īpašumu iznomāšanas vēja parku būvniecībai un AER statistikas tirgošanas citām valstīm, kur minētā fonda finansējums būtu izlietojams cita starpā arī AE kopienām un AER pasākumu finansēšanai pašvaldībās. Tāpat, lai veicinātu energoefektivitātes uzlabošanas pasākumu īstenošanas pievilcīgumu, tiek piedāvāts izvērtēt iespēju izstrādāt energoietaupījumu tirdzniecības iespējas, kur viens sistēmas dalībnieks varētu nodot otram dalībniekam savus energoietaupījumus, kas dalībnieks ir pārsniedzis sev noteiktos ietaupījumu mērķus.</w:t>
      </w:r>
      <w:r>
        <w:rPr>
          <w:rStyle w:val="FootnoteReference"/>
        </w:rPr>
        <w:footnoteReference w:id="58"/>
      </w:r>
    </w:p>
    <w:p w14:paraId="390611C6" w14:textId="38E4B8B0" w:rsidR="00510A8C" w:rsidRPr="00510A8C" w:rsidRDefault="00510A8C" w:rsidP="00421AEC">
      <w:pPr>
        <w:rPr>
          <w:b/>
          <w:bCs/>
        </w:rPr>
      </w:pPr>
    </w:p>
    <w:p w14:paraId="27255951" w14:textId="77777777" w:rsidR="001355B7" w:rsidRDefault="001355B7">
      <w:pPr>
        <w:rPr>
          <w:u w:val="single"/>
        </w:rPr>
      </w:pPr>
      <w:r>
        <w:rPr>
          <w:u w:val="single"/>
        </w:rPr>
        <w:br w:type="page"/>
      </w:r>
    </w:p>
    <w:p w14:paraId="398E1706" w14:textId="31A1CC3F" w:rsidR="00510A8C" w:rsidRPr="001163BC" w:rsidRDefault="00510A8C" w:rsidP="00510A8C">
      <w:pPr>
        <w:ind w:firstLine="0"/>
        <w:rPr>
          <w:u w:val="single"/>
        </w:rPr>
      </w:pPr>
      <w:r w:rsidRPr="001163BC">
        <w:rPr>
          <w:u w:val="single"/>
        </w:rPr>
        <w:lastRenderedPageBreak/>
        <w:t>ESKO iepirkumu rokasgrāmata</w:t>
      </w:r>
    </w:p>
    <w:p w14:paraId="5D59CD2E" w14:textId="59214ABB" w:rsidR="00510A8C" w:rsidRDefault="00510A8C" w:rsidP="00510A8C">
      <w:pPr>
        <w:ind w:firstLine="0"/>
        <w:rPr>
          <w:b/>
          <w:bCs/>
        </w:rPr>
      </w:pPr>
    </w:p>
    <w:p w14:paraId="6D3CCCC9" w14:textId="164A6516" w:rsidR="00510A8C" w:rsidRDefault="00510A8C" w:rsidP="00402001">
      <w:r w:rsidRPr="00510A8C">
        <w:t>ES programmas “Apvārsnis 2020” atbalstītā projekta “QualitEE – kvalitātes sertifikācijas sistēmas energoefektivitātes pakalpojumiem” ietvaros ir izstrādāta ESKO iepirkumu rokasgrāmata. Šī rokasgrāmata ir izstrādāta ar mērķi veicināt energoefektivitātes pakalpojumu kvalitātes kritēriju piemērošanu energoefektivitātes projektam iepirkuma posmā.</w:t>
      </w:r>
    </w:p>
    <w:p w14:paraId="6A7F5B60" w14:textId="33393DD7" w:rsidR="001C2B05" w:rsidRDefault="00510A8C" w:rsidP="00BB244D">
      <w:r w:rsidRPr="00510A8C">
        <w:t>Rokasgrāmata ir izstrādāta energoefektivitātes pakalpojuma iepirkuma sagatavošanai, izmantošanai publiskā un privātā sektorā, energoefektivitātes projektu vadītājiem/koordinatoriem kā arī energoefektivitātes pakalpojumu sniedzējiem. ESKO iepirkumu rokasgrāmata sevī ietver izstrādātus ieteikumus par kvalitātes kritēriju piemērošanu energoefektivitātes līgumu un energoapgādes līgumu iepirkumos.</w:t>
      </w:r>
      <w:r>
        <w:t xml:space="preserve"> </w:t>
      </w:r>
      <w:r w:rsidRPr="00510A8C">
        <w:t xml:space="preserve">Šī ESKO iepirkumu rokasgrāmata </w:t>
      </w:r>
      <w:r>
        <w:t>var kalpot</w:t>
      </w:r>
      <w:r w:rsidRPr="00510A8C">
        <w:t xml:space="preserve"> kā paraugs un palīgs veiksmīgam ESKO iepirkuma procesam.</w:t>
      </w:r>
      <w:r>
        <w:rPr>
          <w:rStyle w:val="FootnoteReference"/>
        </w:rPr>
        <w:footnoteReference w:id="59"/>
      </w:r>
    </w:p>
    <w:p w14:paraId="2839160C" w14:textId="77777777" w:rsidR="00474949" w:rsidRDefault="00474949" w:rsidP="000716A3">
      <w:pPr>
        <w:ind w:firstLine="0"/>
        <w:rPr>
          <w:szCs w:val="24"/>
          <w:u w:val="single"/>
        </w:rPr>
      </w:pPr>
    </w:p>
    <w:p w14:paraId="2F075069" w14:textId="0072B196" w:rsidR="00510A8C" w:rsidRDefault="001C2B05" w:rsidP="000716A3">
      <w:pPr>
        <w:ind w:firstLine="0"/>
        <w:rPr>
          <w:szCs w:val="24"/>
          <w:u w:val="single"/>
        </w:rPr>
      </w:pPr>
      <w:r w:rsidRPr="001163BC">
        <w:rPr>
          <w:szCs w:val="24"/>
          <w:u w:val="single"/>
        </w:rPr>
        <w:t xml:space="preserve">Darbības </w:t>
      </w:r>
      <w:r w:rsidR="00C66E28" w:rsidRPr="001163BC">
        <w:rPr>
          <w:szCs w:val="24"/>
          <w:u w:val="single"/>
        </w:rPr>
        <w:t>šķietamo risku</w:t>
      </w:r>
      <w:r w:rsidRPr="001163BC">
        <w:rPr>
          <w:szCs w:val="24"/>
          <w:u w:val="single"/>
        </w:rPr>
        <w:t xml:space="preserve"> mazināšanai ESKO tirgus attīstīb</w:t>
      </w:r>
      <w:r w:rsidR="00C66E28" w:rsidRPr="001163BC">
        <w:rPr>
          <w:szCs w:val="24"/>
          <w:u w:val="single"/>
        </w:rPr>
        <w:t>ā</w:t>
      </w:r>
      <w:r w:rsidRPr="001163BC">
        <w:rPr>
          <w:szCs w:val="24"/>
          <w:u w:val="single"/>
        </w:rPr>
        <w:t xml:space="preserve">, </w:t>
      </w:r>
      <w:r w:rsidR="000716A3" w:rsidRPr="001163BC">
        <w:rPr>
          <w:szCs w:val="24"/>
          <w:u w:val="single"/>
        </w:rPr>
        <w:t>a</w:t>
      </w:r>
      <w:r w:rsidRPr="001163BC">
        <w:rPr>
          <w:szCs w:val="24"/>
          <w:u w:val="single"/>
        </w:rPr>
        <w:t>tbalsts energoefektivitātes pakalpojumu sniedzējiem</w:t>
      </w:r>
    </w:p>
    <w:p w14:paraId="4B136CBB" w14:textId="77777777" w:rsidR="005B0D6F" w:rsidRPr="001163BC" w:rsidRDefault="005B0D6F" w:rsidP="000716A3">
      <w:pPr>
        <w:ind w:firstLine="0"/>
        <w:rPr>
          <w:szCs w:val="24"/>
          <w:u w:val="single"/>
        </w:rPr>
      </w:pPr>
    </w:p>
    <w:p w14:paraId="043C5332" w14:textId="1941CB95" w:rsidR="00402001" w:rsidRDefault="001C2B05" w:rsidP="00402001">
      <w:r w:rsidRPr="00E52CF8">
        <w:t>Valsts sekretāru 2017.</w:t>
      </w:r>
      <w:r w:rsidR="00C66E28">
        <w:t xml:space="preserve"> </w:t>
      </w:r>
      <w:r w:rsidRPr="00E52CF8">
        <w:t>gada 27.</w:t>
      </w:r>
      <w:r w:rsidR="00C66E28">
        <w:t xml:space="preserve"> </w:t>
      </w:r>
      <w:r w:rsidRPr="00E52CF8">
        <w:t xml:space="preserve">jūlija sanāksmē (protokols Nr. 29, 4. §) tika izsludināts Ministru kabineta noteikumu projekts, kas paredzēja ES fondu līdzfinansējumu atbalstam energoefektivitātes pakalpojumu sniedzēju  finansēšanai aizdevuma formā, kā arī refinansēšanas mehānisma izstrādei. </w:t>
      </w:r>
      <w:r w:rsidRPr="00CA0B87">
        <w:t>ALTUM 2017. gada novembrī EIKC lūdza sniegt konsultācijas par ESKO refinansēšanas investīciju platformas izveidi. Viens no pamatjautājumiem bija par ES fondu finansējuma izmantošanu refinansēšanas nodrošināšanai. 2018. gada 18. maijā ALTUM saņēma EIKC viedokli, ka ES fondu finansējumu refinansēšanas instrumenta īstenošanai nedrīkst izmantot. Līdz ar to attiecīgās Eiropas Savienība fondu līdzfinansētas atbalsta programmas izstrāde kļuva neiespējama</w:t>
      </w:r>
      <w:r w:rsidRPr="00E52CF8">
        <w:t xml:space="preserve"> un Ministru kabineta noteikumu projekts tika atsaukts.</w:t>
      </w:r>
      <w:bookmarkStart w:id="58" w:name="_Hlk16168267"/>
    </w:p>
    <w:p w14:paraId="52EE907A" w14:textId="77F4C527" w:rsidR="001C2B05" w:rsidRPr="00402001" w:rsidRDefault="001C2B05" w:rsidP="00402001">
      <w:r w:rsidRPr="00317453">
        <w:rPr>
          <w:rFonts w:eastAsia="Times New Roman" w:cs="Times New Roman"/>
          <w:szCs w:val="24"/>
          <w:lang w:bidi="en-US"/>
        </w:rPr>
        <w:t xml:space="preserve">Kā viena no iespējām ir jāapsver refinansēšanas fondu veidot kopā valsts un privātajam sektoram kā publisko privāto partnerību. Tādejādi tiktu sekmēts Energoefektīvas direktīvas 18.pantā minētais, ka dalībvalstīm ir jāveicina energopakalpojumu tirgus, tai skaitā finanšu instrumentu izmantošana, un tiktu veicināta privāto investīciju piesaiste. </w:t>
      </w:r>
    </w:p>
    <w:p w14:paraId="25297F33" w14:textId="7AF4D299" w:rsidR="001C2B05" w:rsidRDefault="001C2B05" w:rsidP="00421AEC">
      <w:r w:rsidRPr="00E52CF8">
        <w:t xml:space="preserve">Tādejādi ESKO, kas aktīvi īsteno energoefektivitātes paaugstināšanas pasākumus, samazinātos kredītsaistību slogs un būtu iespēja atkārtoti saņemt aizdevumus jaunu projektu īstenošanai. Ņemot vērā ierobežotu pieeju šāda veida ilgtermiņa finansējumam, sabiedrība </w:t>
      </w:r>
      <w:r w:rsidR="00A41DD3">
        <w:t>ALTUM</w:t>
      </w:r>
      <w:r w:rsidRPr="00E52CF8">
        <w:t xml:space="preserve"> ierosināja grozījumus Ministru kabineta 2009. gada 15. septembra noteikumos Nr. 1065 „Noteikumi par aizdevumiem sīko (mikro), mazo un vidējo saimnieciskās darbības veicēju un lauksaimniecības pakalpojumu kooperatīvo sabiedrību attīstības veicināšanai” (turpmāk – MK noteikumi Nr. 1065), papildinot tos ar nosacījumiem aizdevumiem energoefektivitātes pakalpojumu sniedzēju naudas plūsmas iegādei. Šādu aizdevumu piešķiršana nodrošinātu ātrāku investīciju apriti un paaugstinātu ESKO kapacitāti, jo tiem būs risinājums, kā atbrīvoties no ilgtermiņa finanšu saistībām, vienlaicīgi paliekot atbildīgiem par savu sniegto pakalpojumu sniegšanu visā energoservisa pakalpojumu līguma darbības laikā.</w:t>
      </w:r>
      <w:bookmarkEnd w:id="58"/>
    </w:p>
    <w:p w14:paraId="2D61C1B3" w14:textId="77777777" w:rsidR="00C66E28" w:rsidRPr="00AA59C0" w:rsidRDefault="00C66E28" w:rsidP="00421AEC"/>
    <w:p w14:paraId="44018A10" w14:textId="77777777" w:rsidR="001C2B05" w:rsidRPr="009E6378" w:rsidRDefault="001C2B05" w:rsidP="00421AEC">
      <w:r>
        <w:t>2017. gada 2</w:t>
      </w:r>
      <w:r w:rsidRPr="009E6378">
        <w:t>4. februārī jaunizveidotais finanšu piesaistes fonds Latvian Baltic Energy Efficiency Facility  (LABEEF) un Eiropas Rekonstrukcijas un attīstības banka (ERAB) parakstīja līgumu par investīciju piesaisti daudzdzīvokļu ēku rekonstrukcijai.</w:t>
      </w:r>
    </w:p>
    <w:p w14:paraId="0A1A6D0B" w14:textId="7FF09C09" w:rsidR="001C2B05" w:rsidRDefault="001C2B05" w:rsidP="00421AEC">
      <w:r w:rsidRPr="009E6378">
        <w:t>Lai veiktu ēku atjaunošanu Latvijā, līdz šim, galvenais finansējuma avots ir bijis Eiropas Savienības fondu līdzekļi, kuri, kā paredzēts, būs pieejami līdz 2020. gadam, līdz ar to, kā alternatīvs risinājums jauna finansējuma piesaistei tika radīts finanšu piesaistes fonds LABEEF. Fonda mērķis ir izveidot jaunu investīciju piesaistes platformu un, pateicoties labākajai ārzemju praksei un fonda izstrādātajām procedūrām, nodrošināt novecojošo dzīvojamo ēku rekonstrukciju Latvijā.</w:t>
      </w:r>
      <w:r>
        <w:rPr>
          <w:rStyle w:val="FootnoteReference"/>
        </w:rPr>
        <w:footnoteReference w:id="60"/>
      </w:r>
      <w:r>
        <w:t xml:space="preserve"> Tāpat arī </w:t>
      </w:r>
      <w:r w:rsidRPr="009E6378">
        <w:t>atbalstīt energopakalpojumu uzņēmumus (ESKO), kas daudzdzīvokļu māju ēkās īsteno atjaunošanas pasākumus, pamatojoties uz energoefektivitātes līgumiem (</w:t>
      </w:r>
      <w:r w:rsidR="0061381A">
        <w:t>EPL</w:t>
      </w:r>
      <w:r w:rsidRPr="009E6378">
        <w:t xml:space="preserve">). </w:t>
      </w:r>
    </w:p>
    <w:p w14:paraId="32D601AF" w14:textId="77777777" w:rsidR="001C2B05" w:rsidRDefault="001C2B05" w:rsidP="00421AEC">
      <w:r w:rsidRPr="00F374EE">
        <w:t>Lai varētu saņemt LABEEF finansējumu, atjaunotajām ēkām jāatbilst augstākajiem energoefektivitātes standartiem, vienlaikus sniedzot īpašniekiem drošības, veselības un komforta garantijas līdz pat 20 gadiem. LABEEF fonda darbību finansē privātie ieguldītāji un Eiropas Rekonstrukcijas un attīstības banka.</w:t>
      </w:r>
    </w:p>
    <w:p w14:paraId="570B6360" w14:textId="77777777" w:rsidR="001C2B05" w:rsidRDefault="001C2B05" w:rsidP="005B0D6F">
      <w:pPr>
        <w:ind w:firstLine="0"/>
      </w:pPr>
      <w:r>
        <w:t>LABEEF finansēšānas process iedalās 3 posmos:</w:t>
      </w:r>
    </w:p>
    <w:p w14:paraId="6AF03AAE" w14:textId="77777777" w:rsidR="001C2B05" w:rsidRPr="00F374EE" w:rsidRDefault="001C2B05" w:rsidP="00A517AC">
      <w:pPr>
        <w:numPr>
          <w:ilvl w:val="0"/>
          <w:numId w:val="28"/>
        </w:numPr>
        <w:ind w:left="0" w:firstLine="567"/>
      </w:pPr>
      <w:r w:rsidRPr="00F374EE">
        <w:t>LABEEF finansē projektus, kas īstenoti atbilstoši LABEEF standartiem un izmantojot LABEEF standarta dokumentāciju, t.sk. Energoefektivitātes pakalpojuma līgumu (EPC) veidnes: EPC, EPC+ un EPC++. Šīs prasības jāievēro ESKO, pirms tas uzsāk ēkas atjaunošanu.</w:t>
      </w:r>
    </w:p>
    <w:p w14:paraId="1D081921" w14:textId="77777777" w:rsidR="001C2B05" w:rsidRPr="00F374EE" w:rsidRDefault="001C2B05" w:rsidP="00A517AC">
      <w:pPr>
        <w:numPr>
          <w:ilvl w:val="0"/>
          <w:numId w:val="28"/>
        </w:numPr>
        <w:ind w:left="0" w:firstLine="567"/>
      </w:pPr>
      <w:r w:rsidRPr="00F374EE">
        <w:t>Kad ESKO ir gatavs īstenot ēkas atjaunošanas projektu atbilstoši LABEEF prasībām un ir vienojies ar komercbanku par projekta finansējumu pirmajiem 2-3 gadiem, LABEEF paraksta savu apņemšanos iegādāties ESKO nākotnes ieņēmumus, kas tiks gūti konkrētajā projektā.</w:t>
      </w:r>
    </w:p>
    <w:p w14:paraId="5AB8BA76" w14:textId="77777777" w:rsidR="001C2B05" w:rsidRDefault="001C2B05" w:rsidP="00A517AC">
      <w:pPr>
        <w:numPr>
          <w:ilvl w:val="0"/>
          <w:numId w:val="28"/>
        </w:numPr>
        <w:ind w:left="0" w:firstLine="567"/>
      </w:pPr>
      <w:r w:rsidRPr="00F374EE">
        <w:t>Pēc tam, kad ēkas atjaunošana ir veikta un ir pagājusi viena apkures sezona, LABEEF veic ESKO paveikto darbu auditu un pārliecinās, vai ir sasniegti EPC noteiktie mērķi. Ja tas ir izdarīts, LABEEF nopērk ESKO nākotnes ieņēmumus, kas tiks gūti konkrētajā projektā.</w:t>
      </w:r>
    </w:p>
    <w:p w14:paraId="368D4AB9" w14:textId="16235B79" w:rsidR="001C2B05" w:rsidRPr="000716A3" w:rsidRDefault="001C2B05" w:rsidP="000716A3">
      <w:r w:rsidRPr="00F374EE">
        <w:t>2018. gada nogalē LABEEF refinansēja pirmo sešu daudzdzīvokļu dzīvojamo ēku atjaunošanu Cēsīs, Siguldā un Rīgā.</w:t>
      </w:r>
      <w:r>
        <w:rPr>
          <w:rStyle w:val="FootnoteReference"/>
        </w:rPr>
        <w:footnoteReference w:id="61"/>
      </w:r>
    </w:p>
    <w:p w14:paraId="65786310" w14:textId="02296D63" w:rsidR="001C2B05" w:rsidRPr="0000759F" w:rsidRDefault="000716A3" w:rsidP="00421AEC">
      <w:r>
        <w:t>L</w:t>
      </w:r>
      <w:r w:rsidR="001C2B05" w:rsidRPr="0000759F">
        <w:t>ai turpinātu tirgus izaugsmi, tajā ir jāienāk inovācijām, piemēram,</w:t>
      </w:r>
      <w:r w:rsidR="001C2B05">
        <w:t xml:space="preserve"> jau minētajiem</w:t>
      </w:r>
      <w:r w:rsidR="001C2B05" w:rsidRPr="0000759F">
        <w:t xml:space="preserve"> ESKO pakalpojumiem, finanšu instrumentiem, standartizētiem projektiem utt. Tāpat kā uzticamībai arī pieredzes celšanai ir nepieciešama projektu īstenošana. Sadarbība starp iesaistītajām pusēm un pieredzes pārnešana ir veids kā sekmēt projektu īstenošanu. Kā pozitīvais piemērs Latvijā darbojas EK programmas “Apvārsnis2020” ietvaros finansēti “SUNShINE”</w:t>
      </w:r>
      <w:r w:rsidR="001C2B05" w:rsidRPr="0000759F">
        <w:rPr>
          <w:rStyle w:val="FootnoteReference"/>
        </w:rPr>
        <w:footnoteReference w:id="62"/>
      </w:r>
      <w:r w:rsidR="001C2B05" w:rsidRPr="0000759F">
        <w:t>, “Accelerate SUNShINE”</w:t>
      </w:r>
      <w:r w:rsidR="001C2B05" w:rsidRPr="0000759F">
        <w:rPr>
          <w:rStyle w:val="FootnoteReference"/>
        </w:rPr>
        <w:footnoteReference w:id="63"/>
      </w:r>
      <w:r w:rsidR="001C2B05" w:rsidRPr="0000759F">
        <w:t xml:space="preserve"> un “EnPC-Intrans”</w:t>
      </w:r>
      <w:r w:rsidR="001C2B05" w:rsidRPr="0000759F">
        <w:rPr>
          <w:rStyle w:val="FootnoteReference"/>
        </w:rPr>
        <w:footnoteReference w:id="64"/>
      </w:r>
      <w:r w:rsidR="001C2B05" w:rsidRPr="0000759F">
        <w:t xml:space="preserve"> projekti. SUNShINE un Accelerate SUNShINE projektu iniciators ir Rīgas Tehniskā universitāte kopā ar privāto, nevalstisko un publisko sektoru. Abu projektu mērķis ir izstrādāt tehnisko un iepirkumu dokumentāciju, izmantojot Eiropas valstu labo praksi, lai atvieglotu pašvaldībām publisko un daudzdzīvokļu ēku atjaunošanas procesu, izmantojot energoefektivitātes pakalpojuma līgumu.</w:t>
      </w:r>
      <w:r w:rsidR="001C2B05">
        <w:t xml:space="preserve"> Jau šobrīd </w:t>
      </w:r>
      <w:r w:rsidR="001C2B05">
        <w:lastRenderedPageBreak/>
        <w:t>ir izstrādāts jauns standartizēts ESKO līgums daudzdzīvokļu ēku sektorā, kurš skaidri un caurskatāmi definē samaksu par faktiski patērēto siltumenerģiju, ESKO veikto investīciju atmaksu un pakalpojuma cenu.</w:t>
      </w:r>
      <w:r w:rsidR="001C2B05" w:rsidRPr="0000759F">
        <w:t xml:space="preserve"> Accelerate SUNShINE projektā piedalās Ādažu, Bauskas, Jūrmalas un Tukuma pašvaldības. </w:t>
      </w:r>
    </w:p>
    <w:p w14:paraId="16F430BC" w14:textId="23B1F9E5" w:rsidR="00391BEC" w:rsidRDefault="001C2B05" w:rsidP="00BB244D">
      <w:r w:rsidRPr="0000759F">
        <w:t xml:space="preserve">EnPC-INTRANS projekta, kura partneris Latvijā bija Zemgales Enerģētikas aģentūra, mērķis bija palielināt ESKO </w:t>
      </w:r>
      <w:r>
        <w:t>l</w:t>
      </w:r>
      <w:r w:rsidRPr="0000759F">
        <w:t>īgumu atzīšanu tirgū publiskajā sektorā projekta dalībvalstīs un veicināt privātā sektora dalību inovatīvās finansēšanas shēmās investīcijām energoefektivitātei publiskajā sektorā. Projekts ieviesa liela mēroga kapacitātes stiprināšanas pasākumus vietējo pašvaldību līmenī, lai kopīgi izveidotu un piemērotu pielāgotos līgumu modeļus investīcijām energoefektivitātes uzlabošanai publiskajā sektorā.</w:t>
      </w:r>
      <w:r w:rsidRPr="0000759F">
        <w:rPr>
          <w:rStyle w:val="FootnoteReference"/>
        </w:rPr>
        <w:t xml:space="preserve"> </w:t>
      </w:r>
      <w:r>
        <w:rPr>
          <w:rStyle w:val="FootnoteReference"/>
        </w:rPr>
        <w:footnoteReference w:id="65"/>
      </w:r>
    </w:p>
    <w:p w14:paraId="7DCC9769" w14:textId="77777777" w:rsidR="00BB244D" w:rsidRPr="00BB244D" w:rsidRDefault="00BB244D" w:rsidP="00BB244D"/>
    <w:p w14:paraId="7CB5AFFE" w14:textId="1FF33ABD" w:rsidR="00AC47BC" w:rsidRPr="001163BC" w:rsidRDefault="00AC47BC" w:rsidP="00391BEC">
      <w:pPr>
        <w:spacing w:after="160" w:line="259" w:lineRule="auto"/>
        <w:ind w:firstLine="0"/>
        <w:jc w:val="left"/>
        <w:rPr>
          <w:u w:val="single"/>
        </w:rPr>
      </w:pPr>
      <w:r w:rsidRPr="001163BC">
        <w:rPr>
          <w:u w:val="single"/>
        </w:rPr>
        <w:t xml:space="preserve">ESKO </w:t>
      </w:r>
      <w:r w:rsidR="00C66E28" w:rsidRPr="001163BC">
        <w:rPr>
          <w:u w:val="single"/>
        </w:rPr>
        <w:t xml:space="preserve">tirgus </w:t>
      </w:r>
      <w:r w:rsidRPr="001163BC">
        <w:rPr>
          <w:u w:val="single"/>
        </w:rPr>
        <w:t>dalībnieku piesaiste 4.2.1.1. pasākuma īstenošanā</w:t>
      </w:r>
    </w:p>
    <w:p w14:paraId="7D44884A" w14:textId="080447C0" w:rsidR="00AC47BC" w:rsidRPr="003D1800" w:rsidRDefault="00AC47BC" w:rsidP="00846902">
      <w:pPr>
        <w:rPr>
          <w:rFonts w:eastAsia="Times New Roman" w:cs="Times New Roman"/>
          <w:iCs/>
          <w:color w:val="000000" w:themeColor="text1"/>
          <w:szCs w:val="24"/>
          <w:lang w:eastAsia="lv-LV"/>
        </w:rPr>
      </w:pPr>
      <w:r w:rsidRPr="003D1800">
        <w:rPr>
          <w:rFonts w:eastAsia="Times New Roman" w:cs="Times New Roman"/>
          <w:iCs/>
          <w:color w:val="000000" w:themeColor="text1"/>
          <w:szCs w:val="24"/>
          <w:lang w:eastAsia="lv-LV"/>
        </w:rPr>
        <w:t xml:space="preserve">Neskatoties uz to, ka </w:t>
      </w:r>
      <w:r>
        <w:rPr>
          <w:rFonts w:eastAsia="Times New Roman" w:cs="Times New Roman"/>
          <w:iCs/>
          <w:color w:val="000000" w:themeColor="text1"/>
          <w:szCs w:val="24"/>
          <w:lang w:eastAsia="lv-LV"/>
        </w:rPr>
        <w:t>Ministru kabineta 2016. gada 15. marta</w:t>
      </w:r>
      <w:r w:rsidRPr="003D1800">
        <w:rPr>
          <w:rFonts w:eastAsia="Times New Roman" w:cs="Times New Roman"/>
          <w:iCs/>
          <w:color w:val="000000" w:themeColor="text1"/>
          <w:szCs w:val="24"/>
          <w:lang w:eastAsia="lv-LV"/>
        </w:rPr>
        <w:t xml:space="preserve"> noteikumi Nr.</w:t>
      </w:r>
      <w:r>
        <w:rPr>
          <w:rFonts w:eastAsia="Times New Roman" w:cs="Times New Roman"/>
          <w:iCs/>
          <w:color w:val="000000" w:themeColor="text1"/>
          <w:szCs w:val="24"/>
          <w:lang w:eastAsia="lv-LV"/>
        </w:rPr>
        <w:t xml:space="preserve">160 </w:t>
      </w:r>
      <w:r w:rsidRPr="0005263D">
        <w:rPr>
          <w:rFonts w:eastAsia="Times New Roman" w:cs="Times New Roman"/>
          <w:iCs/>
          <w:color w:val="000000" w:themeColor="text1"/>
          <w:szCs w:val="24"/>
          <w:lang w:eastAsia="lv-LV"/>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C704F5" w:rsidRPr="0005263D">
        <w:rPr>
          <w:rFonts w:eastAsia="Times New Roman" w:cs="Times New Roman"/>
          <w:iCs/>
          <w:color w:val="000000" w:themeColor="text1"/>
          <w:szCs w:val="24"/>
          <w:lang w:eastAsia="lv-LV"/>
        </w:rPr>
        <w:t xml:space="preserve"> MK noteikumi Nr.160</w:t>
      </w:r>
      <w:r w:rsidRPr="003D1800">
        <w:rPr>
          <w:rFonts w:eastAsia="Times New Roman" w:cs="Times New Roman"/>
          <w:iCs/>
          <w:color w:val="000000" w:themeColor="text1"/>
          <w:szCs w:val="24"/>
          <w:lang w:eastAsia="lv-LV"/>
        </w:rPr>
        <w:t xml:space="preserve"> sniedz iespēju ESKO piedalīties 4.2.1.1. pasākuma īstenošanā, ir konstatēts, ka nosacījumos, kas regulē piegādātāju atlasi, nepieciešamas izmaiņas, lai veicinātu aktīvāku ESKO iesaisti 4.2.1.1. pasākuma īstenošanā, kā arī, lai ESKO būtu iespēja sniegt savus pakalpojumus atbilstoši vispārpieņemtajai praksei</w:t>
      </w:r>
      <w:r>
        <w:rPr>
          <w:rFonts w:eastAsia="Times New Roman" w:cs="Times New Roman"/>
          <w:iCs/>
          <w:color w:val="000000" w:themeColor="text1"/>
          <w:szCs w:val="24"/>
          <w:lang w:eastAsia="lv-LV"/>
        </w:rPr>
        <w:t>, tādējādi minētajos noteikumos veicami grozījumi.</w:t>
      </w:r>
    </w:p>
    <w:p w14:paraId="189E07F6" w14:textId="09043055" w:rsidR="00B33BFF" w:rsidRDefault="00AC47BC" w:rsidP="00402001">
      <w:pPr>
        <w:rPr>
          <w:rFonts w:eastAsia="Times New Roman" w:cs="Times New Roman"/>
          <w:iCs/>
          <w:color w:val="000000" w:themeColor="text1"/>
          <w:szCs w:val="24"/>
          <w:lang w:eastAsia="lv-LV"/>
        </w:rPr>
      </w:pPr>
      <w:r w:rsidRPr="003D1800">
        <w:rPr>
          <w:rFonts w:eastAsia="Times New Roman" w:cs="Times New Roman"/>
          <w:iCs/>
          <w:color w:val="000000" w:themeColor="text1"/>
          <w:szCs w:val="24"/>
          <w:lang w:eastAsia="lv-LV"/>
        </w:rPr>
        <w:t>Ministru kabineta noteikumu projekt</w:t>
      </w:r>
      <w:r w:rsidR="0005263D">
        <w:rPr>
          <w:rFonts w:eastAsia="Times New Roman" w:cs="Times New Roman"/>
          <w:iCs/>
          <w:color w:val="000000" w:themeColor="text1"/>
          <w:szCs w:val="24"/>
          <w:lang w:eastAsia="lv-LV"/>
        </w:rPr>
        <w:t>a</w:t>
      </w:r>
      <w:r w:rsidR="0005263D">
        <w:rPr>
          <w:rStyle w:val="FootnoteReference"/>
          <w:rFonts w:eastAsia="Times New Roman" w:cs="Times New Roman"/>
          <w:iCs/>
          <w:color w:val="000000" w:themeColor="text1"/>
          <w:szCs w:val="24"/>
          <w:lang w:eastAsia="lv-LV"/>
        </w:rPr>
        <w:footnoteReference w:id="66"/>
      </w:r>
      <w:r w:rsidRPr="003D1800">
        <w:rPr>
          <w:rFonts w:eastAsia="Times New Roman" w:cs="Times New Roman"/>
          <w:iCs/>
          <w:color w:val="000000" w:themeColor="text1"/>
          <w:szCs w:val="24"/>
          <w:lang w:eastAsia="lv-LV"/>
        </w:rPr>
        <w:t xml:space="preserve"> mērķis ir noteikt atšķirīgu, energoefektivitātes pakalpojumu sniegšanai atbilstošu energoefektivitātes paaugstināšanas projektu īstenošanu</w:t>
      </w:r>
      <w:r w:rsidR="0005263D">
        <w:rPr>
          <w:rFonts w:eastAsia="Times New Roman" w:cs="Times New Roman"/>
          <w:iCs/>
          <w:color w:val="000000" w:themeColor="text1"/>
          <w:szCs w:val="24"/>
          <w:lang w:eastAsia="lv-LV"/>
        </w:rPr>
        <w:t>:</w:t>
      </w:r>
    </w:p>
    <w:p w14:paraId="232BE812" w14:textId="5B9D91D3" w:rsidR="00B33BFF" w:rsidRPr="00B33BFF" w:rsidRDefault="00B33BFF" w:rsidP="00A517AC">
      <w:pPr>
        <w:pStyle w:val="ListParagraph"/>
        <w:numPr>
          <w:ilvl w:val="0"/>
          <w:numId w:val="29"/>
        </w:numPr>
        <w:ind w:left="0" w:firstLine="0"/>
        <w:rPr>
          <w:rFonts w:eastAsia="Times New Roman" w:cs="Times New Roman"/>
          <w:iCs/>
          <w:color w:val="000000" w:themeColor="text1"/>
          <w:szCs w:val="24"/>
          <w:lang w:eastAsia="lv-LV"/>
        </w:rPr>
      </w:pPr>
      <w:r w:rsidRPr="00B33BFF">
        <w:rPr>
          <w:rFonts w:eastAsia="Times New Roman" w:cs="Times New Roman"/>
          <w:iCs/>
          <w:color w:val="000000" w:themeColor="text1"/>
          <w:szCs w:val="24"/>
          <w:lang w:eastAsia="lv-LV"/>
        </w:rPr>
        <w:t xml:space="preserve">Noteikt, ka, ja energoefektivitātes paaugstināšanas pasākumu īstenošanu nodrošina ESKO, sabiedrība </w:t>
      </w:r>
      <w:r w:rsidR="00A41DD3" w:rsidRPr="00A41DD3">
        <w:rPr>
          <w:rFonts w:eastAsia="Times New Roman" w:cs="Times New Roman"/>
          <w:iCs/>
          <w:color w:val="000000" w:themeColor="text1"/>
          <w:szCs w:val="24"/>
          <w:lang w:eastAsia="lv-LV"/>
        </w:rPr>
        <w:t>ALTUM</w:t>
      </w:r>
      <w:r w:rsidR="00A41DD3">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energoefektivitātes paaugstināšanas tehnisko dokumentāciju izvērtē, kad  pilnvarotā persona iesniedz granta pieteikumu.</w:t>
      </w:r>
      <w:r>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 xml:space="preserve">Sabiedrība </w:t>
      </w:r>
      <w:r w:rsidR="00A41DD3" w:rsidRPr="00A41DD3">
        <w:rPr>
          <w:rFonts w:eastAsia="Times New Roman" w:cs="Times New Roman"/>
          <w:iCs/>
          <w:color w:val="000000" w:themeColor="text1"/>
          <w:szCs w:val="24"/>
          <w:lang w:eastAsia="lv-LV"/>
        </w:rPr>
        <w:t>ALTUM</w:t>
      </w:r>
      <w:r w:rsidR="00A41DD3">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veiks tehniskās dokumentācijas izvērtējumu tad, kad pilnvarotā persona iesniegs granta pieteikumu, jo šajā brīdī ESKO būs nodrošinājusi tehniskās dokumentācijas un detalizēta projekta budžeta izstrādi.</w:t>
      </w:r>
    </w:p>
    <w:p w14:paraId="789BF00E" w14:textId="35D6F567" w:rsidR="00B33BFF" w:rsidRDefault="00B33BFF" w:rsidP="00A517AC">
      <w:pPr>
        <w:pStyle w:val="ListParagraph"/>
        <w:numPr>
          <w:ilvl w:val="0"/>
          <w:numId w:val="29"/>
        </w:numPr>
        <w:ind w:left="0" w:firstLine="0"/>
        <w:rPr>
          <w:rFonts w:eastAsia="Times New Roman" w:cs="Times New Roman"/>
          <w:iCs/>
          <w:color w:val="000000" w:themeColor="text1"/>
          <w:szCs w:val="24"/>
          <w:lang w:eastAsia="lv-LV"/>
        </w:rPr>
      </w:pPr>
      <w:r w:rsidRPr="00B33BFF">
        <w:rPr>
          <w:rFonts w:eastAsia="Times New Roman" w:cs="Times New Roman"/>
          <w:iCs/>
          <w:color w:val="000000" w:themeColor="text1"/>
          <w:szCs w:val="24"/>
          <w:lang w:eastAsia="lv-LV"/>
        </w:rPr>
        <w:t xml:space="preserve">MK noteikumi Nr. 160 tiek papildināti ar 41.1 punktu, kas nosaka, ka, ja energoefektivitātes paaugstināšanas pasākumu īstenošanu nodrošina energoefektivitātes pakalpojumu sniedzējs, tas nodrošina, ka būvkomersants, autoruzraugs, būvuzraugs un citi piegādātāji, kas veiks energoefektivitātes projekta īstenošanu atbilst sabiedrības </w:t>
      </w:r>
      <w:r w:rsidR="00A41DD3" w:rsidRPr="00A41DD3">
        <w:rPr>
          <w:rFonts w:eastAsia="Times New Roman" w:cs="Times New Roman"/>
          <w:iCs/>
          <w:color w:val="000000" w:themeColor="text1"/>
          <w:szCs w:val="24"/>
          <w:lang w:eastAsia="lv-LV"/>
        </w:rPr>
        <w:t>ALTUM</w:t>
      </w:r>
      <w:r w:rsidR="00A41DD3">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 xml:space="preserve">norādījumiem. Šī norma paredz, ka sabiedrība </w:t>
      </w:r>
      <w:r w:rsidR="00A41DD3" w:rsidRPr="00A41DD3">
        <w:rPr>
          <w:rFonts w:eastAsia="Times New Roman" w:cs="Times New Roman"/>
          <w:iCs/>
          <w:color w:val="000000" w:themeColor="text1"/>
          <w:szCs w:val="24"/>
          <w:lang w:eastAsia="lv-LV"/>
        </w:rPr>
        <w:t>ALTUM</w:t>
      </w:r>
      <w:r w:rsidR="00A41DD3">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 xml:space="preserve">pārliecināsies par visu projekta īstenošanā iesaistīto pušu atbilstību labākajai praksei atbilstoši esošajai piegādātāju pārbaudes kārtībai 4.2.1.1. pasākuma ietvaros – sabiedrība </w:t>
      </w:r>
      <w:r w:rsidR="00A41DD3" w:rsidRPr="00A41DD3">
        <w:rPr>
          <w:rFonts w:eastAsia="Times New Roman" w:cs="Times New Roman"/>
          <w:iCs/>
          <w:color w:val="000000" w:themeColor="text1"/>
          <w:szCs w:val="24"/>
          <w:lang w:eastAsia="lv-LV"/>
        </w:rPr>
        <w:t>ALTUM</w:t>
      </w:r>
      <w:r w:rsidR="00A41DD3">
        <w:rPr>
          <w:rFonts w:eastAsia="Times New Roman" w:cs="Times New Roman"/>
          <w:iCs/>
          <w:color w:val="000000" w:themeColor="text1"/>
          <w:szCs w:val="24"/>
          <w:lang w:eastAsia="lv-LV"/>
        </w:rPr>
        <w:t xml:space="preserve"> </w:t>
      </w:r>
      <w:r w:rsidRPr="00B33BFF">
        <w:rPr>
          <w:rFonts w:eastAsia="Times New Roman" w:cs="Times New Roman"/>
          <w:iCs/>
          <w:color w:val="000000" w:themeColor="text1"/>
          <w:szCs w:val="24"/>
          <w:lang w:eastAsia="lv-LV"/>
        </w:rPr>
        <w:t>izvērtēs būvkomersantu un piedāvājuma atbilstību tehniskajai dokumentācijai, kā arī veiks projekta uzraudzību, t.sk. pēc objekta pabeigšanas, lai pārliecinātos par veikto darbu atbilstību apstiprinātajam projektam.</w:t>
      </w:r>
    </w:p>
    <w:p w14:paraId="1B69B5CE" w14:textId="7E41DD00" w:rsidR="0005263D" w:rsidRDefault="00B33BFF" w:rsidP="00A517AC">
      <w:pPr>
        <w:pStyle w:val="ListParagraph"/>
        <w:numPr>
          <w:ilvl w:val="0"/>
          <w:numId w:val="29"/>
        </w:numPr>
        <w:ind w:left="0" w:firstLine="0"/>
        <w:rPr>
          <w:rFonts w:eastAsia="Times New Roman" w:cs="Times New Roman"/>
          <w:iCs/>
          <w:color w:val="000000" w:themeColor="text1"/>
          <w:szCs w:val="24"/>
          <w:lang w:eastAsia="lv-LV"/>
        </w:rPr>
      </w:pPr>
      <w:r w:rsidRPr="00B33BFF">
        <w:rPr>
          <w:rFonts w:eastAsia="Times New Roman" w:cs="Times New Roman"/>
          <w:iCs/>
          <w:color w:val="000000" w:themeColor="text1"/>
          <w:szCs w:val="24"/>
          <w:lang w:eastAsia="lv-LV"/>
        </w:rPr>
        <w:t>Dzīvokļu īpašnieku pilnvarotā persona var veikt energoefektivitātes pakalpojuma sniedzēja atlasi energoefektivitātes paaugstināšanas pasākumu īstenošanai.</w:t>
      </w:r>
      <w:r w:rsidR="0005263D">
        <w:rPr>
          <w:rFonts w:eastAsia="Times New Roman" w:cs="Times New Roman"/>
          <w:iCs/>
          <w:color w:val="000000" w:themeColor="text1"/>
          <w:szCs w:val="24"/>
          <w:lang w:eastAsia="lv-LV"/>
        </w:rPr>
        <w:t xml:space="preserve"> </w:t>
      </w:r>
      <w:r w:rsidR="0005263D" w:rsidRPr="0005263D">
        <w:rPr>
          <w:rFonts w:eastAsia="Times New Roman" w:cs="Times New Roman"/>
          <w:iCs/>
          <w:color w:val="000000" w:themeColor="text1"/>
          <w:szCs w:val="24"/>
          <w:lang w:eastAsia="lv-LV"/>
        </w:rPr>
        <w:t xml:space="preserve">Ierosinātās izmaiņas MK noteikumu Nr. 160 68.1 punktā nosaka, ka ESKO atlases ietvaros pasūtītājam (dzīvokļu īpašnieku pilnvarotajai personai) būs </w:t>
      </w:r>
      <w:r w:rsidR="0005263D" w:rsidRPr="0005263D">
        <w:rPr>
          <w:rFonts w:eastAsia="Times New Roman" w:cs="Times New Roman"/>
          <w:iCs/>
          <w:color w:val="000000" w:themeColor="text1"/>
          <w:szCs w:val="24"/>
          <w:lang w:eastAsia="lv-LV"/>
        </w:rPr>
        <w:lastRenderedPageBreak/>
        <w:t xml:space="preserve">jāievēro prasības par interešu konflikta neesamību, kā arī </w:t>
      </w:r>
      <w:r w:rsidR="00A41DD3" w:rsidRPr="00A41DD3">
        <w:rPr>
          <w:rFonts w:eastAsia="Times New Roman" w:cs="Times New Roman"/>
          <w:iCs/>
          <w:color w:val="000000" w:themeColor="text1"/>
          <w:szCs w:val="24"/>
          <w:lang w:eastAsia="lv-LV"/>
        </w:rPr>
        <w:t>ALTUM</w:t>
      </w:r>
      <w:r w:rsidR="0005263D" w:rsidRPr="0005263D">
        <w:rPr>
          <w:rFonts w:eastAsia="Times New Roman" w:cs="Times New Roman"/>
          <w:iCs/>
          <w:color w:val="000000" w:themeColor="text1"/>
          <w:szCs w:val="24"/>
          <w:lang w:eastAsia="lv-LV"/>
        </w:rPr>
        <w:t xml:space="preserve"> norādījumi, kas šajā gadījumā būs ESKO atlases vadlīnijas. Norādījumu izstrādes būtība ir nodrošināt atklātu, pārredzamu, nediskriminējošu un konkurenci nodrošinošu konkursa procedūru</w:t>
      </w:r>
      <w:r w:rsidR="0005263D">
        <w:rPr>
          <w:rFonts w:eastAsia="Times New Roman" w:cs="Times New Roman"/>
          <w:iCs/>
          <w:color w:val="000000" w:themeColor="text1"/>
          <w:szCs w:val="24"/>
          <w:lang w:eastAsia="lv-LV"/>
        </w:rPr>
        <w:t>.</w:t>
      </w:r>
    </w:p>
    <w:p w14:paraId="41BCFDB8" w14:textId="650CFD9D" w:rsidR="0005263D" w:rsidRDefault="000D491D" w:rsidP="00A517AC">
      <w:pPr>
        <w:pStyle w:val="ListParagraph"/>
        <w:numPr>
          <w:ilvl w:val="0"/>
          <w:numId w:val="29"/>
        </w:numPr>
        <w:ind w:left="0" w:firstLine="0"/>
        <w:rPr>
          <w:rFonts w:eastAsia="Times New Roman" w:cs="Times New Roman"/>
          <w:iCs/>
          <w:color w:val="000000" w:themeColor="text1"/>
          <w:szCs w:val="24"/>
          <w:lang w:eastAsia="lv-LV"/>
        </w:rPr>
      </w:pPr>
      <w:r>
        <w:rPr>
          <w:rFonts w:eastAsia="Times New Roman" w:cs="Times New Roman"/>
          <w:iCs/>
          <w:color w:val="000000" w:themeColor="text1"/>
          <w:szCs w:val="24"/>
          <w:lang w:eastAsia="lv-LV"/>
        </w:rPr>
        <w:t>Attiecībā uz v</w:t>
      </w:r>
      <w:r w:rsidR="0005263D" w:rsidRPr="0005263D">
        <w:rPr>
          <w:rFonts w:eastAsia="Times New Roman" w:cs="Times New Roman"/>
          <w:iCs/>
          <w:color w:val="000000" w:themeColor="text1"/>
          <w:szCs w:val="24"/>
          <w:lang w:eastAsia="lv-LV"/>
        </w:rPr>
        <w:t>alsts atbalsta piešķiršanas nosacījumi</w:t>
      </w:r>
      <w:r>
        <w:rPr>
          <w:rFonts w:eastAsia="Times New Roman" w:cs="Times New Roman"/>
          <w:iCs/>
          <w:color w:val="000000" w:themeColor="text1"/>
          <w:szCs w:val="24"/>
          <w:lang w:eastAsia="lv-LV"/>
        </w:rPr>
        <w:t>em,</w:t>
      </w:r>
      <w:r w:rsidR="0005263D">
        <w:rPr>
          <w:rFonts w:eastAsia="Times New Roman" w:cs="Times New Roman"/>
          <w:iCs/>
          <w:color w:val="000000" w:themeColor="text1"/>
          <w:szCs w:val="24"/>
          <w:lang w:eastAsia="lv-LV"/>
        </w:rPr>
        <w:t xml:space="preserve"> </w:t>
      </w:r>
      <w:r>
        <w:rPr>
          <w:rFonts w:eastAsia="Times New Roman" w:cs="Times New Roman"/>
          <w:iCs/>
          <w:color w:val="000000" w:themeColor="text1"/>
          <w:szCs w:val="24"/>
          <w:lang w:eastAsia="lv-LV"/>
        </w:rPr>
        <w:t>l</w:t>
      </w:r>
      <w:r w:rsidR="0005263D" w:rsidRPr="0005263D">
        <w:rPr>
          <w:rFonts w:eastAsia="Times New Roman" w:cs="Times New Roman"/>
          <w:iCs/>
          <w:color w:val="000000" w:themeColor="text1"/>
          <w:szCs w:val="24"/>
          <w:lang w:eastAsia="lv-LV"/>
        </w:rPr>
        <w:t xml:space="preserve">ai nodrošinātu pēdējā Eiropas Savienības tiesas praksē nostiprināto pienākumu (skat. spriedumu lietā Nr. C-349/17) noteikumu projekts tiek papildināts ar jaunu  XIII sadaļas “Valsts atbalsta nosacījumi” 87.1 punktu, kas nosaka, ka, ja šo noteikumu 79. punktā minētais dzīvokļa īpašnieks ir pārkāpis Komisijas regulas Nr. 1407/2013 prasības, tam ir pienākums atmaksāt sabiedrībai </w:t>
      </w:r>
      <w:r w:rsidR="00A41DD3" w:rsidRPr="00A41DD3">
        <w:rPr>
          <w:rFonts w:eastAsia="Times New Roman" w:cs="Times New Roman"/>
          <w:iCs/>
          <w:color w:val="000000" w:themeColor="text1"/>
          <w:szCs w:val="24"/>
          <w:lang w:eastAsia="lv-LV"/>
        </w:rPr>
        <w:t>ALTUM</w:t>
      </w:r>
      <w:r w:rsidR="0005263D" w:rsidRPr="0005263D">
        <w:rPr>
          <w:rFonts w:eastAsia="Times New Roman" w:cs="Times New Roman"/>
          <w:iCs/>
          <w:color w:val="000000" w:themeColor="text1"/>
          <w:szCs w:val="24"/>
          <w:lang w:eastAsia="lv-LV"/>
        </w:rPr>
        <w:t xml:space="preserve"> visu saņemto de minimis atbalstu</w:t>
      </w:r>
      <w:r w:rsidR="0005263D">
        <w:rPr>
          <w:rFonts w:eastAsia="Times New Roman" w:cs="Times New Roman"/>
          <w:iCs/>
          <w:color w:val="000000" w:themeColor="text1"/>
          <w:szCs w:val="24"/>
          <w:lang w:eastAsia="lv-LV"/>
        </w:rPr>
        <w:t>.</w:t>
      </w:r>
    </w:p>
    <w:p w14:paraId="360E4056" w14:textId="77777777" w:rsidR="00846902" w:rsidRPr="00846902" w:rsidRDefault="00846902" w:rsidP="00846902">
      <w:pPr>
        <w:pStyle w:val="ListParagraph"/>
        <w:ind w:left="0" w:firstLine="0"/>
        <w:rPr>
          <w:rFonts w:eastAsia="Times New Roman" w:cs="Times New Roman"/>
          <w:iCs/>
          <w:color w:val="000000" w:themeColor="text1"/>
          <w:szCs w:val="24"/>
          <w:lang w:eastAsia="lv-LV"/>
        </w:rPr>
      </w:pPr>
    </w:p>
    <w:p w14:paraId="5E51B42B" w14:textId="34A59033" w:rsidR="001C2B05" w:rsidRDefault="000D491D" w:rsidP="001163BC">
      <w:pPr>
        <w:ind w:firstLine="0"/>
        <w:rPr>
          <w:u w:val="single"/>
        </w:rPr>
      </w:pPr>
      <w:r w:rsidRPr="001163BC">
        <w:rPr>
          <w:u w:val="single"/>
        </w:rPr>
        <w:t>I</w:t>
      </w:r>
      <w:r w:rsidR="001C2B05" w:rsidRPr="001163BC">
        <w:rPr>
          <w:rFonts w:hint="eastAsia"/>
          <w:u w:val="single"/>
        </w:rPr>
        <w:t>eguldījumu</w:t>
      </w:r>
      <w:r w:rsidR="000716A3" w:rsidRPr="001163BC">
        <w:rPr>
          <w:u w:val="single"/>
        </w:rPr>
        <w:t xml:space="preserve"> virzīšana</w:t>
      </w:r>
      <w:r w:rsidR="001C2B05" w:rsidRPr="001163BC">
        <w:rPr>
          <w:rFonts w:hint="eastAsia"/>
          <w:u w:val="single"/>
        </w:rPr>
        <w:t xml:space="preserve"> uz energoefektīvu publisko ēku fondu</w:t>
      </w:r>
      <w:r w:rsidRPr="001163BC">
        <w:rPr>
          <w:u w:val="single"/>
        </w:rPr>
        <w:t>, energoefektivitātes līgumu slēgšana publisko ēku sektorā</w:t>
      </w:r>
    </w:p>
    <w:p w14:paraId="4E99BF01" w14:textId="77777777" w:rsidR="001163BC" w:rsidRPr="001163BC" w:rsidRDefault="001163BC" w:rsidP="001163BC">
      <w:pPr>
        <w:ind w:firstLine="0"/>
        <w:rPr>
          <w:u w:val="single"/>
        </w:rPr>
      </w:pPr>
    </w:p>
    <w:p w14:paraId="089BD38F" w14:textId="22EC8B20" w:rsidR="000716A3" w:rsidRPr="000D491D" w:rsidRDefault="001C2B05" w:rsidP="000D491D">
      <w:r>
        <w:t>Energoefektivitātes līgumu (</w:t>
      </w:r>
      <w:r w:rsidR="0061381A">
        <w:t>EPL</w:t>
      </w:r>
      <w:r>
        <w:t>) slēgšana ir viena no pieejām energoefektivitātes projektu īstenošanai, jo īpaši dzīvojamās ēkās. Saskaņā ar šo pieeju ēkas īpašnieks slēdz tā saukto ESKO (energopakalpojumu uzņēmums), lai nodrošinātu projekta izpildi. ESKO uzdevums ir sagatavot, īstenot un līdzfinansēt projektu, kā arī ekspluatēt ēku un garantēt noteikto energoefektivitātes līmeni līguma darbības laikā (parasti 8-15 gadi). ESKO atlīdzina ēkas īpašnieks līguma darbības laikā (mēnesī vai gadā). Atalgojumam vajadzētu ļaut ESKO atgūt izmaksas, kas saistītas ar sagatavošanu, ieviešanu un darbību, ieskaitot izmaksas, kas saistītas ar projekta finansēšanu, kā arī jānodrošina pietiekama rezerve.</w:t>
      </w:r>
    </w:p>
    <w:p w14:paraId="6C441DA9" w14:textId="79D1EA4E" w:rsidR="001C2B05" w:rsidRDefault="001C2B05" w:rsidP="00421AEC">
      <w:r w:rsidRPr="00EC2960">
        <w:t xml:space="preserve">Latvijai nav izstrādāti Energoefektivitātes pakalpojuma līguma paraugi pašvaldību sektoram, kas ļautu slēgt ilgtermiņa līgumus, kas garāki par 5 gadiem. </w:t>
      </w:r>
      <w:r w:rsidR="0061381A">
        <w:t>EPL</w:t>
      </w:r>
      <w:r>
        <w:t xml:space="preserve"> Latvijas publisko ēku sektorā nav pievērsta liela uzmanība divu galveno iemeslu dēļ: 1) neskaidrība attiecībā uz saistību uzskaiti, kas izriet no EP</w:t>
      </w:r>
      <w:r w:rsidR="0061381A">
        <w:t>L</w:t>
      </w:r>
      <w:r>
        <w:t xml:space="preserve"> līgumiem par publisko sektoru; 2) ierobežojošā politika publiskā sektora finanšu jomā, kas sekoja pēc 2009. gada Eiropas valsts parāda krīzes, un Latvijā 2009. – 2013. gadā piemērotā pārmērīga budžeta deficīta novēršanas procedūra. Arī budžeta likumi Latvijā neļauj pašvaldībām slēgt līgumus, kuru rezultātā rodas saistības ilgāk par 5 gadiem. Finanšu ministrijā </w:t>
      </w:r>
      <w:r w:rsidR="00402001">
        <w:t>2019. gada vasarā</w:t>
      </w:r>
      <w:r>
        <w:t xml:space="preserve"> tika iesniegts priekšlikums ar lūgumu veikt izmaiņas 2020. gada budžeta likumprojektā, lai iekļautu papildu izņēmumu pašvaldību un tiešajām valsts iestādēm slēgt ilgtermiņa līgumus, ja EP</w:t>
      </w:r>
      <w:r w:rsidR="0061381A">
        <w:t>L</w:t>
      </w:r>
      <w:r>
        <w:t xml:space="preserve"> projekts tiek īstenots. Tomēr vēstule tika nosūtīta notiekošā budžeta procesa laikā, tāpēc bija par vēlu veikt būtiskas izmaiņas 2020. gada budžeta likumā. Procesā arī pašvaldības šo jautājumu nepaziņoja. Līdzko ir panākta vienošanās ar Finanšu ministriju, ir nepieciešams papildu skaidrojums par EP</w:t>
      </w:r>
      <w:r w:rsidR="0061381A">
        <w:t>L</w:t>
      </w:r>
      <w:r>
        <w:t xml:space="preserve"> pamatprincipiem, jo ​​īpaši par pušu atbildību un naudas plūsmām līguma darbības laikā. Ekonomikas ministrija turpina diskusijas ar Finanšu ministriju, pašvaldībām un AS </w:t>
      </w:r>
      <w:r w:rsidR="00A41DD3" w:rsidRPr="00A41DD3">
        <w:t>ALTUM</w:t>
      </w:r>
      <w:r>
        <w:t>, kas arī strādā pie pasākumiem, kas veicina ESKO attīstību publiskajā sektorā, bet kuriem traucē pašreizēj</w:t>
      </w:r>
      <w:r w:rsidR="000D491D">
        <w:t>ais normatīvais regulējums</w:t>
      </w:r>
      <w:r>
        <w:t>. Ierosinātās likuma izmaiņas tiks apskatītas budžeta veidošanas procesā nākamā gada pavasarī ar mērķi novērst juridiskos šķēršļus pašvaldībām, ievērojot 2021. gada Budžeta likumu.</w:t>
      </w:r>
    </w:p>
    <w:p w14:paraId="415C9BD7" w14:textId="178FEB24" w:rsidR="000B4284" w:rsidRDefault="000B4284" w:rsidP="000B4284">
      <w:r w:rsidRPr="000B4284">
        <w:t>Šobrīd pašvaldībām un valsts iestādēm ir tiesības izmantot ESKO un slēgt energoefektivitātes pakalpojuma līgumus uz termiņu ne ilgāku par 20 gadiem, tomēr līguma ietvaros veiktās investīcijas tiek uzskaitītās kā publiskais parāds ar ietekmi uz fiskālo telpu, lai gan faktiski ESKO modeļa pamatprincips pašvaldībai papildus budžeta izdevumus nerada (fiskāli neitrāli projekti), jo privātās investīcijas tiek atmaksātas no sasniegtā enerģijas ietaupījuma izmaksām.</w:t>
      </w:r>
    </w:p>
    <w:p w14:paraId="00889219" w14:textId="77777777" w:rsidR="000B4284" w:rsidRDefault="000B4284" w:rsidP="00421AEC"/>
    <w:p w14:paraId="0C32C539" w14:textId="77777777" w:rsidR="001C2B05" w:rsidRDefault="001C2B05" w:rsidP="00421AEC">
      <w:r>
        <w:t xml:space="preserve">Tikmēr </w:t>
      </w:r>
      <w:r w:rsidRPr="00EC2960">
        <w:t>projekta Accelerate SUNShINE ietvaros</w:t>
      </w:r>
      <w:r>
        <w:t xml:space="preserve"> jau</w:t>
      </w:r>
      <w:r w:rsidRPr="00EC2960">
        <w:t xml:space="preserve"> ir izstrādāts un piedāvāts Energoefektivitātes pakalpojuma līgums sabiedrisko ēku atjaunošanai Latvijā</w:t>
      </w:r>
      <w:r>
        <w:t>. Kā norāda autori, tad, l</w:t>
      </w:r>
      <w:r w:rsidRPr="00EC2960">
        <w:t>ai  ēkas  atjaunošana  būtu  kvalitatīva,  atjaunošanas</w:t>
      </w:r>
      <w:r>
        <w:t xml:space="preserve"> </w:t>
      </w:r>
      <w:r w:rsidRPr="00EC2960">
        <w:t>rezultātā  tiktu  sasniegts  plānotais energoefektivitātes</w:t>
      </w:r>
      <w:r>
        <w:t xml:space="preserve"> </w:t>
      </w:r>
      <w:r w:rsidRPr="00EC2960">
        <w:t>līmenis, nodrošināts augsts komforts telpās, izvēlēti izmaksu ziņā labākie risinājumi</w:t>
      </w:r>
      <w:r>
        <w:t xml:space="preserve"> </w:t>
      </w:r>
      <w:r w:rsidRPr="00EC2960">
        <w:t>un lai veiktie darbi kalpotu ilgtermiņā, ēku atjaunošanas procesā nepieciešams piesaistīt profesionāļus, kuri specializējas energoefektivitātes projektu realizācijā un gatavi uzņemties  ilgtermiņa  garantijas.  To  iespējams  panākt,</w:t>
      </w:r>
      <w:r>
        <w:t xml:space="preserve"> </w:t>
      </w:r>
      <w:r w:rsidRPr="00EC2960">
        <w:t>izmantojot</w:t>
      </w:r>
      <w:r>
        <w:t xml:space="preserve"> </w:t>
      </w:r>
      <w:r w:rsidRPr="00EC2960">
        <w:t>Energoefektivitātes</w:t>
      </w:r>
      <w:r>
        <w:t xml:space="preserve"> </w:t>
      </w:r>
      <w:r w:rsidRPr="00EC2960">
        <w:t>pakalpojuma  līgumu</w:t>
      </w:r>
      <w:r>
        <w:t xml:space="preserve"> </w:t>
      </w:r>
      <w:r w:rsidRPr="00EC2960">
        <w:t>(EPL),  kura  ietvaros  darbu izpildītājs</w:t>
      </w:r>
      <w:r>
        <w:t xml:space="preserve"> </w:t>
      </w:r>
      <w:r w:rsidRPr="00EC2960">
        <w:t>uzņemas atbildību</w:t>
      </w:r>
      <w:r>
        <w:t xml:space="preserve"> </w:t>
      </w:r>
      <w:r w:rsidRPr="00EC2960">
        <w:t>par  sasniegto energoefektivitātes līmeni un būvdarbu kvalitāti. Šāds līgums paredz, ka</w:t>
      </w:r>
      <w:r>
        <w:t xml:space="preserve"> </w:t>
      </w:r>
      <w:r w:rsidRPr="00EC2960">
        <w:t>izpildītājs garantē noteiktu  darbu  kvalitāti  (noteiktu  energoefektivitātes  līmeni, komfortu  telpās,  ja nepieciešama, tad</w:t>
      </w:r>
      <w:r>
        <w:t xml:space="preserve"> </w:t>
      </w:r>
      <w:r w:rsidRPr="00EC2960">
        <w:t>uzstādīto iekārtu, piemēram, ventilācijas sistēmas apkope u.c.) un ir arī finansiāli atbildīgs par</w:t>
      </w:r>
      <w:r>
        <w:t xml:space="preserve"> </w:t>
      </w:r>
      <w:r w:rsidRPr="00EC2960">
        <w:t>sasniegto rezultātu vairāku gadu garumā pēc ēkas atjaunošanas</w:t>
      </w:r>
      <w:r>
        <w:t xml:space="preserve"> </w:t>
      </w:r>
      <w:r w:rsidRPr="00EC2960">
        <w:t>un ēkas pieņemšanas</w:t>
      </w:r>
      <w:r>
        <w:t xml:space="preserve"> </w:t>
      </w:r>
      <w:r w:rsidRPr="00EC2960">
        <w:t>ekspluatācijā.</w:t>
      </w:r>
      <w:r w:rsidRPr="00285604">
        <w:rPr>
          <w:rStyle w:val="FootnoteReference"/>
        </w:rPr>
        <w:t xml:space="preserve"> </w:t>
      </w:r>
      <w:r>
        <w:rPr>
          <w:rStyle w:val="FootnoteReference"/>
        </w:rPr>
        <w:footnoteReference w:id="67"/>
      </w:r>
      <w:r>
        <w:t xml:space="preserve"> </w:t>
      </w:r>
    </w:p>
    <w:p w14:paraId="04625D72" w14:textId="01BA5178" w:rsidR="00C34820" w:rsidRDefault="001C2B05" w:rsidP="00C34820">
      <w:r>
        <w:t>Vienlaikus Ekonomikas ministrija ir sākusi kopīgu projektu ar JASPERS (Apvienotā palīdzība proje</w:t>
      </w:r>
      <w:r w:rsidR="00C34820">
        <w:t>ktu atbalstam Eiropas reģionos). Šobrīd norit 2. saskaņošanas cikls, kura ietvaros tiek lūgts komentēt izstrādāto līgumu visām ieinteresētajām pusēm. Tāpat plānots 3.saskaņošanas cikls, kad plānots saskaņot ar visām ministrijām. L</w:t>
      </w:r>
      <w:r w:rsidR="00214A31">
        <w:t>īgums jāizstrādā līdz 2020. gada 30. jūnijam.</w:t>
      </w:r>
    </w:p>
    <w:p w14:paraId="12C4D3AE" w14:textId="283E26E8" w:rsidR="001C2B05" w:rsidRDefault="001C2B05" w:rsidP="00421AEC">
      <w:r>
        <w:t>Tiek plānots sākt vismaz vienu ESKO pilotprojektu publiskajam sektoram 2020. gadā, apvienojot gan publiskās investīcijas (ES finansējums 4.2.1.2. pasākuma “Sabiedrisko ēku energoefektivitātes veicināšana”), gan privātās investīcijas. Šāda izmēģinājuma projekta īstenošana ļautu labāk izprast ESKO projektu darbību publiskajā sektorā, kā arī labāk izprast to lietderību, finanšu plūsmas un atmaksāšanās periodu, kā arī normatīvos šķēršļus, kas jālikvidē vai jāsamazina. Līgumu varēja noslēgt, izmantojot fiskāli neitrālo EP</w:t>
      </w:r>
      <w:r w:rsidR="0061381A">
        <w:t>L</w:t>
      </w:r>
      <w:r>
        <w:t xml:space="preserve"> modeli publiskajam sektoram, ko izstrādājis JASPERS un</w:t>
      </w:r>
      <w:r w:rsidR="000D491D">
        <w:t xml:space="preserve"> kas publicēts</w:t>
      </w:r>
      <w:r>
        <w:t xml:space="preserve"> Ekonomikas ministrijas vietnē.</w:t>
      </w:r>
    </w:p>
    <w:p w14:paraId="03A30DD7" w14:textId="77777777" w:rsidR="00FD55A7" w:rsidRDefault="001C2B05" w:rsidP="00FD55A7">
      <w:r>
        <w:t xml:space="preserve">Plānots izstrādāt publiski pieejamas vadlīnijas energoefektivitātes projektu sagatavošanai un iepirkumu organizēšanai. Pamatnostādņu izstrādē </w:t>
      </w:r>
      <w:r w:rsidR="000D491D">
        <w:t>pastāv</w:t>
      </w:r>
      <w:r>
        <w:t xml:space="preserve"> iespēj</w:t>
      </w:r>
      <w:r w:rsidR="000D491D">
        <w:t>a</w:t>
      </w:r>
      <w:r>
        <w:t xml:space="preserve"> iesaistīt Eiropas Investīciju konsultāciju centru, kas arī ir piedalījies Eurostat pamatnostādņu izstrādē, kā arī EIB.</w:t>
      </w:r>
    </w:p>
    <w:p w14:paraId="199AD195" w14:textId="44351F44" w:rsidR="00FD55A7" w:rsidRDefault="00FD55A7" w:rsidP="00FD55A7">
      <w:r>
        <w:t>P</w:t>
      </w:r>
      <w:r w:rsidRPr="00FD55A7">
        <w:t>ašvaldībām un valsts iestādēm ir tiesības izmantot ESKO (PESKO) un slēgt energoefektivitātes pakalpojuma līgumus</w:t>
      </w:r>
      <w:r w:rsidRPr="00FD55A7">
        <w:rPr>
          <w:vertAlign w:val="superscript"/>
        </w:rPr>
        <w:footnoteReference w:id="68"/>
      </w:r>
      <w:r w:rsidRPr="00FD55A7">
        <w:t>, tomēr līguma ietvaros veiktās investīcijas tiek uzskaitītās kā publiskais parāds ar ietekmi uz fiskālo telpu, lai gan faktiski ESKO (PESKO) modeļa pamatprincips pašvaldībai papildus budžeta izdevumus nerada, jo privātās investīcijas tiek atmaksātas no sasniegtā enerģijas ietaupījuma izmaksām. Tomēr gadījumā, ja vispārējās valdības sektorā esoša institucionāla vienība noslēdz energoefektivitātes līgumu, neievērojot Eiropas Kontu sistēmas (turpmāk – EKS) statistiskās uzskaites nosacījumus, tad šāds līgums rada ietekmi gan uz vispārējās valdības budžeta bilanci, kur veiktie privātā partnera kapitālieguldījumi tiek uzskaitīti kā vispārējās valdības budžeta izdevumi, gan uz vispārējās valdības sektora parādu.</w:t>
      </w:r>
    </w:p>
    <w:p w14:paraId="44FD4D64" w14:textId="1FBABAB3" w:rsidR="004035CD" w:rsidRPr="00FD55A7" w:rsidRDefault="004035CD" w:rsidP="00FD55A7">
      <w:r w:rsidRPr="004035CD">
        <w:lastRenderedPageBreak/>
        <w:t> Ir paredzēts attīstīt ESKO tirgu, novēršot šī tirgus nepilnības, jo komercbankas nepiedāvā energoefektivitātes pakalpojumu sniedzējiem ilgtermiņa finansējumu uz ilgtermiņa nosacījumiem. Tāpat ESKO tirgus varētu attīstīt, iestrādājot iespējas energoefektivitātes uzlabošanas projektus īstenot tieši ar ESKO.</w:t>
      </w:r>
      <w:r>
        <w:rPr>
          <w:rStyle w:val="FootnoteReference"/>
        </w:rPr>
        <w:footnoteReference w:id="69"/>
      </w:r>
    </w:p>
    <w:p w14:paraId="1D8258C3" w14:textId="425CD592" w:rsidR="00916CCF" w:rsidRDefault="00916CCF">
      <w:pPr>
        <w:spacing w:after="160" w:line="259" w:lineRule="auto"/>
        <w:ind w:firstLine="0"/>
        <w:jc w:val="left"/>
      </w:pPr>
    </w:p>
    <w:p w14:paraId="14BB457F" w14:textId="47BCB9F8" w:rsidR="00916CCF" w:rsidRDefault="00916CCF" w:rsidP="0001333E">
      <w:pPr>
        <w:ind w:firstLine="0"/>
        <w:rPr>
          <w:u w:val="single"/>
        </w:rPr>
      </w:pPr>
      <w:r w:rsidRPr="00916CCF">
        <w:rPr>
          <w:u w:val="single"/>
        </w:rPr>
        <w:t>NAP2027 iekļauti</w:t>
      </w:r>
      <w:r>
        <w:rPr>
          <w:u w:val="single"/>
        </w:rPr>
        <w:t>e</w:t>
      </w:r>
      <w:r w:rsidRPr="00916CCF">
        <w:rPr>
          <w:u w:val="single"/>
        </w:rPr>
        <w:t xml:space="preserve"> atbalsta mehānismi energoefektīviem, ilgtspējīgiem mājokļiem</w:t>
      </w:r>
      <w:r w:rsidR="00C70860">
        <w:rPr>
          <w:rStyle w:val="FootnoteReference"/>
          <w:u w:val="single"/>
        </w:rPr>
        <w:footnoteReference w:id="70"/>
      </w:r>
    </w:p>
    <w:p w14:paraId="2E372D65" w14:textId="77777777" w:rsidR="00947744" w:rsidRDefault="00947744" w:rsidP="0001333E">
      <w:pPr>
        <w:ind w:firstLine="0"/>
        <w:rPr>
          <w:u w:val="single"/>
        </w:rPr>
      </w:pPr>
    </w:p>
    <w:p w14:paraId="61733C8E" w14:textId="446A1536" w:rsidR="00916CCF" w:rsidRDefault="002F1AA4" w:rsidP="00916CCF">
      <w:r>
        <w:t>NAP 2027 viens no mērķiem ir a</w:t>
      </w:r>
      <w:r w:rsidR="00916CCF" w:rsidRPr="00916CCF">
        <w:t>tbalsta sniegšana ilgtspējīgu, zemu ekspluatācijas un būvniecības izmaksu mājokļiem primāri teritorijās ar jaunu darba vietu potenciālu, tai skaitā novēršot tirgus nepilnības, kas bremzē resursus maz patērējošu, energoefektīvu modulāro būvniecību, nodrošinot energoefektivitāti, SEG emisiju samazinājumu, inovatīvu tehnoloģiju un gudrās mājas risinājumu un vietējo resursu izmantošanu</w:t>
      </w:r>
      <w:r w:rsidR="00916CCF">
        <w:t>.</w:t>
      </w:r>
    </w:p>
    <w:p w14:paraId="1CE6FE5C" w14:textId="0994738B" w:rsidR="00916CCF" w:rsidRPr="00916CCF" w:rsidRDefault="00916CCF" w:rsidP="00916CCF">
      <w:r w:rsidRPr="00916CCF">
        <w:t>EM pieprasīj</w:t>
      </w:r>
      <w:r w:rsidR="002F1AA4">
        <w:t>usi</w:t>
      </w:r>
      <w:r w:rsidRPr="00916CCF">
        <w:t xml:space="preserve"> 472,5 milj. EUR, lai nodrošinātu ilgtermiņa aizdevum</w:t>
      </w:r>
      <w:r w:rsidR="008C5625">
        <w:t>u</w:t>
      </w:r>
      <w:r w:rsidRPr="00916CCF">
        <w:t xml:space="preserve">s mājokļu būvniecībai ar zemu procentu likmi. EM piedāvā atbalstu realizēt kā finanšu instrumentu (aizdevumu) un nodrošināt pozitīvu ietekmi uz valsts budžetu (aizdevumiem nav jākvalificējas budžeta deficīta pazīmēm, jo klienti (īrnieki) nebūs publiskās personas). </w:t>
      </w:r>
    </w:p>
    <w:p w14:paraId="2C3647CD" w14:textId="5EEDBCDC" w:rsidR="00916CCF" w:rsidRPr="00916CCF" w:rsidRDefault="00916CCF" w:rsidP="00916CCF">
      <w:pPr>
        <w:spacing w:after="160" w:line="259" w:lineRule="auto"/>
        <w:ind w:firstLine="0"/>
        <w:rPr>
          <w:rFonts w:eastAsiaTheme="majorEastAsia" w:cstheme="majorBidi"/>
          <w:b/>
          <w:color w:val="000000" w:themeColor="text1"/>
          <w:sz w:val="28"/>
          <w:szCs w:val="32"/>
        </w:rPr>
      </w:pPr>
      <w:r w:rsidRPr="00916CCF">
        <w:br w:type="page"/>
      </w:r>
    </w:p>
    <w:p w14:paraId="47DC219A" w14:textId="1AA012B6" w:rsidR="001C2B05" w:rsidRPr="00602C77" w:rsidRDefault="00E066F1" w:rsidP="00602C77">
      <w:pPr>
        <w:pStyle w:val="Heading1"/>
      </w:pPr>
      <w:bookmarkStart w:id="59" w:name="_Toc40113672"/>
      <w:r>
        <w:lastRenderedPageBreak/>
        <w:t>1. p</w:t>
      </w:r>
      <w:r w:rsidR="00602C77" w:rsidRPr="00602C77">
        <w:t>ielikums</w:t>
      </w:r>
      <w:bookmarkEnd w:id="59"/>
    </w:p>
    <w:p w14:paraId="7E9FF5E6" w14:textId="77777777" w:rsidR="001C2B05" w:rsidRDefault="001C2B05" w:rsidP="001C2B05"/>
    <w:p w14:paraId="528645AB" w14:textId="77777777" w:rsidR="000C64CD" w:rsidRDefault="000C64CD" w:rsidP="000C64CD"/>
    <w:p w14:paraId="67B7AB73" w14:textId="77777777" w:rsidR="00BF75A2" w:rsidRDefault="00BE05A5" w:rsidP="009153B4">
      <w:r>
        <w:t>Atbilstoši Direktīvas 2.a panta 6. punktam, s</w:t>
      </w:r>
      <w:r w:rsidRPr="00BE05A5">
        <w:t>avas ilgtermiņa atjaunošanas stratēģijas pielikumā katra dalībvalsts pievieno sīkāku informāciju par savas visnesenākās ilgtermiņa atjaunošanas stratēģijas īstenošanu, tostarp par plānoto politiku un darbībām.</w:t>
      </w:r>
      <w:r>
        <w:t xml:space="preserve"> </w:t>
      </w:r>
    </w:p>
    <w:p w14:paraId="7A782268" w14:textId="0C394747" w:rsidR="00BE05A5" w:rsidRDefault="00BE05A5" w:rsidP="009153B4">
      <w:r>
        <w:t>Turpmākajā tekstā ir sniegta informācija par iepriekšējā stratēģijā noteiktajiem aktuālajiem mērķiem</w:t>
      </w:r>
      <w:r w:rsidR="00BF75A2">
        <w:rPr>
          <w:rStyle w:val="FootnoteReference"/>
        </w:rPr>
        <w:footnoteReference w:id="71"/>
      </w:r>
      <w:r>
        <w:t>:</w:t>
      </w:r>
    </w:p>
    <w:p w14:paraId="29F85B0D" w14:textId="77777777" w:rsidR="009153B4" w:rsidRDefault="009153B4" w:rsidP="009153B4">
      <w:pPr>
        <w:ind w:firstLine="0"/>
      </w:pPr>
    </w:p>
    <w:p w14:paraId="38D4EE5C" w14:textId="0688B898" w:rsidR="00BF75A2" w:rsidRDefault="00386ED3" w:rsidP="009153B4">
      <w:pPr>
        <w:ind w:firstLine="0"/>
      </w:pPr>
      <w:r w:rsidRPr="00386ED3">
        <w:t xml:space="preserve">Aktuālie mērķi ēku energoefektivitātes jomā ir: </w:t>
      </w:r>
    </w:p>
    <w:p w14:paraId="461E667A" w14:textId="77777777" w:rsidR="00BF75A2" w:rsidRDefault="00BF75A2" w:rsidP="009153B4">
      <w:pPr>
        <w:ind w:firstLine="0"/>
      </w:pPr>
    </w:p>
    <w:p w14:paraId="2198588E" w14:textId="63D9E467" w:rsidR="00BF75A2" w:rsidRDefault="00386ED3" w:rsidP="009153B4">
      <w:pPr>
        <w:ind w:firstLine="0"/>
      </w:pPr>
      <w:r w:rsidRPr="00386ED3">
        <w:t xml:space="preserve">1) finansējuma pieejamība ekonomiski pamatotiem projektiem visā Latvijas teritorijā, t.sk. reģionos; </w:t>
      </w:r>
    </w:p>
    <w:p w14:paraId="34570960" w14:textId="7819E1AA" w:rsidR="00386ED3" w:rsidRPr="00386ED3" w:rsidRDefault="00386ED3" w:rsidP="009153B4">
      <w:r>
        <w:t xml:space="preserve">Kā jau stratēģijā tika aplūkots, tad </w:t>
      </w:r>
      <w:r w:rsidRPr="00386ED3">
        <w:t>Eiropas Reģionālās attīstības fonda 4.2.1.1.pasākum</w:t>
      </w:r>
      <w:r>
        <w:t>a</w:t>
      </w:r>
      <w:r w:rsidRPr="00386ED3">
        <w:t xml:space="preserve"> “Veicināt energoefektivitātes paaugstināšanu dzīvojamās ēkās” </w:t>
      </w:r>
      <w:r>
        <w:t xml:space="preserve"> ietvaros, bija iespēja veikt daudzdzīvokļu dzīvojamo ēku renovāciju, kas Latvijā sastāda platības ziņā lielāko daļu no visām dzīvojamām mājām. 4.2.2.1. pasākuma ietvaros bija iespēja saņemt līdz pat 50% apmērā lielu grantu. </w:t>
      </w:r>
      <w:r w:rsidRPr="00386ED3">
        <w:t>Daudzdzīvokļu māju energoefektivitātes paaugstināšanas valsts atbalsta programmā visā Latvijā kopš programmas sākuma 2016. gada pavasarī ir iesniegts 821 projektu pieteikums par provizorisko summu 375 miljoni eiro. Līdz ar to ir rezervēti visi programmā grantiem paredzētie līdzekļi, un no šā gada 11. janvāra jaunus pieteikumus dalībai programmā Attīstības finanšu institūcija ALTUM nepieņem</w:t>
      </w:r>
      <w:r>
        <w:t>.</w:t>
      </w:r>
      <w:r>
        <w:rPr>
          <w:rStyle w:val="FootnoteReference"/>
        </w:rPr>
        <w:footnoteReference w:id="72"/>
      </w:r>
    </w:p>
    <w:p w14:paraId="4A93A534" w14:textId="0A0F817E" w:rsidR="00386ED3" w:rsidRDefault="00386ED3" w:rsidP="009153B4">
      <w:pPr>
        <w:ind w:firstLine="0"/>
      </w:pPr>
    </w:p>
    <w:p w14:paraId="74AFEBC3" w14:textId="0ACD8B34" w:rsidR="00386ED3" w:rsidRDefault="00386ED3" w:rsidP="009153B4">
      <w:pPr>
        <w:ind w:firstLine="0"/>
      </w:pPr>
      <w:r w:rsidRPr="00386ED3">
        <w:t xml:space="preserve">2) kvalitatīva projektu vadība un uzraudzība; </w:t>
      </w:r>
      <w:r w:rsidR="00BE05A5">
        <w:t>un</w:t>
      </w:r>
    </w:p>
    <w:p w14:paraId="28184FAF" w14:textId="391C37B5" w:rsidR="00BF75A2" w:rsidRDefault="00386ED3" w:rsidP="009153B4">
      <w:pPr>
        <w:ind w:firstLine="0"/>
      </w:pPr>
      <w:r w:rsidRPr="00386ED3">
        <w:t>3) aktivitāšu uzraudzības fokusēšana uz rezultātu, tai skaitā enerģijas ietaupījumu, sasniegšanu;</w:t>
      </w:r>
    </w:p>
    <w:p w14:paraId="6F722C17" w14:textId="0A804580" w:rsidR="00BE05A5" w:rsidRDefault="00BE05A5" w:rsidP="009153B4">
      <w:r w:rsidRPr="00BF75A2">
        <w:t>MK noteikumi Nr. 160</w:t>
      </w:r>
      <w:r w:rsidR="00BF75A2" w:rsidRPr="00BF75A2">
        <w:t>”</w:t>
      </w:r>
      <w:r w:rsidR="00BF75A2" w:rsidRPr="00BF75A2">
        <w:rPr>
          <w:rFonts w:ascii="Arial" w:hAnsi="Arial" w:cs="Arial"/>
          <w:color w:val="414142"/>
          <w:sz w:val="35"/>
          <w:szCs w:val="35"/>
          <w:shd w:val="clear" w:color="auto" w:fill="FFFFFF"/>
        </w:rPr>
        <w:t xml:space="preserve"> </w:t>
      </w:r>
      <w:r w:rsidR="00BF75A2" w:rsidRPr="00BF75A2">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BF75A2">
        <w:t xml:space="preserve"> ti</w:t>
      </w:r>
      <w:r w:rsidRPr="00BE05A5">
        <w:t xml:space="preserve">ek papildināti ar 41.1 punktu, kas nosaka, ka, ja energoefektivitātes paaugstināšanas pasākumu īstenošanu nodrošina energoefektivitātes pakalpojumu sniedzējs, tas nodrošina, ka būvkomersants, autoruzraugs, būvuzraugs un citi piegādātāji, kas veiks energoefektivitātes projekta īstenošanu atbilst sabiedrības </w:t>
      </w:r>
      <w:r w:rsidR="00A41DD3" w:rsidRPr="00A41DD3">
        <w:t>ALTUM</w:t>
      </w:r>
      <w:r w:rsidR="00A41DD3">
        <w:t xml:space="preserve"> </w:t>
      </w:r>
      <w:r w:rsidRPr="00BE05A5">
        <w:t xml:space="preserve">norādījumiem. Šī norma paredz, ka sabiedrība </w:t>
      </w:r>
      <w:r w:rsidR="00A41DD3" w:rsidRPr="00A41DD3">
        <w:t>ALTUM</w:t>
      </w:r>
      <w:r w:rsidR="00A41DD3">
        <w:t xml:space="preserve"> </w:t>
      </w:r>
      <w:r w:rsidRPr="00BE05A5">
        <w:t xml:space="preserve">pārliecināsies par visu projekta īstenošanā iesaistīto pušu atbilstību labākajai praksei atbilstoši esošajai piegādātāju pārbaudes kārtībai 4.2.1.1. pasākuma ietvaros – sabiedrība </w:t>
      </w:r>
      <w:r w:rsidR="00A41DD3" w:rsidRPr="00A41DD3">
        <w:t>ALTUM</w:t>
      </w:r>
      <w:r w:rsidRPr="00BE05A5">
        <w:t xml:space="preserve"> izvērtēs būvkomersantu un piedāvājuma atbilstību tehniskajai dokumentācijai, kā arī veiks projekta uzraudzību, t.sk. pēc objekta pabeigšanas, lai pārliecinātos par veikto darbu atbilstību apstiprinātajam projektam.</w:t>
      </w:r>
    </w:p>
    <w:p w14:paraId="215B936E" w14:textId="77777777" w:rsidR="00BE05A5" w:rsidRDefault="00BE05A5" w:rsidP="009153B4">
      <w:pPr>
        <w:ind w:firstLine="0"/>
      </w:pPr>
    </w:p>
    <w:p w14:paraId="7F1D53A3" w14:textId="51339F34" w:rsidR="00386ED3" w:rsidRDefault="00386ED3" w:rsidP="009153B4">
      <w:pPr>
        <w:ind w:firstLine="0"/>
      </w:pPr>
      <w:r w:rsidRPr="00386ED3">
        <w:t xml:space="preserve"> 4) augstas energoefektivitātes un kvalitatīvas būvniecības sasniegšana;</w:t>
      </w:r>
    </w:p>
    <w:p w14:paraId="446F693A" w14:textId="5E2DBAC8" w:rsidR="00BE05A5" w:rsidRDefault="00BE05A5" w:rsidP="00BF75A2">
      <w:r>
        <w:t xml:space="preserve">Par augstas energoefektivitātes sasniegšanu liecina abas daudzdzīvokļu ēku energoefektivitātes uzlabošanas aktivitātes. </w:t>
      </w:r>
      <w:r w:rsidRPr="00BE05A5">
        <w:t xml:space="preserve">3.4.4.1. aktivitātes „Dzīvojamo māju </w:t>
      </w:r>
      <w:r w:rsidRPr="00BE05A5">
        <w:lastRenderedPageBreak/>
        <w:t>siltumnoturības uzlabošanas pasākumi” ietvaros, kas tika aizsākta 2009. gadā ir pabeigta 741 energoefektivitātes paaugstināšanas projektu īstenošana. Pabeigto projektu ietvaros sasniegts siltumenerģijas ietaupījums ir 30-60% no iepriekš patērētā siltumenerģijas apjoma</w:t>
      </w:r>
      <w:r>
        <w:t>.</w:t>
      </w:r>
      <w:r w:rsidRPr="00BE05A5">
        <w:t xml:space="preserve"> Savukārt, 4.2.1.1. aktivitātes ietvaros, ja aplūko jau pabeigto projektu siltumenerģijas patēriņu, tad tie </w:t>
      </w:r>
      <w:r w:rsidRPr="00BE05A5">
        <w:rPr>
          <w:bCs/>
          <w:iCs/>
        </w:rPr>
        <w:t>uzrāda būtisku enerģijas patēriņa samazinājumu – ja pirms mājas atjaunošanas vidējais enerģijas patēriņš bija 165 kWh gadā, tad pēc renovācijas darbiem tas ir vidēji par 67% zemāks jeb 54 kWh gadā.</w:t>
      </w:r>
      <w:r w:rsidRPr="00BE05A5">
        <w:rPr>
          <w:bCs/>
          <w:iCs/>
          <w:vertAlign w:val="superscript"/>
        </w:rPr>
        <w:footnoteReference w:id="73"/>
      </w:r>
      <w:r w:rsidRPr="00BE05A5">
        <w:t xml:space="preserve"> Līdz ar to, abu aktivitāšu ietvaros kopā, vidējais siltumenerģijas patēriņa ietaupījums ir aptuveni 60%.</w:t>
      </w:r>
    </w:p>
    <w:p w14:paraId="1B63834B" w14:textId="77777777" w:rsidR="00BF75A2" w:rsidRDefault="00BF75A2" w:rsidP="00BF75A2"/>
    <w:p w14:paraId="38DD38A7" w14:textId="0CDB054C" w:rsidR="00BF75A2" w:rsidRDefault="00386ED3" w:rsidP="00A9295F">
      <w:pPr>
        <w:ind w:firstLine="0"/>
      </w:pPr>
      <w:r w:rsidRPr="00386ED3">
        <w:t>5) būvkomersanta atlases procedūras uzlabošana;</w:t>
      </w:r>
    </w:p>
    <w:p w14:paraId="1D10FA94" w14:textId="140A4F4D" w:rsidR="00BE05A5" w:rsidRDefault="00BE05A5" w:rsidP="00BF75A2">
      <w:r w:rsidRPr="00BE05A5">
        <w:t>Dzīvokļu īpašnieku pilnvarotā persona var veikt energoefektivitātes pakalpojuma sniedzēja atlasi energoefektivitātes paaugstināšanas pasākumu īstenošanai. Ierosinātās izmaiņas MK noteikumu Nr.</w:t>
      </w:r>
      <w:r>
        <w:t> </w:t>
      </w:r>
      <w:r w:rsidRPr="00BE05A5">
        <w:t xml:space="preserve">160 68.1 punktā nosaka, ka ESKO atlases ietvaros pasūtītājam (dzīvokļu īpašnieku pilnvarotajai personai) būs jāievēro prasības par interešu konflikta neesamību, kā arī sabiedrības </w:t>
      </w:r>
      <w:r w:rsidR="00A41DD3" w:rsidRPr="00A41DD3">
        <w:t>ALTUM</w:t>
      </w:r>
      <w:r w:rsidR="00A41DD3">
        <w:t xml:space="preserve"> </w:t>
      </w:r>
      <w:r w:rsidRPr="00BE05A5">
        <w:t>norādījumi, kas šajā gadījumā būs ESKO atlases vadlīnijas. Norādījumu izstrādes būtība ir nodrošināt atklātu, pārredzamu, nediskriminējošu un konkurenci nodrošinošu konkursa procedūru.</w:t>
      </w:r>
    </w:p>
    <w:p w14:paraId="3AC7A449" w14:textId="4E9593CB" w:rsidR="00EC00E8" w:rsidRDefault="00386ED3" w:rsidP="009153B4">
      <w:pPr>
        <w:ind w:firstLine="0"/>
      </w:pPr>
      <w:r w:rsidRPr="00386ED3">
        <w:t xml:space="preserve"> </w:t>
      </w:r>
    </w:p>
    <w:p w14:paraId="18AE07C0" w14:textId="742A5F2D" w:rsidR="000B05A2" w:rsidRDefault="000B05A2" w:rsidP="009153B4">
      <w:r>
        <w:t>Tāpat iepriekšējā stratēģijā noteikts, ka, lai</w:t>
      </w:r>
      <w:r w:rsidRPr="000B05A2">
        <w:t xml:space="preserve"> nodrošināto energoefektivitātes mērķu sasniegšanu ES fondu 2014. – 2020. gada plānošanas periodā ir jāīsteno </w:t>
      </w:r>
      <w:r>
        <w:t>tādas aktivitātes, kā piemēram:</w:t>
      </w:r>
    </w:p>
    <w:p w14:paraId="5582380A" w14:textId="77777777" w:rsidR="00BF75A2" w:rsidRDefault="00BF75A2" w:rsidP="009153B4"/>
    <w:p w14:paraId="1E7A8822" w14:textId="1BD7431A" w:rsidR="00BF75A2" w:rsidRDefault="000B05A2" w:rsidP="00A9295F">
      <w:pPr>
        <w:ind w:firstLine="0"/>
      </w:pPr>
      <w:r>
        <w:t>1) ESKO veicināšana;</w:t>
      </w:r>
    </w:p>
    <w:p w14:paraId="0624C432" w14:textId="2DFE2C8F" w:rsidR="000B05A2" w:rsidRDefault="000B05A2" w:rsidP="009153B4">
      <w:r>
        <w:t xml:space="preserve">Norādām, ka aktuālās stratēģijas 4. nodaļā ir </w:t>
      </w:r>
      <w:r w:rsidR="009153B4">
        <w:t xml:space="preserve">aprakstīts un </w:t>
      </w:r>
      <w:r>
        <w:t>atrodama informācija par aktivitātēm, kas tendētas tieši uz ESKO tirgu un tā veicināšanu.</w:t>
      </w:r>
    </w:p>
    <w:p w14:paraId="72A40F33" w14:textId="77777777" w:rsidR="00BF75A2" w:rsidRDefault="00BF75A2" w:rsidP="009153B4"/>
    <w:p w14:paraId="54A3F586" w14:textId="2C35F578" w:rsidR="00BF75A2" w:rsidRDefault="000B05A2" w:rsidP="00A9295F">
      <w:pPr>
        <w:ind w:firstLine="0"/>
      </w:pPr>
      <w:r>
        <w:t xml:space="preserve">2) </w:t>
      </w:r>
      <w:r w:rsidRPr="000B05A2">
        <w:t>Nepieciešams turpināt izglītot potenciālos projektu iesniedzējus un projektu īstenotājus informatīvās kampaņas „Dzīvo siltāk” ietvaros</w:t>
      </w:r>
      <w:r>
        <w:t>;</w:t>
      </w:r>
    </w:p>
    <w:p w14:paraId="5F2616BB" w14:textId="0B002658" w:rsidR="000B05A2" w:rsidRDefault="000B05A2" w:rsidP="009153B4">
      <w:r>
        <w:t>Norādām, ka informatīvās kampaņas tiek vērstas ne tikai uz projektu iesniedzējiem, bet, ņemot vērā veiktās aktivitātes ēku atjaunošanā, šobrīd tiek organizēti pasākumi Latvijas pilsētās, kurās tiek aplūkotas tādas tēmas kā – “</w:t>
      </w:r>
      <w:r w:rsidRPr="000B05A2">
        <w:t>Ēkas dzīve pēc atjaunošanas</w:t>
      </w:r>
      <w:r>
        <w:t xml:space="preserve">”, </w:t>
      </w:r>
      <w:r w:rsidR="009153B4">
        <w:t>“</w:t>
      </w:r>
      <w:r w:rsidRPr="000B05A2">
        <w:t>Būtiskākās kļūdas un ieteikumi ēku atjaunošanā</w:t>
      </w:r>
      <w:r w:rsidR="009153B4">
        <w:t>”.</w:t>
      </w:r>
      <w:r w:rsidR="009153B4">
        <w:rPr>
          <w:rStyle w:val="FootnoteReference"/>
        </w:rPr>
        <w:footnoteReference w:id="74"/>
      </w:r>
      <w:r w:rsidR="009153B4">
        <w:t xml:space="preserve"> Tāpat ir bijuši daudz semināri, kuros notikušas diskusijas par aktuālajiem jautājumiem ēku energoefektivitātes jomā. Pārskatus par 2017-2019. gadam iespējams aplūkot EM tīmekļa vietnē.</w:t>
      </w:r>
      <w:r w:rsidR="009153B4">
        <w:rPr>
          <w:rStyle w:val="FootnoteReference"/>
        </w:rPr>
        <w:footnoteReference w:id="75"/>
      </w:r>
    </w:p>
    <w:p w14:paraId="1FCBC0E2" w14:textId="3D52846C" w:rsidR="009153B4" w:rsidRDefault="009153B4" w:rsidP="009153B4"/>
    <w:p w14:paraId="21AEE925" w14:textId="09BE9FA9" w:rsidR="009153B4" w:rsidRDefault="009153B4" w:rsidP="009153B4">
      <w:r>
        <w:t>Iepriekšējā stratēģijā, kā viens no papildus veicamajiem pasākumiem</w:t>
      </w:r>
      <w:r w:rsidRPr="009153B4">
        <w:t xml:space="preserve">, lai veicinātu ēku energoefektivitāti, </w:t>
      </w:r>
      <w:r>
        <w:t xml:space="preserve">ir noteikts, ka </w:t>
      </w:r>
      <w:r w:rsidRPr="009153B4">
        <w:t>bū</w:t>
      </w:r>
      <w:r>
        <w:t>tu</w:t>
      </w:r>
      <w:r w:rsidRPr="009153B4">
        <w:t xml:space="preserve"> </w:t>
      </w:r>
      <w:r>
        <w:t>r</w:t>
      </w:r>
      <w:r w:rsidRPr="009153B4">
        <w:t>egulāri jāpārskata minimālās ēku energoefektivitātes prasības (ēkas ārējo norobežojošo konstrukciju būvelementiem un ēku inženiertehniskajām sistēmām).</w:t>
      </w:r>
    </w:p>
    <w:p w14:paraId="11A9E2D6" w14:textId="067116B7" w:rsidR="009153B4" w:rsidRPr="00F05627" w:rsidRDefault="009153B4" w:rsidP="009153B4">
      <w:pPr>
        <w:keepLines/>
        <w:contextualSpacing/>
        <w:rPr>
          <w:rFonts w:eastAsia="Calibri" w:cs="Times New Roman"/>
          <w:szCs w:val="24"/>
          <w:lang w:eastAsia="lv-LV"/>
        </w:rPr>
      </w:pPr>
      <w:r>
        <w:t xml:space="preserve">Informējam, ka  ir veiktas </w:t>
      </w:r>
      <w:r>
        <w:rPr>
          <w:rFonts w:eastAsia="Calibri" w:cs="Times New Roman"/>
          <w:szCs w:val="24"/>
          <w:lang w:eastAsia="lv-LV"/>
        </w:rPr>
        <w:t>ē</w:t>
      </w:r>
      <w:r w:rsidRPr="00F05627">
        <w:rPr>
          <w:rFonts w:eastAsia="Calibri" w:cs="Times New Roman"/>
          <w:szCs w:val="24"/>
          <w:lang w:eastAsia="lv-LV"/>
        </w:rPr>
        <w:t xml:space="preserve">ku norobežojošo konstrukciju siltumtehnisko normatīvo prasību izmaiņas, kas </w:t>
      </w:r>
      <w:r>
        <w:rPr>
          <w:rFonts w:eastAsia="Calibri" w:cs="Times New Roman"/>
          <w:szCs w:val="24"/>
          <w:lang w:eastAsia="lv-LV"/>
        </w:rPr>
        <w:t>stājās</w:t>
      </w:r>
      <w:r w:rsidRPr="00F05627">
        <w:rPr>
          <w:rFonts w:eastAsia="Calibri" w:cs="Times New Roman"/>
          <w:szCs w:val="24"/>
          <w:lang w:eastAsia="lv-LV"/>
        </w:rPr>
        <w:t xml:space="preserve"> spēkā ar 2020. gada 1. janvāri</w:t>
      </w:r>
      <w:r w:rsidRPr="00F05627">
        <w:rPr>
          <w:rFonts w:eastAsia="Calibri" w:cs="Times New Roman"/>
          <w:szCs w:val="24"/>
          <w:vertAlign w:val="superscript"/>
          <w:lang w:eastAsia="lv-LV"/>
        </w:rPr>
        <w:footnoteReference w:id="76"/>
      </w:r>
      <w:r w:rsidRPr="0000237B">
        <w:t xml:space="preserve"> </w:t>
      </w:r>
      <w:r>
        <w:t xml:space="preserve"> un aizstāj </w:t>
      </w:r>
      <w:r w:rsidRPr="00976A76">
        <w:t>Latvijas būvnormatīvu LBN 002-15 "Ēku norobežojošo konstrukciju siltumtehnika"</w:t>
      </w:r>
      <w:r>
        <w:t>.</w:t>
      </w:r>
      <w:r w:rsidRPr="00976A76">
        <w:t xml:space="preserve"> </w:t>
      </w:r>
    </w:p>
    <w:p w14:paraId="3D6FF253" w14:textId="77777777" w:rsidR="009153B4" w:rsidRPr="001C261C" w:rsidRDefault="009153B4" w:rsidP="009153B4">
      <w:pPr>
        <w:contextualSpacing/>
        <w:rPr>
          <w:rFonts w:eastAsia="Calibri" w:cs="Times New Roman"/>
          <w:szCs w:val="24"/>
          <w:lang w:eastAsia="lv-LV"/>
        </w:rPr>
      </w:pPr>
      <w:r w:rsidRPr="001C261C">
        <w:rPr>
          <w:rFonts w:eastAsia="Calibri" w:cs="Times New Roman"/>
          <w:szCs w:val="24"/>
          <w:lang w:eastAsia="lv-LV"/>
        </w:rPr>
        <w:lastRenderedPageBreak/>
        <w:t>Ir pastiprinātas prasības ēku energoefektivitātes minimālajam pieļaujamajam līmenim, energoefektivitātes novērtējumam apkurei atjaunošanām un pārbūvēm no 2021. gada, jo:</w:t>
      </w:r>
    </w:p>
    <w:p w14:paraId="0AB0380B" w14:textId="77777777" w:rsidR="009153B4" w:rsidRPr="001C261C" w:rsidRDefault="009153B4" w:rsidP="009153B4">
      <w:pPr>
        <w:contextualSpacing/>
        <w:rPr>
          <w:rFonts w:eastAsia="Calibri" w:cs="Times New Roman"/>
          <w:szCs w:val="24"/>
          <w:lang w:eastAsia="lv-LV"/>
        </w:rPr>
      </w:pPr>
      <w:r w:rsidRPr="001C261C">
        <w:rPr>
          <w:rFonts w:eastAsia="Calibri" w:cs="Times New Roman"/>
          <w:szCs w:val="24"/>
          <w:lang w:eastAsia="lv-LV"/>
        </w:rPr>
        <w:t>1) Direktīva 2010/31/ES paredzējusi, ka valsts veicina, lai ēkas atjaunojot padarītu par gandrīz nulles enerģijas ēkām;</w:t>
      </w:r>
    </w:p>
    <w:p w14:paraId="2562A1F7" w14:textId="77777777" w:rsidR="009153B4" w:rsidRDefault="009153B4" w:rsidP="009153B4">
      <w:pPr>
        <w:contextualSpacing/>
        <w:rPr>
          <w:rFonts w:eastAsia="Calibri" w:cs="Times New Roman"/>
          <w:szCs w:val="24"/>
          <w:lang w:eastAsia="lv-LV"/>
        </w:rPr>
      </w:pPr>
      <w:r w:rsidRPr="001C261C">
        <w:rPr>
          <w:rFonts w:eastAsia="Calibri" w:cs="Times New Roman"/>
          <w:szCs w:val="24"/>
          <w:lang w:eastAsia="lv-LV"/>
        </w:rPr>
        <w:t>2) Līdz 2050.gadam jāsasniedz ēku dekarbonizācijas mērķi.</w:t>
      </w:r>
    </w:p>
    <w:p w14:paraId="70FFD123" w14:textId="28466A4A" w:rsidR="00E066F1" w:rsidRDefault="00E066F1">
      <w:r>
        <w:br w:type="page"/>
      </w:r>
    </w:p>
    <w:p w14:paraId="30685666" w14:textId="1461D55E" w:rsidR="009153B4" w:rsidRDefault="00E066F1" w:rsidP="00E066F1">
      <w:pPr>
        <w:pStyle w:val="Heading1"/>
      </w:pPr>
      <w:bookmarkStart w:id="60" w:name="_Toc40113673"/>
      <w:r>
        <w:lastRenderedPageBreak/>
        <w:t>2. pielikums</w:t>
      </w:r>
      <w:bookmarkEnd w:id="60"/>
    </w:p>
    <w:p w14:paraId="04EC4BD4" w14:textId="7825C26E" w:rsidR="00E066F1" w:rsidRDefault="00E066F1" w:rsidP="00E066F1"/>
    <w:p w14:paraId="5BA0DB90" w14:textId="451408D7" w:rsidR="00E066F1" w:rsidRDefault="00E066F1" w:rsidP="00E066F1"/>
    <w:p w14:paraId="5DD3A1A0" w14:textId="0CEB4E46" w:rsidR="008C5625" w:rsidRDefault="00E066F1" w:rsidP="00152CB2">
      <w:r>
        <w:t>K</w:t>
      </w:r>
      <w:r w:rsidRPr="00E066F1">
        <w:t xml:space="preserve">atra dalībvalsts pirms savas ilgtermiņa atjaunošanas stratēģijas iesniegšanas Komisijai par to rīko </w:t>
      </w:r>
      <w:r w:rsidR="008E7F01">
        <w:t>publisko</w:t>
      </w:r>
      <w:r w:rsidRPr="00E066F1">
        <w:t xml:space="preserve"> apspriešanu. Katra dalībvalsts savai ilgtermiņa atjaunošanas stratēģijai pielikumā pievieno savas </w:t>
      </w:r>
      <w:r w:rsidR="008E7F01">
        <w:t>publiskās</w:t>
      </w:r>
      <w:r w:rsidRPr="00E066F1">
        <w:t xml:space="preserve"> apspriešanas rezultātu kopsavilkumu</w:t>
      </w:r>
      <w:r w:rsidR="00152CB2">
        <w:t xml:space="preserve">. </w:t>
      </w:r>
      <w:r w:rsidR="008C5625">
        <w:t xml:space="preserve">Tā kā </w:t>
      </w:r>
      <w:r w:rsidR="008E7F01">
        <w:t>publiskās</w:t>
      </w:r>
      <w:r w:rsidR="008C5625">
        <w:t xml:space="preserve"> apspriešanas var uzlabot rīcībpolitikas rezultātus, ir noteikts, ka tā ir obligāta, bet katrai dalībvalstij ir paredzēta iespēja noteikt savu apspriešanas formātu.</w:t>
      </w:r>
      <w:r w:rsidR="006C20A5">
        <w:t xml:space="preserve"> </w:t>
      </w:r>
    </w:p>
    <w:p w14:paraId="7377F85B" w14:textId="6D057046" w:rsidR="006C20A5" w:rsidRDefault="006C20A5" w:rsidP="00E066F1">
      <w:r>
        <w:t xml:space="preserve">Ekonomikas ministrija ēku atjaunošanas ilgtermiņa stratēģiju ievietoja Ekonomikas ministrijas mājaslapā, vienlaikus par šo informatīvā ziņojuma projektu informējot Latvijas Pašvaldību savienību, Latvijas Darba devēju konfederāciju, Latvijas Tirdzniecības un rūpniecības kameru, Latvijas Namu pārvaldītāju un apsaimniekotāju asociāciju, kā arī Vides aizsardzības un reģionālās attīstības ministriju viedokļa sniegšanai. Priekšlikumus par ēku </w:t>
      </w:r>
      <w:r w:rsidRPr="006C20A5">
        <w:t>ilg</w:t>
      </w:r>
      <w:r>
        <w:t>termiņa atjaunošanas stratēģiju sniedza Latvijas Pašvaldību savienība, norādot sekojošo:</w:t>
      </w:r>
    </w:p>
    <w:p w14:paraId="771D3629" w14:textId="0F4DAE9D" w:rsidR="006C20A5" w:rsidRDefault="00152CB2" w:rsidP="006C20A5">
      <w:r>
        <w:t>"</w:t>
      </w:r>
      <w:r w:rsidR="006C20A5">
        <w:t>Latvijas Pašvaldību savienība LPS) ir iepazinusies ar Ekonomikas ministrijas (EM) sagatavoto dokumenta projektu “Ēku atjaunošanas ilgtermiņa stratēģija”.  LPS pilnībā atbalsta dokumentā pausto ideju, ka patlaban ekspluatācijā esošās ēkas, kas lielā mērā ir celtas līdz 1940. vai 1990. gadiem, ir kompleksi jāatjauno un jāsiltina.</w:t>
      </w:r>
    </w:p>
    <w:p w14:paraId="36B3B9F5" w14:textId="77777777" w:rsidR="006C20A5" w:rsidRDefault="006C20A5" w:rsidP="006C20A5">
      <w:r>
        <w:t xml:space="preserve">Taču LPS uzskata, ka tas jāveic atbilstoši valsts budžeta iespējām un pieejamajiem resursiem, un papildus iesaistot arī sabiedrību un ēku īpašniekus. LPS saistībā ar šo stratēģiju izsaka sekojošus priekšlikumus: </w:t>
      </w:r>
    </w:p>
    <w:p w14:paraId="27F1C5D8" w14:textId="77777777" w:rsidR="006C20A5" w:rsidRDefault="006C20A5" w:rsidP="006C20A5">
      <w:r>
        <w:t>1.</w:t>
      </w:r>
      <w:r>
        <w:tab/>
        <w:t xml:space="preserve">LPS piekrīt apgalvojumam, ka rekonstruējot vai atjaunojot ēku, pieaugs tās kadastrālā vērtība un līdz ar to atsevišķos gadījumos arī nekustamā īpašuma nodokļa likme, jo ēku rekonstrukcija un atjaunošana prasa ievērojamas investīcijas. Vienlaikus vēlamies uzsvērt, ka pašvaldībām ir dotas tiesības savos saistošajos noteikumos noteikt nekustamā īpašuma nodokļa atvieglojumus vai piemērot tādu likmi, kas varētu palielināt ēku īpašnieku interesi veikt energoefektivitātes pasākumus. Tomēr šo jautājumu var risināt tikai pati pašvaldība uz vietas izvērtējot sava budžeta iespējas. LPS kategoriski iebilst pret jelkādu šī nodokļa centralizētas atlaides metodikas/regulējuma izveidi. </w:t>
      </w:r>
    </w:p>
    <w:p w14:paraId="013FC125" w14:textId="77777777" w:rsidR="006C20A5" w:rsidRDefault="006C20A5" w:rsidP="006C20A5">
      <w:r>
        <w:t>2.</w:t>
      </w:r>
      <w:r>
        <w:tab/>
        <w:t xml:space="preserve">LPS kategoriski noraida Nacionālās nekustamo īpašumu attīstītāju alianses ieteikumu un ziņojumā minēto domu par atteikšanos no nodevas par pašvaldības infrastruktūras uzturēšanu un attīstību, veicot grozījumus likumā “Par nodokļiem un nodevām”. LPS uzskata, ka NNĪAA, kas apvieno lielākos nekustamo īpašumu attīstītājus Latvijā, priekšlikums nav ekonomiski izsvērts.  </w:t>
      </w:r>
    </w:p>
    <w:p w14:paraId="05E15B79" w14:textId="77777777" w:rsidR="006C20A5" w:rsidRDefault="006C20A5" w:rsidP="006C20A5">
      <w:r>
        <w:t>3.</w:t>
      </w:r>
      <w:r>
        <w:tab/>
        <w:t>Saistībā ar ieguldījumu virzīšanu uz energoefektīvu publisko ēku fondu, energoefektivitātes līgumu slēgšanu publisko ēku sektorā, LPS ieskatā būtu jāvērtē izejot no pieejamā finansējuma. Situācijā, kad energoefektivitātes līgumu (EPL) slēgšana ir pieejama energoefektivitātes projektu īstenošanai, jo īpaši dzīvojamās ēkās un patreiz darbojas tā sauktie ESKO (energopakalpojumu uzņēmums), lai nodrošinātu pilna cikla projekta izpildi, ir nepieciešams rast iespēju piesaistīt alternatīvus finanšu resursus, piemēram zaļās obligācijas, kredītlīnija Eiropas Investīciju bankā. LPS ieskatā šobrīd ESKO ir salīdzinoši dārgs pakalpojuma iepirkuma veids, jo šie komersanti slēdz līgumu uz 20 gadiem un līguma ietvaros veiktās investīcijas tiek uzskaitītās kā publiskais parāds ar ietekmi uz fiskālo telpu. Tāpat, ņemot vērā, ka privātās investīcijas tiek atmaksātas no sasniegtā enerģijas ietaupījuma izmaksām, pie klimata izmaiņām ESKO modeļa pamatprincips pašvaldībai varētu radīt papildus budžeta izdevumus.</w:t>
      </w:r>
    </w:p>
    <w:p w14:paraId="317ED8D2" w14:textId="77777777" w:rsidR="006C20A5" w:rsidRDefault="006C20A5" w:rsidP="006C20A5">
      <w:r>
        <w:lastRenderedPageBreak/>
        <w:t>4.</w:t>
      </w:r>
      <w:r>
        <w:tab/>
        <w:t>LPS kategoriski noraida ziņojumā minēto priekšlikumu paredzēt, ka no maksātāja ienākumiem, par kuriem maksā algas nodokli, izslēdz ēku atjaunošanas un pārbūves izdevumus 50% no darbaspēka izmaksām līdz 2000 EUR gadā, veicot grozījumus likumā “Par Iedzīvotāju ienākuma nodokli”. Situācijā, kad Latvijā ir zema iedzīvotāju pirktspēja, ir svarīgi valstij veidot gudrus finanšu risinājumus, kas ietvertu gan zemas procentu likmes aizdevumu un protams arī nelielu un taisnīgu grantu mājsaimniecībām, kurām ir nepieciešams atbalsts. LPS kategoriski noraida  iespēju samazināt IIN māju renovācijas gadījumā. Jāņem vērā ka IIN samazinājums  viennozīmīgi ietekmē pašvaldību budžetus, kuros jāparedz finanses gan izglītībai, gan sociālajiem pasākumiem, u.c.. pašvaldības nevar atļauties savu budžetu samazinājumu energoefektivitātes vārdā, tam ir jāparedz valsts finansējums.</w:t>
      </w:r>
    </w:p>
    <w:p w14:paraId="6A50C78A" w14:textId="77777777" w:rsidR="006C20A5" w:rsidRDefault="006C20A5" w:rsidP="006C20A5">
      <w:r>
        <w:t>5.</w:t>
      </w:r>
      <w:r>
        <w:tab/>
        <w:t>Tāpat LPS nav pieņemami stratēģijā minētie plānotie iespējamie pasākumi (45. lpp.) par 25% samazināt kadastrālo vērtību nekustamā īpašuma nodokļa aprēķināšanas vajadzībām gandrīz nulles enerģijas ēkām.</w:t>
      </w:r>
    </w:p>
    <w:p w14:paraId="3803FA1F" w14:textId="77777777" w:rsidR="006C20A5" w:rsidRDefault="006C20A5" w:rsidP="006C20A5">
      <w:r>
        <w:t>6.</w:t>
      </w:r>
      <w:r>
        <w:tab/>
        <w:t xml:space="preserve"> LPS uzsver - ja valsts, ieviešot  ar 2020. gada 1. janvārī Latvijas būvnormatīvu LBN 002-19 "Ēku norobežojošo konstrukciju siltumtehnika" ir paredzējusi tikai nulles enerģijas vai tuvu nulles energopatēriņa ēkas, tad EM būtu jāizstrādā mehānisms kā šos pasākumus realizēt dzīvē. Ir skaidrs, ka šādu energoefektivitātes pasākumu ieviešana prasīs lielus līdzekļus, un stratēģijā šie finanšu līdzekļu avoti nav norādīti. Taču bez pietiekama finansējuma šādi Stratēģijas mērķi nav sasniedzami, un attiecīgi stratēģija varētu neizpildīt uzliktos mērķus. </w:t>
      </w:r>
    </w:p>
    <w:p w14:paraId="1421BABC" w14:textId="32307382" w:rsidR="006C20A5" w:rsidRPr="00E066F1" w:rsidRDefault="006C20A5" w:rsidP="006C20A5">
      <w:r>
        <w:t>Tāpēc LPS lūdz pārskatīt un papildināt priekšlikumus plānotajā ēku atjaunošanas stratēģijā, veidojot ilglaicīgu, finansiāli pamatotu valsts programmu ēku atjaunošanai, paredzot ēku atjaunošanai konkrētu finansējumu no dažādu valsts programmu un fondu puses (energoefektivitātes fondi, ES fondi). Iespējams, ka par piemēru varētu ņemt Lietuvas valsts iesaistīšanos ēku atjaunošanā, izmantojot ES programmu ELENA.</w:t>
      </w:r>
      <w:r w:rsidR="00152CB2">
        <w:t>"</w:t>
      </w:r>
    </w:p>
    <w:sectPr w:rsidR="006C20A5" w:rsidRPr="00E066F1" w:rsidSect="003F1C88">
      <w:footerReference w:type="default" r:id="rId18"/>
      <w:footerReference w:type="first" r:id="rId19"/>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D6EF" w14:textId="77777777" w:rsidR="00D13F6B" w:rsidRDefault="00D13F6B" w:rsidP="00011E42">
      <w:r>
        <w:separator/>
      </w:r>
    </w:p>
  </w:endnote>
  <w:endnote w:type="continuationSeparator" w:id="0">
    <w:p w14:paraId="21CE136F" w14:textId="77777777" w:rsidR="00D13F6B" w:rsidRDefault="00D13F6B" w:rsidP="000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46360"/>
      <w:docPartObj>
        <w:docPartGallery w:val="Page Numbers (Bottom of Page)"/>
        <w:docPartUnique/>
      </w:docPartObj>
    </w:sdtPr>
    <w:sdtEndPr>
      <w:rPr>
        <w:noProof/>
      </w:rPr>
    </w:sdtEndPr>
    <w:sdtContent>
      <w:p w14:paraId="5ED10FFA" w14:textId="42958656" w:rsidR="006C20A5" w:rsidRDefault="006C20A5">
        <w:pPr>
          <w:pStyle w:val="Footer"/>
          <w:jc w:val="center"/>
        </w:pPr>
        <w:r>
          <w:fldChar w:fldCharType="begin"/>
        </w:r>
        <w:r>
          <w:instrText xml:space="preserve"> PAGE   \* MERGEFORMAT </w:instrText>
        </w:r>
        <w:r>
          <w:fldChar w:fldCharType="separate"/>
        </w:r>
        <w:r w:rsidR="00611726">
          <w:rPr>
            <w:noProof/>
          </w:rPr>
          <w:t>6</w:t>
        </w:r>
        <w:r>
          <w:rPr>
            <w:noProof/>
          </w:rPr>
          <w:fldChar w:fldCharType="end"/>
        </w:r>
      </w:p>
    </w:sdtContent>
  </w:sdt>
  <w:p w14:paraId="6CF0CED2" w14:textId="42F8EC1F" w:rsidR="006C20A5" w:rsidRDefault="00C945D5">
    <w:pPr>
      <w:pStyle w:val="Footer"/>
    </w:pPr>
    <w:fldSimple w:instr=" FILENAME   \* MERGEFORMAT ">
      <w:r w:rsidR="00DA78E0">
        <w:rPr>
          <w:noProof/>
        </w:rPr>
        <w:t>EMZin_12052020_Eku_atjaun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F38" w14:textId="588742DA" w:rsidR="008D0707" w:rsidRDefault="00C945D5">
    <w:pPr>
      <w:pStyle w:val="Footer"/>
    </w:pPr>
    <w:fldSimple w:instr=" FILENAME   \* MERGEFORMAT ">
      <w:r w:rsidR="00DA78E0">
        <w:rPr>
          <w:noProof/>
        </w:rPr>
        <w:t>EMZin_12052020_Eku_atjaun</w:t>
      </w:r>
    </w:fldSimple>
  </w:p>
  <w:p w14:paraId="068AE732" w14:textId="77777777" w:rsidR="008D0707" w:rsidRDefault="008D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BF01" w14:textId="77777777" w:rsidR="00D13F6B" w:rsidRDefault="00D13F6B" w:rsidP="00011E42">
      <w:r>
        <w:separator/>
      </w:r>
    </w:p>
  </w:footnote>
  <w:footnote w:type="continuationSeparator" w:id="0">
    <w:p w14:paraId="05D260C2" w14:textId="77777777" w:rsidR="00D13F6B" w:rsidRDefault="00D13F6B" w:rsidP="00011E42">
      <w:r>
        <w:continuationSeparator/>
      </w:r>
    </w:p>
  </w:footnote>
  <w:footnote w:id="1">
    <w:p w14:paraId="3FC920E2" w14:textId="77777777" w:rsidR="006C20A5" w:rsidRPr="001911DD" w:rsidRDefault="006C20A5" w:rsidP="00011E42">
      <w:pPr>
        <w:pStyle w:val="Zemsvtra"/>
        <w:rPr>
          <w:lang w:val="ru-RU"/>
        </w:rPr>
      </w:pPr>
      <w:r w:rsidRPr="003207BB">
        <w:rPr>
          <w:rStyle w:val="FootnoteReference"/>
          <w:sz w:val="16"/>
          <w:szCs w:val="16"/>
        </w:rPr>
        <w:footnoteRef/>
      </w:r>
      <w:r w:rsidRPr="00011E42">
        <w:rPr>
          <w:lang w:val="ru-RU"/>
        </w:rPr>
        <w:t xml:space="preserve"> „СНиП </w:t>
      </w:r>
      <w:r w:rsidRPr="003207BB">
        <w:t>II</w:t>
      </w:r>
      <w:r w:rsidRPr="00011E42">
        <w:rPr>
          <w:lang w:val="ru-RU"/>
        </w:rPr>
        <w:t>-3-79 Строительная теплотехника” (</w:t>
      </w:r>
      <w:r w:rsidRPr="003207BB">
        <w:t>celtniec</w:t>
      </w:r>
      <w:r w:rsidRPr="00011E42">
        <w:rPr>
          <w:lang w:val="ru-RU"/>
        </w:rPr>
        <w:t>ī</w:t>
      </w:r>
      <w:r w:rsidRPr="003207BB">
        <w:t>bas</w:t>
      </w:r>
      <w:r w:rsidRPr="00011E42">
        <w:rPr>
          <w:lang w:val="ru-RU"/>
        </w:rPr>
        <w:t xml:space="preserve"> </w:t>
      </w:r>
      <w:r w:rsidRPr="003207BB">
        <w:t>siltumtehnika</w:t>
      </w:r>
      <w:r w:rsidRPr="00011E42">
        <w:rPr>
          <w:lang w:val="ru-RU"/>
        </w:rPr>
        <w:t xml:space="preserve">), СНиП </w:t>
      </w:r>
      <w:r w:rsidRPr="003207BB">
        <w:t>II</w:t>
      </w:r>
      <w:r w:rsidRPr="00011E42">
        <w:rPr>
          <w:lang w:val="ru-RU"/>
        </w:rPr>
        <w:t xml:space="preserve">-3-79 2. </w:t>
      </w:r>
      <w:r w:rsidRPr="001911DD">
        <w:rPr>
          <w:lang w:val="ru-RU"/>
        </w:rPr>
        <w:t xml:space="preserve">Теплоустойчивость ограждающих конструкций (2. </w:t>
      </w:r>
      <w:r w:rsidRPr="003207BB">
        <w:t>da</w:t>
      </w:r>
      <w:r w:rsidRPr="001911DD">
        <w:rPr>
          <w:lang w:val="ru-RU"/>
        </w:rPr>
        <w:t>ļ</w:t>
      </w:r>
      <w:r w:rsidRPr="003207BB">
        <w:t>a</w:t>
      </w:r>
      <w:r w:rsidRPr="001911DD">
        <w:rPr>
          <w:lang w:val="ru-RU"/>
        </w:rPr>
        <w:t xml:space="preserve"> – </w:t>
      </w:r>
      <w:r w:rsidRPr="003207BB">
        <w:t>Norobe</w:t>
      </w:r>
      <w:r w:rsidRPr="001911DD">
        <w:rPr>
          <w:lang w:val="ru-RU"/>
        </w:rPr>
        <w:t>ž</w:t>
      </w:r>
      <w:r w:rsidRPr="003207BB">
        <w:t>ojo</w:t>
      </w:r>
      <w:r w:rsidRPr="001911DD">
        <w:rPr>
          <w:lang w:val="ru-RU"/>
        </w:rPr>
        <w:t>š</w:t>
      </w:r>
      <w:r w:rsidRPr="003207BB">
        <w:t>o</w:t>
      </w:r>
      <w:r w:rsidRPr="001911DD">
        <w:rPr>
          <w:lang w:val="ru-RU"/>
        </w:rPr>
        <w:t xml:space="preserve"> </w:t>
      </w:r>
      <w:r w:rsidRPr="003207BB">
        <w:t>konstrukciju</w:t>
      </w:r>
      <w:r w:rsidRPr="001911DD">
        <w:rPr>
          <w:lang w:val="ru-RU"/>
        </w:rPr>
        <w:t xml:space="preserve"> </w:t>
      </w:r>
      <w:r w:rsidRPr="003207BB">
        <w:t>siltumtehnika</w:t>
      </w:r>
      <w:r w:rsidRPr="001911DD">
        <w:rPr>
          <w:lang w:val="ru-RU"/>
        </w:rPr>
        <w:t>).</w:t>
      </w:r>
    </w:p>
  </w:footnote>
  <w:footnote w:id="2">
    <w:p w14:paraId="20AAEA61" w14:textId="77777777" w:rsidR="006C20A5" w:rsidRPr="00963CBA" w:rsidRDefault="006C20A5" w:rsidP="00C13694">
      <w:pPr>
        <w:pStyle w:val="Zemsvtra"/>
        <w:rPr>
          <w:lang w:val="ru-RU"/>
        </w:rPr>
      </w:pPr>
      <w:r w:rsidRPr="003207BB">
        <w:rPr>
          <w:rStyle w:val="FootnoteReference"/>
          <w:sz w:val="16"/>
          <w:szCs w:val="16"/>
        </w:rPr>
        <w:footnoteRef/>
      </w:r>
      <w:r w:rsidRPr="00963CBA">
        <w:rPr>
          <w:lang w:val="ru-RU"/>
        </w:rPr>
        <w:t xml:space="preserve"> </w:t>
      </w:r>
      <w:r w:rsidRPr="003207BB">
        <w:t>Valsts</w:t>
      </w:r>
      <w:r w:rsidRPr="00963CBA">
        <w:rPr>
          <w:lang w:val="ru-RU"/>
        </w:rPr>
        <w:t xml:space="preserve"> </w:t>
      </w:r>
      <w:r w:rsidRPr="003207BB">
        <w:t>zemes</w:t>
      </w:r>
      <w:r w:rsidRPr="00963CBA">
        <w:rPr>
          <w:lang w:val="ru-RU"/>
        </w:rPr>
        <w:t xml:space="preserve"> </w:t>
      </w:r>
      <w:r w:rsidRPr="003207BB">
        <w:t>dienesta</w:t>
      </w:r>
      <w:r w:rsidRPr="00963CBA">
        <w:rPr>
          <w:lang w:val="ru-RU"/>
        </w:rPr>
        <w:t xml:space="preserve"> </w:t>
      </w:r>
      <w:r w:rsidRPr="003207BB">
        <w:t>sniegtie</w:t>
      </w:r>
      <w:r w:rsidRPr="00963CBA">
        <w:rPr>
          <w:lang w:val="ru-RU"/>
        </w:rPr>
        <w:t xml:space="preserve"> </w:t>
      </w:r>
      <w:r w:rsidRPr="003207BB">
        <w:t>Nekustam</w:t>
      </w:r>
      <w:r w:rsidRPr="00963CBA">
        <w:rPr>
          <w:lang w:val="ru-RU"/>
        </w:rPr>
        <w:t>ā ī</w:t>
      </w:r>
      <w:r w:rsidRPr="003207BB">
        <w:t>pa</w:t>
      </w:r>
      <w:r w:rsidRPr="00963CBA">
        <w:rPr>
          <w:lang w:val="ru-RU"/>
        </w:rPr>
        <w:t>š</w:t>
      </w:r>
      <w:r w:rsidRPr="003207BB">
        <w:t>uma</w:t>
      </w:r>
      <w:r w:rsidRPr="00963CBA">
        <w:rPr>
          <w:lang w:val="ru-RU"/>
        </w:rPr>
        <w:t xml:space="preserve"> </w:t>
      </w:r>
      <w:r w:rsidRPr="003207BB">
        <w:t>valsts</w:t>
      </w:r>
      <w:r w:rsidRPr="00963CBA">
        <w:rPr>
          <w:lang w:val="ru-RU"/>
        </w:rPr>
        <w:t xml:space="preserve"> </w:t>
      </w:r>
      <w:r w:rsidRPr="003207BB">
        <w:t>kadastra</w:t>
      </w:r>
      <w:r w:rsidRPr="00963CBA">
        <w:rPr>
          <w:lang w:val="ru-RU"/>
        </w:rPr>
        <w:t xml:space="preserve"> </w:t>
      </w:r>
      <w:r w:rsidRPr="003207BB">
        <w:t>inform</w:t>
      </w:r>
      <w:r w:rsidRPr="00963CBA">
        <w:rPr>
          <w:lang w:val="ru-RU"/>
        </w:rPr>
        <w:t>ā</w:t>
      </w:r>
      <w:r w:rsidRPr="003207BB">
        <w:t>cijas</w:t>
      </w:r>
      <w:r w:rsidRPr="00963CBA">
        <w:rPr>
          <w:lang w:val="ru-RU"/>
        </w:rPr>
        <w:t xml:space="preserve"> </w:t>
      </w:r>
      <w:r w:rsidRPr="003207BB">
        <w:t>sist</w:t>
      </w:r>
      <w:r w:rsidRPr="00963CBA">
        <w:rPr>
          <w:lang w:val="ru-RU"/>
        </w:rPr>
        <w:t>ē</w:t>
      </w:r>
      <w:r w:rsidRPr="003207BB">
        <w:t>mas</w:t>
      </w:r>
      <w:r w:rsidRPr="00963CBA">
        <w:rPr>
          <w:lang w:val="ru-RU"/>
        </w:rPr>
        <w:t xml:space="preserve"> </w:t>
      </w:r>
      <w:r w:rsidRPr="003207BB">
        <w:t>dati</w:t>
      </w:r>
      <w:r w:rsidRPr="00963CBA">
        <w:rPr>
          <w:lang w:val="ru-RU"/>
        </w:rPr>
        <w:t xml:space="preserve"> </w:t>
      </w:r>
      <w:r w:rsidRPr="003207BB">
        <w:t>uz</w:t>
      </w:r>
      <w:r w:rsidRPr="00963CBA">
        <w:rPr>
          <w:lang w:val="ru-RU"/>
        </w:rPr>
        <w:t xml:space="preserve"> 2019.</w:t>
      </w:r>
      <w:r w:rsidRPr="003207BB">
        <w:t>gada</w:t>
      </w:r>
      <w:r w:rsidRPr="00963CBA">
        <w:rPr>
          <w:lang w:val="ru-RU"/>
        </w:rPr>
        <w:t xml:space="preserve"> 1. </w:t>
      </w:r>
      <w:r w:rsidRPr="003207BB">
        <w:t>janv</w:t>
      </w:r>
      <w:r w:rsidRPr="00963CBA">
        <w:rPr>
          <w:lang w:val="ru-RU"/>
        </w:rPr>
        <w:t>ā</w:t>
      </w:r>
      <w:r w:rsidRPr="003207BB">
        <w:t>ri</w:t>
      </w:r>
      <w:r w:rsidRPr="00963CBA">
        <w:rPr>
          <w:lang w:val="ru-RU"/>
        </w:rPr>
        <w:t>.</w:t>
      </w:r>
    </w:p>
    <w:p w14:paraId="57EE6168" w14:textId="77777777" w:rsidR="006C20A5" w:rsidRPr="00963CBA" w:rsidRDefault="006C20A5" w:rsidP="00C13694">
      <w:pPr>
        <w:pStyle w:val="Zemsvtra"/>
        <w:rPr>
          <w:lang w:val="ru-RU"/>
        </w:rPr>
      </w:pPr>
    </w:p>
  </w:footnote>
  <w:footnote w:id="3">
    <w:p w14:paraId="698DFD8D" w14:textId="401FC7BA" w:rsidR="006C20A5" w:rsidRPr="00FD55A7" w:rsidRDefault="006C20A5" w:rsidP="00FD55A7">
      <w:pPr>
        <w:pStyle w:val="FootnoteText"/>
        <w:ind w:firstLine="0"/>
        <w:rPr>
          <w:rFonts w:cs="Times New Roman"/>
          <w:color w:val="000000" w:themeColor="text1"/>
        </w:rPr>
      </w:pPr>
      <w:r w:rsidRPr="00FD55A7">
        <w:rPr>
          <w:rStyle w:val="FootnoteReference"/>
          <w:rFonts w:cs="Times New Roman"/>
          <w:color w:val="000000" w:themeColor="text1"/>
        </w:rPr>
        <w:footnoteRef/>
      </w:r>
      <w:r w:rsidRPr="00FD55A7">
        <w:rPr>
          <w:rFonts w:cs="Times New Roman"/>
          <w:color w:val="000000" w:themeColor="text1"/>
        </w:rPr>
        <w:t>Būvniecības informācijas sistēmas Ēku energosertifikātu reģistra apkopojums uz 2019.gada 5.</w:t>
      </w:r>
      <w:r>
        <w:rPr>
          <w:rFonts w:cs="Times New Roman"/>
          <w:color w:val="000000" w:themeColor="text1"/>
        </w:rPr>
        <w:t> </w:t>
      </w:r>
      <w:r w:rsidRPr="00FD55A7">
        <w:rPr>
          <w:rFonts w:cs="Times New Roman"/>
          <w:color w:val="000000" w:themeColor="text1"/>
        </w:rPr>
        <w:t>septembri.</w:t>
      </w:r>
    </w:p>
  </w:footnote>
  <w:footnote w:id="4">
    <w:p w14:paraId="7DAA2C9C" w14:textId="035541D8" w:rsidR="006C20A5" w:rsidRPr="00E3177F" w:rsidRDefault="006C20A5" w:rsidP="00D738E8">
      <w:pPr>
        <w:ind w:firstLine="0"/>
        <w:rPr>
          <w:sz w:val="20"/>
          <w:szCs w:val="20"/>
        </w:rPr>
      </w:pPr>
      <w:r w:rsidRPr="00FD55A7">
        <w:rPr>
          <w:rStyle w:val="FootnoteReference"/>
          <w:rFonts w:cs="Times New Roman"/>
          <w:color w:val="000000" w:themeColor="text1"/>
          <w:sz w:val="20"/>
          <w:szCs w:val="20"/>
        </w:rPr>
        <w:footnoteRef/>
      </w:r>
      <w:r w:rsidRPr="00FD55A7">
        <w:rPr>
          <w:rFonts w:cs="Times New Roman"/>
          <w:color w:val="000000" w:themeColor="text1"/>
          <w:sz w:val="20"/>
          <w:szCs w:val="20"/>
        </w:rPr>
        <w:t xml:space="preserve"> Pieejams: </w:t>
      </w:r>
      <w:r w:rsidRPr="00752DF5">
        <w:rPr>
          <w:rFonts w:cs="Times New Roman"/>
          <w:color w:val="000000" w:themeColor="text1"/>
          <w:sz w:val="20"/>
          <w:szCs w:val="20"/>
        </w:rPr>
        <w:t>https://bvkb.gov.lv/lv/content/videjais-ipatnejais-apkures-paterins-2</w:t>
      </w:r>
    </w:p>
  </w:footnote>
  <w:footnote w:id="5">
    <w:p w14:paraId="522C794C" w14:textId="1D8DBD70" w:rsidR="006C20A5" w:rsidRPr="009F13E3" w:rsidRDefault="006C20A5" w:rsidP="00C87E04">
      <w:pPr>
        <w:pStyle w:val="FootnoteText"/>
        <w:ind w:firstLine="0"/>
      </w:pPr>
      <w:r w:rsidRPr="009F13E3">
        <w:rPr>
          <w:rStyle w:val="FootnoteReference"/>
        </w:rPr>
        <w:footnoteRef/>
      </w:r>
      <w:r w:rsidRPr="009F13E3">
        <w:t xml:space="preserve">Ziņojums par izmaksu ziņā optimāla minimālo energoefektivitātes prasību līmeņa aprēķināšanu saskaņā ar Direktīvas 2010/31/ES par ēku energoefektivitāti 5.pantu. </w:t>
      </w:r>
    </w:p>
    <w:p w14:paraId="0F362E2E" w14:textId="35B58AD5" w:rsidR="006C20A5" w:rsidRPr="009F13E3" w:rsidRDefault="006C20A5" w:rsidP="00C87E04">
      <w:pPr>
        <w:pStyle w:val="FootnoteText"/>
        <w:ind w:firstLine="0"/>
      </w:pPr>
      <w:r w:rsidRPr="009F13E3">
        <w:t>Pieejams:https://em.gov.lv/lv/nozares_politika/majokli/informacija_un_skaidrojumi/gandriz_nulles_energijas_ekas/.</w:t>
      </w:r>
    </w:p>
  </w:footnote>
  <w:footnote w:id="6">
    <w:p w14:paraId="2C965ED3" w14:textId="71C8A9EE" w:rsidR="006C20A5" w:rsidRDefault="006C20A5" w:rsidP="00C87E04">
      <w:pPr>
        <w:pStyle w:val="FootnoteText"/>
        <w:ind w:firstLine="0"/>
      </w:pPr>
      <w:r>
        <w:rPr>
          <w:rStyle w:val="FootnoteReference"/>
        </w:rPr>
        <w:footnoteRef/>
      </w:r>
      <w:r w:rsidRPr="00D03866">
        <w:t>Noteikumi par Latvijas būvnormatīvu LBN 002-19 "Ēku norobežojošo konstrukciju siltumtehnika"</w:t>
      </w:r>
      <w:r>
        <w:t xml:space="preserve"> Pieejams:</w:t>
      </w:r>
      <w:r w:rsidRPr="00D03866">
        <w:t xml:space="preserve"> </w:t>
      </w:r>
      <w:r w:rsidRPr="00726A84">
        <w:t>https://likumi.lv/ta/id/307966</w:t>
      </w:r>
      <w:r>
        <w:t>.</w:t>
      </w:r>
    </w:p>
  </w:footnote>
  <w:footnote w:id="7">
    <w:p w14:paraId="1FC07C67" w14:textId="7DD6CC13" w:rsidR="006C20A5" w:rsidRPr="003207BB" w:rsidRDefault="006C20A5" w:rsidP="00C87E04">
      <w:pPr>
        <w:pStyle w:val="Zemsvtra"/>
      </w:pPr>
      <w:r w:rsidRPr="003207BB">
        <w:rPr>
          <w:rStyle w:val="FootnoteReference"/>
          <w:sz w:val="16"/>
          <w:szCs w:val="16"/>
        </w:rPr>
        <w:footnoteRef/>
      </w:r>
      <w:r w:rsidRPr="00DA2BC4">
        <w:rPr>
          <w:lang w:val="de-DE"/>
        </w:rPr>
        <w:t xml:space="preserve"> A. Jakovičs, S. Gendelis, H. Truemmann. </w:t>
      </w:r>
      <w:r w:rsidRPr="003207BB">
        <w:t>Analysis of heat losses from typical buildings in Riga. International scientific colloquium ‘Modeling for saving resources’ – Riga, 2001, pp 190-197</w:t>
      </w:r>
      <w:r>
        <w:t>.</w:t>
      </w:r>
    </w:p>
  </w:footnote>
  <w:footnote w:id="8">
    <w:p w14:paraId="51D7E104" w14:textId="7DBDFD8C" w:rsidR="006C20A5" w:rsidRPr="00440A83" w:rsidRDefault="006C20A5" w:rsidP="00440A83">
      <w:pPr>
        <w:pStyle w:val="FootnoteText"/>
        <w:ind w:firstLine="0"/>
        <w:jc w:val="left"/>
        <w:rPr>
          <w:rFonts w:cs="Times New Roman"/>
          <w:color w:val="000000" w:themeColor="text1"/>
        </w:rPr>
      </w:pPr>
      <w:r w:rsidRPr="00440A83">
        <w:rPr>
          <w:rStyle w:val="FootnoteReference"/>
          <w:rFonts w:cs="Times New Roman"/>
          <w:color w:val="000000" w:themeColor="text1"/>
        </w:rPr>
        <w:footnoteRef/>
      </w:r>
      <w:r w:rsidRPr="00440A83">
        <w:rPr>
          <w:rFonts w:cs="Times New Roman"/>
          <w:color w:val="000000" w:themeColor="text1"/>
        </w:rPr>
        <w:t xml:space="preserve"> </w:t>
      </w:r>
      <w:r w:rsidRPr="00440A83">
        <w:rPr>
          <w:rFonts w:eastAsia="Times New Roman" w:cs="Times New Roman"/>
          <w:color w:val="000000" w:themeColor="text1"/>
          <w:lang w:eastAsia="lv-LV"/>
        </w:rPr>
        <w:t>Ministru kabineta 2013. gada 9. jūlija noteikumu Nr. 383 "Noteikumi par ēku energosertifikāciju" 6.1.3., 6.1.4., 6.1.5., 6.1.6., 6.1.7., 6.1.8. un 6.1.9. apakšpunktā minētie ēku veidi)</w:t>
      </w:r>
    </w:p>
  </w:footnote>
  <w:footnote w:id="9">
    <w:p w14:paraId="61E03EFA" w14:textId="77777777" w:rsidR="006C20A5" w:rsidRPr="00440A83" w:rsidRDefault="006C20A5" w:rsidP="00440A83">
      <w:pPr>
        <w:shd w:val="clear" w:color="auto" w:fill="FFFFFF"/>
        <w:ind w:firstLine="0"/>
        <w:jc w:val="left"/>
        <w:rPr>
          <w:rFonts w:eastAsia="Times New Roman" w:cs="Times New Roman"/>
          <w:color w:val="000000" w:themeColor="text1"/>
          <w:sz w:val="20"/>
          <w:szCs w:val="20"/>
          <w:lang w:eastAsia="lv-LV"/>
        </w:rPr>
      </w:pPr>
      <w:r w:rsidRPr="00440A83">
        <w:rPr>
          <w:rStyle w:val="FootnoteReference"/>
          <w:rFonts w:cs="Times New Roman"/>
          <w:color w:val="000000" w:themeColor="text1"/>
          <w:sz w:val="20"/>
          <w:szCs w:val="20"/>
        </w:rPr>
        <w:footnoteRef/>
      </w:r>
      <w:r w:rsidRPr="00440A83">
        <w:rPr>
          <w:rFonts w:cs="Times New Roman"/>
          <w:color w:val="000000" w:themeColor="text1"/>
          <w:sz w:val="20"/>
          <w:szCs w:val="20"/>
        </w:rPr>
        <w:t xml:space="preserve"> </w:t>
      </w:r>
      <w:r w:rsidRPr="00440A83">
        <w:rPr>
          <w:rFonts w:eastAsia="Times New Roman" w:cs="Times New Roman"/>
          <w:color w:val="000000" w:themeColor="text1"/>
          <w:sz w:val="20"/>
          <w:szCs w:val="20"/>
          <w:lang w:eastAsia="lv-LV"/>
        </w:rPr>
        <w:t>Ēku energoefektivitātes minimālais pieļaujamais līmenis, energoefektivitātes novērtējums apkurei jaunbūvēm. Ēku energoefektivitātes minimālo pieļaujamo līmeni (klasi) jaunbūvēm nepiemēro, ja attiecīgo prasību piemērošana nav tehniski vai funkcionāli iespējama vai ja izmaksu un ieguvumu analīze par attiecīgās ēkas kalpošanas laiku norāda uz zaudējumiem</w:t>
      </w:r>
    </w:p>
  </w:footnote>
  <w:footnote w:id="10">
    <w:p w14:paraId="72DCF36E" w14:textId="77777777" w:rsidR="006C20A5" w:rsidRPr="00440A83" w:rsidRDefault="006C20A5" w:rsidP="00440A83">
      <w:pPr>
        <w:pStyle w:val="FootnoteText"/>
        <w:ind w:firstLine="0"/>
        <w:jc w:val="left"/>
        <w:rPr>
          <w:rFonts w:cs="Times New Roman"/>
        </w:rPr>
      </w:pPr>
      <w:r w:rsidRPr="00440A83">
        <w:rPr>
          <w:rStyle w:val="FootnoteReference"/>
          <w:rFonts w:cs="Times New Roman"/>
          <w:color w:val="000000" w:themeColor="text1"/>
        </w:rPr>
        <w:footnoteRef/>
      </w:r>
      <w:r w:rsidRPr="00440A83">
        <w:rPr>
          <w:rFonts w:cs="Times New Roman"/>
          <w:color w:val="000000" w:themeColor="text1"/>
        </w:rPr>
        <w:t xml:space="preserve"> </w:t>
      </w:r>
      <w:r w:rsidRPr="00440A83">
        <w:rPr>
          <w:rFonts w:eastAsia="Times New Roman" w:cs="Times New Roman"/>
          <w:color w:val="000000" w:themeColor="text1"/>
          <w:lang w:eastAsia="lv-LV"/>
        </w:rPr>
        <w:t>Ēku energoefektivitātes minimālais pieļaujamais līmenis, energoefektivitātes novērtējums apkurei atjaunojamām un pārbūvējamām ēkām</w:t>
      </w:r>
    </w:p>
  </w:footnote>
  <w:footnote w:id="11">
    <w:p w14:paraId="2FEFCF8E" w14:textId="4F132473" w:rsidR="006C20A5" w:rsidRDefault="006C20A5" w:rsidP="00C87E04">
      <w:pPr>
        <w:pStyle w:val="FootnoteText"/>
        <w:ind w:firstLine="0"/>
      </w:pPr>
      <w:r>
        <w:rPr>
          <w:rStyle w:val="FootnoteReference"/>
        </w:rPr>
        <w:footnoteRef/>
      </w:r>
      <w:r>
        <w:t>Pieejams:</w:t>
      </w:r>
      <w:r w:rsidRPr="00726A84">
        <w:t>https://likumi.lv/ta/id/309453-noteikumi-par-latvijas-buvnormativu-lbn-003-19-buvklimatologija</w:t>
      </w:r>
      <w:r>
        <w:t>.</w:t>
      </w:r>
    </w:p>
  </w:footnote>
  <w:footnote w:id="12">
    <w:p w14:paraId="40F64D39" w14:textId="22DB2B21" w:rsidR="006C20A5" w:rsidRDefault="006C20A5" w:rsidP="00C87E04">
      <w:pPr>
        <w:pStyle w:val="FootnoteText"/>
        <w:ind w:firstLine="0"/>
      </w:pPr>
      <w:r>
        <w:rPr>
          <w:rStyle w:val="FootnoteReference"/>
        </w:rPr>
        <w:footnoteRef/>
      </w:r>
      <w:r>
        <w:t>Pieejams:</w:t>
      </w:r>
      <w:r w:rsidRPr="00832A9E">
        <w:t>https://em.gov.lv/lv/nozares_politika/majokli/informacija_un_skaidrojumi/gandriz_nulles_energijas_ekas/</w:t>
      </w:r>
      <w:r>
        <w:t>.</w:t>
      </w:r>
    </w:p>
  </w:footnote>
  <w:footnote w:id="13">
    <w:p w14:paraId="543D6F34" w14:textId="00C7A9AE" w:rsidR="006C20A5" w:rsidRDefault="006C20A5" w:rsidP="007E5DBF">
      <w:pPr>
        <w:pStyle w:val="FootnoteText"/>
        <w:ind w:firstLine="0"/>
      </w:pPr>
      <w:r>
        <w:rPr>
          <w:rStyle w:val="FootnoteReference"/>
        </w:rPr>
        <w:footnoteRef/>
      </w:r>
      <w:r>
        <w:t>Pieejams:</w:t>
      </w:r>
      <w:r w:rsidRPr="007E5DBF">
        <w:t>https://likumi.lv/ta/id/310544-darbibas-programmas-izaugsme-un-nodarbinatiba-4-1-1-specifiska-atbalsta-merka-veicinat-efektivu-energoresursu-izmantosanu</w:t>
      </w:r>
      <w:r>
        <w:t>.</w:t>
      </w:r>
    </w:p>
  </w:footnote>
  <w:footnote w:id="14">
    <w:p w14:paraId="2371CDB5" w14:textId="70344FFC" w:rsidR="006C20A5" w:rsidRDefault="006C20A5" w:rsidP="00323ABA">
      <w:pPr>
        <w:pStyle w:val="FootnoteText"/>
        <w:ind w:firstLine="0"/>
      </w:pPr>
      <w:r>
        <w:rPr>
          <w:rStyle w:val="FootnoteReference"/>
        </w:rPr>
        <w:footnoteRef/>
      </w:r>
      <w:r>
        <w:t>Pieejams:</w:t>
      </w:r>
      <w:r w:rsidRPr="00323ABA">
        <w:t>https://www.altum.lv/lv/jaunumi/nosledzas-pieteikumu-pienemsana-daudzdzivoklu-maju-atjaunosanas-projektiem</w:t>
      </w:r>
      <w:r>
        <w:t>.</w:t>
      </w:r>
    </w:p>
  </w:footnote>
  <w:footnote w:id="15">
    <w:p w14:paraId="28B1A0FB" w14:textId="152BE706" w:rsidR="006C20A5" w:rsidRDefault="006C20A5" w:rsidP="003C5621">
      <w:pPr>
        <w:pStyle w:val="FootnoteText"/>
        <w:ind w:firstLine="0"/>
      </w:pPr>
      <w:r>
        <w:rPr>
          <w:rStyle w:val="FootnoteReference"/>
        </w:rPr>
        <w:footnoteRef/>
      </w:r>
      <w:r>
        <w:t xml:space="preserve"> </w:t>
      </w:r>
      <w:r w:rsidRPr="003C5621">
        <w:t>Pieejams:http://tap.mk.gov.lv/lv/mk/tap/?pid=40477072&amp;mode=mk&amp;date=2019-09-10.</w:t>
      </w:r>
    </w:p>
  </w:footnote>
  <w:footnote w:id="16">
    <w:p w14:paraId="45AF3732" w14:textId="6B79813E" w:rsidR="006C20A5" w:rsidRDefault="006C20A5" w:rsidP="003C5621">
      <w:pPr>
        <w:pStyle w:val="FootnoteText"/>
        <w:ind w:firstLine="0"/>
      </w:pPr>
      <w:r>
        <w:rPr>
          <w:rStyle w:val="FootnoteReference"/>
        </w:rPr>
        <w:footnoteRef/>
      </w:r>
      <w:r w:rsidRPr="003C5621">
        <w:t>Pieejams:https://likumi.lv/ta/id/311317-grozijumi-ministru-kabineta-2016-gada-11-oktobra-noteikumos-nr-669-kartiba-kada-nosledz-un-parrauga-brivpratigu-vienosanos</w:t>
      </w:r>
      <w:r>
        <w:t>.</w:t>
      </w:r>
    </w:p>
  </w:footnote>
  <w:footnote w:id="17">
    <w:p w14:paraId="1CCC6B0A" w14:textId="2B3D0667" w:rsidR="006C20A5" w:rsidRDefault="006C20A5" w:rsidP="00C87E04">
      <w:pPr>
        <w:pStyle w:val="FootnoteText"/>
        <w:ind w:firstLine="0"/>
      </w:pPr>
      <w:r>
        <w:rPr>
          <w:rStyle w:val="FootnoteReference"/>
        </w:rPr>
        <w:footnoteRef/>
      </w:r>
      <w:r>
        <w:t>Pieejams:</w:t>
      </w:r>
      <w:r w:rsidRPr="007B5C86">
        <w:t>https://www.liepaja.lv/energo-projekti/atbalsts-dzivoklu-eku-energoefektivitatei/</w:t>
      </w:r>
      <w:r>
        <w:t>.</w:t>
      </w:r>
    </w:p>
  </w:footnote>
  <w:footnote w:id="18">
    <w:p w14:paraId="15FD8511" w14:textId="64FE37B7" w:rsidR="006C20A5" w:rsidRPr="00B46815" w:rsidRDefault="006C20A5" w:rsidP="00C87E04">
      <w:pPr>
        <w:pStyle w:val="FootnoteText"/>
        <w:ind w:firstLine="0"/>
        <w:rPr>
          <w:color w:val="000000" w:themeColor="text1"/>
        </w:rPr>
      </w:pPr>
      <w:r>
        <w:rPr>
          <w:rStyle w:val="FootnoteReference"/>
        </w:rPr>
        <w:footnoteRef/>
      </w:r>
      <w:r>
        <w:t>Pieejams:</w:t>
      </w:r>
      <w:r w:rsidRPr="007B5C86">
        <w:t>https://eur-lex.europa.eu/legal-content/LV/TXT/PDF/?uri=CELEX:32019H0786&amp;from=PT</w:t>
      </w:r>
    </w:p>
  </w:footnote>
  <w:footnote w:id="19">
    <w:p w14:paraId="39E6A196" w14:textId="4DAEC4F8" w:rsidR="006C20A5" w:rsidRPr="00B46815" w:rsidRDefault="006C20A5" w:rsidP="00C87E04">
      <w:pPr>
        <w:pStyle w:val="FootnoteText"/>
        <w:ind w:firstLine="0"/>
        <w:rPr>
          <w:color w:val="000000" w:themeColor="text1"/>
        </w:rPr>
      </w:pPr>
      <w:r w:rsidRPr="00B46815">
        <w:rPr>
          <w:rStyle w:val="FootnoteReference"/>
          <w:color w:val="000000" w:themeColor="text1"/>
        </w:rPr>
        <w:footnoteRef/>
      </w:r>
      <w:r w:rsidRPr="00B46815">
        <w:rPr>
          <w:color w:val="000000" w:themeColor="text1"/>
        </w:rPr>
        <w:t xml:space="preserve"> </w:t>
      </w:r>
      <w:r>
        <w:rPr>
          <w:color w:val="000000" w:themeColor="text1"/>
        </w:rPr>
        <w:t>Pieejams:</w:t>
      </w:r>
      <w:r w:rsidRPr="007B5C86">
        <w:t>https://likumi.lv/doc.php?id=193573</w:t>
      </w:r>
      <w:r>
        <w:t>.</w:t>
      </w:r>
    </w:p>
  </w:footnote>
  <w:footnote w:id="20">
    <w:p w14:paraId="0E69E64A" w14:textId="0DACBABF" w:rsidR="006C20A5" w:rsidRDefault="006C20A5" w:rsidP="00C87E04">
      <w:pPr>
        <w:pStyle w:val="FootnoteText"/>
        <w:ind w:firstLine="0"/>
      </w:pPr>
      <w:r>
        <w:rPr>
          <w:rStyle w:val="FootnoteReference"/>
        </w:rPr>
        <w:footnoteRef/>
      </w:r>
      <w:r>
        <w:t xml:space="preserve"> Pieejams:</w:t>
      </w:r>
      <w:r w:rsidRPr="00B46815">
        <w:t>https://likumi.lv/doc.php?id=218831</w:t>
      </w:r>
      <w:r>
        <w:t>.</w:t>
      </w:r>
    </w:p>
  </w:footnote>
  <w:footnote w:id="21">
    <w:p w14:paraId="794925AB" w14:textId="77777777" w:rsidR="006C20A5" w:rsidRDefault="006C20A5" w:rsidP="00056746">
      <w:pPr>
        <w:pStyle w:val="FootnoteText"/>
        <w:ind w:firstLine="0"/>
      </w:pPr>
      <w:r>
        <w:rPr>
          <w:rStyle w:val="FootnoteReference"/>
        </w:rPr>
        <w:footnoteRef/>
      </w:r>
      <w:r>
        <w:t>Pieejams:</w:t>
      </w:r>
      <w:r w:rsidRPr="008875A4">
        <w:t>https://www.google.com/maps/d/viewer?mid=1TEs0CCVzp2uGBdXTVCvmnbtrt54&amp;ie=UTF8&amp;oe=UTF8&amp;dg=feature&amp;msa=0&amp;ll=56.89454067366063%2C24.35682040000006&amp;z=8</w:t>
      </w:r>
    </w:p>
  </w:footnote>
  <w:footnote w:id="22">
    <w:p w14:paraId="5AEE8F06" w14:textId="77777777" w:rsidR="006C20A5" w:rsidRDefault="006C20A5" w:rsidP="005873CB">
      <w:pPr>
        <w:pStyle w:val="FootnoteText"/>
        <w:ind w:firstLine="0"/>
      </w:pPr>
      <w:r>
        <w:rPr>
          <w:rStyle w:val="FootnoteReference"/>
        </w:rPr>
        <w:footnoteRef/>
      </w:r>
      <w:r>
        <w:t xml:space="preserve"> Pieejams:</w:t>
      </w:r>
      <w:r w:rsidRPr="00250E75">
        <w:t>http://www.energoefektivakaeka.lv/index.php/balsosana-2019</w:t>
      </w:r>
    </w:p>
  </w:footnote>
  <w:footnote w:id="23">
    <w:p w14:paraId="0FB454B1" w14:textId="4295F38A" w:rsidR="006C20A5" w:rsidRDefault="006C20A5" w:rsidP="00C87E04">
      <w:pPr>
        <w:pStyle w:val="FootnoteText"/>
        <w:ind w:firstLine="0"/>
      </w:pPr>
      <w:r>
        <w:rPr>
          <w:rStyle w:val="FootnoteReference"/>
        </w:rPr>
        <w:footnoteRef/>
      </w:r>
      <w:r>
        <w:t xml:space="preserve"> Pieejams:</w:t>
      </w:r>
      <w:r w:rsidRPr="004E426B">
        <w:t>https://www.elektrum.lv/lv/majai/energoefektivitate/energoefektivitates-centru/par-centru/</w:t>
      </w:r>
      <w:r>
        <w:t>.</w:t>
      </w:r>
    </w:p>
  </w:footnote>
  <w:footnote w:id="24">
    <w:p w14:paraId="0C6C7A1A" w14:textId="3E5CA508" w:rsidR="006C20A5" w:rsidRDefault="006C20A5" w:rsidP="0042009C">
      <w:pPr>
        <w:pStyle w:val="FootnoteText"/>
        <w:ind w:firstLine="0"/>
      </w:pPr>
      <w:r>
        <w:rPr>
          <w:rStyle w:val="FootnoteReference"/>
        </w:rPr>
        <w:footnoteRef/>
      </w:r>
      <w:r>
        <w:t xml:space="preserve"> Pieejams:</w:t>
      </w:r>
      <w:r w:rsidRPr="0042009C">
        <w:t>https://likumi.lv/ta/id/309453</w:t>
      </w:r>
      <w:r>
        <w:t>.</w:t>
      </w:r>
    </w:p>
  </w:footnote>
  <w:footnote w:id="25">
    <w:p w14:paraId="3894FD34" w14:textId="738D4E1D" w:rsidR="006C20A5" w:rsidRDefault="006C20A5" w:rsidP="0042009C">
      <w:pPr>
        <w:pStyle w:val="FootnoteText"/>
        <w:ind w:firstLine="0"/>
      </w:pPr>
      <w:r>
        <w:rPr>
          <w:rStyle w:val="FootnoteReference"/>
        </w:rPr>
        <w:footnoteRef/>
      </w:r>
      <w:r>
        <w:t>Pieejams:</w:t>
      </w:r>
      <w:r w:rsidRPr="0042009C">
        <w:t>https://likumi.lv/ta/id/275013-noteikumi-par-latvijas-buvnormativu-lbn-003-15-buvklimatologija-</w:t>
      </w:r>
      <w:r>
        <w:t>.</w:t>
      </w:r>
    </w:p>
  </w:footnote>
  <w:footnote w:id="26">
    <w:p w14:paraId="5F11ABE1" w14:textId="6834059A" w:rsidR="006C20A5" w:rsidRDefault="006C20A5" w:rsidP="00976F6F">
      <w:pPr>
        <w:pStyle w:val="FootnoteText"/>
        <w:ind w:firstLine="0"/>
      </w:pPr>
      <w:r>
        <w:rPr>
          <w:rStyle w:val="FootnoteReference"/>
        </w:rPr>
        <w:footnoteRef/>
      </w:r>
      <w:r w:rsidRPr="00976F6F">
        <w:t>Sabiedrisko pakalpojumu regulēšanas komisijas apstiprinātie siltumenerģijas apgādes pakalpojumu tarifi (2019)</w:t>
      </w:r>
      <w:r>
        <w:t>.</w:t>
      </w:r>
    </w:p>
  </w:footnote>
  <w:footnote w:id="27">
    <w:p w14:paraId="33A28419" w14:textId="77777777" w:rsidR="006C20A5" w:rsidRDefault="006C20A5" w:rsidP="00976F6F">
      <w:pPr>
        <w:pStyle w:val="FootnoteText"/>
        <w:ind w:firstLine="0"/>
      </w:pPr>
      <w:r>
        <w:rPr>
          <w:rStyle w:val="FootnoteReference"/>
        </w:rPr>
        <w:footnoteRef/>
      </w:r>
      <w:r>
        <w:t xml:space="preserve"> Pieejams:</w:t>
      </w:r>
      <w:r w:rsidRPr="0042009C">
        <w:t>https://data1.csb.gov.lv/pxweb/lv/vide/vide__energetika__ikgad/ENG190.px</w:t>
      </w:r>
      <w:r>
        <w:rPr>
          <w:rStyle w:val="Hyperlink"/>
        </w:rPr>
        <w:t>.</w:t>
      </w:r>
    </w:p>
  </w:footnote>
  <w:footnote w:id="28">
    <w:p w14:paraId="3162297E" w14:textId="384FB915" w:rsidR="006C20A5" w:rsidRDefault="006C20A5" w:rsidP="0042009C">
      <w:pPr>
        <w:pStyle w:val="FootnoteText"/>
        <w:ind w:firstLine="0"/>
      </w:pPr>
      <w:r>
        <w:rPr>
          <w:rStyle w:val="FootnoteReference"/>
        </w:rPr>
        <w:footnoteRef/>
      </w:r>
      <w:r>
        <w:t xml:space="preserve"> Pieejams:</w:t>
      </w:r>
      <w:r w:rsidRPr="0042009C">
        <w:t>https://www.fi-compass.eu/sites/default/files/publications/Ex%20ante%20izvertejums.pdf</w:t>
      </w:r>
      <w:r>
        <w:t>.</w:t>
      </w:r>
    </w:p>
  </w:footnote>
  <w:footnote w:id="29">
    <w:p w14:paraId="1DDEA3B0" w14:textId="6DA5FD14" w:rsidR="006C20A5" w:rsidRDefault="006C20A5" w:rsidP="003D4C2F">
      <w:pPr>
        <w:pStyle w:val="FootnoteText"/>
        <w:ind w:firstLine="0"/>
      </w:pPr>
      <w:r>
        <w:rPr>
          <w:rStyle w:val="FootnoteReference"/>
        </w:rPr>
        <w:footnoteRef/>
      </w:r>
      <w:r w:rsidRPr="0000781F">
        <w:t>Eiropas Komisijas 2019. gada ziņojums par Latviju, 34.</w:t>
      </w:r>
      <w:r>
        <w:t xml:space="preserve"> – 35.</w:t>
      </w:r>
      <w:r w:rsidRPr="0000781F">
        <w:t>lpp:</w:t>
      </w:r>
      <w:r>
        <w:t xml:space="preserve"> Pieejams:</w:t>
      </w:r>
      <w:r w:rsidRPr="0000781F">
        <w:t>https://ec.europa.eu/info/sites/info/files/file_import/2019-european-semestercountry-report-latvia_lv.pdf</w:t>
      </w:r>
      <w:r>
        <w:t>.</w:t>
      </w:r>
    </w:p>
  </w:footnote>
  <w:footnote w:id="30">
    <w:p w14:paraId="1F486213" w14:textId="7E6B640B" w:rsidR="006C20A5" w:rsidRDefault="006C20A5" w:rsidP="00F52B5D">
      <w:pPr>
        <w:pStyle w:val="FootnoteText"/>
        <w:ind w:firstLine="0"/>
      </w:pPr>
      <w:r>
        <w:rPr>
          <w:rStyle w:val="FootnoteReference"/>
        </w:rPr>
        <w:footnoteRef/>
      </w:r>
      <w:r>
        <w:t xml:space="preserve"> </w:t>
      </w:r>
      <w:r w:rsidRPr="00F52B5D">
        <w:t>Nacionālais attīstības plāns 2021.–2027. gadam (NAP2027) ir galvenais valsts vidēja termiņa attīstības plānošanas dokuments Latvijā.</w:t>
      </w:r>
      <w:r>
        <w:t xml:space="preserve"> </w:t>
      </w:r>
    </w:p>
  </w:footnote>
  <w:footnote w:id="31">
    <w:p w14:paraId="44AF1AD6" w14:textId="46DDF4FD" w:rsidR="006C20A5" w:rsidRDefault="006C20A5" w:rsidP="000C64CD">
      <w:pPr>
        <w:pStyle w:val="FootnoteText"/>
        <w:ind w:firstLine="0"/>
      </w:pPr>
      <w:r>
        <w:rPr>
          <w:rStyle w:val="FootnoteReference"/>
        </w:rPr>
        <w:footnoteRef/>
      </w:r>
      <w:r>
        <w:t xml:space="preserve"> Pieejams:</w:t>
      </w:r>
      <w:r w:rsidRPr="001D20F3">
        <w:t xml:space="preserve"> https://www.sadalestikls.lv/klientiem/skaititaji/elektribas-skaititaji/</w:t>
      </w:r>
      <w:r>
        <w:t>.</w:t>
      </w:r>
    </w:p>
  </w:footnote>
  <w:footnote w:id="32">
    <w:p w14:paraId="0CA56B72" w14:textId="61D85AEB" w:rsidR="006C20A5" w:rsidRDefault="006C20A5" w:rsidP="000C64CD">
      <w:pPr>
        <w:pStyle w:val="FootnoteText"/>
        <w:ind w:firstLine="0"/>
      </w:pPr>
      <w:r>
        <w:rPr>
          <w:rStyle w:val="FootnoteReference"/>
        </w:rPr>
        <w:footnoteRef/>
      </w:r>
      <w:r>
        <w:t xml:space="preserve"> </w:t>
      </w:r>
      <w:r w:rsidRPr="007C550F">
        <w:t>Pieejams:</w:t>
      </w:r>
      <w:r w:rsidRPr="007C550F">
        <w:rPr>
          <w:color w:val="000000" w:themeColor="text1"/>
        </w:rPr>
        <w:t>http://ekii.lv/index.php?page=vides-uzlabojums</w:t>
      </w:r>
      <w:r>
        <w:rPr>
          <w:color w:val="000000" w:themeColor="text1"/>
        </w:rPr>
        <w:t>.</w:t>
      </w:r>
    </w:p>
  </w:footnote>
  <w:footnote w:id="33">
    <w:p w14:paraId="4117B6E0" w14:textId="00B740F2" w:rsidR="006C20A5" w:rsidRDefault="006C20A5" w:rsidP="000C64CD">
      <w:pPr>
        <w:pStyle w:val="FootnoteText"/>
        <w:ind w:firstLine="0"/>
      </w:pPr>
      <w:r>
        <w:rPr>
          <w:rStyle w:val="FootnoteReference"/>
        </w:rPr>
        <w:footnoteRef/>
      </w:r>
      <w:r>
        <w:t>Pieejams:</w:t>
      </w:r>
      <w:r w:rsidRPr="00150B69">
        <w:t>https://likumi.lv/ta/id/301192-noteikumi-par-neatkarigu-ekspertu-kompetences-novertesanu-un-profesionalas-darbibas-uzraudzibu-eku-energoefektivitates-joma</w:t>
      </w:r>
      <w:r>
        <w:t>.</w:t>
      </w:r>
    </w:p>
  </w:footnote>
  <w:footnote w:id="34">
    <w:p w14:paraId="4B77C40C" w14:textId="072536B7" w:rsidR="006C20A5" w:rsidRDefault="006C20A5" w:rsidP="00F57ECE">
      <w:pPr>
        <w:pStyle w:val="FootnoteText"/>
        <w:ind w:firstLine="0"/>
      </w:pPr>
      <w:r>
        <w:rPr>
          <w:rStyle w:val="FootnoteReference"/>
        </w:rPr>
        <w:footnoteRef/>
      </w:r>
      <w:r>
        <w:t>Pieejams:</w:t>
      </w:r>
      <w:r w:rsidRPr="00F57ECE">
        <w:t>http://tap.mk.gov.lv/lv/mk/tap/?dateFrom=2019-01-31&amp;dateTo=2020-01-31&amp;text=groz%C4%ABjumi+dz%C4%ABvok%C4%BCa&amp;org=0&amp;area=0&amp;type=0</w:t>
      </w:r>
    </w:p>
  </w:footnote>
  <w:footnote w:id="35">
    <w:p w14:paraId="3DD4E2A6" w14:textId="3FE916C7" w:rsidR="006C20A5" w:rsidRDefault="006C20A5" w:rsidP="00D1109C">
      <w:pPr>
        <w:pStyle w:val="FootnoteText"/>
        <w:ind w:firstLine="0"/>
      </w:pPr>
      <w:r>
        <w:rPr>
          <w:rStyle w:val="FootnoteReference"/>
        </w:rPr>
        <w:footnoteRef/>
      </w:r>
      <w:r>
        <w:t>Pieejams:</w:t>
      </w:r>
      <w:r w:rsidRPr="00795A54">
        <w:t>https://likumi.lv/ta/id/312423-par-latvijas-nacionalo-energetikas-un-klimata-planu-2021-2030-gadam</w:t>
      </w:r>
    </w:p>
  </w:footnote>
  <w:footnote w:id="36">
    <w:p w14:paraId="2B07CFA6" w14:textId="77777777" w:rsidR="006C20A5" w:rsidRPr="006B35C6" w:rsidRDefault="006C20A5" w:rsidP="00D1109C">
      <w:pPr>
        <w:pStyle w:val="FootnoteText"/>
        <w:ind w:firstLine="0"/>
        <w:rPr>
          <w:rFonts w:cs="Times New Roman"/>
          <w:color w:val="000000" w:themeColor="text1"/>
        </w:rPr>
      </w:pPr>
      <w:r w:rsidRPr="006B35C6">
        <w:rPr>
          <w:rStyle w:val="FootnoteReference"/>
          <w:color w:val="000000" w:themeColor="text1"/>
        </w:rPr>
        <w:footnoteRef/>
      </w:r>
      <w:r>
        <w:rPr>
          <w:rFonts w:cs="Times New Roman"/>
          <w:color w:val="000000" w:themeColor="text1"/>
        </w:rPr>
        <w:t>Pieejams:</w:t>
      </w:r>
      <w:r w:rsidRPr="006B35C6">
        <w:rPr>
          <w:rFonts w:cs="Times New Roman"/>
          <w:color w:val="000000" w:themeColor="text1"/>
        </w:rPr>
        <w:t>https://www.altum.lv/lv/pakalpojumi/maju-energoefektivitate/daudzdzivoklu-maju-energoefektivitate-pamatinformacija/programmas-apguves-dati/?allow_cookies=1</w:t>
      </w:r>
    </w:p>
  </w:footnote>
  <w:footnote w:id="37">
    <w:p w14:paraId="65B5E8DF" w14:textId="77777777" w:rsidR="006C20A5" w:rsidRPr="001E7A79" w:rsidRDefault="006C20A5" w:rsidP="00D1109C">
      <w:pPr>
        <w:pStyle w:val="FootnoteText"/>
        <w:ind w:firstLine="0"/>
        <w:rPr>
          <w:rFonts w:cs="Times New Roman"/>
          <w:color w:val="000000" w:themeColor="text1"/>
        </w:rPr>
      </w:pPr>
      <w:r w:rsidRPr="001E7A79">
        <w:rPr>
          <w:rStyle w:val="FootnoteReference"/>
          <w:color w:val="000000" w:themeColor="text1"/>
        </w:rPr>
        <w:footnoteRef/>
      </w:r>
      <w:r w:rsidRPr="001E7A79">
        <w:rPr>
          <w:rFonts w:cs="Times New Roman"/>
          <w:color w:val="000000" w:themeColor="text1"/>
        </w:rPr>
        <w:t>Informācija uz 2019. gada decembri.</w:t>
      </w:r>
    </w:p>
  </w:footnote>
  <w:footnote w:id="38">
    <w:p w14:paraId="76CE87CC" w14:textId="77777777" w:rsidR="006C20A5" w:rsidRDefault="006C20A5" w:rsidP="00E4004D">
      <w:pPr>
        <w:pStyle w:val="FootnoteText"/>
        <w:ind w:firstLine="0"/>
      </w:pPr>
      <w:r>
        <w:rPr>
          <w:rStyle w:val="FootnoteReference"/>
        </w:rPr>
        <w:footnoteRef/>
      </w:r>
      <w:r>
        <w:t>Pieejams:</w:t>
      </w:r>
      <w:r w:rsidRPr="006659EB">
        <w:t>https://www.pkc.gov.lv/sites/default/files/2019-10/20190927_NAP_2021_2027_1_redakcija_publiskajai_apspriesanai_FINAL.pdf</w:t>
      </w:r>
    </w:p>
  </w:footnote>
  <w:footnote w:id="39">
    <w:p w14:paraId="0EB39D7D" w14:textId="77777777" w:rsidR="006C20A5" w:rsidRPr="006B0A7B" w:rsidRDefault="006C20A5" w:rsidP="00D1109C">
      <w:pPr>
        <w:pStyle w:val="FootnoteText"/>
        <w:ind w:firstLine="0"/>
        <w:rPr>
          <w:rFonts w:cs="Times New Roman"/>
        </w:rPr>
      </w:pPr>
      <w:r w:rsidRPr="006B0A7B">
        <w:rPr>
          <w:rStyle w:val="FootnoteReference"/>
          <w:rFonts w:cs="Times New Roman"/>
        </w:rPr>
        <w:footnoteRef/>
      </w:r>
      <w:r w:rsidRPr="006B0A7B">
        <w:rPr>
          <w:rFonts w:cs="Times New Roman"/>
        </w:rPr>
        <w:t xml:space="preserve"> Ja tiek veikta apkures iekārtu nomaiņa, tad primāri koncentrējoties uz tādu apkures iekārtu nomaiņu, kas ir ar noteiktu vecumu un atrodas teritorijās, kur jau šobrīd pastāv gaisa kvalitātes problēmas</w:t>
      </w:r>
      <w:r>
        <w:rPr>
          <w:rFonts w:cs="Times New Roman"/>
        </w:rPr>
        <w:t>.</w:t>
      </w:r>
    </w:p>
  </w:footnote>
  <w:footnote w:id="40">
    <w:p w14:paraId="4A379268" w14:textId="459FAF8F" w:rsidR="006C20A5" w:rsidRDefault="006C20A5" w:rsidP="004035CD">
      <w:pPr>
        <w:pStyle w:val="FootnoteText"/>
        <w:ind w:firstLine="0"/>
      </w:pPr>
      <w:r>
        <w:rPr>
          <w:rStyle w:val="FootnoteReference"/>
        </w:rPr>
        <w:footnoteRef/>
      </w:r>
      <w:r>
        <w:t>Pieejams:</w:t>
      </w:r>
      <w:r w:rsidRPr="004035CD">
        <w:t>https://likumi.lv/ta/id/312423-par-latvijas-nacionalo-energetikas-un-klimata-planu-2021-2030-gadam</w:t>
      </w:r>
    </w:p>
  </w:footnote>
  <w:footnote w:id="41">
    <w:p w14:paraId="56F4CD7B" w14:textId="05A8BAD0" w:rsidR="006C20A5" w:rsidRDefault="006C20A5" w:rsidP="00A6407A">
      <w:pPr>
        <w:pStyle w:val="FootnoteText"/>
        <w:ind w:firstLine="0"/>
      </w:pPr>
      <w:r>
        <w:rPr>
          <w:rStyle w:val="FootnoteReference"/>
        </w:rPr>
        <w:footnoteRef/>
      </w:r>
      <w:r>
        <w:t xml:space="preserve"> Pieejams: </w:t>
      </w:r>
      <w:r w:rsidRPr="00A6407A">
        <w:t>https://em.gov.lv/lv/Ministrija/sabiedribas_lidzdaliba/diskusiju_dokumenti/</w:t>
      </w:r>
    </w:p>
  </w:footnote>
  <w:footnote w:id="42">
    <w:p w14:paraId="6980E9C3" w14:textId="77777777" w:rsidR="006C20A5" w:rsidRPr="001E7A79" w:rsidRDefault="006C20A5" w:rsidP="00D1109C">
      <w:pPr>
        <w:pStyle w:val="FootnoteText"/>
        <w:ind w:firstLine="0"/>
        <w:rPr>
          <w:rFonts w:cs="Times New Roman"/>
        </w:rPr>
      </w:pPr>
      <w:r w:rsidRPr="001E7A79">
        <w:rPr>
          <w:rStyle w:val="FootnoteReference"/>
        </w:rPr>
        <w:footnoteRef/>
      </w:r>
      <w:r w:rsidRPr="001E7A79">
        <w:rPr>
          <w:rFonts w:cs="Times New Roman"/>
        </w:rPr>
        <w:t xml:space="preserve">Valsts ēku saraksta - </w:t>
      </w:r>
      <w:r w:rsidRPr="001E7A79">
        <w:rPr>
          <w:rFonts w:cs="Times New Roman"/>
          <w:shd w:val="clear" w:color="auto" w:fill="FFFFFF"/>
        </w:rPr>
        <w:t>tiek apkopoti dati par Valsts institūciju īpašumā, valdījumā un lietošanā esošās ēkām ar kopējo platību virs 250 m</w:t>
      </w:r>
      <w:r w:rsidRPr="001E7A79">
        <w:rPr>
          <w:rFonts w:cs="Times New Roman"/>
          <w:shd w:val="clear" w:color="auto" w:fill="FFFFFF"/>
          <w:vertAlign w:val="superscript"/>
        </w:rPr>
        <w:t>2</w:t>
      </w:r>
      <w:r w:rsidRPr="001E7A79">
        <w:rPr>
          <w:rFonts w:cs="Times New Roman"/>
          <w:shd w:val="clear" w:color="auto" w:fill="FFFFFF"/>
        </w:rPr>
        <w:t>,</w:t>
      </w:r>
      <w:r w:rsidRPr="001E7A79">
        <w:rPr>
          <w:rFonts w:cs="Times New Roman"/>
        </w:rPr>
        <w:t xml:space="preserve"> dati par 2017.gada enerģijas patēriņiem:</w:t>
      </w:r>
    </w:p>
    <w:p w14:paraId="1194D8E0" w14:textId="77777777" w:rsidR="006C20A5" w:rsidRPr="001E7A79" w:rsidRDefault="006C20A5" w:rsidP="00D1109C">
      <w:pPr>
        <w:pStyle w:val="FootnoteText"/>
        <w:ind w:firstLine="0"/>
        <w:rPr>
          <w:rFonts w:cs="Times New Roman"/>
        </w:rPr>
      </w:pPr>
      <w:r w:rsidRPr="001E7A79">
        <w:rPr>
          <w:rFonts w:cs="Times New Roman"/>
        </w:rPr>
        <w:t>https://www.em.gov.lv/lv/nozares_politika/majokli/eku_energoefektivitate/no_direktivas_2012_27_es_par_energoefektivitati_izrietosas_prasibas/</w:t>
      </w:r>
    </w:p>
  </w:footnote>
  <w:footnote w:id="43">
    <w:p w14:paraId="1650C698" w14:textId="77777777" w:rsidR="006C20A5" w:rsidRPr="002E399D" w:rsidRDefault="006C20A5" w:rsidP="00D1109C">
      <w:pPr>
        <w:pStyle w:val="FootnoteText"/>
        <w:ind w:firstLine="0"/>
        <w:rPr>
          <w:rFonts w:asciiTheme="minorHAnsi" w:hAnsiTheme="minorHAnsi" w:cstheme="minorHAnsi"/>
        </w:rPr>
      </w:pPr>
      <w:r w:rsidRPr="001E7A79">
        <w:rPr>
          <w:rStyle w:val="FootnoteReference"/>
        </w:rPr>
        <w:footnoteRef/>
      </w:r>
      <w:r w:rsidRPr="001E7A79">
        <w:rPr>
          <w:rFonts w:cs="Times New Roman"/>
        </w:rPr>
        <w:t>Centrālās valdības ēku definīcija noteikta MK 2013.gada 2.decembra rīkojumā Nr.587 “Par Koncepciju par Eiropas Parlamenta un Padomes 2012.gada 25.oktobra Direktīvas 2012/27/ES par energoefektivitāti, ar ko groza Direktīvas 2009/125/EK un 2010/30/ES un atceļ Direktīvas 2004/8/EK un 2006/32/EK, prasību pārņemšanu tiesību aktos</w:t>
      </w:r>
    </w:p>
  </w:footnote>
  <w:footnote w:id="44">
    <w:p w14:paraId="0E507D69" w14:textId="2EA65907" w:rsidR="006C20A5" w:rsidRDefault="006C20A5" w:rsidP="00097A87">
      <w:pPr>
        <w:pStyle w:val="FootnoteText"/>
        <w:ind w:firstLine="0"/>
      </w:pPr>
      <w:r>
        <w:rPr>
          <w:rStyle w:val="FootnoteReference"/>
        </w:rPr>
        <w:footnoteRef/>
      </w:r>
      <w:r>
        <w:t xml:space="preserve"> Pieejams:</w:t>
      </w:r>
      <w:r w:rsidRPr="00097A87">
        <w:t>http://tap.mk.gov.lv/mk/tap/?pid=40478044</w:t>
      </w:r>
    </w:p>
  </w:footnote>
  <w:footnote w:id="45">
    <w:p w14:paraId="33DF780E" w14:textId="77777777" w:rsidR="006C20A5" w:rsidRPr="0060417D" w:rsidRDefault="006C20A5" w:rsidP="00D1109C">
      <w:pPr>
        <w:pStyle w:val="FootnoteText"/>
        <w:ind w:firstLine="0"/>
        <w:rPr>
          <w:rFonts w:cs="Times New Roman"/>
        </w:rPr>
      </w:pPr>
      <w:r w:rsidRPr="0060417D">
        <w:rPr>
          <w:rStyle w:val="FootnoteReference"/>
        </w:rPr>
        <w:footnoteRef/>
      </w:r>
      <w:r w:rsidRPr="0060417D">
        <w:rPr>
          <w:rFonts w:cs="Times New Roman"/>
        </w:rPr>
        <w:t>Normālrakstā iekļauti jau šobrīd spēkā esošie mērķi, kas ir noteikti saistošos ES tiesību aktos, citos Latvijas politikas plānošanas dokumentos vai tiesību aktos, slīprakstā ir atzīmēti nosakāmie indikatīvie mērķi, treknrakstā ir atzīmēti nosakāmie saistošie mērķi</w:t>
      </w:r>
    </w:p>
  </w:footnote>
  <w:footnote w:id="46">
    <w:p w14:paraId="1F0D8BD4" w14:textId="77777777" w:rsidR="006C20A5" w:rsidRPr="0060417D" w:rsidRDefault="006C20A5" w:rsidP="00D1109C">
      <w:pPr>
        <w:pStyle w:val="FootnoteText"/>
        <w:ind w:firstLine="0"/>
        <w:rPr>
          <w:rFonts w:cs="Times New Roman"/>
        </w:rPr>
      </w:pPr>
      <w:r w:rsidRPr="0060417D">
        <w:rPr>
          <w:rStyle w:val="FootnoteReference"/>
        </w:rPr>
        <w:footnoteRef/>
      </w:r>
      <w:r w:rsidRPr="0060417D">
        <w:rPr>
          <w:rFonts w:cs="Times New Roman"/>
        </w:rPr>
        <w:t>Maksimālā prognoze, jo mērķis mainās ikgadēji. Kopējais mērķis līdz 2017.gada beigām ir 392 010 m</w:t>
      </w:r>
      <w:r w:rsidRPr="0060417D">
        <w:rPr>
          <w:rFonts w:cs="Times New Roman"/>
          <w:vertAlign w:val="superscript"/>
        </w:rPr>
        <w:t>2</w:t>
      </w:r>
    </w:p>
  </w:footnote>
  <w:footnote w:id="47">
    <w:p w14:paraId="65B9F637" w14:textId="77777777" w:rsidR="006C20A5" w:rsidRPr="006E6675" w:rsidRDefault="006C20A5" w:rsidP="00D1109C">
      <w:pPr>
        <w:pStyle w:val="FootnoteText"/>
        <w:ind w:firstLine="0"/>
        <w:rPr>
          <w:rFonts w:asciiTheme="minorHAnsi" w:hAnsiTheme="minorHAnsi" w:cstheme="minorHAnsi"/>
        </w:rPr>
      </w:pPr>
      <w:r w:rsidRPr="0060417D">
        <w:rPr>
          <w:rStyle w:val="FootnoteReference"/>
        </w:rPr>
        <w:footnoteRef/>
      </w:r>
      <w:r w:rsidRPr="0060417D">
        <w:rPr>
          <w:rFonts w:cs="Times New Roman"/>
        </w:rPr>
        <w:t xml:space="preserve"> Maksimālā prognoze</w:t>
      </w:r>
    </w:p>
  </w:footnote>
  <w:footnote w:id="48">
    <w:p w14:paraId="43C0A23F" w14:textId="27737255" w:rsidR="006C20A5" w:rsidRPr="003369E3" w:rsidRDefault="006C20A5" w:rsidP="00EB6E03">
      <w:pPr>
        <w:pStyle w:val="Zemsvtra"/>
        <w:rPr>
          <w:lang w:val="lv-LV"/>
        </w:rPr>
      </w:pPr>
      <w:r w:rsidRPr="00833D86">
        <w:rPr>
          <w:rStyle w:val="FootnoteReference"/>
          <w:sz w:val="20"/>
          <w:szCs w:val="20"/>
        </w:rPr>
        <w:footnoteRef/>
      </w:r>
      <w:r w:rsidRPr="00833D86">
        <w:rPr>
          <w:sz w:val="20"/>
          <w:szCs w:val="20"/>
          <w:lang w:val="lv-LV"/>
        </w:rPr>
        <w:t xml:space="preserve">Centrālās statistikas pārvaldes datu bāzes dati, epm3.4 </w:t>
      </w:r>
      <w:r w:rsidRPr="00833D86">
        <w:rPr>
          <w:color w:val="000000"/>
          <w:sz w:val="20"/>
          <w:szCs w:val="20"/>
          <w:lang w:val="lv-LV"/>
        </w:rPr>
        <w:t>Energoresursu patēriņš mājsaimniecībās, ieskaitot patēriņu lauku saimniecībās un citās ekonomiskās aktivitātēs.</w:t>
      </w:r>
    </w:p>
  </w:footnote>
  <w:footnote w:id="49">
    <w:p w14:paraId="501D2EC4" w14:textId="2FE3E182" w:rsidR="006C20A5" w:rsidRDefault="006C20A5" w:rsidP="00EB6E03">
      <w:pPr>
        <w:pStyle w:val="FootnoteText"/>
        <w:ind w:firstLine="0"/>
      </w:pPr>
      <w:r>
        <w:rPr>
          <w:rStyle w:val="FootnoteReference"/>
        </w:rPr>
        <w:footnoteRef/>
      </w:r>
      <w:r>
        <w:t>Pieejams:</w:t>
      </w:r>
      <w:r w:rsidRPr="00795A54">
        <w:t>https://likumi.lv/ta/id/312423-par-latvijas-nacionalo-energetikas-un-klimata-planu-2021-2030-gadam</w:t>
      </w:r>
    </w:p>
  </w:footnote>
  <w:footnote w:id="50">
    <w:p w14:paraId="0542A9AB" w14:textId="79499E46" w:rsidR="006C20A5" w:rsidRDefault="006C20A5" w:rsidP="00EB6E03">
      <w:pPr>
        <w:pStyle w:val="FootnoteText"/>
        <w:ind w:firstLine="0"/>
      </w:pPr>
      <w:r>
        <w:rPr>
          <w:rStyle w:val="FootnoteReference"/>
        </w:rPr>
        <w:footnoteRef/>
      </w:r>
      <w:r>
        <w:t>Pieejams:</w:t>
      </w:r>
      <w:r w:rsidRPr="00795A54">
        <w:t>https://likumi.lv/ta/id/312423-par-latvijas-nacionalo-energetikas-un-klimata-planu-2021-2030-gadam</w:t>
      </w:r>
    </w:p>
  </w:footnote>
  <w:footnote w:id="51">
    <w:p w14:paraId="5ED4B716" w14:textId="77777777" w:rsidR="006C20A5" w:rsidRPr="00120056" w:rsidRDefault="006C20A5" w:rsidP="007369A0">
      <w:pPr>
        <w:pStyle w:val="FootnoteText"/>
        <w:ind w:firstLine="0"/>
        <w:rPr>
          <w:rFonts w:cs="Times New Roman"/>
          <w:color w:val="000000" w:themeColor="text1"/>
        </w:rPr>
      </w:pPr>
      <w:r w:rsidRPr="00120056">
        <w:rPr>
          <w:rStyle w:val="FootnoteReference"/>
          <w:color w:val="000000" w:themeColor="text1"/>
        </w:rPr>
        <w:footnoteRef/>
      </w:r>
      <w:r>
        <w:rPr>
          <w:rFonts w:cs="Times New Roman"/>
          <w:color w:val="000000" w:themeColor="text1"/>
        </w:rPr>
        <w:t>Pieejams:</w:t>
      </w:r>
      <w:r w:rsidRPr="005709DB">
        <w:rPr>
          <w:rFonts w:cs="Times New Roman"/>
          <w:color w:val="000000" w:themeColor="text1"/>
        </w:rPr>
        <w:t>https://em.gov.lv/lv/nozares_politika/nacionalais_energetikas_un_klimata_plans/</w:t>
      </w:r>
    </w:p>
  </w:footnote>
  <w:footnote w:id="52">
    <w:p w14:paraId="2180B656" w14:textId="77777777" w:rsidR="006C20A5" w:rsidRPr="00120056" w:rsidRDefault="006C20A5" w:rsidP="007369A0">
      <w:pPr>
        <w:pStyle w:val="FootnoteText"/>
        <w:ind w:firstLine="0"/>
        <w:rPr>
          <w:rFonts w:cs="Times New Roman"/>
          <w:color w:val="000000" w:themeColor="text1"/>
        </w:rPr>
      </w:pPr>
      <w:r w:rsidRPr="00120056">
        <w:rPr>
          <w:rStyle w:val="FootnoteReference"/>
          <w:color w:val="000000" w:themeColor="text1"/>
        </w:rPr>
        <w:footnoteRef/>
      </w:r>
      <w:r w:rsidRPr="00120056">
        <w:rPr>
          <w:rFonts w:cs="Times New Roman"/>
          <w:color w:val="000000" w:themeColor="text1"/>
        </w:rPr>
        <w:t>normālrakstā iekļauti jau šobrīd spēkā esošie mērķi, kas ir noteikti saistošos ES tiesību aktos, citos Latvijas politikas plānošanas dokumentos vai tiesību aktos, slīprakstā ir atzīmēti nosakāmie indikatīvie mērķi, treknrakstā ir atzīmēti nosakāmie saistošie mērķi</w:t>
      </w:r>
    </w:p>
  </w:footnote>
  <w:footnote w:id="53">
    <w:p w14:paraId="61DFD7EF" w14:textId="77777777" w:rsidR="006C20A5" w:rsidRPr="00120056" w:rsidRDefault="006C20A5" w:rsidP="007369A0">
      <w:pPr>
        <w:pStyle w:val="FootnoteText"/>
        <w:ind w:firstLine="0"/>
        <w:rPr>
          <w:rFonts w:cs="Times New Roman"/>
          <w:color w:val="000000" w:themeColor="text1"/>
        </w:rPr>
      </w:pPr>
      <w:r w:rsidRPr="00120056">
        <w:rPr>
          <w:rStyle w:val="FootnoteReference"/>
          <w:color w:val="000000" w:themeColor="text1"/>
        </w:rPr>
        <w:footnoteRef/>
      </w:r>
      <w:r w:rsidRPr="00120056">
        <w:rPr>
          <w:rFonts w:cs="Times New Roman"/>
          <w:color w:val="000000" w:themeColor="text1"/>
        </w:rPr>
        <w:t xml:space="preserve"> KEP2020 un pakārtotie ES tiesību akti vai KEPS2030</w:t>
      </w:r>
    </w:p>
  </w:footnote>
  <w:footnote w:id="54">
    <w:p w14:paraId="636BCBBB" w14:textId="77777777" w:rsidR="006C20A5" w:rsidRPr="00120056" w:rsidRDefault="006C20A5" w:rsidP="007369A0">
      <w:pPr>
        <w:pStyle w:val="FootnoteText"/>
        <w:ind w:firstLine="0"/>
        <w:rPr>
          <w:rFonts w:cs="Times New Roman"/>
          <w:color w:val="000000" w:themeColor="text1"/>
        </w:rPr>
      </w:pPr>
      <w:r w:rsidRPr="00120056">
        <w:rPr>
          <w:rStyle w:val="FootnoteReference"/>
          <w:color w:val="000000" w:themeColor="text1"/>
        </w:rPr>
        <w:footnoteRef/>
      </w:r>
      <w:r w:rsidRPr="00120056">
        <w:rPr>
          <w:rFonts w:cs="Times New Roman"/>
          <w:color w:val="000000" w:themeColor="text1"/>
        </w:rPr>
        <w:t xml:space="preserve"> KEPS2030 un pakārtotie ES tiesību akti</w:t>
      </w:r>
    </w:p>
  </w:footnote>
  <w:footnote w:id="55">
    <w:p w14:paraId="525E909F" w14:textId="77777777" w:rsidR="006C20A5" w:rsidRPr="001E7A79" w:rsidRDefault="006C20A5" w:rsidP="00D1109C">
      <w:pPr>
        <w:pStyle w:val="FootnoteText"/>
        <w:ind w:firstLine="0"/>
        <w:rPr>
          <w:rFonts w:cs="Times New Roman"/>
          <w:color w:val="000000" w:themeColor="text1"/>
        </w:rPr>
      </w:pPr>
      <w:r w:rsidRPr="001E7A79">
        <w:rPr>
          <w:rStyle w:val="FootnoteReference"/>
          <w:color w:val="000000" w:themeColor="text1"/>
        </w:rPr>
        <w:footnoteRef/>
      </w:r>
      <w:r w:rsidRPr="001E7A79">
        <w:rPr>
          <w:rFonts w:cs="Times New Roman"/>
          <w:color w:val="000000" w:themeColor="text1"/>
        </w:rPr>
        <w:t>Informācija uz 2019. gada decembri.</w:t>
      </w:r>
    </w:p>
  </w:footnote>
  <w:footnote w:id="56">
    <w:p w14:paraId="2F732328" w14:textId="58CE08B9" w:rsidR="006C20A5" w:rsidRDefault="006C20A5" w:rsidP="00391BEC">
      <w:pPr>
        <w:pStyle w:val="FootnoteText"/>
        <w:ind w:firstLine="0"/>
      </w:pPr>
      <w:r>
        <w:rPr>
          <w:rStyle w:val="FootnoteReference"/>
        </w:rPr>
        <w:footnoteRef/>
      </w:r>
      <w:r>
        <w:t>Pieejams:</w:t>
      </w:r>
      <w:r w:rsidRPr="00391BEC">
        <w:t>http://www.bef.lv/fileadmin/Projektu_faili/SEG_emisijas/Rekomendacijas_zinojums_BEF.pdf</w:t>
      </w:r>
    </w:p>
  </w:footnote>
  <w:footnote w:id="57">
    <w:p w14:paraId="2DD4EBE8" w14:textId="77777777" w:rsidR="006C20A5" w:rsidRDefault="006C20A5" w:rsidP="001355B7">
      <w:pPr>
        <w:pStyle w:val="FootnoteText"/>
        <w:ind w:firstLine="0"/>
      </w:pPr>
      <w:r>
        <w:rPr>
          <w:rStyle w:val="FootnoteReference"/>
        </w:rPr>
        <w:footnoteRef/>
      </w:r>
      <w:r>
        <w:t>Pieejams:</w:t>
      </w:r>
      <w:r w:rsidRPr="00DE6FD9">
        <w:t>https://titania.saeima.lv/LIVS13/saeimalivs13.nsf/webAll?SearchView&amp;Query=([Title]=*%C4%ABres+likums*)&amp;SearchMax=0&amp;SearchOrder=4</w:t>
      </w:r>
    </w:p>
  </w:footnote>
  <w:footnote w:id="58">
    <w:p w14:paraId="2775CC47" w14:textId="00E54650" w:rsidR="006C20A5" w:rsidRDefault="006C20A5" w:rsidP="007E1CE1">
      <w:pPr>
        <w:pStyle w:val="FootnoteText"/>
        <w:ind w:firstLine="0"/>
      </w:pPr>
      <w:r>
        <w:rPr>
          <w:rStyle w:val="FootnoteReference"/>
        </w:rPr>
        <w:footnoteRef/>
      </w:r>
      <w:r>
        <w:t>Pieejams:</w:t>
      </w:r>
      <w:r w:rsidRPr="00A4551C">
        <w:t>https://likumi.lv/ta/id/312423-par-latvijas-nacionalo-energetikas-un-klimata-planu-2021-2030-gadam</w:t>
      </w:r>
    </w:p>
  </w:footnote>
  <w:footnote w:id="59">
    <w:p w14:paraId="7B9EA2EE" w14:textId="6625A17A" w:rsidR="006C20A5" w:rsidRDefault="006C20A5" w:rsidP="00510A8C">
      <w:pPr>
        <w:pStyle w:val="FootnoteText"/>
        <w:ind w:firstLine="0"/>
      </w:pPr>
      <w:r>
        <w:rPr>
          <w:rStyle w:val="FootnoteReference"/>
        </w:rPr>
        <w:footnoteRef/>
      </w:r>
      <w:r>
        <w:t>Pieejams:</w:t>
      </w:r>
      <w:r w:rsidRPr="00510A8C">
        <w:t>https://qualitee.eu/lv/news/projektu-vadibas-kvalitates-kriteriji-un-esko-iepirkuma-rokasgramata/</w:t>
      </w:r>
      <w:r>
        <w:t>.</w:t>
      </w:r>
    </w:p>
  </w:footnote>
  <w:footnote w:id="60">
    <w:p w14:paraId="1F613F0F" w14:textId="42E37878" w:rsidR="006C20A5" w:rsidRPr="000D491D" w:rsidRDefault="006C20A5" w:rsidP="001C2B05">
      <w:pPr>
        <w:pStyle w:val="FootnoteText"/>
        <w:ind w:firstLine="0"/>
        <w:rPr>
          <w:color w:val="000000" w:themeColor="text1"/>
        </w:rPr>
      </w:pPr>
      <w:r w:rsidRPr="000D491D">
        <w:rPr>
          <w:rStyle w:val="FootnoteReference"/>
          <w:color w:val="000000" w:themeColor="text1"/>
        </w:rPr>
        <w:footnoteRef/>
      </w:r>
      <w:r w:rsidRPr="000D491D">
        <w:rPr>
          <w:color w:val="000000" w:themeColor="text1"/>
        </w:rPr>
        <w:t>Pieejams:</w:t>
      </w:r>
      <w:r w:rsidRPr="007E1CE1">
        <w:t>https://fm.gov.lv/lv/aktualitates/jaunumi/54486-erab-nosledz-sadarbibas-ligumu-ar-labeef-fondu-eku-renovacijai-latvija</w:t>
      </w:r>
      <w:r w:rsidRPr="000D491D">
        <w:rPr>
          <w:rStyle w:val="Hyperlink"/>
          <w:color w:val="000000" w:themeColor="text1"/>
          <w:u w:val="none"/>
        </w:rPr>
        <w:t>.</w:t>
      </w:r>
    </w:p>
  </w:footnote>
  <w:footnote w:id="61">
    <w:p w14:paraId="70BCE103" w14:textId="354D0005" w:rsidR="006C20A5" w:rsidRPr="000D491D" w:rsidRDefault="006C20A5" w:rsidP="00510A8C">
      <w:pPr>
        <w:pStyle w:val="FootnoteText"/>
        <w:ind w:firstLine="0"/>
        <w:jc w:val="left"/>
        <w:rPr>
          <w:color w:val="000000" w:themeColor="text1"/>
        </w:rPr>
      </w:pPr>
      <w:r w:rsidRPr="000D491D">
        <w:rPr>
          <w:rStyle w:val="FootnoteReference"/>
          <w:color w:val="000000" w:themeColor="text1"/>
        </w:rPr>
        <w:footnoteRef/>
      </w:r>
      <w:r w:rsidRPr="000D491D">
        <w:rPr>
          <w:color w:val="000000" w:themeColor="text1"/>
        </w:rPr>
        <w:t xml:space="preserve"> Pieejams:</w:t>
      </w:r>
      <w:r w:rsidRPr="0058175D">
        <w:t>https://sharex.lv/lv/labeef/</w:t>
      </w:r>
      <w:r w:rsidRPr="000D491D">
        <w:rPr>
          <w:rStyle w:val="Hyperlink"/>
          <w:color w:val="000000" w:themeColor="text1"/>
          <w:u w:val="none"/>
        </w:rPr>
        <w:t>.</w:t>
      </w:r>
    </w:p>
  </w:footnote>
  <w:footnote w:id="62">
    <w:p w14:paraId="191123A2" w14:textId="34A0C104" w:rsidR="006C20A5" w:rsidRPr="000D491D" w:rsidRDefault="006C20A5" w:rsidP="00510A8C">
      <w:pPr>
        <w:pStyle w:val="FootnoteText"/>
        <w:ind w:firstLine="0"/>
        <w:jc w:val="left"/>
        <w:rPr>
          <w:color w:val="000000" w:themeColor="text1"/>
        </w:rPr>
      </w:pPr>
      <w:r w:rsidRPr="000D491D">
        <w:rPr>
          <w:rStyle w:val="FootnoteReference"/>
          <w:color w:val="000000" w:themeColor="text1"/>
        </w:rPr>
        <w:footnoteRef/>
      </w:r>
      <w:r w:rsidRPr="000D491D">
        <w:rPr>
          <w:color w:val="000000" w:themeColor="text1"/>
        </w:rPr>
        <w:t xml:space="preserve">Latvijas zinātnieki ES finansētā projektā palīdzēs veicināt padomju ēku energoefektivitāti </w:t>
      </w:r>
      <w:r w:rsidRPr="00402001">
        <w:t>http://www.db.lv/ipasums/latvijas-zinatnieki-es-finanseta-projekta-palidzes-veicinat-padomju-eku-energoefektivitati-438781?from-full</w:t>
      </w:r>
      <w:r w:rsidRPr="000D491D">
        <w:rPr>
          <w:color w:val="000000" w:themeColor="text1"/>
        </w:rPr>
        <w:t xml:space="preserve"> </w:t>
      </w:r>
      <w:r>
        <w:rPr>
          <w:color w:val="000000" w:themeColor="text1"/>
        </w:rPr>
        <w:t>.</w:t>
      </w:r>
    </w:p>
  </w:footnote>
  <w:footnote w:id="63">
    <w:p w14:paraId="4190B4ED" w14:textId="5E6696BD" w:rsidR="006C20A5" w:rsidRPr="000D491D" w:rsidRDefault="006C20A5" w:rsidP="00510A8C">
      <w:pPr>
        <w:pStyle w:val="FootnoteText"/>
        <w:ind w:firstLine="0"/>
        <w:jc w:val="left"/>
        <w:rPr>
          <w:color w:val="000000" w:themeColor="text1"/>
        </w:rPr>
      </w:pPr>
      <w:r w:rsidRPr="000D491D">
        <w:rPr>
          <w:rStyle w:val="FootnoteReference"/>
          <w:color w:val="000000" w:themeColor="text1"/>
        </w:rPr>
        <w:footnoteRef/>
      </w:r>
      <w:r w:rsidRPr="000D491D">
        <w:rPr>
          <w:color w:val="000000" w:themeColor="text1"/>
        </w:rPr>
        <w:t xml:space="preserve">Uzsākts “Horizon 2020” programmas projekts „Accelerate SUNShINE” ttp://www.bauska.lv/lv/notikumi/uzsakts-horizon-2020-programmas-projekts-accelerate-sunshine-3821 </w:t>
      </w:r>
    </w:p>
  </w:footnote>
  <w:footnote w:id="64">
    <w:p w14:paraId="6779AEFA" w14:textId="5723CB2B" w:rsidR="006C20A5" w:rsidRPr="0043648E" w:rsidRDefault="006C20A5" w:rsidP="00510A8C">
      <w:pPr>
        <w:pStyle w:val="FootnoteText"/>
        <w:ind w:firstLine="0"/>
        <w:jc w:val="left"/>
      </w:pPr>
      <w:r w:rsidRPr="000D491D">
        <w:rPr>
          <w:rStyle w:val="FootnoteReference"/>
          <w:color w:val="000000" w:themeColor="text1"/>
        </w:rPr>
        <w:footnoteRef/>
      </w:r>
      <w:r w:rsidRPr="000D491D">
        <w:rPr>
          <w:color w:val="000000" w:themeColor="text1"/>
        </w:rPr>
        <w:t xml:space="preserve"> </w:t>
      </w:r>
      <w:r>
        <w:rPr>
          <w:color w:val="000000" w:themeColor="text1"/>
        </w:rPr>
        <w:t>Pieejams:</w:t>
      </w:r>
      <w:r w:rsidRPr="000D491D">
        <w:rPr>
          <w:color w:val="000000" w:themeColor="text1"/>
        </w:rPr>
        <w:t>http://www.enpc-intrans.eu/language/lv/majas/projekta-informacija/</w:t>
      </w:r>
      <w:r>
        <w:rPr>
          <w:color w:val="000000" w:themeColor="text1"/>
        </w:rPr>
        <w:t>.</w:t>
      </w:r>
    </w:p>
  </w:footnote>
  <w:footnote w:id="65">
    <w:p w14:paraId="423AA694" w14:textId="0F84649B" w:rsidR="006C20A5" w:rsidRPr="004A17BE" w:rsidRDefault="006C20A5" w:rsidP="00C9389D">
      <w:pPr>
        <w:pStyle w:val="FootnoteText"/>
        <w:ind w:firstLine="0"/>
        <w:rPr>
          <w:color w:val="000000" w:themeColor="text1"/>
        </w:rPr>
      </w:pPr>
      <w:r w:rsidRPr="004A17BE">
        <w:rPr>
          <w:rStyle w:val="FootnoteReference"/>
          <w:color w:val="000000" w:themeColor="text1"/>
        </w:rPr>
        <w:footnoteRef/>
      </w:r>
      <w:r w:rsidRPr="004A17BE">
        <w:rPr>
          <w:color w:val="000000" w:themeColor="text1"/>
        </w:rPr>
        <w:t>Pieejams:</w:t>
      </w:r>
      <w:r w:rsidRPr="000B05A2">
        <w:t>https://www.em.gov.lv/lv/nozares_politika/energoefektivitate_un_siltumapgade/energoefektivitate/energoefektivitates_pakalpojumi/</w:t>
      </w:r>
      <w:r>
        <w:rPr>
          <w:color w:val="000000" w:themeColor="text1"/>
        </w:rPr>
        <w:t>.</w:t>
      </w:r>
    </w:p>
  </w:footnote>
  <w:footnote w:id="66">
    <w:p w14:paraId="0C458983" w14:textId="708AF38F" w:rsidR="006C20A5" w:rsidRDefault="006C20A5" w:rsidP="0005263D">
      <w:pPr>
        <w:pStyle w:val="FootnoteText"/>
        <w:ind w:firstLine="0"/>
      </w:pPr>
      <w:r w:rsidRPr="004A17BE">
        <w:rPr>
          <w:rStyle w:val="FootnoteReference"/>
          <w:color w:val="000000" w:themeColor="text1"/>
        </w:rPr>
        <w:footnoteRef/>
      </w:r>
      <w:r w:rsidRPr="004A17BE">
        <w:rPr>
          <w:color w:val="000000" w:themeColor="text1"/>
        </w:rPr>
        <w:t xml:space="preserve"> Pieejams:http://tap.mk.gov.lv/mk/tap/?pid=40480909</w:t>
      </w:r>
      <w:r>
        <w:rPr>
          <w:color w:val="000000" w:themeColor="text1"/>
        </w:rPr>
        <w:t>.</w:t>
      </w:r>
    </w:p>
  </w:footnote>
  <w:footnote w:id="67">
    <w:p w14:paraId="5F155BF9" w14:textId="260C3164" w:rsidR="006C20A5" w:rsidRPr="004A17BE" w:rsidRDefault="006C20A5" w:rsidP="00421AEC">
      <w:pPr>
        <w:pStyle w:val="FootnoteText"/>
        <w:ind w:firstLine="0"/>
      </w:pPr>
      <w:r w:rsidRPr="004A17BE">
        <w:rPr>
          <w:rStyle w:val="FootnoteReference"/>
          <w:color w:val="000000" w:themeColor="text1"/>
        </w:rPr>
        <w:footnoteRef/>
      </w:r>
      <w:r>
        <w:rPr>
          <w:color w:val="000000" w:themeColor="text1"/>
        </w:rPr>
        <w:t>Pieejams:</w:t>
      </w:r>
      <w:r w:rsidRPr="004A17BE">
        <w:rPr>
          <w:color w:val="000000" w:themeColor="text1"/>
        </w:rPr>
        <w:t>http://ekodoma.lv/lv/publikacijas/energoefektivitates-pakalpojuma-ligums-publisko-eku-atjaunosanai</w:t>
      </w:r>
      <w:r>
        <w:rPr>
          <w:rStyle w:val="Hyperlink"/>
          <w:color w:val="000000" w:themeColor="text1"/>
          <w:u w:val="none"/>
        </w:rPr>
        <w:t>.</w:t>
      </w:r>
    </w:p>
  </w:footnote>
  <w:footnote w:id="68">
    <w:p w14:paraId="6366F068" w14:textId="77777777" w:rsidR="006C20A5" w:rsidRPr="00FD55A7" w:rsidRDefault="006C20A5" w:rsidP="00FD55A7">
      <w:pPr>
        <w:ind w:firstLine="0"/>
        <w:rPr>
          <w:rFonts w:cstheme="minorHAnsi"/>
          <w:color w:val="000000" w:themeColor="text1"/>
          <w:sz w:val="20"/>
          <w:szCs w:val="20"/>
        </w:rPr>
      </w:pPr>
      <w:r w:rsidRPr="00FD55A7">
        <w:rPr>
          <w:rStyle w:val="FootnoteReference"/>
          <w:rFonts w:cstheme="minorHAnsi"/>
          <w:color w:val="000000" w:themeColor="text1"/>
          <w:sz w:val="20"/>
          <w:szCs w:val="20"/>
        </w:rPr>
        <w:footnoteRef/>
      </w:r>
      <w:r w:rsidRPr="00FD55A7">
        <w:rPr>
          <w:rFonts w:cstheme="minorHAnsi"/>
          <w:color w:val="000000" w:themeColor="text1"/>
          <w:sz w:val="20"/>
          <w:szCs w:val="20"/>
        </w:rPr>
        <w:t xml:space="preserve"> atbilstoši gadskārtējam valsts budžeta likumam pašvaldībām nav tiesību uzņemties ilgtermiņa saistības atbilstoši likuma “Par pašvaldību budžetiem” 22. pantam, izņemot saistības: 1) līdz pieciem gadiem pašvaldību autonomo funkciju nodrošināšanai nepieciešamajiem pakalpojumiem, datortehnikas, sakaru un citas biroja tehnikas iegādei; 2) ilgstošas sociālās aprūpes un sociālās rehabilitācijas pakalpojumu nodrošināšanai; 3) likumā  par gadskārtējo valsts budžetu minēto investīciju projektu īstenošanai; 4) Publiskās un privātās partnerības likumā noteiktajā kārtībā akceptēto publiskās un privātās partnerības projektu īstenošanai.</w:t>
      </w:r>
    </w:p>
  </w:footnote>
  <w:footnote w:id="69">
    <w:p w14:paraId="59993A4B" w14:textId="01576D94" w:rsidR="006C20A5" w:rsidRDefault="006C20A5" w:rsidP="004035CD">
      <w:pPr>
        <w:pStyle w:val="FootnoteText"/>
        <w:ind w:firstLine="0"/>
      </w:pPr>
      <w:r>
        <w:rPr>
          <w:rStyle w:val="FootnoteReference"/>
        </w:rPr>
        <w:footnoteRef/>
      </w:r>
      <w:r>
        <w:t>Pieejams:</w:t>
      </w:r>
      <w:r w:rsidRPr="004035CD">
        <w:t>https://likumi.lv/ta/id/312423-par-latvijas-nacionalo-energetikas-un-klimata-planu-2021-2030-gadam</w:t>
      </w:r>
    </w:p>
  </w:footnote>
  <w:footnote w:id="70">
    <w:p w14:paraId="288B622B" w14:textId="00C8D49B" w:rsidR="006C20A5" w:rsidRDefault="006C20A5" w:rsidP="00C70860">
      <w:pPr>
        <w:pStyle w:val="FootnoteText"/>
        <w:ind w:firstLine="0"/>
        <w:jc w:val="left"/>
      </w:pPr>
      <w:r>
        <w:rPr>
          <w:rStyle w:val="FootnoteReference"/>
        </w:rPr>
        <w:footnoteRef/>
      </w:r>
      <w:r>
        <w:t>Pieejams:</w:t>
      </w:r>
      <w:r w:rsidRPr="00C70860">
        <w:t>https://www.pkc.gov.lv/sites/default/files/2019-10/20190927_NAP_2021_2027_1_redakcija_publiskajai_apspriesanai_FINAL.pdf</w:t>
      </w:r>
    </w:p>
  </w:footnote>
  <w:footnote w:id="71">
    <w:p w14:paraId="0C7022DF" w14:textId="0D168D92" w:rsidR="006C20A5" w:rsidRDefault="006C20A5" w:rsidP="00BF75A2">
      <w:pPr>
        <w:pStyle w:val="FootnoteText"/>
        <w:ind w:firstLine="0"/>
      </w:pPr>
      <w:r>
        <w:rPr>
          <w:rStyle w:val="FootnoteReference"/>
        </w:rPr>
        <w:footnoteRef/>
      </w:r>
      <w:r>
        <w:t>Pieejams:</w:t>
      </w:r>
      <w:r w:rsidRPr="00BF75A2">
        <w:t>https://ec.europa.eu/energy/sites/ener/files/documents/lv_building_renov_2017_lv.pdf</w:t>
      </w:r>
      <w:r>
        <w:t>. 58.lp.</w:t>
      </w:r>
    </w:p>
  </w:footnote>
  <w:footnote w:id="72">
    <w:p w14:paraId="505F695F" w14:textId="487D914A" w:rsidR="006C20A5" w:rsidRDefault="006C20A5" w:rsidP="00386ED3">
      <w:pPr>
        <w:pStyle w:val="FootnoteText"/>
        <w:ind w:firstLine="0"/>
      </w:pPr>
      <w:r>
        <w:rPr>
          <w:rStyle w:val="FootnoteReference"/>
        </w:rPr>
        <w:footnoteRef/>
      </w:r>
      <w:r w:rsidRPr="00386ED3">
        <w:t>https://www.altum.lv/lv/pakalpojumi/maju-energoefektivitate/daudzdzivoklu-maju-energoefektivitate-pamatinformacija/par-programmu/</w:t>
      </w:r>
    </w:p>
  </w:footnote>
  <w:footnote w:id="73">
    <w:p w14:paraId="06581130" w14:textId="77777777" w:rsidR="006C20A5" w:rsidRPr="001E7A79" w:rsidRDefault="006C20A5" w:rsidP="00BE05A5">
      <w:pPr>
        <w:pStyle w:val="FootnoteText"/>
        <w:ind w:firstLine="0"/>
        <w:rPr>
          <w:rFonts w:cs="Times New Roman"/>
          <w:color w:val="000000" w:themeColor="text1"/>
        </w:rPr>
      </w:pPr>
      <w:r w:rsidRPr="001E7A79">
        <w:rPr>
          <w:rStyle w:val="FootnoteReference"/>
          <w:color w:val="000000" w:themeColor="text1"/>
        </w:rPr>
        <w:footnoteRef/>
      </w:r>
      <w:r w:rsidRPr="001E7A79">
        <w:rPr>
          <w:rFonts w:cs="Times New Roman"/>
          <w:color w:val="000000" w:themeColor="text1"/>
        </w:rPr>
        <w:t xml:space="preserve"> Informācija uz 2019. gada decembri.</w:t>
      </w:r>
    </w:p>
  </w:footnote>
  <w:footnote w:id="74">
    <w:p w14:paraId="0677896A" w14:textId="6CFE2674" w:rsidR="006C20A5" w:rsidRDefault="006C20A5" w:rsidP="009153B4">
      <w:pPr>
        <w:pStyle w:val="FootnoteText"/>
        <w:ind w:firstLine="0"/>
      </w:pPr>
      <w:r>
        <w:rPr>
          <w:rStyle w:val="FootnoteReference"/>
        </w:rPr>
        <w:footnoteRef/>
      </w:r>
      <w:r>
        <w:t xml:space="preserve"> Pieejams:</w:t>
      </w:r>
      <w:r w:rsidRPr="009153B4">
        <w:t>https://em.gov.lv/lv/es_fondi/dzivo_siltak/pasakumi/</w:t>
      </w:r>
    </w:p>
  </w:footnote>
  <w:footnote w:id="75">
    <w:p w14:paraId="34E7B9B9" w14:textId="3073D306" w:rsidR="006C20A5" w:rsidRDefault="006C20A5" w:rsidP="009153B4">
      <w:pPr>
        <w:pStyle w:val="FootnoteText"/>
        <w:ind w:firstLine="0"/>
      </w:pPr>
      <w:r>
        <w:rPr>
          <w:rStyle w:val="FootnoteReference"/>
        </w:rPr>
        <w:footnoteRef/>
      </w:r>
      <w:r>
        <w:t xml:space="preserve"> Pieejams:</w:t>
      </w:r>
      <w:r w:rsidRPr="009153B4">
        <w:t>https://em.gov.lv/lv/es_fondi/dzivo_siltak/pasakumi/</w:t>
      </w:r>
    </w:p>
  </w:footnote>
  <w:footnote w:id="76">
    <w:p w14:paraId="28AF9A83" w14:textId="77777777" w:rsidR="006C20A5" w:rsidRDefault="006C20A5" w:rsidP="009153B4">
      <w:pPr>
        <w:pStyle w:val="FootnoteText"/>
        <w:ind w:firstLine="0"/>
      </w:pPr>
      <w:r>
        <w:rPr>
          <w:rStyle w:val="FootnoteReference"/>
        </w:rPr>
        <w:footnoteRef/>
      </w:r>
      <w:r w:rsidRPr="00D03866">
        <w:t>Noteikumi par Latvijas būvnormatīvu LBN 002-19 "Ēku norobežojošo konstrukciju siltumtehnika"</w:t>
      </w:r>
      <w:r>
        <w:t xml:space="preserve"> Pieejams:</w:t>
      </w:r>
      <w:r w:rsidRPr="00D03866">
        <w:t xml:space="preserve"> </w:t>
      </w:r>
      <w:r w:rsidRPr="00726A84">
        <w:t>https://likumi.lv/ta/id/307966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C11"/>
    <w:multiLevelType w:val="hybridMultilevel"/>
    <w:tmpl w:val="9028E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10882"/>
    <w:multiLevelType w:val="hybridMultilevel"/>
    <w:tmpl w:val="17BE4BA8"/>
    <w:lvl w:ilvl="0" w:tplc="F2AC6558">
      <w:start w:val="1"/>
      <w:numFmt w:val="bullet"/>
      <w:lvlText w:val="•"/>
      <w:lvlJc w:val="left"/>
      <w:pPr>
        <w:tabs>
          <w:tab w:val="num" w:pos="720"/>
        </w:tabs>
        <w:ind w:left="720" w:hanging="360"/>
      </w:pPr>
      <w:rPr>
        <w:rFonts w:ascii="Arial" w:hAnsi="Arial" w:hint="default"/>
      </w:rPr>
    </w:lvl>
    <w:lvl w:ilvl="1" w:tplc="4526234C" w:tentative="1">
      <w:start w:val="1"/>
      <w:numFmt w:val="bullet"/>
      <w:lvlText w:val="•"/>
      <w:lvlJc w:val="left"/>
      <w:pPr>
        <w:tabs>
          <w:tab w:val="num" w:pos="1440"/>
        </w:tabs>
        <w:ind w:left="1440" w:hanging="360"/>
      </w:pPr>
      <w:rPr>
        <w:rFonts w:ascii="Arial" w:hAnsi="Arial" w:hint="default"/>
      </w:rPr>
    </w:lvl>
    <w:lvl w:ilvl="2" w:tplc="76367046">
      <w:start w:val="1"/>
      <w:numFmt w:val="bullet"/>
      <w:lvlText w:val="•"/>
      <w:lvlJc w:val="left"/>
      <w:pPr>
        <w:tabs>
          <w:tab w:val="num" w:pos="2160"/>
        </w:tabs>
        <w:ind w:left="2160" w:hanging="360"/>
      </w:pPr>
      <w:rPr>
        <w:rFonts w:ascii="Arial" w:hAnsi="Arial" w:hint="default"/>
      </w:rPr>
    </w:lvl>
    <w:lvl w:ilvl="3" w:tplc="A060F34A" w:tentative="1">
      <w:start w:val="1"/>
      <w:numFmt w:val="bullet"/>
      <w:lvlText w:val="•"/>
      <w:lvlJc w:val="left"/>
      <w:pPr>
        <w:tabs>
          <w:tab w:val="num" w:pos="2880"/>
        </w:tabs>
        <w:ind w:left="2880" w:hanging="360"/>
      </w:pPr>
      <w:rPr>
        <w:rFonts w:ascii="Arial" w:hAnsi="Arial" w:hint="default"/>
      </w:rPr>
    </w:lvl>
    <w:lvl w:ilvl="4" w:tplc="0706ACB8" w:tentative="1">
      <w:start w:val="1"/>
      <w:numFmt w:val="bullet"/>
      <w:lvlText w:val="•"/>
      <w:lvlJc w:val="left"/>
      <w:pPr>
        <w:tabs>
          <w:tab w:val="num" w:pos="3600"/>
        </w:tabs>
        <w:ind w:left="3600" w:hanging="360"/>
      </w:pPr>
      <w:rPr>
        <w:rFonts w:ascii="Arial" w:hAnsi="Arial" w:hint="default"/>
      </w:rPr>
    </w:lvl>
    <w:lvl w:ilvl="5" w:tplc="A1C0B108" w:tentative="1">
      <w:start w:val="1"/>
      <w:numFmt w:val="bullet"/>
      <w:lvlText w:val="•"/>
      <w:lvlJc w:val="left"/>
      <w:pPr>
        <w:tabs>
          <w:tab w:val="num" w:pos="4320"/>
        </w:tabs>
        <w:ind w:left="4320" w:hanging="360"/>
      </w:pPr>
      <w:rPr>
        <w:rFonts w:ascii="Arial" w:hAnsi="Arial" w:hint="default"/>
      </w:rPr>
    </w:lvl>
    <w:lvl w:ilvl="6" w:tplc="1F8A68F0" w:tentative="1">
      <w:start w:val="1"/>
      <w:numFmt w:val="bullet"/>
      <w:lvlText w:val="•"/>
      <w:lvlJc w:val="left"/>
      <w:pPr>
        <w:tabs>
          <w:tab w:val="num" w:pos="5040"/>
        </w:tabs>
        <w:ind w:left="5040" w:hanging="360"/>
      </w:pPr>
      <w:rPr>
        <w:rFonts w:ascii="Arial" w:hAnsi="Arial" w:hint="default"/>
      </w:rPr>
    </w:lvl>
    <w:lvl w:ilvl="7" w:tplc="56569568" w:tentative="1">
      <w:start w:val="1"/>
      <w:numFmt w:val="bullet"/>
      <w:lvlText w:val="•"/>
      <w:lvlJc w:val="left"/>
      <w:pPr>
        <w:tabs>
          <w:tab w:val="num" w:pos="5760"/>
        </w:tabs>
        <w:ind w:left="5760" w:hanging="360"/>
      </w:pPr>
      <w:rPr>
        <w:rFonts w:ascii="Arial" w:hAnsi="Arial" w:hint="default"/>
      </w:rPr>
    </w:lvl>
    <w:lvl w:ilvl="8" w:tplc="62188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31BB2"/>
    <w:multiLevelType w:val="hybridMultilevel"/>
    <w:tmpl w:val="780CE7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929B5"/>
    <w:multiLevelType w:val="multilevel"/>
    <w:tmpl w:val="A10A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21D7E"/>
    <w:multiLevelType w:val="hybridMultilevel"/>
    <w:tmpl w:val="589E2C5C"/>
    <w:lvl w:ilvl="0" w:tplc="474448BE">
      <w:start w:val="352"/>
      <w:numFmt w:val="bullet"/>
      <w:lvlText w:val="-"/>
      <w:lvlJc w:val="left"/>
      <w:pPr>
        <w:ind w:left="420" w:hanging="360"/>
      </w:pPr>
      <w:rPr>
        <w:rFonts w:ascii="Times New Roman" w:eastAsia="Calibri" w:hAnsi="Times New Roman" w:cs="Times New Roman" w:hint="default"/>
        <w:i/>
      </w:rPr>
    </w:lvl>
    <w:lvl w:ilvl="1" w:tplc="474448BE">
      <w:start w:val="352"/>
      <w:numFmt w:val="bullet"/>
      <w:lvlText w:val="-"/>
      <w:lvlJc w:val="left"/>
      <w:pPr>
        <w:ind w:left="1140" w:hanging="360"/>
      </w:pPr>
      <w:rPr>
        <w:rFonts w:ascii="Times New Roman" w:eastAsia="Calibri" w:hAnsi="Times New Roman" w:cs="Times New Roman" w:hint="default"/>
        <w:i/>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61549F2"/>
    <w:multiLevelType w:val="hybridMultilevel"/>
    <w:tmpl w:val="DD464F8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7DF0291"/>
    <w:multiLevelType w:val="multilevel"/>
    <w:tmpl w:val="5EA0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E1BC1"/>
    <w:multiLevelType w:val="multilevel"/>
    <w:tmpl w:val="FD2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75DE3"/>
    <w:multiLevelType w:val="hybridMultilevel"/>
    <w:tmpl w:val="1DCEDDA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A507E54"/>
    <w:multiLevelType w:val="hybridMultilevel"/>
    <w:tmpl w:val="51E432B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FCB28C8"/>
    <w:multiLevelType w:val="hybridMultilevel"/>
    <w:tmpl w:val="6F4071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3D70525"/>
    <w:multiLevelType w:val="hybridMultilevel"/>
    <w:tmpl w:val="9EA49BD6"/>
    <w:lvl w:ilvl="0" w:tplc="7FEC158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4013F4F"/>
    <w:multiLevelType w:val="hybridMultilevel"/>
    <w:tmpl w:val="13FC1BEE"/>
    <w:lvl w:ilvl="0" w:tplc="D3167C6C">
      <w:start w:val="1"/>
      <w:numFmt w:val="bullet"/>
      <w:lvlText w:val="•"/>
      <w:lvlJc w:val="left"/>
      <w:pPr>
        <w:tabs>
          <w:tab w:val="num" w:pos="720"/>
        </w:tabs>
        <w:ind w:left="720" w:hanging="360"/>
      </w:pPr>
      <w:rPr>
        <w:rFonts w:ascii="Arial" w:hAnsi="Arial" w:hint="default"/>
      </w:rPr>
    </w:lvl>
    <w:lvl w:ilvl="1" w:tplc="B56C98A6" w:tentative="1">
      <w:start w:val="1"/>
      <w:numFmt w:val="bullet"/>
      <w:lvlText w:val="•"/>
      <w:lvlJc w:val="left"/>
      <w:pPr>
        <w:tabs>
          <w:tab w:val="num" w:pos="1440"/>
        </w:tabs>
        <w:ind w:left="1440" w:hanging="360"/>
      </w:pPr>
      <w:rPr>
        <w:rFonts w:ascii="Arial" w:hAnsi="Arial" w:hint="default"/>
      </w:rPr>
    </w:lvl>
    <w:lvl w:ilvl="2" w:tplc="9A842A88">
      <w:start w:val="1"/>
      <w:numFmt w:val="bullet"/>
      <w:lvlText w:val="•"/>
      <w:lvlJc w:val="left"/>
      <w:pPr>
        <w:tabs>
          <w:tab w:val="num" w:pos="2160"/>
        </w:tabs>
        <w:ind w:left="2160" w:hanging="360"/>
      </w:pPr>
      <w:rPr>
        <w:rFonts w:ascii="Arial" w:hAnsi="Arial" w:hint="default"/>
      </w:rPr>
    </w:lvl>
    <w:lvl w:ilvl="3" w:tplc="F844DC76">
      <w:numFmt w:val="bullet"/>
      <w:lvlText w:val="•"/>
      <w:lvlJc w:val="left"/>
      <w:pPr>
        <w:tabs>
          <w:tab w:val="num" w:pos="2880"/>
        </w:tabs>
        <w:ind w:left="2880" w:hanging="360"/>
      </w:pPr>
      <w:rPr>
        <w:rFonts w:ascii="Arial" w:hAnsi="Arial" w:hint="default"/>
      </w:rPr>
    </w:lvl>
    <w:lvl w:ilvl="4" w:tplc="582CE9C2" w:tentative="1">
      <w:start w:val="1"/>
      <w:numFmt w:val="bullet"/>
      <w:lvlText w:val="•"/>
      <w:lvlJc w:val="left"/>
      <w:pPr>
        <w:tabs>
          <w:tab w:val="num" w:pos="3600"/>
        </w:tabs>
        <w:ind w:left="3600" w:hanging="360"/>
      </w:pPr>
      <w:rPr>
        <w:rFonts w:ascii="Arial" w:hAnsi="Arial" w:hint="default"/>
      </w:rPr>
    </w:lvl>
    <w:lvl w:ilvl="5" w:tplc="72BADD7C" w:tentative="1">
      <w:start w:val="1"/>
      <w:numFmt w:val="bullet"/>
      <w:lvlText w:val="•"/>
      <w:lvlJc w:val="left"/>
      <w:pPr>
        <w:tabs>
          <w:tab w:val="num" w:pos="4320"/>
        </w:tabs>
        <w:ind w:left="4320" w:hanging="360"/>
      </w:pPr>
      <w:rPr>
        <w:rFonts w:ascii="Arial" w:hAnsi="Arial" w:hint="default"/>
      </w:rPr>
    </w:lvl>
    <w:lvl w:ilvl="6" w:tplc="86700FC2" w:tentative="1">
      <w:start w:val="1"/>
      <w:numFmt w:val="bullet"/>
      <w:lvlText w:val="•"/>
      <w:lvlJc w:val="left"/>
      <w:pPr>
        <w:tabs>
          <w:tab w:val="num" w:pos="5040"/>
        </w:tabs>
        <w:ind w:left="5040" w:hanging="360"/>
      </w:pPr>
      <w:rPr>
        <w:rFonts w:ascii="Arial" w:hAnsi="Arial" w:hint="default"/>
      </w:rPr>
    </w:lvl>
    <w:lvl w:ilvl="7" w:tplc="DC4CF654" w:tentative="1">
      <w:start w:val="1"/>
      <w:numFmt w:val="bullet"/>
      <w:lvlText w:val="•"/>
      <w:lvlJc w:val="left"/>
      <w:pPr>
        <w:tabs>
          <w:tab w:val="num" w:pos="5760"/>
        </w:tabs>
        <w:ind w:left="5760" w:hanging="360"/>
      </w:pPr>
      <w:rPr>
        <w:rFonts w:ascii="Arial" w:hAnsi="Arial" w:hint="default"/>
      </w:rPr>
    </w:lvl>
    <w:lvl w:ilvl="8" w:tplc="AFCA8C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511F4D"/>
    <w:multiLevelType w:val="hybridMultilevel"/>
    <w:tmpl w:val="5C4ADDAE"/>
    <w:lvl w:ilvl="0" w:tplc="1C647DEC">
      <w:start w:val="5"/>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3F585E5E"/>
    <w:multiLevelType w:val="multilevel"/>
    <w:tmpl w:val="08D6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431B29"/>
    <w:multiLevelType w:val="hybridMultilevel"/>
    <w:tmpl w:val="725000CA"/>
    <w:lvl w:ilvl="0" w:tplc="86529F2E">
      <w:start w:val="1"/>
      <w:numFmt w:val="bullet"/>
      <w:lvlText w:val="•"/>
      <w:lvlJc w:val="left"/>
      <w:pPr>
        <w:tabs>
          <w:tab w:val="num" w:pos="720"/>
        </w:tabs>
        <w:ind w:left="720" w:hanging="360"/>
      </w:pPr>
      <w:rPr>
        <w:rFonts w:ascii="Arial" w:hAnsi="Arial" w:hint="default"/>
      </w:rPr>
    </w:lvl>
    <w:lvl w:ilvl="1" w:tplc="161C8C36" w:tentative="1">
      <w:start w:val="1"/>
      <w:numFmt w:val="bullet"/>
      <w:lvlText w:val="•"/>
      <w:lvlJc w:val="left"/>
      <w:pPr>
        <w:tabs>
          <w:tab w:val="num" w:pos="1440"/>
        </w:tabs>
        <w:ind w:left="1440" w:hanging="360"/>
      </w:pPr>
      <w:rPr>
        <w:rFonts w:ascii="Arial" w:hAnsi="Arial" w:hint="default"/>
      </w:rPr>
    </w:lvl>
    <w:lvl w:ilvl="2" w:tplc="58AE711E">
      <w:start w:val="1"/>
      <w:numFmt w:val="bullet"/>
      <w:lvlText w:val="•"/>
      <w:lvlJc w:val="left"/>
      <w:pPr>
        <w:tabs>
          <w:tab w:val="num" w:pos="2160"/>
        </w:tabs>
        <w:ind w:left="2160" w:hanging="360"/>
      </w:pPr>
      <w:rPr>
        <w:rFonts w:ascii="Arial" w:hAnsi="Arial" w:hint="default"/>
      </w:rPr>
    </w:lvl>
    <w:lvl w:ilvl="3" w:tplc="F80C7CC8" w:tentative="1">
      <w:start w:val="1"/>
      <w:numFmt w:val="bullet"/>
      <w:lvlText w:val="•"/>
      <w:lvlJc w:val="left"/>
      <w:pPr>
        <w:tabs>
          <w:tab w:val="num" w:pos="2880"/>
        </w:tabs>
        <w:ind w:left="2880" w:hanging="360"/>
      </w:pPr>
      <w:rPr>
        <w:rFonts w:ascii="Arial" w:hAnsi="Arial" w:hint="default"/>
      </w:rPr>
    </w:lvl>
    <w:lvl w:ilvl="4" w:tplc="7B3C0A26" w:tentative="1">
      <w:start w:val="1"/>
      <w:numFmt w:val="bullet"/>
      <w:lvlText w:val="•"/>
      <w:lvlJc w:val="left"/>
      <w:pPr>
        <w:tabs>
          <w:tab w:val="num" w:pos="3600"/>
        </w:tabs>
        <w:ind w:left="3600" w:hanging="360"/>
      </w:pPr>
      <w:rPr>
        <w:rFonts w:ascii="Arial" w:hAnsi="Arial" w:hint="default"/>
      </w:rPr>
    </w:lvl>
    <w:lvl w:ilvl="5" w:tplc="B734E120" w:tentative="1">
      <w:start w:val="1"/>
      <w:numFmt w:val="bullet"/>
      <w:lvlText w:val="•"/>
      <w:lvlJc w:val="left"/>
      <w:pPr>
        <w:tabs>
          <w:tab w:val="num" w:pos="4320"/>
        </w:tabs>
        <w:ind w:left="4320" w:hanging="360"/>
      </w:pPr>
      <w:rPr>
        <w:rFonts w:ascii="Arial" w:hAnsi="Arial" w:hint="default"/>
      </w:rPr>
    </w:lvl>
    <w:lvl w:ilvl="6" w:tplc="1FECED3C" w:tentative="1">
      <w:start w:val="1"/>
      <w:numFmt w:val="bullet"/>
      <w:lvlText w:val="•"/>
      <w:lvlJc w:val="left"/>
      <w:pPr>
        <w:tabs>
          <w:tab w:val="num" w:pos="5040"/>
        </w:tabs>
        <w:ind w:left="5040" w:hanging="360"/>
      </w:pPr>
      <w:rPr>
        <w:rFonts w:ascii="Arial" w:hAnsi="Arial" w:hint="default"/>
      </w:rPr>
    </w:lvl>
    <w:lvl w:ilvl="7" w:tplc="99BAF400" w:tentative="1">
      <w:start w:val="1"/>
      <w:numFmt w:val="bullet"/>
      <w:lvlText w:val="•"/>
      <w:lvlJc w:val="left"/>
      <w:pPr>
        <w:tabs>
          <w:tab w:val="num" w:pos="5760"/>
        </w:tabs>
        <w:ind w:left="5760" w:hanging="360"/>
      </w:pPr>
      <w:rPr>
        <w:rFonts w:ascii="Arial" w:hAnsi="Arial" w:hint="default"/>
      </w:rPr>
    </w:lvl>
    <w:lvl w:ilvl="8" w:tplc="58C01F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5667F8"/>
    <w:multiLevelType w:val="hybridMultilevel"/>
    <w:tmpl w:val="AABC6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523789"/>
    <w:multiLevelType w:val="hybridMultilevel"/>
    <w:tmpl w:val="8E34ED6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A6F4A7F"/>
    <w:multiLevelType w:val="hybridMultilevel"/>
    <w:tmpl w:val="F7528E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CCA1B4A"/>
    <w:multiLevelType w:val="hybridMultilevel"/>
    <w:tmpl w:val="34A86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563492"/>
    <w:multiLevelType w:val="hybridMultilevel"/>
    <w:tmpl w:val="E5D4817C"/>
    <w:lvl w:ilvl="0" w:tplc="04260011">
      <w:start w:val="1"/>
      <w:numFmt w:val="decimal"/>
      <w:lvlText w:val="%1)"/>
      <w:lvlJc w:val="left"/>
      <w:pPr>
        <w:ind w:left="1854" w:hanging="360"/>
      </w:pPr>
      <w:rPr>
        <w:rFont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1" w15:restartNumberingAfterBreak="0">
    <w:nsid w:val="53A704DF"/>
    <w:multiLevelType w:val="hybridMultilevel"/>
    <w:tmpl w:val="0D060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8F149B"/>
    <w:multiLevelType w:val="hybridMultilevel"/>
    <w:tmpl w:val="41D8555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3" w15:restartNumberingAfterBreak="0">
    <w:nsid w:val="560E2C51"/>
    <w:multiLevelType w:val="multilevel"/>
    <w:tmpl w:val="B86464D2"/>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E1339E"/>
    <w:multiLevelType w:val="hybridMultilevel"/>
    <w:tmpl w:val="E0C0E490"/>
    <w:lvl w:ilvl="0" w:tplc="2E18B00E">
      <w:start w:val="1"/>
      <w:numFmt w:val="decimal"/>
      <w:lvlText w:val="%1)"/>
      <w:lvlJc w:val="left"/>
      <w:pPr>
        <w:tabs>
          <w:tab w:val="num" w:pos="720"/>
        </w:tabs>
        <w:ind w:left="720" w:hanging="360"/>
      </w:pPr>
    </w:lvl>
    <w:lvl w:ilvl="1" w:tplc="A790F0AC" w:tentative="1">
      <w:start w:val="1"/>
      <w:numFmt w:val="decimal"/>
      <w:lvlText w:val="%2)"/>
      <w:lvlJc w:val="left"/>
      <w:pPr>
        <w:tabs>
          <w:tab w:val="num" w:pos="1440"/>
        </w:tabs>
        <w:ind w:left="1440" w:hanging="360"/>
      </w:pPr>
    </w:lvl>
    <w:lvl w:ilvl="2" w:tplc="862847E0" w:tentative="1">
      <w:start w:val="1"/>
      <w:numFmt w:val="decimal"/>
      <w:lvlText w:val="%3)"/>
      <w:lvlJc w:val="left"/>
      <w:pPr>
        <w:tabs>
          <w:tab w:val="num" w:pos="2160"/>
        </w:tabs>
        <w:ind w:left="2160" w:hanging="360"/>
      </w:pPr>
    </w:lvl>
    <w:lvl w:ilvl="3" w:tplc="EC88E64E" w:tentative="1">
      <w:start w:val="1"/>
      <w:numFmt w:val="decimal"/>
      <w:lvlText w:val="%4)"/>
      <w:lvlJc w:val="left"/>
      <w:pPr>
        <w:tabs>
          <w:tab w:val="num" w:pos="2880"/>
        </w:tabs>
        <w:ind w:left="2880" w:hanging="360"/>
      </w:pPr>
    </w:lvl>
    <w:lvl w:ilvl="4" w:tplc="053E5D6A" w:tentative="1">
      <w:start w:val="1"/>
      <w:numFmt w:val="decimal"/>
      <w:lvlText w:val="%5)"/>
      <w:lvlJc w:val="left"/>
      <w:pPr>
        <w:tabs>
          <w:tab w:val="num" w:pos="3600"/>
        </w:tabs>
        <w:ind w:left="3600" w:hanging="360"/>
      </w:pPr>
    </w:lvl>
    <w:lvl w:ilvl="5" w:tplc="1D0A8B5E" w:tentative="1">
      <w:start w:val="1"/>
      <w:numFmt w:val="decimal"/>
      <w:lvlText w:val="%6)"/>
      <w:lvlJc w:val="left"/>
      <w:pPr>
        <w:tabs>
          <w:tab w:val="num" w:pos="4320"/>
        </w:tabs>
        <w:ind w:left="4320" w:hanging="360"/>
      </w:pPr>
    </w:lvl>
    <w:lvl w:ilvl="6" w:tplc="27E034EC" w:tentative="1">
      <w:start w:val="1"/>
      <w:numFmt w:val="decimal"/>
      <w:lvlText w:val="%7)"/>
      <w:lvlJc w:val="left"/>
      <w:pPr>
        <w:tabs>
          <w:tab w:val="num" w:pos="5040"/>
        </w:tabs>
        <w:ind w:left="5040" w:hanging="360"/>
      </w:pPr>
    </w:lvl>
    <w:lvl w:ilvl="7" w:tplc="9BB4F886" w:tentative="1">
      <w:start w:val="1"/>
      <w:numFmt w:val="decimal"/>
      <w:lvlText w:val="%8)"/>
      <w:lvlJc w:val="left"/>
      <w:pPr>
        <w:tabs>
          <w:tab w:val="num" w:pos="5760"/>
        </w:tabs>
        <w:ind w:left="5760" w:hanging="360"/>
      </w:pPr>
    </w:lvl>
    <w:lvl w:ilvl="8" w:tplc="C8481440" w:tentative="1">
      <w:start w:val="1"/>
      <w:numFmt w:val="decimal"/>
      <w:lvlText w:val="%9)"/>
      <w:lvlJc w:val="left"/>
      <w:pPr>
        <w:tabs>
          <w:tab w:val="num" w:pos="6480"/>
        </w:tabs>
        <w:ind w:left="6480" w:hanging="360"/>
      </w:pPr>
    </w:lvl>
  </w:abstractNum>
  <w:abstractNum w:abstractNumId="25" w15:restartNumberingAfterBreak="0">
    <w:nsid w:val="59B6648F"/>
    <w:multiLevelType w:val="hybridMultilevel"/>
    <w:tmpl w:val="63E6E788"/>
    <w:lvl w:ilvl="0" w:tplc="04260011">
      <w:start w:val="1"/>
      <w:numFmt w:val="decimal"/>
      <w:lvlText w:val="%1)"/>
      <w:lvlJc w:val="left"/>
      <w:pPr>
        <w:ind w:left="1440" w:hanging="360"/>
      </w:pPr>
    </w:lvl>
    <w:lvl w:ilvl="1" w:tplc="996EBF46">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BA75F46"/>
    <w:multiLevelType w:val="multilevel"/>
    <w:tmpl w:val="7D7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7072B3"/>
    <w:multiLevelType w:val="hybridMultilevel"/>
    <w:tmpl w:val="231AE542"/>
    <w:lvl w:ilvl="0" w:tplc="04260011">
      <w:start w:val="1"/>
      <w:numFmt w:val="decimal"/>
      <w:lvlText w:val="%1)"/>
      <w:lvlJc w:val="left"/>
      <w:pPr>
        <w:ind w:left="2705" w:hanging="360"/>
      </w:pPr>
    </w:lvl>
    <w:lvl w:ilvl="1" w:tplc="04260019" w:tentative="1">
      <w:start w:val="1"/>
      <w:numFmt w:val="lowerLetter"/>
      <w:lvlText w:val="%2."/>
      <w:lvlJc w:val="left"/>
      <w:pPr>
        <w:ind w:left="3425" w:hanging="360"/>
      </w:pPr>
    </w:lvl>
    <w:lvl w:ilvl="2" w:tplc="0426001B" w:tentative="1">
      <w:start w:val="1"/>
      <w:numFmt w:val="lowerRoman"/>
      <w:lvlText w:val="%3."/>
      <w:lvlJc w:val="right"/>
      <w:pPr>
        <w:ind w:left="4145" w:hanging="180"/>
      </w:p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28" w15:restartNumberingAfterBreak="0">
    <w:nsid w:val="5D903268"/>
    <w:multiLevelType w:val="hybridMultilevel"/>
    <w:tmpl w:val="E070BBB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15:restartNumberingAfterBreak="0">
    <w:nsid w:val="5FD005C6"/>
    <w:multiLevelType w:val="hybridMultilevel"/>
    <w:tmpl w:val="49D2619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5FE52B31"/>
    <w:multiLevelType w:val="hybridMultilevel"/>
    <w:tmpl w:val="71344A7A"/>
    <w:lvl w:ilvl="0" w:tplc="1F901A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0154764"/>
    <w:multiLevelType w:val="hybridMultilevel"/>
    <w:tmpl w:val="37FC2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15D7CB7"/>
    <w:multiLevelType w:val="hybridMultilevel"/>
    <w:tmpl w:val="CFD813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471CA"/>
    <w:multiLevelType w:val="hybridMultilevel"/>
    <w:tmpl w:val="C8A26A1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15:restartNumberingAfterBreak="0">
    <w:nsid w:val="6C456F62"/>
    <w:multiLevelType w:val="hybridMultilevel"/>
    <w:tmpl w:val="96B62EDC"/>
    <w:lvl w:ilvl="0" w:tplc="87E001F6">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10156B"/>
    <w:multiLevelType w:val="multilevel"/>
    <w:tmpl w:val="51F226B8"/>
    <w:lvl w:ilvl="0">
      <w:start w:val="1"/>
      <w:numFmt w:val="decimal"/>
      <w:pStyle w:val="virsraksts"/>
      <w:lvlText w:val="%1."/>
      <w:lvlJc w:val="left"/>
      <w:pPr>
        <w:ind w:left="360" w:hanging="360"/>
      </w:pPr>
      <w:rPr>
        <w:rFonts w:hint="default"/>
      </w:rPr>
    </w:lvl>
    <w:lvl w:ilvl="1">
      <w:start w:val="1"/>
      <w:numFmt w:val="decimal"/>
      <w:pStyle w:val="apakvirsraksts"/>
      <w:lvlText w:val="%1.%2."/>
      <w:lvlJc w:val="left"/>
      <w:pPr>
        <w:ind w:left="1283" w:hanging="432"/>
      </w:pPr>
      <w:rPr>
        <w:rFonts w:hint="default"/>
      </w:rPr>
    </w:lvl>
    <w:lvl w:ilvl="2">
      <w:start w:val="1"/>
      <w:numFmt w:val="decimal"/>
      <w:pStyle w:val="apakapakvirsraksts"/>
      <w:lvlText w:val="%1.%2.%3."/>
      <w:lvlJc w:val="left"/>
      <w:pPr>
        <w:ind w:left="5183"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apakvirsrakst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882797"/>
    <w:multiLevelType w:val="hybridMultilevel"/>
    <w:tmpl w:val="2C341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F87F77"/>
    <w:multiLevelType w:val="multilevel"/>
    <w:tmpl w:val="D59083DC"/>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6253BD9"/>
    <w:multiLevelType w:val="hybridMultilevel"/>
    <w:tmpl w:val="7700C5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777A20"/>
    <w:multiLevelType w:val="hybridMultilevel"/>
    <w:tmpl w:val="9A6ED5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9"/>
  </w:num>
  <w:num w:numId="4">
    <w:abstractNumId w:val="8"/>
  </w:num>
  <w:num w:numId="5">
    <w:abstractNumId w:val="18"/>
  </w:num>
  <w:num w:numId="6">
    <w:abstractNumId w:val="36"/>
  </w:num>
  <w:num w:numId="7">
    <w:abstractNumId w:val="29"/>
  </w:num>
  <w:num w:numId="8">
    <w:abstractNumId w:val="21"/>
  </w:num>
  <w:num w:numId="9">
    <w:abstractNumId w:val="23"/>
  </w:num>
  <w:num w:numId="10">
    <w:abstractNumId w:val="26"/>
  </w:num>
  <w:num w:numId="11">
    <w:abstractNumId w:val="3"/>
  </w:num>
  <w:num w:numId="12">
    <w:abstractNumId w:val="13"/>
  </w:num>
  <w:num w:numId="13">
    <w:abstractNumId w:val="14"/>
  </w:num>
  <w:num w:numId="14">
    <w:abstractNumId w:val="4"/>
  </w:num>
  <w:num w:numId="15">
    <w:abstractNumId w:val="27"/>
  </w:num>
  <w:num w:numId="16">
    <w:abstractNumId w:val="22"/>
  </w:num>
  <w:num w:numId="17">
    <w:abstractNumId w:val="32"/>
  </w:num>
  <w:num w:numId="18">
    <w:abstractNumId w:val="2"/>
  </w:num>
  <w:num w:numId="19">
    <w:abstractNumId w:val="38"/>
  </w:num>
  <w:num w:numId="20">
    <w:abstractNumId w:val="20"/>
  </w:num>
  <w:num w:numId="21">
    <w:abstractNumId w:val="25"/>
  </w:num>
  <w:num w:numId="22">
    <w:abstractNumId w:val="30"/>
  </w:num>
  <w:num w:numId="23">
    <w:abstractNumId w:val="24"/>
  </w:num>
  <w:num w:numId="24">
    <w:abstractNumId w:val="7"/>
  </w:num>
  <w:num w:numId="25">
    <w:abstractNumId w:val="33"/>
  </w:num>
  <w:num w:numId="26">
    <w:abstractNumId w:val="17"/>
  </w:num>
  <w:num w:numId="27">
    <w:abstractNumId w:val="16"/>
  </w:num>
  <w:num w:numId="28">
    <w:abstractNumId w:val="6"/>
  </w:num>
  <w:num w:numId="29">
    <w:abstractNumId w:val="28"/>
  </w:num>
  <w:num w:numId="30">
    <w:abstractNumId w:val="5"/>
  </w:num>
  <w:num w:numId="31">
    <w:abstractNumId w:val="9"/>
  </w:num>
  <w:num w:numId="32">
    <w:abstractNumId w:val="37"/>
  </w:num>
  <w:num w:numId="33">
    <w:abstractNumId w:val="11"/>
  </w:num>
  <w:num w:numId="34">
    <w:abstractNumId w:val="10"/>
  </w:num>
  <w:num w:numId="35">
    <w:abstractNumId w:val="0"/>
  </w:num>
  <w:num w:numId="36">
    <w:abstractNumId w:val="12"/>
  </w:num>
  <w:num w:numId="37">
    <w:abstractNumId w:val="19"/>
  </w:num>
  <w:num w:numId="38">
    <w:abstractNumId w:val="15"/>
  </w:num>
  <w:num w:numId="39">
    <w:abstractNumId w:val="1"/>
  </w:num>
  <w:num w:numId="4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42"/>
    <w:rsid w:val="00004C38"/>
    <w:rsid w:val="00004D15"/>
    <w:rsid w:val="00004EF7"/>
    <w:rsid w:val="00007DDE"/>
    <w:rsid w:val="00011E42"/>
    <w:rsid w:val="00012CE1"/>
    <w:rsid w:val="0001333E"/>
    <w:rsid w:val="00020EA7"/>
    <w:rsid w:val="00021A46"/>
    <w:rsid w:val="00030EFE"/>
    <w:rsid w:val="00031EFF"/>
    <w:rsid w:val="00034674"/>
    <w:rsid w:val="00034AF0"/>
    <w:rsid w:val="000357D6"/>
    <w:rsid w:val="00047E3D"/>
    <w:rsid w:val="0005263D"/>
    <w:rsid w:val="00053331"/>
    <w:rsid w:val="00056746"/>
    <w:rsid w:val="000716A3"/>
    <w:rsid w:val="0007767F"/>
    <w:rsid w:val="000806D1"/>
    <w:rsid w:val="00081C04"/>
    <w:rsid w:val="0008541C"/>
    <w:rsid w:val="000904D7"/>
    <w:rsid w:val="00097A78"/>
    <w:rsid w:val="00097A87"/>
    <w:rsid w:val="000A4110"/>
    <w:rsid w:val="000B05A2"/>
    <w:rsid w:val="000B4284"/>
    <w:rsid w:val="000C1BE9"/>
    <w:rsid w:val="000C3493"/>
    <w:rsid w:val="000C5F79"/>
    <w:rsid w:val="000C64CD"/>
    <w:rsid w:val="000C7F09"/>
    <w:rsid w:val="000D1200"/>
    <w:rsid w:val="000D152D"/>
    <w:rsid w:val="000D491D"/>
    <w:rsid w:val="000E51EF"/>
    <w:rsid w:val="000E7BCE"/>
    <w:rsid w:val="00104617"/>
    <w:rsid w:val="00111658"/>
    <w:rsid w:val="00113940"/>
    <w:rsid w:val="001163BC"/>
    <w:rsid w:val="001241BE"/>
    <w:rsid w:val="00127A65"/>
    <w:rsid w:val="001355B7"/>
    <w:rsid w:val="001472A9"/>
    <w:rsid w:val="00151A93"/>
    <w:rsid w:val="00152CB2"/>
    <w:rsid w:val="00160AB8"/>
    <w:rsid w:val="00163E40"/>
    <w:rsid w:val="00167C7D"/>
    <w:rsid w:val="001911DD"/>
    <w:rsid w:val="001967D4"/>
    <w:rsid w:val="001A5688"/>
    <w:rsid w:val="001C0B28"/>
    <w:rsid w:val="001C261C"/>
    <w:rsid w:val="001C2B05"/>
    <w:rsid w:val="001D20F3"/>
    <w:rsid w:val="001D251A"/>
    <w:rsid w:val="001F1CD6"/>
    <w:rsid w:val="001F295F"/>
    <w:rsid w:val="001F787A"/>
    <w:rsid w:val="00200EA8"/>
    <w:rsid w:val="00205F7D"/>
    <w:rsid w:val="002070F8"/>
    <w:rsid w:val="0021236C"/>
    <w:rsid w:val="002137DA"/>
    <w:rsid w:val="00213F58"/>
    <w:rsid w:val="00214A31"/>
    <w:rsid w:val="00215947"/>
    <w:rsid w:val="00215DCC"/>
    <w:rsid w:val="00227D9C"/>
    <w:rsid w:val="00233125"/>
    <w:rsid w:val="002333B9"/>
    <w:rsid w:val="0023440A"/>
    <w:rsid w:val="00240F9B"/>
    <w:rsid w:val="002435F8"/>
    <w:rsid w:val="00243715"/>
    <w:rsid w:val="002441FD"/>
    <w:rsid w:val="00251095"/>
    <w:rsid w:val="00256474"/>
    <w:rsid w:val="002634E0"/>
    <w:rsid w:val="00276A14"/>
    <w:rsid w:val="00277CD7"/>
    <w:rsid w:val="00281906"/>
    <w:rsid w:val="0028589F"/>
    <w:rsid w:val="002B30CF"/>
    <w:rsid w:val="002C2B62"/>
    <w:rsid w:val="002C4637"/>
    <w:rsid w:val="002C465D"/>
    <w:rsid w:val="002D1CC6"/>
    <w:rsid w:val="002D22E1"/>
    <w:rsid w:val="002D733D"/>
    <w:rsid w:val="002E1F53"/>
    <w:rsid w:val="002E315E"/>
    <w:rsid w:val="002F08AE"/>
    <w:rsid w:val="002F1AA4"/>
    <w:rsid w:val="002F2A4E"/>
    <w:rsid w:val="002F52EA"/>
    <w:rsid w:val="0030267B"/>
    <w:rsid w:val="003037ED"/>
    <w:rsid w:val="00303A4D"/>
    <w:rsid w:val="00304FD9"/>
    <w:rsid w:val="00305661"/>
    <w:rsid w:val="0031479B"/>
    <w:rsid w:val="0032322E"/>
    <w:rsid w:val="00323ABA"/>
    <w:rsid w:val="003259B9"/>
    <w:rsid w:val="00327404"/>
    <w:rsid w:val="003340B8"/>
    <w:rsid w:val="00345571"/>
    <w:rsid w:val="00346A18"/>
    <w:rsid w:val="00350F72"/>
    <w:rsid w:val="0035754B"/>
    <w:rsid w:val="00360171"/>
    <w:rsid w:val="00362BC0"/>
    <w:rsid w:val="003651D6"/>
    <w:rsid w:val="003705F0"/>
    <w:rsid w:val="0037075D"/>
    <w:rsid w:val="003800C7"/>
    <w:rsid w:val="003836E0"/>
    <w:rsid w:val="00386ED3"/>
    <w:rsid w:val="00391BEC"/>
    <w:rsid w:val="00395AAE"/>
    <w:rsid w:val="003A4C48"/>
    <w:rsid w:val="003A6D44"/>
    <w:rsid w:val="003B15CD"/>
    <w:rsid w:val="003B53B6"/>
    <w:rsid w:val="003C1F51"/>
    <w:rsid w:val="003C30C9"/>
    <w:rsid w:val="003C3E41"/>
    <w:rsid w:val="003C5621"/>
    <w:rsid w:val="003C6C29"/>
    <w:rsid w:val="003D4C2F"/>
    <w:rsid w:val="003D7998"/>
    <w:rsid w:val="003E4605"/>
    <w:rsid w:val="003E7F0E"/>
    <w:rsid w:val="003F1C88"/>
    <w:rsid w:val="003F1DAC"/>
    <w:rsid w:val="003F65EB"/>
    <w:rsid w:val="00402001"/>
    <w:rsid w:val="004035CD"/>
    <w:rsid w:val="00416A20"/>
    <w:rsid w:val="00417516"/>
    <w:rsid w:val="0042009C"/>
    <w:rsid w:val="00420DB0"/>
    <w:rsid w:val="00421AEC"/>
    <w:rsid w:val="0043066D"/>
    <w:rsid w:val="00440A83"/>
    <w:rsid w:val="004465D3"/>
    <w:rsid w:val="00446ECD"/>
    <w:rsid w:val="004553B0"/>
    <w:rsid w:val="00474949"/>
    <w:rsid w:val="00475CA1"/>
    <w:rsid w:val="00477ECC"/>
    <w:rsid w:val="0048005F"/>
    <w:rsid w:val="00491581"/>
    <w:rsid w:val="004919C2"/>
    <w:rsid w:val="004A17BE"/>
    <w:rsid w:val="004A50FF"/>
    <w:rsid w:val="004B2095"/>
    <w:rsid w:val="004B510E"/>
    <w:rsid w:val="004B6B8A"/>
    <w:rsid w:val="004C1AB7"/>
    <w:rsid w:val="004C3A60"/>
    <w:rsid w:val="004C4203"/>
    <w:rsid w:val="004C5FAD"/>
    <w:rsid w:val="004D1174"/>
    <w:rsid w:val="004E06FC"/>
    <w:rsid w:val="004E1043"/>
    <w:rsid w:val="004E2544"/>
    <w:rsid w:val="004E25D6"/>
    <w:rsid w:val="004E288D"/>
    <w:rsid w:val="004E41EA"/>
    <w:rsid w:val="004E5991"/>
    <w:rsid w:val="004F1D0A"/>
    <w:rsid w:val="004F20A1"/>
    <w:rsid w:val="004F2CC2"/>
    <w:rsid w:val="004F4768"/>
    <w:rsid w:val="004F4933"/>
    <w:rsid w:val="004F68B1"/>
    <w:rsid w:val="004F7920"/>
    <w:rsid w:val="004F7A30"/>
    <w:rsid w:val="00500A5B"/>
    <w:rsid w:val="0050226D"/>
    <w:rsid w:val="00502916"/>
    <w:rsid w:val="00510A8C"/>
    <w:rsid w:val="00515712"/>
    <w:rsid w:val="00516894"/>
    <w:rsid w:val="0052720A"/>
    <w:rsid w:val="00533BDE"/>
    <w:rsid w:val="00544165"/>
    <w:rsid w:val="00547F20"/>
    <w:rsid w:val="005510F8"/>
    <w:rsid w:val="00553181"/>
    <w:rsid w:val="00560EAB"/>
    <w:rsid w:val="005657C6"/>
    <w:rsid w:val="00575246"/>
    <w:rsid w:val="0058175D"/>
    <w:rsid w:val="00584153"/>
    <w:rsid w:val="005873CB"/>
    <w:rsid w:val="00594B42"/>
    <w:rsid w:val="00597A34"/>
    <w:rsid w:val="005A120B"/>
    <w:rsid w:val="005A3504"/>
    <w:rsid w:val="005B059D"/>
    <w:rsid w:val="005B0D6F"/>
    <w:rsid w:val="005B5830"/>
    <w:rsid w:val="005B7721"/>
    <w:rsid w:val="005C4BB7"/>
    <w:rsid w:val="005D25B9"/>
    <w:rsid w:val="005E1692"/>
    <w:rsid w:val="005E1D69"/>
    <w:rsid w:val="005E5F3A"/>
    <w:rsid w:val="005E6F62"/>
    <w:rsid w:val="005E7049"/>
    <w:rsid w:val="005F1395"/>
    <w:rsid w:val="006016AB"/>
    <w:rsid w:val="00602C77"/>
    <w:rsid w:val="00605952"/>
    <w:rsid w:val="0061013A"/>
    <w:rsid w:val="00611726"/>
    <w:rsid w:val="0061381A"/>
    <w:rsid w:val="00620DCB"/>
    <w:rsid w:val="0063189A"/>
    <w:rsid w:val="006337DB"/>
    <w:rsid w:val="0063718B"/>
    <w:rsid w:val="00637798"/>
    <w:rsid w:val="00642887"/>
    <w:rsid w:val="00646149"/>
    <w:rsid w:val="00651CA3"/>
    <w:rsid w:val="006521F1"/>
    <w:rsid w:val="0065614A"/>
    <w:rsid w:val="00660B98"/>
    <w:rsid w:val="00663DAD"/>
    <w:rsid w:val="00672BA3"/>
    <w:rsid w:val="006838BD"/>
    <w:rsid w:val="006841EF"/>
    <w:rsid w:val="006854A6"/>
    <w:rsid w:val="006856BF"/>
    <w:rsid w:val="00686136"/>
    <w:rsid w:val="00694ECE"/>
    <w:rsid w:val="0069519B"/>
    <w:rsid w:val="006A1E30"/>
    <w:rsid w:val="006A6F83"/>
    <w:rsid w:val="006B37CD"/>
    <w:rsid w:val="006C20A5"/>
    <w:rsid w:val="006C3BF6"/>
    <w:rsid w:val="006C492A"/>
    <w:rsid w:val="006C525C"/>
    <w:rsid w:val="006D3850"/>
    <w:rsid w:val="006D5FB1"/>
    <w:rsid w:val="006E16B0"/>
    <w:rsid w:val="006E570D"/>
    <w:rsid w:val="006E7433"/>
    <w:rsid w:val="006F2BE3"/>
    <w:rsid w:val="00702C44"/>
    <w:rsid w:val="00704E0D"/>
    <w:rsid w:val="007062E7"/>
    <w:rsid w:val="007074CB"/>
    <w:rsid w:val="00715B71"/>
    <w:rsid w:val="0071685C"/>
    <w:rsid w:val="007203DC"/>
    <w:rsid w:val="007219D9"/>
    <w:rsid w:val="00726A84"/>
    <w:rsid w:val="0073177C"/>
    <w:rsid w:val="00733AE8"/>
    <w:rsid w:val="007369A0"/>
    <w:rsid w:val="00736D92"/>
    <w:rsid w:val="007403D8"/>
    <w:rsid w:val="00744483"/>
    <w:rsid w:val="00752DF5"/>
    <w:rsid w:val="00757538"/>
    <w:rsid w:val="00760807"/>
    <w:rsid w:val="00770F82"/>
    <w:rsid w:val="007728C0"/>
    <w:rsid w:val="00774A5F"/>
    <w:rsid w:val="00780FCC"/>
    <w:rsid w:val="00784849"/>
    <w:rsid w:val="00795A54"/>
    <w:rsid w:val="00795B20"/>
    <w:rsid w:val="007A12C2"/>
    <w:rsid w:val="007A1919"/>
    <w:rsid w:val="007A28DC"/>
    <w:rsid w:val="007A5346"/>
    <w:rsid w:val="007A70EC"/>
    <w:rsid w:val="007B1875"/>
    <w:rsid w:val="007B3FB4"/>
    <w:rsid w:val="007B5C86"/>
    <w:rsid w:val="007C3D62"/>
    <w:rsid w:val="007C4472"/>
    <w:rsid w:val="007C4CBE"/>
    <w:rsid w:val="007C550F"/>
    <w:rsid w:val="007C71E7"/>
    <w:rsid w:val="007D3ABA"/>
    <w:rsid w:val="007D3DD9"/>
    <w:rsid w:val="007D66CF"/>
    <w:rsid w:val="007E1CE1"/>
    <w:rsid w:val="007E5D5A"/>
    <w:rsid w:val="007E5DBF"/>
    <w:rsid w:val="007F0CD8"/>
    <w:rsid w:val="007F335E"/>
    <w:rsid w:val="00821F5E"/>
    <w:rsid w:val="00826978"/>
    <w:rsid w:val="00832142"/>
    <w:rsid w:val="00834C7F"/>
    <w:rsid w:val="00837CA5"/>
    <w:rsid w:val="008414F0"/>
    <w:rsid w:val="00844C2C"/>
    <w:rsid w:val="00846902"/>
    <w:rsid w:val="00853EEB"/>
    <w:rsid w:val="008626A6"/>
    <w:rsid w:val="0087778E"/>
    <w:rsid w:val="008A032A"/>
    <w:rsid w:val="008A1721"/>
    <w:rsid w:val="008A26AE"/>
    <w:rsid w:val="008B674F"/>
    <w:rsid w:val="008C1C88"/>
    <w:rsid w:val="008C2283"/>
    <w:rsid w:val="008C47AF"/>
    <w:rsid w:val="008C5625"/>
    <w:rsid w:val="008D0707"/>
    <w:rsid w:val="008E4244"/>
    <w:rsid w:val="008E631A"/>
    <w:rsid w:val="008E7F01"/>
    <w:rsid w:val="008F2CC1"/>
    <w:rsid w:val="008F2F04"/>
    <w:rsid w:val="00906E00"/>
    <w:rsid w:val="00911A10"/>
    <w:rsid w:val="009153B4"/>
    <w:rsid w:val="00916CCF"/>
    <w:rsid w:val="00927333"/>
    <w:rsid w:val="009347C1"/>
    <w:rsid w:val="00942A2E"/>
    <w:rsid w:val="00947744"/>
    <w:rsid w:val="00963CBA"/>
    <w:rsid w:val="0096591D"/>
    <w:rsid w:val="00971B7B"/>
    <w:rsid w:val="00973D5C"/>
    <w:rsid w:val="00975D1C"/>
    <w:rsid w:val="00976F6F"/>
    <w:rsid w:val="00981FEF"/>
    <w:rsid w:val="00982B18"/>
    <w:rsid w:val="009844E4"/>
    <w:rsid w:val="00985E4F"/>
    <w:rsid w:val="00987FDB"/>
    <w:rsid w:val="00990EA2"/>
    <w:rsid w:val="00991822"/>
    <w:rsid w:val="00996A9F"/>
    <w:rsid w:val="009A1647"/>
    <w:rsid w:val="009A285E"/>
    <w:rsid w:val="009A4846"/>
    <w:rsid w:val="009B25BE"/>
    <w:rsid w:val="009B33DF"/>
    <w:rsid w:val="009B5332"/>
    <w:rsid w:val="009C4784"/>
    <w:rsid w:val="009D0220"/>
    <w:rsid w:val="009D3212"/>
    <w:rsid w:val="009E4940"/>
    <w:rsid w:val="009F035F"/>
    <w:rsid w:val="009F068E"/>
    <w:rsid w:val="009F13E3"/>
    <w:rsid w:val="009F6E13"/>
    <w:rsid w:val="00A15994"/>
    <w:rsid w:val="00A15C92"/>
    <w:rsid w:val="00A16377"/>
    <w:rsid w:val="00A22A06"/>
    <w:rsid w:val="00A276B2"/>
    <w:rsid w:val="00A2788C"/>
    <w:rsid w:val="00A40E3B"/>
    <w:rsid w:val="00A41DD3"/>
    <w:rsid w:val="00A4551C"/>
    <w:rsid w:val="00A517AC"/>
    <w:rsid w:val="00A56B47"/>
    <w:rsid w:val="00A6407A"/>
    <w:rsid w:val="00A846E5"/>
    <w:rsid w:val="00A85A7C"/>
    <w:rsid w:val="00A87D4F"/>
    <w:rsid w:val="00A922AF"/>
    <w:rsid w:val="00A9295F"/>
    <w:rsid w:val="00A92FAF"/>
    <w:rsid w:val="00A97CA5"/>
    <w:rsid w:val="00AA3969"/>
    <w:rsid w:val="00AA7CBE"/>
    <w:rsid w:val="00AC211A"/>
    <w:rsid w:val="00AC47BC"/>
    <w:rsid w:val="00AC591F"/>
    <w:rsid w:val="00AC729B"/>
    <w:rsid w:val="00AD1E82"/>
    <w:rsid w:val="00AF1858"/>
    <w:rsid w:val="00AF69F8"/>
    <w:rsid w:val="00B10153"/>
    <w:rsid w:val="00B1054A"/>
    <w:rsid w:val="00B105A3"/>
    <w:rsid w:val="00B116D9"/>
    <w:rsid w:val="00B161A5"/>
    <w:rsid w:val="00B24C70"/>
    <w:rsid w:val="00B26368"/>
    <w:rsid w:val="00B30751"/>
    <w:rsid w:val="00B32157"/>
    <w:rsid w:val="00B33697"/>
    <w:rsid w:val="00B33BFF"/>
    <w:rsid w:val="00B3694B"/>
    <w:rsid w:val="00B40CE1"/>
    <w:rsid w:val="00B511C9"/>
    <w:rsid w:val="00B7065E"/>
    <w:rsid w:val="00B7186F"/>
    <w:rsid w:val="00B74F06"/>
    <w:rsid w:val="00B759A1"/>
    <w:rsid w:val="00B77D6D"/>
    <w:rsid w:val="00B87C6F"/>
    <w:rsid w:val="00B87F6C"/>
    <w:rsid w:val="00B912AF"/>
    <w:rsid w:val="00B92CFC"/>
    <w:rsid w:val="00B93E8F"/>
    <w:rsid w:val="00B952EF"/>
    <w:rsid w:val="00B9605D"/>
    <w:rsid w:val="00B974ED"/>
    <w:rsid w:val="00BA7659"/>
    <w:rsid w:val="00BB244D"/>
    <w:rsid w:val="00BB712F"/>
    <w:rsid w:val="00BC6361"/>
    <w:rsid w:val="00BD7723"/>
    <w:rsid w:val="00BE05A5"/>
    <w:rsid w:val="00BE2AE9"/>
    <w:rsid w:val="00BF12CB"/>
    <w:rsid w:val="00BF26C6"/>
    <w:rsid w:val="00BF2B45"/>
    <w:rsid w:val="00BF75A2"/>
    <w:rsid w:val="00BF7623"/>
    <w:rsid w:val="00C00A74"/>
    <w:rsid w:val="00C13694"/>
    <w:rsid w:val="00C21777"/>
    <w:rsid w:val="00C21C84"/>
    <w:rsid w:val="00C254E0"/>
    <w:rsid w:val="00C34820"/>
    <w:rsid w:val="00C41C40"/>
    <w:rsid w:val="00C45F41"/>
    <w:rsid w:val="00C56531"/>
    <w:rsid w:val="00C64AAF"/>
    <w:rsid w:val="00C66D60"/>
    <w:rsid w:val="00C66E28"/>
    <w:rsid w:val="00C704F5"/>
    <w:rsid w:val="00C70860"/>
    <w:rsid w:val="00C749F2"/>
    <w:rsid w:val="00C863E3"/>
    <w:rsid w:val="00C87E04"/>
    <w:rsid w:val="00C9389D"/>
    <w:rsid w:val="00C945D5"/>
    <w:rsid w:val="00C94F0D"/>
    <w:rsid w:val="00C97932"/>
    <w:rsid w:val="00CA26ED"/>
    <w:rsid w:val="00CB79BE"/>
    <w:rsid w:val="00CC7F6F"/>
    <w:rsid w:val="00CD7448"/>
    <w:rsid w:val="00CE6C8C"/>
    <w:rsid w:val="00CE6FBF"/>
    <w:rsid w:val="00CF0C47"/>
    <w:rsid w:val="00CF2C1B"/>
    <w:rsid w:val="00CF7875"/>
    <w:rsid w:val="00D00FCC"/>
    <w:rsid w:val="00D03866"/>
    <w:rsid w:val="00D04220"/>
    <w:rsid w:val="00D1109C"/>
    <w:rsid w:val="00D117C7"/>
    <w:rsid w:val="00D13F6B"/>
    <w:rsid w:val="00D2562E"/>
    <w:rsid w:val="00D3635C"/>
    <w:rsid w:val="00D37B12"/>
    <w:rsid w:val="00D4126D"/>
    <w:rsid w:val="00D67E9C"/>
    <w:rsid w:val="00D71670"/>
    <w:rsid w:val="00D738E8"/>
    <w:rsid w:val="00D768B0"/>
    <w:rsid w:val="00D938BD"/>
    <w:rsid w:val="00DA5F30"/>
    <w:rsid w:val="00DA78E0"/>
    <w:rsid w:val="00DB2332"/>
    <w:rsid w:val="00DC0176"/>
    <w:rsid w:val="00DC264F"/>
    <w:rsid w:val="00DC47B3"/>
    <w:rsid w:val="00DD65CE"/>
    <w:rsid w:val="00DD7351"/>
    <w:rsid w:val="00DE642B"/>
    <w:rsid w:val="00DE6FD9"/>
    <w:rsid w:val="00DF3F44"/>
    <w:rsid w:val="00E0262F"/>
    <w:rsid w:val="00E029ED"/>
    <w:rsid w:val="00E03B2A"/>
    <w:rsid w:val="00E066F1"/>
    <w:rsid w:val="00E119AC"/>
    <w:rsid w:val="00E122C6"/>
    <w:rsid w:val="00E12B00"/>
    <w:rsid w:val="00E171FB"/>
    <w:rsid w:val="00E20CC4"/>
    <w:rsid w:val="00E24264"/>
    <w:rsid w:val="00E24E4F"/>
    <w:rsid w:val="00E27027"/>
    <w:rsid w:val="00E3177F"/>
    <w:rsid w:val="00E4004D"/>
    <w:rsid w:val="00E46FB6"/>
    <w:rsid w:val="00E51246"/>
    <w:rsid w:val="00E61FFB"/>
    <w:rsid w:val="00E6567D"/>
    <w:rsid w:val="00E667E0"/>
    <w:rsid w:val="00E702A9"/>
    <w:rsid w:val="00E70AD9"/>
    <w:rsid w:val="00E80EEB"/>
    <w:rsid w:val="00E83C31"/>
    <w:rsid w:val="00E85672"/>
    <w:rsid w:val="00E870E9"/>
    <w:rsid w:val="00EA11E1"/>
    <w:rsid w:val="00EA2656"/>
    <w:rsid w:val="00EA5B62"/>
    <w:rsid w:val="00EA655E"/>
    <w:rsid w:val="00EA6807"/>
    <w:rsid w:val="00EB5531"/>
    <w:rsid w:val="00EB6E03"/>
    <w:rsid w:val="00EC00E8"/>
    <w:rsid w:val="00EC2F1F"/>
    <w:rsid w:val="00EC35CE"/>
    <w:rsid w:val="00ED2067"/>
    <w:rsid w:val="00ED3737"/>
    <w:rsid w:val="00EE7ED2"/>
    <w:rsid w:val="00EF407D"/>
    <w:rsid w:val="00F02C37"/>
    <w:rsid w:val="00F03FCE"/>
    <w:rsid w:val="00F23536"/>
    <w:rsid w:val="00F327E4"/>
    <w:rsid w:val="00F34026"/>
    <w:rsid w:val="00F45B41"/>
    <w:rsid w:val="00F46F2B"/>
    <w:rsid w:val="00F471DC"/>
    <w:rsid w:val="00F52B5D"/>
    <w:rsid w:val="00F5300C"/>
    <w:rsid w:val="00F57ECE"/>
    <w:rsid w:val="00F60BC7"/>
    <w:rsid w:val="00F67D05"/>
    <w:rsid w:val="00F8294C"/>
    <w:rsid w:val="00F84437"/>
    <w:rsid w:val="00F861FB"/>
    <w:rsid w:val="00F90A8D"/>
    <w:rsid w:val="00F976D2"/>
    <w:rsid w:val="00FA7E96"/>
    <w:rsid w:val="00FB06FF"/>
    <w:rsid w:val="00FC4068"/>
    <w:rsid w:val="00FC5FAC"/>
    <w:rsid w:val="00FD0625"/>
    <w:rsid w:val="00FD3EE9"/>
    <w:rsid w:val="00FD4A79"/>
    <w:rsid w:val="00FD55A7"/>
    <w:rsid w:val="00FD75B5"/>
    <w:rsid w:val="00FE0905"/>
    <w:rsid w:val="00FE1474"/>
    <w:rsid w:val="00FE6967"/>
    <w:rsid w:val="00FF3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9E90"/>
  <w15:docId w15:val="{99FD71DB-A4C9-485F-88A9-DF7261D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67"/>
    <w:rPr>
      <w:rFonts w:ascii="Times New Roman" w:hAnsi="Times New Roman"/>
      <w:sz w:val="24"/>
    </w:rPr>
  </w:style>
  <w:style w:type="paragraph" w:styleId="Heading1">
    <w:name w:val="heading 1"/>
    <w:basedOn w:val="Normal"/>
    <w:next w:val="Normal"/>
    <w:link w:val="Heading1Char"/>
    <w:uiPriority w:val="9"/>
    <w:qFormat/>
    <w:rsid w:val="0058175D"/>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031EFF"/>
    <w:pPr>
      <w:keepNext/>
      <w:keepLines/>
      <w:tabs>
        <w:tab w:val="left" w:pos="426"/>
      </w:tabs>
      <w:spacing w:after="120"/>
      <w:ind w:firstLine="0"/>
      <w:jc w:val="center"/>
      <w:outlineLvl w:val="1"/>
    </w:pPr>
    <w:rPr>
      <w:rFonts w:eastAsia="Verdana" w:cstheme="majorBidi"/>
      <w:b/>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42"/>
    <w:rPr>
      <w:rFonts w:ascii="Segoe UI" w:hAnsi="Segoe UI" w:cs="Segoe UI"/>
      <w:sz w:val="18"/>
      <w:szCs w:val="18"/>
    </w:rPr>
  </w:style>
  <w:style w:type="character" w:styleId="CommentReference">
    <w:name w:val="annotation reference"/>
    <w:basedOn w:val="DefaultParagraphFont"/>
    <w:uiPriority w:val="99"/>
    <w:unhideWhenUsed/>
    <w:rsid w:val="00011E42"/>
    <w:rPr>
      <w:sz w:val="16"/>
      <w:szCs w:val="16"/>
    </w:rPr>
  </w:style>
  <w:style w:type="paragraph" w:styleId="CommentText">
    <w:name w:val="annotation text"/>
    <w:basedOn w:val="Normal"/>
    <w:link w:val="CommentTextChar"/>
    <w:uiPriority w:val="99"/>
    <w:unhideWhenUsed/>
    <w:rsid w:val="00011E42"/>
    <w:pPr>
      <w:spacing w:after="160"/>
      <w:ind w:firstLine="0"/>
      <w:jc w:val="left"/>
    </w:pPr>
    <w:rPr>
      <w:rFonts w:ascii="Calibri" w:hAnsi="Calibri"/>
      <w:sz w:val="20"/>
      <w:szCs w:val="20"/>
    </w:rPr>
  </w:style>
  <w:style w:type="character" w:customStyle="1" w:styleId="CommentTextChar">
    <w:name w:val="Comment Text Char"/>
    <w:basedOn w:val="DefaultParagraphFont"/>
    <w:link w:val="CommentText"/>
    <w:uiPriority w:val="99"/>
    <w:rsid w:val="00011E42"/>
    <w:rPr>
      <w:rFonts w:ascii="Calibri" w:hAnsi="Calibri"/>
      <w:sz w:val="20"/>
      <w:szCs w:val="20"/>
    </w:rPr>
  </w:style>
  <w:style w:type="character" w:styleId="FootnoteReference">
    <w:name w:val="footnote reference"/>
    <w:aliases w:val="Footnote Reference Number,SUPERS,Char1,Ref,de nota al pie,Footnote Reference Superscript,Footnote symbol,fr,Stinking Styles22,BVI fnr,(Footnote Reference),Footnote reference number,note TESI,EN Footnote Reference,Voetnootverwijzing,No"/>
    <w:link w:val="FootnoteRefernece"/>
    <w:uiPriority w:val="99"/>
    <w:unhideWhenUsed/>
    <w:qFormat/>
    <w:rsid w:val="00011E42"/>
    <w:rPr>
      <w:vertAlign w:val="superscript"/>
    </w:rPr>
  </w:style>
  <w:style w:type="paragraph" w:customStyle="1" w:styleId="Zemsvtra">
    <w:name w:val="Zemsvītra"/>
    <w:basedOn w:val="FootnoteText"/>
    <w:link w:val="ZemsvtraChar"/>
    <w:qFormat/>
    <w:rsid w:val="00011E42"/>
    <w:pPr>
      <w:ind w:firstLine="0"/>
    </w:pPr>
    <w:rPr>
      <w:rFonts w:eastAsia="Times New Roman" w:cs="Times New Roman"/>
      <w:sz w:val="18"/>
      <w:szCs w:val="18"/>
      <w:lang w:val="en-GB" w:eastAsia="da-DK"/>
    </w:rPr>
  </w:style>
  <w:style w:type="character" w:customStyle="1" w:styleId="ZemsvtraChar">
    <w:name w:val="Zemsvītra Char"/>
    <w:link w:val="Zemsvtra"/>
    <w:rsid w:val="00011E42"/>
    <w:rPr>
      <w:rFonts w:ascii="Times New Roman" w:eastAsia="Times New Roman" w:hAnsi="Times New Roman" w:cs="Times New Roman"/>
      <w:sz w:val="18"/>
      <w:szCs w:val="18"/>
      <w:lang w:val="en-GB" w:eastAsia="da-DK"/>
    </w:rPr>
  </w:style>
  <w:style w:type="paragraph" w:styleId="FootnoteText">
    <w:name w:val="footnote text"/>
    <w:aliases w:val="Footnote Char,Fußnote Char, Char Char, Char Char3,Footnote,Fußnote,ALTS FOOTNOTE,fn,Mod-Footnote Text,ALTS FOOTNOTE Char,Footnote Text Char1 Char,Footnote Text Char Char1 Char,ft Char Char Char,Schriftart: 9 pt,Footnote text,Fußn,stile 1"/>
    <w:basedOn w:val="Normal"/>
    <w:link w:val="FootnoteTextChar"/>
    <w:uiPriority w:val="99"/>
    <w:unhideWhenUsed/>
    <w:rsid w:val="00011E42"/>
    <w:rPr>
      <w:sz w:val="20"/>
      <w:szCs w:val="20"/>
    </w:rPr>
  </w:style>
  <w:style w:type="character" w:customStyle="1" w:styleId="FootnoteTextChar">
    <w:name w:val="Footnote Text Char"/>
    <w:aliases w:val="Footnote Char Char,Fußnote Char Char, Char Char Char, Char Char3 Char,Footnote Char1,Fußnote Char1,ALTS FOOTNOTE Char1,fn Char,Mod-Footnote Text Char,ALTS FOOTNOTE Char Char,Footnote Text Char1 Char Char,ft Char Char Char Char"/>
    <w:basedOn w:val="DefaultParagraphFont"/>
    <w:link w:val="FootnoteText"/>
    <w:uiPriority w:val="99"/>
    <w:rsid w:val="00011E42"/>
    <w:rPr>
      <w:rFonts w:ascii="Times New Roman" w:hAnsi="Times New Roman"/>
      <w:sz w:val="20"/>
      <w:szCs w:val="20"/>
    </w:rPr>
  </w:style>
  <w:style w:type="character" w:styleId="Hyperlink">
    <w:name w:val="Hyperlink"/>
    <w:uiPriority w:val="99"/>
    <w:unhideWhenUsed/>
    <w:rsid w:val="00011E42"/>
    <w:rPr>
      <w:color w:val="0000FF"/>
      <w:u w:val="single"/>
    </w:rPr>
  </w:style>
  <w:style w:type="character" w:styleId="FollowedHyperlink">
    <w:name w:val="FollowedHyperlink"/>
    <w:basedOn w:val="DefaultParagraphFont"/>
    <w:uiPriority w:val="99"/>
    <w:semiHidden/>
    <w:unhideWhenUsed/>
    <w:rsid w:val="00011E42"/>
    <w:rPr>
      <w:color w:val="954F72" w:themeColor="followedHyperlink"/>
      <w:u w:val="single"/>
    </w:rPr>
  </w:style>
  <w:style w:type="paragraph" w:customStyle="1" w:styleId="apakapakvirsraksts">
    <w:name w:val="apakš apakš virsraksts"/>
    <w:basedOn w:val="Normal"/>
    <w:next w:val="3apakvirsraksts"/>
    <w:link w:val="apakapakvirsrakstsChar"/>
    <w:rsid w:val="005E7049"/>
    <w:pPr>
      <w:numPr>
        <w:ilvl w:val="2"/>
        <w:numId w:val="1"/>
      </w:numPr>
      <w:shd w:val="clear" w:color="auto" w:fill="FFFFFF"/>
      <w:spacing w:after="160" w:line="259" w:lineRule="auto"/>
      <w:ind w:left="284" w:hanging="284"/>
      <w:jc w:val="center"/>
    </w:pPr>
    <w:rPr>
      <w:rFonts w:cs="Times New Roman"/>
      <w:color w:val="000000"/>
      <w:szCs w:val="24"/>
      <w:u w:val="single"/>
    </w:rPr>
  </w:style>
  <w:style w:type="paragraph" w:customStyle="1" w:styleId="apakvirsraksts">
    <w:name w:val="apakšvirsraksts"/>
    <w:basedOn w:val="Normal"/>
    <w:next w:val="apakapakvirsraksts"/>
    <w:link w:val="apakvirsrakstsChar"/>
    <w:rsid w:val="005E7049"/>
    <w:pPr>
      <w:numPr>
        <w:ilvl w:val="1"/>
        <w:numId w:val="1"/>
      </w:numPr>
      <w:shd w:val="clear" w:color="auto" w:fill="FFFFFF"/>
      <w:spacing w:after="160" w:line="259" w:lineRule="auto"/>
      <w:ind w:left="792"/>
      <w:jc w:val="center"/>
    </w:pPr>
    <w:rPr>
      <w:rFonts w:cs="Times New Roman"/>
      <w:color w:val="000000"/>
      <w:sz w:val="28"/>
      <w:szCs w:val="24"/>
      <w:u w:val="single"/>
    </w:rPr>
  </w:style>
  <w:style w:type="character" w:customStyle="1" w:styleId="apakapakvirsrakstsChar">
    <w:name w:val="apakš apakš virsraksts Char"/>
    <w:basedOn w:val="DefaultParagraphFont"/>
    <w:link w:val="apakapakvirsraksts"/>
    <w:rsid w:val="005E7049"/>
    <w:rPr>
      <w:rFonts w:ascii="Times New Roman" w:hAnsi="Times New Roman" w:cs="Times New Roman"/>
      <w:color w:val="000000"/>
      <w:sz w:val="24"/>
      <w:szCs w:val="24"/>
      <w:u w:val="single"/>
      <w:shd w:val="clear" w:color="auto" w:fill="FFFFFF"/>
    </w:rPr>
  </w:style>
  <w:style w:type="paragraph" w:customStyle="1" w:styleId="virsraksts">
    <w:name w:val="virsraksts"/>
    <w:basedOn w:val="Normal"/>
    <w:next w:val="apakvirsraksts"/>
    <w:qFormat/>
    <w:rsid w:val="005E7049"/>
    <w:pPr>
      <w:numPr>
        <w:numId w:val="1"/>
      </w:numPr>
      <w:shd w:val="clear" w:color="auto" w:fill="FFFFFF"/>
      <w:spacing w:after="160" w:line="259" w:lineRule="auto"/>
      <w:jc w:val="center"/>
    </w:pPr>
    <w:rPr>
      <w:rFonts w:cs="Times New Roman"/>
      <w:b/>
      <w:color w:val="000000"/>
      <w:sz w:val="32"/>
      <w:szCs w:val="24"/>
    </w:rPr>
  </w:style>
  <w:style w:type="character" w:customStyle="1" w:styleId="apakvirsrakstsChar">
    <w:name w:val="apakšvirsraksts Char"/>
    <w:basedOn w:val="apakapakvirsrakstsChar"/>
    <w:link w:val="apakvirsraksts"/>
    <w:rsid w:val="005E7049"/>
    <w:rPr>
      <w:rFonts w:ascii="Times New Roman" w:hAnsi="Times New Roman" w:cs="Times New Roman"/>
      <w:color w:val="000000"/>
      <w:sz w:val="28"/>
      <w:szCs w:val="24"/>
      <w:u w:val="single"/>
      <w:shd w:val="clear" w:color="auto" w:fill="FFFFFF"/>
    </w:rPr>
  </w:style>
  <w:style w:type="paragraph" w:customStyle="1" w:styleId="3apakvirsraksts">
    <w:name w:val="3apakš virsraksts"/>
    <w:basedOn w:val="Normal"/>
    <w:rsid w:val="005E7049"/>
    <w:pPr>
      <w:numPr>
        <w:ilvl w:val="3"/>
        <w:numId w:val="1"/>
      </w:numPr>
      <w:shd w:val="clear" w:color="auto" w:fill="FFFFFF"/>
      <w:spacing w:line="276" w:lineRule="auto"/>
      <w:ind w:left="993" w:hanging="1019"/>
    </w:pPr>
    <w:rPr>
      <w:rFonts w:cs="Times New Roman"/>
      <w:color w:val="000000"/>
      <w:szCs w:val="24"/>
    </w:rPr>
  </w:style>
  <w:style w:type="character" w:customStyle="1" w:styleId="UnresolvedMention1">
    <w:name w:val="Unresolved Mention1"/>
    <w:basedOn w:val="DefaultParagraphFont"/>
    <w:uiPriority w:val="99"/>
    <w:semiHidden/>
    <w:unhideWhenUsed/>
    <w:rsid w:val="00D038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26C6"/>
    <w:pPr>
      <w:spacing w:after="0"/>
      <w:ind w:firstLine="567"/>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BF26C6"/>
    <w:rPr>
      <w:rFonts w:ascii="Times New Roman" w:hAnsi="Times New Roman"/>
      <w:b/>
      <w:bCs/>
      <w:sz w:val="20"/>
      <w:szCs w:val="20"/>
    </w:rPr>
  </w:style>
  <w:style w:type="paragraph" w:styleId="ListParagraph">
    <w:name w:val="List Paragraph"/>
    <w:aliases w:val="2,H&amp;P List Paragraph,Strip,Normal bullet 2,Bullet list,Saistīto dokumentu saraksts,Syle 1,Numurets,List Paragraph11,OBC Bullet,Bullet Style,L"/>
    <w:basedOn w:val="Normal"/>
    <w:link w:val="ListParagraphChar"/>
    <w:uiPriority w:val="34"/>
    <w:qFormat/>
    <w:rsid w:val="007B1875"/>
    <w:pPr>
      <w:ind w:left="720"/>
      <w:contextualSpacing/>
    </w:pPr>
  </w:style>
  <w:style w:type="table" w:styleId="TableGrid">
    <w:name w:val="Table Grid"/>
    <w:basedOn w:val="TableNormal"/>
    <w:uiPriority w:val="39"/>
    <w:rsid w:val="006A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E9C"/>
    <w:rPr>
      <w:rFonts w:cs="Times New Roman"/>
      <w:szCs w:val="24"/>
    </w:rPr>
  </w:style>
  <w:style w:type="character" w:customStyle="1" w:styleId="ListParagraphChar">
    <w:name w:val="List Paragraph Char"/>
    <w:aliases w:val="2 Char,H&amp;P List Paragraph Char,Strip Char,Normal bullet 2 Char,Bullet list Char,Saistīto dokumentu saraksts Char,Syle 1 Char,Numurets Char,List Paragraph11 Char,OBC Bullet Char,Bullet Style Char,L Char"/>
    <w:link w:val="ListParagraph"/>
    <w:uiPriority w:val="34"/>
    <w:qFormat/>
    <w:locked/>
    <w:rsid w:val="00C87E04"/>
    <w:rPr>
      <w:rFonts w:ascii="Times New Roman" w:hAnsi="Times New Roman"/>
      <w:sz w:val="24"/>
    </w:rPr>
  </w:style>
  <w:style w:type="character" w:styleId="Strong">
    <w:name w:val="Strong"/>
    <w:basedOn w:val="DefaultParagraphFont"/>
    <w:uiPriority w:val="22"/>
    <w:qFormat/>
    <w:rsid w:val="00C87E04"/>
    <w:rPr>
      <w:b/>
      <w:bCs/>
    </w:rPr>
  </w:style>
  <w:style w:type="character" w:customStyle="1" w:styleId="Heading2Char">
    <w:name w:val="Heading 2 Char"/>
    <w:basedOn w:val="DefaultParagraphFont"/>
    <w:link w:val="Heading2"/>
    <w:uiPriority w:val="9"/>
    <w:rsid w:val="00031EFF"/>
    <w:rPr>
      <w:rFonts w:ascii="Times New Roman" w:eastAsia="Verdana" w:hAnsi="Times New Roman" w:cstheme="majorBidi"/>
      <w:b/>
      <w:sz w:val="24"/>
      <w:szCs w:val="26"/>
    </w:rPr>
  </w:style>
  <w:style w:type="paragraph" w:customStyle="1" w:styleId="FootnoteRefernece">
    <w:name w:val="Footnote Refernece"/>
    <w:aliases w:val="ftref,Odwołanie przypisu,Footnotes refss,-E Fußnotenzeichen,E,E FNZ"/>
    <w:basedOn w:val="Normal"/>
    <w:next w:val="Normal"/>
    <w:link w:val="FootnoteReference"/>
    <w:uiPriority w:val="99"/>
    <w:rsid w:val="00440A83"/>
    <w:pPr>
      <w:spacing w:after="160" w:line="240" w:lineRule="exact"/>
      <w:ind w:firstLine="0"/>
    </w:pPr>
    <w:rPr>
      <w:rFonts w:asciiTheme="minorHAnsi" w:hAnsiTheme="minorHAnsi"/>
      <w:sz w:val="22"/>
      <w:vertAlign w:val="superscript"/>
    </w:rPr>
  </w:style>
  <w:style w:type="character" w:customStyle="1" w:styleId="Heading1Char">
    <w:name w:val="Heading 1 Char"/>
    <w:basedOn w:val="DefaultParagraphFont"/>
    <w:link w:val="Heading1"/>
    <w:uiPriority w:val="9"/>
    <w:rsid w:val="0058175D"/>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58175D"/>
    <w:pPr>
      <w:spacing w:line="259" w:lineRule="auto"/>
      <w:ind w:firstLine="0"/>
      <w:jc w:val="left"/>
      <w:outlineLvl w:val="9"/>
    </w:pPr>
    <w:rPr>
      <w:rFonts w:asciiTheme="majorHAnsi" w:hAnsiTheme="majorHAnsi"/>
      <w:b w:val="0"/>
      <w:color w:val="2F5496" w:themeColor="accent1" w:themeShade="BF"/>
      <w:sz w:val="32"/>
      <w:lang w:eastAsia="lv-LV"/>
    </w:rPr>
  </w:style>
  <w:style w:type="paragraph" w:styleId="TOC1">
    <w:name w:val="toc 1"/>
    <w:basedOn w:val="Normal"/>
    <w:next w:val="Normal"/>
    <w:autoRedefine/>
    <w:uiPriority w:val="39"/>
    <w:unhideWhenUsed/>
    <w:rsid w:val="0058175D"/>
    <w:pPr>
      <w:spacing w:after="100"/>
    </w:pPr>
  </w:style>
  <w:style w:type="paragraph" w:styleId="TOC2">
    <w:name w:val="toc 2"/>
    <w:basedOn w:val="Normal"/>
    <w:next w:val="Normal"/>
    <w:autoRedefine/>
    <w:uiPriority w:val="39"/>
    <w:unhideWhenUsed/>
    <w:rsid w:val="0058175D"/>
    <w:pPr>
      <w:spacing w:after="100"/>
      <w:ind w:left="240"/>
    </w:pPr>
  </w:style>
  <w:style w:type="paragraph" w:styleId="NoSpacing">
    <w:name w:val="No Spacing"/>
    <w:uiPriority w:val="1"/>
    <w:qFormat/>
    <w:rsid w:val="0058175D"/>
    <w:rPr>
      <w:rFonts w:ascii="Times New Roman" w:hAnsi="Times New Roman"/>
      <w:sz w:val="24"/>
    </w:rPr>
  </w:style>
  <w:style w:type="paragraph" w:styleId="Header">
    <w:name w:val="header"/>
    <w:basedOn w:val="Normal"/>
    <w:link w:val="HeaderChar"/>
    <w:uiPriority w:val="99"/>
    <w:unhideWhenUsed/>
    <w:rsid w:val="003F1C88"/>
    <w:pPr>
      <w:tabs>
        <w:tab w:val="center" w:pos="4153"/>
        <w:tab w:val="right" w:pos="8306"/>
      </w:tabs>
    </w:pPr>
  </w:style>
  <w:style w:type="character" w:customStyle="1" w:styleId="HeaderChar">
    <w:name w:val="Header Char"/>
    <w:basedOn w:val="DefaultParagraphFont"/>
    <w:link w:val="Header"/>
    <w:uiPriority w:val="99"/>
    <w:rsid w:val="003F1C88"/>
    <w:rPr>
      <w:rFonts w:ascii="Times New Roman" w:hAnsi="Times New Roman"/>
      <w:sz w:val="24"/>
    </w:rPr>
  </w:style>
  <w:style w:type="paragraph" w:styleId="Footer">
    <w:name w:val="footer"/>
    <w:basedOn w:val="Normal"/>
    <w:link w:val="FooterChar"/>
    <w:uiPriority w:val="99"/>
    <w:unhideWhenUsed/>
    <w:rsid w:val="003F1C88"/>
    <w:pPr>
      <w:tabs>
        <w:tab w:val="center" w:pos="4153"/>
        <w:tab w:val="right" w:pos="8306"/>
      </w:tabs>
    </w:pPr>
  </w:style>
  <w:style w:type="character" w:customStyle="1" w:styleId="FooterChar">
    <w:name w:val="Footer Char"/>
    <w:basedOn w:val="DefaultParagraphFont"/>
    <w:link w:val="Footer"/>
    <w:uiPriority w:val="99"/>
    <w:rsid w:val="003F1C88"/>
    <w:rPr>
      <w:rFonts w:ascii="Times New Roman" w:hAnsi="Times New Roman"/>
      <w:sz w:val="24"/>
    </w:rPr>
  </w:style>
  <w:style w:type="table" w:customStyle="1" w:styleId="TableGrid1">
    <w:name w:val="Table Grid1"/>
    <w:basedOn w:val="TableNormal"/>
    <w:next w:val="TableGrid"/>
    <w:uiPriority w:val="59"/>
    <w:rsid w:val="00A15C92"/>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144">
      <w:bodyDiv w:val="1"/>
      <w:marLeft w:val="0"/>
      <w:marRight w:val="0"/>
      <w:marTop w:val="0"/>
      <w:marBottom w:val="0"/>
      <w:divBdr>
        <w:top w:val="none" w:sz="0" w:space="0" w:color="auto"/>
        <w:left w:val="none" w:sz="0" w:space="0" w:color="auto"/>
        <w:bottom w:val="none" w:sz="0" w:space="0" w:color="auto"/>
        <w:right w:val="none" w:sz="0" w:space="0" w:color="auto"/>
      </w:divBdr>
    </w:div>
    <w:div w:id="349529099">
      <w:bodyDiv w:val="1"/>
      <w:marLeft w:val="0"/>
      <w:marRight w:val="0"/>
      <w:marTop w:val="0"/>
      <w:marBottom w:val="0"/>
      <w:divBdr>
        <w:top w:val="none" w:sz="0" w:space="0" w:color="auto"/>
        <w:left w:val="none" w:sz="0" w:space="0" w:color="auto"/>
        <w:bottom w:val="none" w:sz="0" w:space="0" w:color="auto"/>
        <w:right w:val="none" w:sz="0" w:space="0" w:color="auto"/>
      </w:divBdr>
    </w:div>
    <w:div w:id="437332092">
      <w:bodyDiv w:val="1"/>
      <w:marLeft w:val="0"/>
      <w:marRight w:val="0"/>
      <w:marTop w:val="0"/>
      <w:marBottom w:val="0"/>
      <w:divBdr>
        <w:top w:val="none" w:sz="0" w:space="0" w:color="auto"/>
        <w:left w:val="none" w:sz="0" w:space="0" w:color="auto"/>
        <w:bottom w:val="none" w:sz="0" w:space="0" w:color="auto"/>
        <w:right w:val="none" w:sz="0" w:space="0" w:color="auto"/>
      </w:divBdr>
    </w:div>
    <w:div w:id="474762409">
      <w:bodyDiv w:val="1"/>
      <w:marLeft w:val="0"/>
      <w:marRight w:val="0"/>
      <w:marTop w:val="0"/>
      <w:marBottom w:val="0"/>
      <w:divBdr>
        <w:top w:val="none" w:sz="0" w:space="0" w:color="auto"/>
        <w:left w:val="none" w:sz="0" w:space="0" w:color="auto"/>
        <w:bottom w:val="none" w:sz="0" w:space="0" w:color="auto"/>
        <w:right w:val="none" w:sz="0" w:space="0" w:color="auto"/>
      </w:divBdr>
      <w:divsChild>
        <w:div w:id="1990666581">
          <w:marLeft w:val="2203"/>
          <w:marRight w:val="0"/>
          <w:marTop w:val="142"/>
          <w:marBottom w:val="0"/>
          <w:divBdr>
            <w:top w:val="none" w:sz="0" w:space="0" w:color="auto"/>
            <w:left w:val="none" w:sz="0" w:space="0" w:color="auto"/>
            <w:bottom w:val="none" w:sz="0" w:space="0" w:color="auto"/>
            <w:right w:val="none" w:sz="0" w:space="0" w:color="auto"/>
          </w:divBdr>
        </w:div>
        <w:div w:id="1613393302">
          <w:marLeft w:val="2203"/>
          <w:marRight w:val="0"/>
          <w:marTop w:val="142"/>
          <w:marBottom w:val="0"/>
          <w:divBdr>
            <w:top w:val="none" w:sz="0" w:space="0" w:color="auto"/>
            <w:left w:val="none" w:sz="0" w:space="0" w:color="auto"/>
            <w:bottom w:val="none" w:sz="0" w:space="0" w:color="auto"/>
            <w:right w:val="none" w:sz="0" w:space="0" w:color="auto"/>
          </w:divBdr>
        </w:div>
        <w:div w:id="1178689934">
          <w:marLeft w:val="2203"/>
          <w:marRight w:val="0"/>
          <w:marTop w:val="142"/>
          <w:marBottom w:val="0"/>
          <w:divBdr>
            <w:top w:val="none" w:sz="0" w:space="0" w:color="auto"/>
            <w:left w:val="none" w:sz="0" w:space="0" w:color="auto"/>
            <w:bottom w:val="none" w:sz="0" w:space="0" w:color="auto"/>
            <w:right w:val="none" w:sz="0" w:space="0" w:color="auto"/>
          </w:divBdr>
        </w:div>
      </w:divsChild>
    </w:div>
    <w:div w:id="511991690">
      <w:bodyDiv w:val="1"/>
      <w:marLeft w:val="0"/>
      <w:marRight w:val="0"/>
      <w:marTop w:val="0"/>
      <w:marBottom w:val="0"/>
      <w:divBdr>
        <w:top w:val="none" w:sz="0" w:space="0" w:color="auto"/>
        <w:left w:val="none" w:sz="0" w:space="0" w:color="auto"/>
        <w:bottom w:val="none" w:sz="0" w:space="0" w:color="auto"/>
        <w:right w:val="none" w:sz="0" w:space="0" w:color="auto"/>
      </w:divBdr>
    </w:div>
    <w:div w:id="525556126">
      <w:bodyDiv w:val="1"/>
      <w:marLeft w:val="0"/>
      <w:marRight w:val="0"/>
      <w:marTop w:val="0"/>
      <w:marBottom w:val="0"/>
      <w:divBdr>
        <w:top w:val="none" w:sz="0" w:space="0" w:color="auto"/>
        <w:left w:val="none" w:sz="0" w:space="0" w:color="auto"/>
        <w:bottom w:val="none" w:sz="0" w:space="0" w:color="auto"/>
        <w:right w:val="none" w:sz="0" w:space="0" w:color="auto"/>
      </w:divBdr>
    </w:div>
    <w:div w:id="548078925">
      <w:bodyDiv w:val="1"/>
      <w:marLeft w:val="0"/>
      <w:marRight w:val="0"/>
      <w:marTop w:val="0"/>
      <w:marBottom w:val="0"/>
      <w:divBdr>
        <w:top w:val="none" w:sz="0" w:space="0" w:color="auto"/>
        <w:left w:val="none" w:sz="0" w:space="0" w:color="auto"/>
        <w:bottom w:val="none" w:sz="0" w:space="0" w:color="auto"/>
        <w:right w:val="none" w:sz="0" w:space="0" w:color="auto"/>
      </w:divBdr>
    </w:div>
    <w:div w:id="557860574">
      <w:bodyDiv w:val="1"/>
      <w:marLeft w:val="0"/>
      <w:marRight w:val="0"/>
      <w:marTop w:val="0"/>
      <w:marBottom w:val="0"/>
      <w:divBdr>
        <w:top w:val="none" w:sz="0" w:space="0" w:color="auto"/>
        <w:left w:val="none" w:sz="0" w:space="0" w:color="auto"/>
        <w:bottom w:val="none" w:sz="0" w:space="0" w:color="auto"/>
        <w:right w:val="none" w:sz="0" w:space="0" w:color="auto"/>
      </w:divBdr>
    </w:div>
    <w:div w:id="660233184">
      <w:bodyDiv w:val="1"/>
      <w:marLeft w:val="0"/>
      <w:marRight w:val="0"/>
      <w:marTop w:val="0"/>
      <w:marBottom w:val="0"/>
      <w:divBdr>
        <w:top w:val="none" w:sz="0" w:space="0" w:color="auto"/>
        <w:left w:val="none" w:sz="0" w:space="0" w:color="auto"/>
        <w:bottom w:val="none" w:sz="0" w:space="0" w:color="auto"/>
        <w:right w:val="none" w:sz="0" w:space="0" w:color="auto"/>
      </w:divBdr>
      <w:divsChild>
        <w:div w:id="1530027726">
          <w:marLeft w:val="2203"/>
          <w:marRight w:val="0"/>
          <w:marTop w:val="142"/>
          <w:marBottom w:val="0"/>
          <w:divBdr>
            <w:top w:val="none" w:sz="0" w:space="0" w:color="auto"/>
            <w:left w:val="none" w:sz="0" w:space="0" w:color="auto"/>
            <w:bottom w:val="none" w:sz="0" w:space="0" w:color="auto"/>
            <w:right w:val="none" w:sz="0" w:space="0" w:color="auto"/>
          </w:divBdr>
        </w:div>
        <w:div w:id="1012953616">
          <w:marLeft w:val="3226"/>
          <w:marRight w:val="0"/>
          <w:marTop w:val="142"/>
          <w:marBottom w:val="0"/>
          <w:divBdr>
            <w:top w:val="none" w:sz="0" w:space="0" w:color="auto"/>
            <w:left w:val="none" w:sz="0" w:space="0" w:color="auto"/>
            <w:bottom w:val="none" w:sz="0" w:space="0" w:color="auto"/>
            <w:right w:val="none" w:sz="0" w:space="0" w:color="auto"/>
          </w:divBdr>
        </w:div>
        <w:div w:id="958953001">
          <w:marLeft w:val="3226"/>
          <w:marRight w:val="0"/>
          <w:marTop w:val="142"/>
          <w:marBottom w:val="0"/>
          <w:divBdr>
            <w:top w:val="none" w:sz="0" w:space="0" w:color="auto"/>
            <w:left w:val="none" w:sz="0" w:space="0" w:color="auto"/>
            <w:bottom w:val="none" w:sz="0" w:space="0" w:color="auto"/>
            <w:right w:val="none" w:sz="0" w:space="0" w:color="auto"/>
          </w:divBdr>
        </w:div>
      </w:divsChild>
    </w:div>
    <w:div w:id="662512416">
      <w:bodyDiv w:val="1"/>
      <w:marLeft w:val="0"/>
      <w:marRight w:val="0"/>
      <w:marTop w:val="0"/>
      <w:marBottom w:val="0"/>
      <w:divBdr>
        <w:top w:val="none" w:sz="0" w:space="0" w:color="auto"/>
        <w:left w:val="none" w:sz="0" w:space="0" w:color="auto"/>
        <w:bottom w:val="none" w:sz="0" w:space="0" w:color="auto"/>
        <w:right w:val="none" w:sz="0" w:space="0" w:color="auto"/>
      </w:divBdr>
    </w:div>
    <w:div w:id="713307084">
      <w:bodyDiv w:val="1"/>
      <w:marLeft w:val="0"/>
      <w:marRight w:val="0"/>
      <w:marTop w:val="0"/>
      <w:marBottom w:val="0"/>
      <w:divBdr>
        <w:top w:val="none" w:sz="0" w:space="0" w:color="auto"/>
        <w:left w:val="none" w:sz="0" w:space="0" w:color="auto"/>
        <w:bottom w:val="none" w:sz="0" w:space="0" w:color="auto"/>
        <w:right w:val="none" w:sz="0" w:space="0" w:color="auto"/>
      </w:divBdr>
    </w:div>
    <w:div w:id="738554093">
      <w:bodyDiv w:val="1"/>
      <w:marLeft w:val="0"/>
      <w:marRight w:val="0"/>
      <w:marTop w:val="0"/>
      <w:marBottom w:val="0"/>
      <w:divBdr>
        <w:top w:val="none" w:sz="0" w:space="0" w:color="auto"/>
        <w:left w:val="none" w:sz="0" w:space="0" w:color="auto"/>
        <w:bottom w:val="none" w:sz="0" w:space="0" w:color="auto"/>
        <w:right w:val="none" w:sz="0" w:space="0" w:color="auto"/>
      </w:divBdr>
    </w:div>
    <w:div w:id="740373227">
      <w:bodyDiv w:val="1"/>
      <w:marLeft w:val="0"/>
      <w:marRight w:val="0"/>
      <w:marTop w:val="0"/>
      <w:marBottom w:val="0"/>
      <w:divBdr>
        <w:top w:val="none" w:sz="0" w:space="0" w:color="auto"/>
        <w:left w:val="none" w:sz="0" w:space="0" w:color="auto"/>
        <w:bottom w:val="none" w:sz="0" w:space="0" w:color="auto"/>
        <w:right w:val="none" w:sz="0" w:space="0" w:color="auto"/>
      </w:divBdr>
    </w:div>
    <w:div w:id="972832607">
      <w:bodyDiv w:val="1"/>
      <w:marLeft w:val="0"/>
      <w:marRight w:val="0"/>
      <w:marTop w:val="0"/>
      <w:marBottom w:val="0"/>
      <w:divBdr>
        <w:top w:val="none" w:sz="0" w:space="0" w:color="auto"/>
        <w:left w:val="none" w:sz="0" w:space="0" w:color="auto"/>
        <w:bottom w:val="none" w:sz="0" w:space="0" w:color="auto"/>
        <w:right w:val="none" w:sz="0" w:space="0" w:color="auto"/>
      </w:divBdr>
    </w:div>
    <w:div w:id="1446147114">
      <w:bodyDiv w:val="1"/>
      <w:marLeft w:val="0"/>
      <w:marRight w:val="0"/>
      <w:marTop w:val="0"/>
      <w:marBottom w:val="0"/>
      <w:divBdr>
        <w:top w:val="none" w:sz="0" w:space="0" w:color="auto"/>
        <w:left w:val="none" w:sz="0" w:space="0" w:color="auto"/>
        <w:bottom w:val="none" w:sz="0" w:space="0" w:color="auto"/>
        <w:right w:val="none" w:sz="0" w:space="0" w:color="auto"/>
      </w:divBdr>
    </w:div>
    <w:div w:id="1470857115">
      <w:bodyDiv w:val="1"/>
      <w:marLeft w:val="0"/>
      <w:marRight w:val="0"/>
      <w:marTop w:val="0"/>
      <w:marBottom w:val="0"/>
      <w:divBdr>
        <w:top w:val="none" w:sz="0" w:space="0" w:color="auto"/>
        <w:left w:val="none" w:sz="0" w:space="0" w:color="auto"/>
        <w:bottom w:val="none" w:sz="0" w:space="0" w:color="auto"/>
        <w:right w:val="none" w:sz="0" w:space="0" w:color="auto"/>
      </w:divBdr>
      <w:divsChild>
        <w:div w:id="987130417">
          <w:marLeft w:val="0"/>
          <w:marRight w:val="0"/>
          <w:marTop w:val="0"/>
          <w:marBottom w:val="0"/>
          <w:divBdr>
            <w:top w:val="none" w:sz="0" w:space="0" w:color="auto"/>
            <w:left w:val="none" w:sz="0" w:space="0" w:color="auto"/>
            <w:bottom w:val="none" w:sz="0" w:space="0" w:color="auto"/>
            <w:right w:val="none" w:sz="0" w:space="0" w:color="auto"/>
          </w:divBdr>
        </w:div>
        <w:div w:id="290091799">
          <w:marLeft w:val="0"/>
          <w:marRight w:val="0"/>
          <w:marTop w:val="0"/>
          <w:marBottom w:val="0"/>
          <w:divBdr>
            <w:top w:val="none" w:sz="0" w:space="0" w:color="auto"/>
            <w:left w:val="none" w:sz="0" w:space="0" w:color="auto"/>
            <w:bottom w:val="none" w:sz="0" w:space="0" w:color="auto"/>
            <w:right w:val="none" w:sz="0" w:space="0" w:color="auto"/>
          </w:divBdr>
        </w:div>
      </w:divsChild>
    </w:div>
    <w:div w:id="1537549088">
      <w:bodyDiv w:val="1"/>
      <w:marLeft w:val="0"/>
      <w:marRight w:val="0"/>
      <w:marTop w:val="0"/>
      <w:marBottom w:val="0"/>
      <w:divBdr>
        <w:top w:val="none" w:sz="0" w:space="0" w:color="auto"/>
        <w:left w:val="none" w:sz="0" w:space="0" w:color="auto"/>
        <w:bottom w:val="none" w:sz="0" w:space="0" w:color="auto"/>
        <w:right w:val="none" w:sz="0" w:space="0" w:color="auto"/>
      </w:divBdr>
      <w:divsChild>
        <w:div w:id="620380122">
          <w:marLeft w:val="2203"/>
          <w:marRight w:val="0"/>
          <w:marTop w:val="142"/>
          <w:marBottom w:val="0"/>
          <w:divBdr>
            <w:top w:val="none" w:sz="0" w:space="0" w:color="auto"/>
            <w:left w:val="none" w:sz="0" w:space="0" w:color="auto"/>
            <w:bottom w:val="none" w:sz="0" w:space="0" w:color="auto"/>
            <w:right w:val="none" w:sz="0" w:space="0" w:color="auto"/>
          </w:divBdr>
        </w:div>
        <w:div w:id="433214083">
          <w:marLeft w:val="2203"/>
          <w:marRight w:val="0"/>
          <w:marTop w:val="142"/>
          <w:marBottom w:val="0"/>
          <w:divBdr>
            <w:top w:val="none" w:sz="0" w:space="0" w:color="auto"/>
            <w:left w:val="none" w:sz="0" w:space="0" w:color="auto"/>
            <w:bottom w:val="none" w:sz="0" w:space="0" w:color="auto"/>
            <w:right w:val="none" w:sz="0" w:space="0" w:color="auto"/>
          </w:divBdr>
        </w:div>
        <w:div w:id="306789239">
          <w:marLeft w:val="2203"/>
          <w:marRight w:val="0"/>
          <w:marTop w:val="142"/>
          <w:marBottom w:val="0"/>
          <w:divBdr>
            <w:top w:val="none" w:sz="0" w:space="0" w:color="auto"/>
            <w:left w:val="none" w:sz="0" w:space="0" w:color="auto"/>
            <w:bottom w:val="none" w:sz="0" w:space="0" w:color="auto"/>
            <w:right w:val="none" w:sz="0" w:space="0" w:color="auto"/>
          </w:divBdr>
        </w:div>
      </w:divsChild>
    </w:div>
    <w:div w:id="1860315184">
      <w:bodyDiv w:val="1"/>
      <w:marLeft w:val="0"/>
      <w:marRight w:val="0"/>
      <w:marTop w:val="0"/>
      <w:marBottom w:val="0"/>
      <w:divBdr>
        <w:top w:val="none" w:sz="0" w:space="0" w:color="auto"/>
        <w:left w:val="none" w:sz="0" w:space="0" w:color="auto"/>
        <w:bottom w:val="none" w:sz="0" w:space="0" w:color="auto"/>
        <w:right w:val="none" w:sz="0" w:space="0" w:color="auto"/>
      </w:divBdr>
    </w:div>
    <w:div w:id="18767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fls5\Energetika\Ener&#291;&#275;tikas%20finan&#353;u%20instrumentu%20noda&#316;a\DAUDZDZ&#298;VOK&#315;U%20&#274;KAS\Exante_4221\1_Exante%20preciz&#275;jumi\3.precizejumi_2019\tarifi%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s5\Energetika\Ener&#291;&#275;tikas%20finan&#353;u%20instrumentu%20noda&#316;a\DAUDZDZ&#298;VOK&#315;U%20&#274;KAS\Exante_4221\Exante%20preciz&#275;jumi\3.precizejumi_2019\tarifi%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Daudzdzīvokļu ēku skaita sadalījums pēc ārsienu un karkasu materiāliem (procentos)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76-4C0A-9870-38F63A9D7B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76-4C0A-9870-38F63A9D7B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76-4C0A-9870-38F63A9D7B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76-4C0A-9870-38F63A9D7B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876-4C0A-9870-38F63A9D7B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876-4C0A-9870-38F63A9D7B0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876-4C0A-9870-38F63A9D7B0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Ķieģeļi</c:v>
                </c:pt>
                <c:pt idx="1">
                  <c:v>Kokmateriāli</c:v>
                </c:pt>
                <c:pt idx="2">
                  <c:v>Dzelzsbetons</c:v>
                </c:pt>
                <c:pt idx="3">
                  <c:v>Vieglbetoni</c:v>
                </c:pt>
                <c:pt idx="4">
                  <c:v>Būvakmeņi</c:v>
                </c:pt>
                <c:pt idx="5">
                  <c:v>Kokmateriāli/ķieģeļi</c:v>
                </c:pt>
                <c:pt idx="6">
                  <c:v>Pārējie materiāli</c:v>
                </c:pt>
              </c:strCache>
            </c:strRef>
          </c:cat>
          <c:val>
            <c:numRef>
              <c:f>Sheet1!$B$2:$B$8</c:f>
              <c:numCache>
                <c:formatCode>General</c:formatCode>
                <c:ptCount val="7"/>
                <c:pt idx="0">
                  <c:v>53.4</c:v>
                </c:pt>
                <c:pt idx="1">
                  <c:v>27.8</c:v>
                </c:pt>
                <c:pt idx="2">
                  <c:v>8.8000000000000007</c:v>
                </c:pt>
                <c:pt idx="3">
                  <c:v>5.5</c:v>
                </c:pt>
                <c:pt idx="4">
                  <c:v>1.9</c:v>
                </c:pt>
                <c:pt idx="5">
                  <c:v>1</c:v>
                </c:pt>
                <c:pt idx="6">
                  <c:v>1.7</c:v>
                </c:pt>
              </c:numCache>
            </c:numRef>
          </c:val>
          <c:extLst>
            <c:ext xmlns:c16="http://schemas.microsoft.com/office/drawing/2014/chart" uri="{C3380CC4-5D6E-409C-BE32-E72D297353CC}">
              <c16:uniqueId val="{0000000E-1876-4C0A-9870-38F63A9D7B0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6398665198165475E-2"/>
          <c:y val="0.70185420370840745"/>
          <c:w val="0.84720266960366908"/>
          <c:h val="0.193008400831616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solidFill>
                  <a:schemeClr val="tx1"/>
                </a:solidFill>
              </a:rPr>
              <a:t>Vidējais</a:t>
            </a:r>
            <a:r>
              <a:rPr lang="lv-LV" baseline="0">
                <a:solidFill>
                  <a:schemeClr val="tx1"/>
                </a:solidFill>
              </a:rPr>
              <a:t> īpatnējais apkures patēriņš (kwh/m</a:t>
            </a:r>
            <a:r>
              <a:rPr lang="lv-LV" baseline="30000">
                <a:solidFill>
                  <a:schemeClr val="tx1"/>
                </a:solidFill>
              </a:rPr>
              <a:t>2</a:t>
            </a:r>
            <a:r>
              <a:rPr lang="lv-LV" baseline="0">
                <a:solidFill>
                  <a:schemeClr val="tx1"/>
                </a:solidFill>
              </a:rPr>
              <a:t>)</a:t>
            </a:r>
            <a:endParaRPr lang="lv-LV" baseline="30000">
              <a:solidFill>
                <a:schemeClr val="tx1"/>
              </a:solidFill>
            </a:endParaRPr>
          </a:p>
        </c:rich>
      </c:tx>
      <c:layout>
        <c:manualLayout>
          <c:xMode val="edge"/>
          <c:yMode val="edge"/>
          <c:x val="0.2097880101852185"/>
          <c:y val="1.6511867905056758E-2"/>
        </c:manualLayout>
      </c:layout>
      <c:overlay val="0"/>
      <c:spPr>
        <a:noFill/>
        <a:ln>
          <a:noFill/>
        </a:ln>
        <a:effectLst/>
      </c:spPr>
    </c:title>
    <c:autoTitleDeleted val="0"/>
    <c:plotArea>
      <c:layout>
        <c:manualLayout>
          <c:layoutTarget val="inner"/>
          <c:xMode val="edge"/>
          <c:yMode val="edge"/>
          <c:x val="6.1471547937076126E-2"/>
          <c:y val="0.15310629514963883"/>
          <c:w val="0.9048178813911204"/>
          <c:h val="0.65670428967276928"/>
        </c:manualLayout>
      </c:layout>
      <c:barChart>
        <c:barDir val="col"/>
        <c:grouping val="clustered"/>
        <c:varyColors val="0"/>
        <c:ser>
          <c:idx val="0"/>
          <c:order val="0"/>
          <c:tx>
            <c:strRef>
              <c:f>Sheet1!$B$1</c:f>
              <c:strCache>
                <c:ptCount val="1"/>
                <c:pt idx="0">
                  <c:v>2016</c:v>
                </c:pt>
              </c:strCache>
            </c:strRef>
          </c:tx>
          <c:spPr>
            <a:solidFill>
              <a:schemeClr val="accent2">
                <a:shade val="58000"/>
              </a:schemeClr>
            </a:solidFill>
            <a:ln>
              <a:noFill/>
            </a:ln>
            <a:effectLst/>
          </c:spPr>
          <c:invertIfNegative val="0"/>
          <c:cat>
            <c:strRef>
              <c:f>Sheet1!$A$2:$A$4</c:f>
              <c:strCache>
                <c:ptCount val="3"/>
                <c:pt idx="0">
                  <c:v>Biroju ēkas</c:v>
                </c:pt>
                <c:pt idx="1">
                  <c:v>Izglītības iestāžu ēkas</c:v>
                </c:pt>
                <c:pt idx="2">
                  <c:v>Daudzdzīvokļu ēkas</c:v>
                </c:pt>
              </c:strCache>
            </c:strRef>
          </c:cat>
          <c:val>
            <c:numRef>
              <c:f>Sheet1!$B$2:$B$4</c:f>
              <c:numCache>
                <c:formatCode>General</c:formatCode>
                <c:ptCount val="3"/>
                <c:pt idx="0">
                  <c:v>134.02000000000001</c:v>
                </c:pt>
                <c:pt idx="1">
                  <c:v>162.29</c:v>
                </c:pt>
                <c:pt idx="2">
                  <c:v>139.34</c:v>
                </c:pt>
              </c:numCache>
            </c:numRef>
          </c:val>
          <c:extLst>
            <c:ext xmlns:c16="http://schemas.microsoft.com/office/drawing/2014/chart" uri="{C3380CC4-5D6E-409C-BE32-E72D297353CC}">
              <c16:uniqueId val="{00000000-B366-4BE2-9A67-005FE017763F}"/>
            </c:ext>
          </c:extLst>
        </c:ser>
        <c:ser>
          <c:idx val="3"/>
          <c:order val="1"/>
          <c:tx>
            <c:strRef>
              <c:f>Sheet1!$E$1</c:f>
              <c:strCache>
                <c:ptCount val="1"/>
                <c:pt idx="0">
                  <c:v>2019</c:v>
                </c:pt>
              </c:strCache>
            </c:strRef>
          </c:tx>
          <c:spPr>
            <a:solidFill>
              <a:schemeClr val="accent2">
                <a:tint val="58000"/>
              </a:schemeClr>
            </a:solidFill>
            <a:ln>
              <a:noFill/>
            </a:ln>
            <a:effectLst/>
          </c:spPr>
          <c:invertIfNegative val="0"/>
          <c:cat>
            <c:strRef>
              <c:f>Sheet1!$A$2:$A$4</c:f>
              <c:strCache>
                <c:ptCount val="3"/>
                <c:pt idx="0">
                  <c:v>Biroju ēkas</c:v>
                </c:pt>
                <c:pt idx="1">
                  <c:v>Izglītības iestāžu ēkas</c:v>
                </c:pt>
                <c:pt idx="2">
                  <c:v>Daudzdzīvokļu ēkas</c:v>
                </c:pt>
              </c:strCache>
            </c:strRef>
          </c:cat>
          <c:val>
            <c:numRef>
              <c:f>Sheet1!$E$2:$E$4</c:f>
              <c:numCache>
                <c:formatCode>General</c:formatCode>
                <c:ptCount val="3"/>
                <c:pt idx="0">
                  <c:v>114.57</c:v>
                </c:pt>
                <c:pt idx="1">
                  <c:v>148.05000000000001</c:v>
                </c:pt>
                <c:pt idx="2">
                  <c:v>125.59</c:v>
                </c:pt>
              </c:numCache>
            </c:numRef>
          </c:val>
          <c:extLst>
            <c:ext xmlns:c16="http://schemas.microsoft.com/office/drawing/2014/chart" uri="{C3380CC4-5D6E-409C-BE32-E72D297353CC}">
              <c16:uniqueId val="{00000000-B457-40AF-810B-6067391E004C}"/>
            </c:ext>
          </c:extLst>
        </c:ser>
        <c:dLbls>
          <c:showLegendKey val="0"/>
          <c:showVal val="0"/>
          <c:showCatName val="0"/>
          <c:showSerName val="0"/>
          <c:showPercent val="0"/>
          <c:showBubbleSize val="0"/>
        </c:dLbls>
        <c:gapWidth val="219"/>
        <c:overlap val="-27"/>
        <c:axId val="231937152"/>
        <c:axId val="231938688"/>
      </c:barChart>
      <c:catAx>
        <c:axId val="23193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231938688"/>
        <c:crosses val="autoZero"/>
        <c:auto val="1"/>
        <c:lblAlgn val="ctr"/>
        <c:lblOffset val="100"/>
        <c:noMultiLvlLbl val="0"/>
      </c:catAx>
      <c:valAx>
        <c:axId val="23193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1937152"/>
        <c:crosses val="autoZero"/>
        <c:crossBetween val="between"/>
      </c:valAx>
      <c:spPr>
        <a:noFill/>
        <a:ln>
          <a:solidFill>
            <a:schemeClr val="accent5">
              <a:lumMod val="40000"/>
              <a:lumOff val="6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2019</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Sheet1!$C$4:$C$13</c:f>
              <c:strCache>
                <c:ptCount val="10"/>
                <c:pt idx="0">
                  <c:v>Ogre</c:v>
                </c:pt>
                <c:pt idx="1">
                  <c:v>Rīga</c:v>
                </c:pt>
                <c:pt idx="2">
                  <c:v>Daugavpils</c:v>
                </c:pt>
                <c:pt idx="3">
                  <c:v>Rēzekne</c:v>
                </c:pt>
                <c:pt idx="4">
                  <c:v>Jēkabpils</c:v>
                </c:pt>
                <c:pt idx="5">
                  <c:v>Jelgava</c:v>
                </c:pt>
                <c:pt idx="6">
                  <c:v>Ventspils</c:v>
                </c:pt>
                <c:pt idx="7">
                  <c:v>Liepāja</c:v>
                </c:pt>
                <c:pt idx="8">
                  <c:v>Jūrmala</c:v>
                </c:pt>
                <c:pt idx="9">
                  <c:v>Valmiera</c:v>
                </c:pt>
              </c:strCache>
            </c:strRef>
          </c:cat>
          <c:val>
            <c:numRef>
              <c:f>Sheet1!$A$4:$A$13</c:f>
              <c:numCache>
                <c:formatCode>General</c:formatCode>
                <c:ptCount val="10"/>
                <c:pt idx="0">
                  <c:v>40.22</c:v>
                </c:pt>
                <c:pt idx="1">
                  <c:v>44.39</c:v>
                </c:pt>
                <c:pt idx="2">
                  <c:v>44.59</c:v>
                </c:pt>
                <c:pt idx="3">
                  <c:v>52.14</c:v>
                </c:pt>
                <c:pt idx="4">
                  <c:v>54.22</c:v>
                </c:pt>
                <c:pt idx="5">
                  <c:v>54.28</c:v>
                </c:pt>
                <c:pt idx="6">
                  <c:v>54.9</c:v>
                </c:pt>
                <c:pt idx="7">
                  <c:v>54.95</c:v>
                </c:pt>
                <c:pt idx="8">
                  <c:v>60.87</c:v>
                </c:pt>
                <c:pt idx="9">
                  <c:v>62.08</c:v>
                </c:pt>
              </c:numCache>
            </c:numRef>
          </c:val>
          <c:extLst>
            <c:ext xmlns:c16="http://schemas.microsoft.com/office/drawing/2014/chart" uri="{C3380CC4-5D6E-409C-BE32-E72D297353CC}">
              <c16:uniqueId val="{00000000-5C29-4C71-95F6-728C79AF7C05}"/>
            </c:ext>
          </c:extLst>
        </c:ser>
        <c:ser>
          <c:idx val="1"/>
          <c:order val="1"/>
          <c:tx>
            <c:strRef>
              <c:f>Sheet1!$B$3</c:f>
              <c:strCache>
                <c:ptCount val="1"/>
                <c:pt idx="0">
                  <c:v>2020</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Sheet1!$C$4:$C$13</c:f>
              <c:strCache>
                <c:ptCount val="10"/>
                <c:pt idx="0">
                  <c:v>Ogre</c:v>
                </c:pt>
                <c:pt idx="1">
                  <c:v>Rīga</c:v>
                </c:pt>
                <c:pt idx="2">
                  <c:v>Daugavpils</c:v>
                </c:pt>
                <c:pt idx="3">
                  <c:v>Rēzekne</c:v>
                </c:pt>
                <c:pt idx="4">
                  <c:v>Jēkabpils</c:v>
                </c:pt>
                <c:pt idx="5">
                  <c:v>Jelgava</c:v>
                </c:pt>
                <c:pt idx="6">
                  <c:v>Ventspils</c:v>
                </c:pt>
                <c:pt idx="7">
                  <c:v>Liepāja</c:v>
                </c:pt>
                <c:pt idx="8">
                  <c:v>Jūrmala</c:v>
                </c:pt>
                <c:pt idx="9">
                  <c:v>Valmiera</c:v>
                </c:pt>
              </c:strCache>
            </c:strRef>
          </c:cat>
          <c:val>
            <c:numRef>
              <c:f>Sheet1!$B$4:$B$13</c:f>
              <c:numCache>
                <c:formatCode>General</c:formatCode>
                <c:ptCount val="10"/>
                <c:pt idx="0">
                  <c:v>57.65</c:v>
                </c:pt>
                <c:pt idx="1">
                  <c:v>51.9</c:v>
                </c:pt>
                <c:pt idx="2">
                  <c:v>48.44</c:v>
                </c:pt>
                <c:pt idx="3">
                  <c:v>52.14</c:v>
                </c:pt>
                <c:pt idx="4">
                  <c:v>54.22</c:v>
                </c:pt>
                <c:pt idx="5">
                  <c:v>54.28</c:v>
                </c:pt>
                <c:pt idx="6">
                  <c:v>54.9</c:v>
                </c:pt>
                <c:pt idx="7">
                  <c:v>54.95</c:v>
                </c:pt>
                <c:pt idx="8">
                  <c:v>60.87</c:v>
                </c:pt>
                <c:pt idx="9">
                  <c:v>58.06</c:v>
                </c:pt>
              </c:numCache>
            </c:numRef>
          </c:val>
          <c:extLst>
            <c:ext xmlns:c16="http://schemas.microsoft.com/office/drawing/2014/chart" uri="{C3380CC4-5D6E-409C-BE32-E72D297353CC}">
              <c16:uniqueId val="{00000001-5C29-4C71-95F6-728C79AF7C05}"/>
            </c:ext>
          </c:extLst>
        </c:ser>
        <c:dLbls>
          <c:showLegendKey val="0"/>
          <c:showVal val="0"/>
          <c:showCatName val="0"/>
          <c:showSerName val="0"/>
          <c:showPercent val="0"/>
          <c:showBubbleSize val="0"/>
        </c:dLbls>
        <c:gapWidth val="100"/>
        <c:overlap val="-24"/>
        <c:axId val="231978112"/>
        <c:axId val="231979648"/>
      </c:barChart>
      <c:catAx>
        <c:axId val="231978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31979648"/>
        <c:crosses val="autoZero"/>
        <c:auto val="1"/>
        <c:lblAlgn val="ctr"/>
        <c:lblOffset val="100"/>
        <c:noMultiLvlLbl val="0"/>
      </c:catAx>
      <c:valAx>
        <c:axId val="23197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2319781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Sheet1!$A$24:$A$30</c:f>
              <c:strCache>
                <c:ptCount val="7"/>
                <c:pt idx="0">
                  <c:v>2012</c:v>
                </c:pt>
                <c:pt idx="1">
                  <c:v>2013</c:v>
                </c:pt>
                <c:pt idx="2">
                  <c:v>2014</c:v>
                </c:pt>
                <c:pt idx="3">
                  <c:v>2015</c:v>
                </c:pt>
                <c:pt idx="4">
                  <c:v>2016</c:v>
                </c:pt>
                <c:pt idx="5">
                  <c:v>2017</c:v>
                </c:pt>
                <c:pt idx="6">
                  <c:v>2018</c:v>
                </c:pt>
              </c:strCache>
            </c:strRef>
          </c:tx>
          <c:spPr>
            <a:ln w="28575" cap="rnd">
              <a:solidFill>
                <a:schemeClr val="accent6">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Sheet1!$A$24:$A$30</c:f>
              <c:numCache>
                <c:formatCode>General</c:formatCode>
                <c:ptCount val="7"/>
                <c:pt idx="0">
                  <c:v>2012</c:v>
                </c:pt>
                <c:pt idx="1">
                  <c:v>2013</c:v>
                </c:pt>
                <c:pt idx="2">
                  <c:v>2014</c:v>
                </c:pt>
                <c:pt idx="3">
                  <c:v>2015</c:v>
                </c:pt>
                <c:pt idx="4">
                  <c:v>2016</c:v>
                </c:pt>
                <c:pt idx="5">
                  <c:v>2017</c:v>
                </c:pt>
                <c:pt idx="6">
                  <c:v>2018</c:v>
                </c:pt>
              </c:numCache>
            </c:numRef>
          </c:cat>
          <c:val>
            <c:numRef>
              <c:f>Sheet1!$B$24:$B$29</c:f>
              <c:numCache>
                <c:formatCode>General</c:formatCode>
                <c:ptCount val="6"/>
                <c:pt idx="0">
                  <c:v>58</c:v>
                </c:pt>
                <c:pt idx="1">
                  <c:v>54</c:v>
                </c:pt>
                <c:pt idx="2">
                  <c:v>45</c:v>
                </c:pt>
                <c:pt idx="3">
                  <c:v>44</c:v>
                </c:pt>
                <c:pt idx="4">
                  <c:v>36</c:v>
                </c:pt>
                <c:pt idx="5">
                  <c:v>36</c:v>
                </c:pt>
              </c:numCache>
            </c:numRef>
          </c:val>
          <c:smooth val="0"/>
          <c:extLst>
            <c:ext xmlns:c16="http://schemas.microsoft.com/office/drawing/2014/chart" uri="{C3380CC4-5D6E-409C-BE32-E72D297353CC}">
              <c16:uniqueId val="{00000000-92EF-430C-9A79-46DE949D06D9}"/>
            </c:ext>
          </c:extLst>
        </c:ser>
        <c:ser>
          <c:idx val="1"/>
          <c:order val="1"/>
          <c:spPr>
            <a:ln w="28575" cap="rnd">
              <a:solidFill>
                <a:schemeClr val="accent6">
                  <a:shade val="7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Sheet1!$B$24:$B$30</c:f>
              <c:numCache>
                <c:formatCode>General</c:formatCode>
                <c:ptCount val="7"/>
                <c:pt idx="0">
                  <c:v>58</c:v>
                </c:pt>
                <c:pt idx="1">
                  <c:v>54</c:v>
                </c:pt>
                <c:pt idx="2">
                  <c:v>45</c:v>
                </c:pt>
                <c:pt idx="3">
                  <c:v>44</c:v>
                </c:pt>
                <c:pt idx="4">
                  <c:v>36</c:v>
                </c:pt>
                <c:pt idx="5">
                  <c:v>36</c:v>
                </c:pt>
                <c:pt idx="6">
                  <c:v>37</c:v>
                </c:pt>
              </c:numCache>
            </c:numRef>
          </c:val>
          <c:smooth val="0"/>
          <c:extLst>
            <c:ext xmlns:c16="http://schemas.microsoft.com/office/drawing/2014/chart" uri="{C3380CC4-5D6E-409C-BE32-E72D297353CC}">
              <c16:uniqueId val="{00000001-92EF-430C-9A79-46DE949D06D9}"/>
            </c:ext>
          </c:extLst>
        </c:ser>
        <c:dLbls>
          <c:dLblPos val="ctr"/>
          <c:showLegendKey val="0"/>
          <c:showVal val="1"/>
          <c:showCatName val="0"/>
          <c:showSerName val="0"/>
          <c:showPercent val="0"/>
          <c:showBubbleSize val="0"/>
        </c:dLbls>
        <c:smooth val="0"/>
        <c:axId val="75749632"/>
        <c:axId val="75751424"/>
      </c:lineChart>
      <c:catAx>
        <c:axId val="7574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75751424"/>
        <c:crosses val="autoZero"/>
        <c:auto val="1"/>
        <c:lblAlgn val="ctr"/>
        <c:lblOffset val="100"/>
        <c:noMultiLvlLbl val="0"/>
      </c:catAx>
      <c:valAx>
        <c:axId val="7575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lv-LV" baseline="0">
                    <a:solidFill>
                      <a:schemeClr val="tx1"/>
                    </a:solidFill>
                  </a:rPr>
                  <a:t>Siltumenerģija, euro/MWh</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75749632"/>
        <c:crosses val="autoZero"/>
        <c:crossBetween val="between"/>
      </c:valAx>
      <c:spPr>
        <a:solidFill>
          <a:schemeClr val="bg1"/>
        </a:solid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Viedie skaitītāji %</c:v>
                </c:pt>
              </c:strCache>
            </c:strRef>
          </c:tx>
          <c:spPr>
            <a:solidFill>
              <a:schemeClr val="accent1"/>
            </a:solidFill>
            <a:ln>
              <a:noFill/>
            </a:ln>
            <a:effectLst/>
          </c:spPr>
          <c:invertIfNegative val="0"/>
          <c:cat>
            <c:strRef>
              <c:f>Sheet1!$A$2:$A$9</c:f>
              <c:strCache>
                <c:ptCount val="8"/>
                <c:pt idx="0">
                  <c:v>Rīga</c:v>
                </c:pt>
                <c:pt idx="1">
                  <c:v>Jūrmala</c:v>
                </c:pt>
                <c:pt idx="2">
                  <c:v>Ventspils</c:v>
                </c:pt>
                <c:pt idx="3">
                  <c:v>Liepāja</c:v>
                </c:pt>
                <c:pt idx="4">
                  <c:v>Jēkabpils</c:v>
                </c:pt>
                <c:pt idx="5">
                  <c:v>Valmiera</c:v>
                </c:pt>
                <c:pt idx="6">
                  <c:v>Rēzekne</c:v>
                </c:pt>
                <c:pt idx="7">
                  <c:v>Daugavpils</c:v>
                </c:pt>
              </c:strCache>
            </c:strRef>
          </c:cat>
          <c:val>
            <c:numRef>
              <c:f>Sheet1!$B$2:$B$9</c:f>
              <c:numCache>
                <c:formatCode>General</c:formatCode>
                <c:ptCount val="8"/>
                <c:pt idx="0">
                  <c:v>57</c:v>
                </c:pt>
                <c:pt idx="1">
                  <c:v>72</c:v>
                </c:pt>
                <c:pt idx="2">
                  <c:v>86</c:v>
                </c:pt>
                <c:pt idx="3">
                  <c:v>75</c:v>
                </c:pt>
                <c:pt idx="4">
                  <c:v>79</c:v>
                </c:pt>
                <c:pt idx="5">
                  <c:v>90</c:v>
                </c:pt>
                <c:pt idx="6">
                  <c:v>89</c:v>
                </c:pt>
                <c:pt idx="7">
                  <c:v>78</c:v>
                </c:pt>
              </c:numCache>
            </c:numRef>
          </c:val>
          <c:extLst>
            <c:ext xmlns:c16="http://schemas.microsoft.com/office/drawing/2014/chart" uri="{C3380CC4-5D6E-409C-BE32-E72D297353CC}">
              <c16:uniqueId val="{00000000-B55D-46FB-BF67-50487B2893DF}"/>
            </c:ext>
          </c:extLst>
        </c:ser>
        <c:dLbls>
          <c:showLegendKey val="0"/>
          <c:showVal val="0"/>
          <c:showCatName val="0"/>
          <c:showSerName val="0"/>
          <c:showPercent val="0"/>
          <c:showBubbleSize val="0"/>
        </c:dLbls>
        <c:gapWidth val="219"/>
        <c:overlap val="-27"/>
        <c:axId val="231964672"/>
        <c:axId val="231966208"/>
      </c:barChart>
      <c:catAx>
        <c:axId val="2319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1966208"/>
        <c:crosses val="autoZero"/>
        <c:auto val="1"/>
        <c:lblAlgn val="ctr"/>
        <c:lblOffset val="100"/>
        <c:noMultiLvlLbl val="0"/>
      </c:catAx>
      <c:valAx>
        <c:axId val="23196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196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solidFill>
                  <a:schemeClr val="tx1"/>
                </a:solidFill>
              </a:rPr>
              <a:t>Konkursi pēc projektu skaita %</a:t>
            </a:r>
          </a:p>
        </c:rich>
      </c:tx>
      <c:layout>
        <c:manualLayout>
          <c:xMode val="edge"/>
          <c:yMode val="edge"/>
          <c:x val="0.28698624210435236"/>
          <c:y val="3.8022813688212928E-3"/>
        </c:manualLayout>
      </c:layout>
      <c:overlay val="0"/>
      <c:spPr>
        <a:noFill/>
        <a:ln>
          <a:noFill/>
        </a:ln>
        <a:effectLst/>
      </c:spPr>
    </c:title>
    <c:autoTitleDeleted val="0"/>
    <c:plotArea>
      <c:layout/>
      <c:pieChart>
        <c:varyColors val="1"/>
        <c:ser>
          <c:idx val="0"/>
          <c:order val="0"/>
          <c:tx>
            <c:strRef>
              <c:f>Sheet1!$B$1</c:f>
              <c:strCache>
                <c:ptCount val="1"/>
                <c:pt idx="0">
                  <c:v>Konkursi pēc projektu skaita %</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72B-4610-8A2E-E54858F0611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72B-4610-8A2E-E54858F0611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72B-4610-8A2E-E54858F0611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972B-4610-8A2E-E54858F0611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Sheet1!$A$2:$A$5</c:f>
              <c:strCache>
                <c:ptCount val="4"/>
                <c:pt idx="0">
                  <c:v>Nr.1</c:v>
                </c:pt>
                <c:pt idx="1">
                  <c:v>Nr.2</c:v>
                </c:pt>
                <c:pt idx="2">
                  <c:v>Nr.3</c:v>
                </c:pt>
                <c:pt idx="3">
                  <c:v>Nr.4</c:v>
                </c:pt>
              </c:strCache>
            </c:strRef>
          </c:cat>
          <c:val>
            <c:numRef>
              <c:f>Sheet1!$B$2:$B$5</c:f>
              <c:numCache>
                <c:formatCode>General</c:formatCode>
                <c:ptCount val="4"/>
                <c:pt idx="0">
                  <c:v>25</c:v>
                </c:pt>
                <c:pt idx="1">
                  <c:v>19.399999999999999</c:v>
                </c:pt>
                <c:pt idx="2">
                  <c:v>50</c:v>
                </c:pt>
                <c:pt idx="3">
                  <c:v>5.6</c:v>
                </c:pt>
              </c:numCache>
            </c:numRef>
          </c:val>
          <c:extLst>
            <c:ext xmlns:c16="http://schemas.microsoft.com/office/drawing/2014/chart" uri="{C3380CC4-5D6E-409C-BE32-E72D297353CC}">
              <c16:uniqueId val="{00000008-972B-4610-8A2E-E54858F0611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28367761805742"/>
          <c:y val="5.6033931986452845E-2"/>
          <c:w val="0.63967680560814244"/>
          <c:h val="0.94396614664331202"/>
        </c:manualLayout>
      </c:layout>
      <c:doughnutChart>
        <c:varyColors val="1"/>
        <c:ser>
          <c:idx val="0"/>
          <c:order val="0"/>
          <c:tx>
            <c:strRef>
              <c:f>Sheet1!$B$1</c:f>
              <c:strCache>
                <c:ptCount val="1"/>
                <c:pt idx="0">
                  <c:v>Sales</c:v>
                </c:pt>
              </c:strCache>
            </c:strRef>
          </c:tx>
          <c:explosion val="3"/>
          <c:dPt>
            <c:idx val="0"/>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1-4ED9-4F1B-8440-A35966A54C90}"/>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4ED9-4F1B-8440-A35966A54C90}"/>
              </c:ext>
            </c:extLst>
          </c:dPt>
          <c:dPt>
            <c:idx val="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5-4ED9-4F1B-8440-A35966A54C90}"/>
              </c:ext>
            </c:extLst>
          </c:dPt>
          <c:dPt>
            <c:idx val="3"/>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7-4ED9-4F1B-8440-A35966A54C90}"/>
              </c:ext>
            </c:extLst>
          </c:dPt>
          <c:dPt>
            <c:idx val="4"/>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9-4ED9-4F1B-8440-A35966A54C90}"/>
              </c:ext>
            </c:extLst>
          </c:dPt>
          <c:dPt>
            <c:idx val="5"/>
            <c:bubble3D val="0"/>
            <c:spPr>
              <a:solidFill>
                <a:schemeClr val="bg1"/>
              </a:solidFill>
              <a:ln w="19050">
                <a:solidFill>
                  <a:schemeClr val="lt1"/>
                </a:solidFill>
              </a:ln>
              <a:effectLst/>
            </c:spPr>
            <c:extLst>
              <c:ext xmlns:c16="http://schemas.microsoft.com/office/drawing/2014/chart" uri="{C3380CC4-5D6E-409C-BE32-E72D297353CC}">
                <c16:uniqueId val="{0000000B-4ED9-4F1B-8440-A35966A54C90}"/>
              </c:ext>
            </c:extLst>
          </c:dPt>
          <c:dLbls>
            <c:dLbl>
              <c:idx val="0"/>
              <c:tx>
                <c:rich>
                  <a:bodyPr/>
                  <a:lstStyle/>
                  <a:p>
                    <a:r>
                      <a:rPr lang="en-US"/>
                      <a:t>44</a:t>
                    </a:r>
                    <a:r>
                      <a:rPr lang="lv-LV"/>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D9-4F1B-8440-A35966A54C90}"/>
                </c:ext>
              </c:extLst>
            </c:dLbl>
            <c:dLbl>
              <c:idx val="1"/>
              <c:tx>
                <c:rich>
                  <a:bodyPr/>
                  <a:lstStyle/>
                  <a:p>
                    <a:r>
                      <a:rPr lang="en-US"/>
                      <a:t>11</a:t>
                    </a:r>
                    <a:r>
                      <a:rPr lang="lv-LV"/>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D9-4F1B-8440-A35966A54C90}"/>
                </c:ext>
              </c:extLst>
            </c:dLbl>
            <c:dLbl>
              <c:idx val="2"/>
              <c:tx>
                <c:rich>
                  <a:bodyPr/>
                  <a:lstStyle/>
                  <a:p>
                    <a:r>
                      <a:rPr lang="en-US"/>
                      <a:t>27</a:t>
                    </a:r>
                    <a:r>
                      <a:rPr lang="lv-LV"/>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D9-4F1B-8440-A35966A54C90}"/>
                </c:ext>
              </c:extLst>
            </c:dLbl>
            <c:dLbl>
              <c:idx val="3"/>
              <c:tx>
                <c:rich>
                  <a:bodyPr/>
                  <a:lstStyle/>
                  <a:p>
                    <a:r>
                      <a:rPr lang="lv-LV"/>
                      <a:t>13%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D9-4F1B-8440-A35966A54C90}"/>
                </c:ext>
              </c:extLst>
            </c:dLbl>
            <c:dLbl>
              <c:idx val="4"/>
              <c:layout>
                <c:manualLayout>
                  <c:x val="2.7548209366391185E-3"/>
                  <c:y val="3.292181069958848E-2"/>
                </c:manualLayout>
              </c:layout>
              <c:tx>
                <c:rich>
                  <a:bodyPr/>
                  <a:lstStyle/>
                  <a:p>
                    <a:r>
                      <a:rPr lang="en-US"/>
                      <a:t>4</a:t>
                    </a:r>
                    <a:r>
                      <a:rPr lang="lv-LV"/>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D9-4F1B-8440-A35966A54C9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5"/>
                <c:pt idx="0">
                  <c:v>līdz 1940.gadam</c:v>
                </c:pt>
                <c:pt idx="1">
                  <c:v>1941-1959</c:v>
                </c:pt>
                <c:pt idx="2">
                  <c:v>1960-1979</c:v>
                </c:pt>
                <c:pt idx="3">
                  <c:v>1980-1992</c:v>
                </c:pt>
                <c:pt idx="4">
                  <c:v>1993-2019</c:v>
                </c:pt>
              </c:strCache>
            </c:strRef>
          </c:cat>
          <c:val>
            <c:numRef>
              <c:f>Sheet1!$B$2:$B$7</c:f>
              <c:numCache>
                <c:formatCode>General</c:formatCode>
                <c:ptCount val="6"/>
                <c:pt idx="0">
                  <c:v>44</c:v>
                </c:pt>
                <c:pt idx="1">
                  <c:v>11</c:v>
                </c:pt>
                <c:pt idx="2">
                  <c:v>27</c:v>
                </c:pt>
                <c:pt idx="3">
                  <c:v>13</c:v>
                </c:pt>
                <c:pt idx="4">
                  <c:v>4</c:v>
                </c:pt>
                <c:pt idx="5">
                  <c:v>100</c:v>
                </c:pt>
              </c:numCache>
            </c:numRef>
          </c:val>
          <c:extLst>
            <c:ext xmlns:c16="http://schemas.microsoft.com/office/drawing/2014/chart" uri="{C3380CC4-5D6E-409C-BE32-E72D297353CC}">
              <c16:uniqueId val="{0000000C-4ED9-4F1B-8440-A35966A54C90}"/>
            </c:ext>
          </c:extLst>
        </c:ser>
        <c:dLbls>
          <c:showLegendKey val="0"/>
          <c:showVal val="0"/>
          <c:showCatName val="0"/>
          <c:showSerName val="0"/>
          <c:showPercent val="0"/>
          <c:showBubbleSize val="0"/>
          <c:showLeaderLines val="1"/>
        </c:dLbls>
        <c:firstSliceAng val="270"/>
        <c:holeSize val="40"/>
      </c:doughnutChart>
      <c:spPr>
        <a:noFill/>
        <a:ln>
          <a:noFill/>
        </a:ln>
        <a:effectLst/>
      </c:spPr>
    </c:plotArea>
    <c:legend>
      <c:legendPos val="b"/>
      <c:legendEntry>
        <c:idx val="1"/>
        <c:txPr>
          <a:bodyPr rot="0" spcFirstLastPara="1" vertOverflow="ellipsis" vert="horz" wrap="square" anchor="ctr" anchorCtr="1"/>
          <a:lstStyle/>
          <a:p>
            <a:pPr>
              <a:defRPr sz="1200" b="0" i="0" u="none" strike="noStrike" kern="1200" baseline="0">
                <a:solidFill>
                  <a:schemeClr val="tx1"/>
                </a:solidFill>
                <a:latin typeface="Trebuchet MS" panose="020B0603020202020204" pitchFamily="34" charset="0"/>
                <a:ea typeface="+mn-ea"/>
                <a:cs typeface="+mn-cs"/>
              </a:defRPr>
            </a:pPr>
            <a:endParaRPr lang="lv-LV"/>
          </a:p>
        </c:txPr>
      </c:legendEntry>
      <c:layout>
        <c:manualLayout>
          <c:xMode val="edge"/>
          <c:yMode val="edge"/>
          <c:x val="3.6584672783670634E-2"/>
          <c:y val="0.65017033364656573"/>
          <c:w val="0.92327685002326798"/>
          <c:h val="0.21722735275374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rebuchet MS" panose="020B0603020202020204" pitchFamily="34" charset="0"/>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0">
          <a:latin typeface="Trebuchet MS" panose="020B0603020202020204" pitchFamily="34" charset="0"/>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baseline="0">
                <a:solidFill>
                  <a:schemeClr val="tx1"/>
                </a:solidFill>
              </a:rPr>
              <a:t>Ekspluatācijā pieņemto jauno dzīvokļu skaits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Latvija (kopā)</c:v>
                </c:pt>
              </c:strCache>
            </c:strRef>
          </c:tx>
          <c:spPr>
            <a:solidFill>
              <a:schemeClr val="accent1"/>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2197</c:v>
                </c:pt>
                <c:pt idx="1">
                  <c:v>2271</c:v>
                </c:pt>
                <c:pt idx="2">
                  <c:v>2966</c:v>
                </c:pt>
                <c:pt idx="3">
                  <c:v>3315</c:v>
                </c:pt>
              </c:numCache>
            </c:numRef>
          </c:val>
          <c:extLst>
            <c:ext xmlns:c16="http://schemas.microsoft.com/office/drawing/2014/chart" uri="{C3380CC4-5D6E-409C-BE32-E72D297353CC}">
              <c16:uniqueId val="{00000000-9047-488A-A3E4-6A1E0EE9DB2E}"/>
            </c:ext>
          </c:extLst>
        </c:ser>
        <c:ser>
          <c:idx val="1"/>
          <c:order val="1"/>
          <c:tx>
            <c:strRef>
              <c:f>Sheet1!$C$1</c:f>
              <c:strCache>
                <c:ptCount val="1"/>
                <c:pt idx="0">
                  <c:v>Rīgas reģions</c:v>
                </c:pt>
              </c:strCache>
            </c:strRef>
          </c:tx>
          <c:spPr>
            <a:solidFill>
              <a:schemeClr val="accent2"/>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564</c:v>
                </c:pt>
                <c:pt idx="1">
                  <c:v>961</c:v>
                </c:pt>
                <c:pt idx="2">
                  <c:v>1260</c:v>
                </c:pt>
                <c:pt idx="3">
                  <c:v>1445</c:v>
                </c:pt>
              </c:numCache>
            </c:numRef>
          </c:val>
          <c:extLst>
            <c:ext xmlns:c16="http://schemas.microsoft.com/office/drawing/2014/chart" uri="{C3380CC4-5D6E-409C-BE32-E72D297353CC}">
              <c16:uniqueId val="{00000001-9047-488A-A3E4-6A1E0EE9DB2E}"/>
            </c:ext>
          </c:extLst>
        </c:ser>
        <c:ser>
          <c:idx val="2"/>
          <c:order val="2"/>
          <c:tx>
            <c:strRef>
              <c:f>Sheet1!$D$1</c:f>
              <c:strCache>
                <c:ptCount val="1"/>
                <c:pt idx="0">
                  <c:v>Pierīgas reģions</c:v>
                </c:pt>
              </c:strCache>
            </c:strRef>
          </c:tx>
          <c:spPr>
            <a:solidFill>
              <a:schemeClr val="accent3"/>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1266</c:v>
                </c:pt>
                <c:pt idx="1">
                  <c:v>1037</c:v>
                </c:pt>
                <c:pt idx="2">
                  <c:v>1274</c:v>
                </c:pt>
                <c:pt idx="3">
                  <c:v>1448</c:v>
                </c:pt>
              </c:numCache>
            </c:numRef>
          </c:val>
          <c:extLst>
            <c:ext xmlns:c16="http://schemas.microsoft.com/office/drawing/2014/chart" uri="{C3380CC4-5D6E-409C-BE32-E72D297353CC}">
              <c16:uniqueId val="{00000002-9047-488A-A3E4-6A1E0EE9DB2E}"/>
            </c:ext>
          </c:extLst>
        </c:ser>
        <c:ser>
          <c:idx val="3"/>
          <c:order val="3"/>
          <c:tx>
            <c:strRef>
              <c:f>Sheet1!$E$1</c:f>
              <c:strCache>
                <c:ptCount val="1"/>
                <c:pt idx="0">
                  <c:v>Vidzemes reģions</c:v>
                </c:pt>
              </c:strCache>
            </c:strRef>
          </c:tx>
          <c:spPr>
            <a:solidFill>
              <a:schemeClr val="accent4"/>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Sheet1!$E$2:$E$5</c:f>
              <c:numCache>
                <c:formatCode>General</c:formatCode>
                <c:ptCount val="4"/>
                <c:pt idx="0">
                  <c:v>69</c:v>
                </c:pt>
                <c:pt idx="1">
                  <c:v>28</c:v>
                </c:pt>
                <c:pt idx="2">
                  <c:v>127</c:v>
                </c:pt>
                <c:pt idx="3">
                  <c:v>56</c:v>
                </c:pt>
              </c:numCache>
            </c:numRef>
          </c:val>
          <c:extLst>
            <c:ext xmlns:c16="http://schemas.microsoft.com/office/drawing/2014/chart" uri="{C3380CC4-5D6E-409C-BE32-E72D297353CC}">
              <c16:uniqueId val="{00000003-9047-488A-A3E4-6A1E0EE9DB2E}"/>
            </c:ext>
          </c:extLst>
        </c:ser>
        <c:ser>
          <c:idx val="4"/>
          <c:order val="4"/>
          <c:tx>
            <c:strRef>
              <c:f>Sheet1!$F$1</c:f>
              <c:strCache>
                <c:ptCount val="1"/>
                <c:pt idx="0">
                  <c:v>Kurzemes reģions</c:v>
                </c:pt>
              </c:strCache>
            </c:strRef>
          </c:tx>
          <c:spPr>
            <a:solidFill>
              <a:schemeClr val="accent5"/>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Sheet1!$F$2:$F$5</c:f>
              <c:numCache>
                <c:formatCode>General</c:formatCode>
                <c:ptCount val="4"/>
                <c:pt idx="0">
                  <c:v>70</c:v>
                </c:pt>
                <c:pt idx="1">
                  <c:v>84</c:v>
                </c:pt>
                <c:pt idx="2">
                  <c:v>72</c:v>
                </c:pt>
                <c:pt idx="3">
                  <c:v>102</c:v>
                </c:pt>
              </c:numCache>
            </c:numRef>
          </c:val>
          <c:extLst>
            <c:ext xmlns:c16="http://schemas.microsoft.com/office/drawing/2014/chart" uri="{C3380CC4-5D6E-409C-BE32-E72D297353CC}">
              <c16:uniqueId val="{00000004-9047-488A-A3E4-6A1E0EE9DB2E}"/>
            </c:ext>
          </c:extLst>
        </c:ser>
        <c:ser>
          <c:idx val="5"/>
          <c:order val="5"/>
          <c:tx>
            <c:strRef>
              <c:f>Sheet1!$G$1</c:f>
              <c:strCache>
                <c:ptCount val="1"/>
                <c:pt idx="0">
                  <c:v>Zemgales reģions</c:v>
                </c:pt>
              </c:strCache>
            </c:strRef>
          </c:tx>
          <c:spPr>
            <a:solidFill>
              <a:schemeClr val="accent6"/>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Sheet1!$G$2:$G$5</c:f>
              <c:numCache>
                <c:formatCode>General</c:formatCode>
                <c:ptCount val="4"/>
                <c:pt idx="0">
                  <c:v>163</c:v>
                </c:pt>
                <c:pt idx="1">
                  <c:v>111</c:v>
                </c:pt>
                <c:pt idx="2">
                  <c:v>164</c:v>
                </c:pt>
                <c:pt idx="3">
                  <c:v>186</c:v>
                </c:pt>
              </c:numCache>
            </c:numRef>
          </c:val>
          <c:extLst>
            <c:ext xmlns:c16="http://schemas.microsoft.com/office/drawing/2014/chart" uri="{C3380CC4-5D6E-409C-BE32-E72D297353CC}">
              <c16:uniqueId val="{00000005-9047-488A-A3E4-6A1E0EE9DB2E}"/>
            </c:ext>
          </c:extLst>
        </c:ser>
        <c:ser>
          <c:idx val="6"/>
          <c:order val="6"/>
          <c:tx>
            <c:strRef>
              <c:f>Sheet1!$H$1</c:f>
              <c:strCache>
                <c:ptCount val="1"/>
                <c:pt idx="0">
                  <c:v>Latgales reģions</c:v>
                </c:pt>
              </c:strCache>
            </c:strRef>
          </c:tx>
          <c:spPr>
            <a:solidFill>
              <a:schemeClr val="accent1">
                <a:lumMod val="60000"/>
              </a:schemeClr>
            </a:solidFill>
            <a:ln>
              <a:noFill/>
            </a:ln>
            <a:effectLst/>
          </c:spPr>
          <c:invertIfNegative val="0"/>
          <c:cat>
            <c:numRef>
              <c:f>Sheet1!$A$2:$A$5</c:f>
              <c:numCache>
                <c:formatCode>General</c:formatCode>
                <c:ptCount val="4"/>
                <c:pt idx="0">
                  <c:v>2016</c:v>
                </c:pt>
                <c:pt idx="1">
                  <c:v>2017</c:v>
                </c:pt>
                <c:pt idx="2">
                  <c:v>2018</c:v>
                </c:pt>
                <c:pt idx="3">
                  <c:v>2019</c:v>
                </c:pt>
              </c:numCache>
            </c:numRef>
          </c:cat>
          <c:val>
            <c:numRef>
              <c:f>Sheet1!$H$2:$H$5</c:f>
              <c:numCache>
                <c:formatCode>General</c:formatCode>
                <c:ptCount val="4"/>
                <c:pt idx="0">
                  <c:v>65</c:v>
                </c:pt>
                <c:pt idx="1">
                  <c:v>50</c:v>
                </c:pt>
                <c:pt idx="2">
                  <c:v>69</c:v>
                </c:pt>
                <c:pt idx="3">
                  <c:v>78</c:v>
                </c:pt>
              </c:numCache>
            </c:numRef>
          </c:val>
          <c:extLst>
            <c:ext xmlns:c16="http://schemas.microsoft.com/office/drawing/2014/chart" uri="{C3380CC4-5D6E-409C-BE32-E72D297353CC}">
              <c16:uniqueId val="{00000006-9047-488A-A3E4-6A1E0EE9DB2E}"/>
            </c:ext>
          </c:extLst>
        </c:ser>
        <c:dLbls>
          <c:showLegendKey val="0"/>
          <c:showVal val="0"/>
          <c:showCatName val="0"/>
          <c:showSerName val="0"/>
          <c:showPercent val="0"/>
          <c:showBubbleSize val="0"/>
        </c:dLbls>
        <c:gapWidth val="219"/>
        <c:overlap val="-27"/>
        <c:axId val="81486592"/>
        <c:axId val="81488128"/>
      </c:barChart>
      <c:catAx>
        <c:axId val="814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1488128"/>
        <c:crosses val="autoZero"/>
        <c:auto val="1"/>
        <c:lblAlgn val="ctr"/>
        <c:lblOffset val="100"/>
        <c:noMultiLvlLbl val="0"/>
      </c:catAx>
      <c:valAx>
        <c:axId val="8148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14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1BF1-635A-419B-AC21-A8C1F2CE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84973</Words>
  <Characters>48435</Characters>
  <Application>Microsoft Office Word</Application>
  <DocSecurity>0</DocSecurity>
  <Lines>403</Lines>
  <Paragraphs>266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Ēku atjaunošanas ilgtermiņa stratēģija</vt:lpstr>
      <vt:lpstr/>
    </vt:vector>
  </TitlesOfParts>
  <Company/>
  <LinksUpToDate>false</LinksUpToDate>
  <CharactersWithSpaces>133142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atjaunošanas ilgtermiņa stratēģija</dc:title>
  <dc:subject/>
  <dc:creator>Elvijs Kalnkambers</dc:creator>
  <cp:keywords/>
  <dc:description>elvijs.kalnkambers@em.gov.lv
67013189</dc:description>
  <cp:lastModifiedBy>Inese Vanaga</cp:lastModifiedBy>
  <cp:revision>2</cp:revision>
  <dcterms:created xsi:type="dcterms:W3CDTF">2020-05-12T10:31:00Z</dcterms:created>
  <dcterms:modified xsi:type="dcterms:W3CDTF">2020-05-12T10:31:00Z</dcterms:modified>
</cp:coreProperties>
</file>