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462616115"/>
        <w:docPartObj>
          <w:docPartGallery w:val="Cover Pages"/>
          <w:docPartUnique/>
        </w:docPartObj>
      </w:sdtPr>
      <w:sdtEndPr>
        <w:rPr>
          <w:rFonts w:ascii="Times New Roman" w:hAnsi="Times New Roman" w:cs="Times New Roman"/>
          <w:b/>
          <w:bCs/>
          <w:smallCaps/>
        </w:rPr>
      </w:sdtEndPr>
      <w:sdtContent>
        <w:p w14:paraId="683DB95B" w14:textId="77777777" w:rsidR="0043197A" w:rsidRPr="00D551C4" w:rsidRDefault="0043197A" w:rsidP="00165BF6">
          <w:pPr>
            <w:ind w:left="1701" w:right="1134"/>
            <w:rPr>
              <w:highlight w:val="yellow"/>
            </w:rPr>
          </w:pPr>
        </w:p>
        <w:p w14:paraId="22FCD02C" w14:textId="77777777" w:rsidR="0043197A" w:rsidRPr="00D551C4" w:rsidRDefault="00A118B2">
          <w:pPr>
            <w:rPr>
              <w:rFonts w:ascii="Times New Roman" w:hAnsi="Times New Roman" w:cs="Times New Roman"/>
              <w:highlight w:val="yellow"/>
            </w:rPr>
          </w:pPr>
          <w:r w:rsidRPr="00D551C4">
            <w:rPr>
              <w:rFonts w:ascii="Times New Roman" w:hAnsi="Times New Roman" w:cs="Times New Roman"/>
              <w:b/>
              <w:bCs/>
              <w:smallCaps/>
              <w:noProof/>
              <w:highlight w:val="yellow"/>
              <w:lang w:eastAsia="lv-LV"/>
            </w:rPr>
            <w:drawing>
              <wp:anchor distT="0" distB="0" distL="114300" distR="114300" simplePos="0" relativeHeight="251672576" behindDoc="0" locked="0" layoutInCell="1" allowOverlap="1" wp14:anchorId="7F18BDA3" wp14:editId="733004BB">
                <wp:simplePos x="0" y="0"/>
                <wp:positionH relativeFrom="column">
                  <wp:posOffset>4351020</wp:posOffset>
                </wp:positionH>
                <wp:positionV relativeFrom="paragraph">
                  <wp:posOffset>7890510</wp:posOffset>
                </wp:positionV>
                <wp:extent cx="1751330" cy="548640"/>
                <wp:effectExtent l="0" t="0" r="1270" b="381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548640"/>
                        </a:xfrm>
                        <a:prstGeom prst="rect">
                          <a:avLst/>
                        </a:prstGeom>
                        <a:noFill/>
                        <a:ln>
                          <a:noFill/>
                        </a:ln>
                      </pic:spPr>
                    </pic:pic>
                  </a:graphicData>
                </a:graphic>
              </wp:anchor>
            </w:drawing>
          </w:r>
          <w:r w:rsidR="00560614" w:rsidRPr="00D551C4">
            <w:rPr>
              <w:noProof/>
              <w:highlight w:val="yellow"/>
              <w:lang w:eastAsia="lv-LV"/>
            </w:rPr>
            <mc:AlternateContent>
              <mc:Choice Requires="wps">
                <w:drawing>
                  <wp:anchor distT="0" distB="0" distL="114300" distR="114300" simplePos="0" relativeHeight="251667456" behindDoc="0" locked="0" layoutInCell="1" allowOverlap="1" wp14:anchorId="14327724" wp14:editId="6F1167A2">
                    <wp:simplePos x="0" y="0"/>
                    <wp:positionH relativeFrom="page">
                      <wp:posOffset>456565</wp:posOffset>
                    </wp:positionH>
                    <wp:positionV relativeFrom="page">
                      <wp:posOffset>9075420</wp:posOffset>
                    </wp:positionV>
                    <wp:extent cx="6646545" cy="497840"/>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EndPr/>
                                <w:sdtContent>
                                  <w:p w14:paraId="2FB86E7D" w14:textId="77777777" w:rsidR="0067167C" w:rsidRDefault="0067167C">
                                    <w:pPr>
                                      <w:pStyle w:val="NoSpacing"/>
                                      <w:spacing w:before="40" w:after="40"/>
                                      <w:rPr>
                                        <w:caps/>
                                        <w:color w:val="5B9BD5" w:themeColor="accent1"/>
                                        <w:sz w:val="28"/>
                                        <w:szCs w:val="28"/>
                                      </w:rPr>
                                    </w:pPr>
                                    <w:r>
                                      <w:rPr>
                                        <w:caps/>
                                        <w:color w:val="5B9BD5" w:themeColor="accent1"/>
                                        <w:sz w:val="28"/>
                                        <w:szCs w:val="28"/>
                                      </w:rPr>
                                      <w:t xml:space="preserve">     </w:t>
                                    </w:r>
                                  </w:p>
                                </w:sdtContent>
                              </w:sdt>
                              <w:p w14:paraId="51738148" w14:textId="77777777" w:rsidR="0067167C" w:rsidRPr="0043197A" w:rsidRDefault="0067167C">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2020</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4327724" id="_x0000_t202" coordsize="21600,21600" o:spt="202" path="m,l,21600r21600,l21600,xe">
                    <v:stroke joinstyle="miter"/>
                    <v:path gradientshapeok="t" o:connecttype="rect"/>
                  </v:shapetype>
                  <v:shape id="Text Box 129" o:spid="_x0000_s1026" type="#_x0000_t202" style="position:absolute;margin-left:35.95pt;margin-top:714.6pt;width:523.35pt;height:39.2pt;z-index:25166745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" filled="f" stroked="f" strokeweight=".5pt">
                    <v:path arrowok="t"/>
                    <v:textbox style="mso-fit-shape-to-text:t" inset="1in,0,86.4pt,0">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EndPr/>
                          <w:sdtContent>
                            <w:p w14:paraId="2FB86E7D" w14:textId="77777777" w:rsidR="0067167C" w:rsidRDefault="0067167C">
                              <w:pPr>
                                <w:pStyle w:val="NoSpacing"/>
                                <w:spacing w:before="40" w:after="40"/>
                                <w:rPr>
                                  <w:caps/>
                                  <w:color w:val="5B9BD5" w:themeColor="accent1"/>
                                  <w:sz w:val="28"/>
                                  <w:szCs w:val="28"/>
                                </w:rPr>
                              </w:pPr>
                              <w:r>
                                <w:rPr>
                                  <w:caps/>
                                  <w:color w:val="5B9BD5" w:themeColor="accent1"/>
                                  <w:sz w:val="28"/>
                                  <w:szCs w:val="28"/>
                                </w:rPr>
                                <w:t xml:space="preserve">     </w:t>
                              </w:r>
                            </w:p>
                          </w:sdtContent>
                        </w:sdt>
                        <w:p w14:paraId="51738148" w14:textId="77777777" w:rsidR="0067167C" w:rsidRPr="0043197A" w:rsidRDefault="0067167C">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2020</w:t>
                          </w:r>
                        </w:p>
                      </w:txbxContent>
                    </v:textbox>
                    <w10:wrap type="square" anchorx="page" anchory="page"/>
                  </v:shape>
                </w:pict>
              </mc:Fallback>
            </mc:AlternateContent>
          </w:r>
          <w:r w:rsidR="00560614" w:rsidRPr="00D551C4">
            <w:rPr>
              <w:noProof/>
              <w:highlight w:val="yellow"/>
              <w:lang w:eastAsia="lv-LV"/>
            </w:rPr>
            <mc:AlternateContent>
              <mc:Choice Requires="wpg">
                <w:drawing>
                  <wp:anchor distT="0" distB="0" distL="114300" distR="114300" simplePos="0" relativeHeight="251665408" behindDoc="1" locked="0" layoutInCell="1" allowOverlap="1" wp14:anchorId="09C19D9A" wp14:editId="63C7D83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47180" cy="715454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7180" cy="715454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1861EAA" w14:textId="77777777" w:rsidR="0067167C" w:rsidRPr="00D551C4" w:rsidRDefault="002937DA" w:rsidP="0043197A">
                                  <w:pPr>
                                    <w:rPr>
                                      <w:rFonts w:ascii="Times New Roman" w:hAnsi="Times New Roman" w:cs="Times New Roman"/>
                                      <w:color w:val="FFFFFF" w:themeColor="background1"/>
                                      <w:sz w:val="56"/>
                                      <w:szCs w:val="56"/>
                                    </w:rPr>
                                  </w:pPr>
                                  <w:sdt>
                                    <w:sdtPr>
                                      <w:rPr>
                                        <w:rFonts w:ascii="Times New Roman" w:hAnsi="Times New Roman" w:cs="Times New Roman"/>
                                        <w:color w:val="FFFFFF" w:themeColor="background1"/>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EndPr/>
                                    <w:sdtContent>
                                      <w:r w:rsidR="0067167C">
                                        <w:rPr>
                                          <w:rFonts w:ascii="Times New Roman" w:hAnsi="Times New Roman" w:cs="Times New Roman"/>
                                          <w:color w:val="FFFFFF" w:themeColor="background1"/>
                                          <w:sz w:val="56"/>
                                          <w:szCs w:val="56"/>
                                        </w:rPr>
                                        <w:t>Latvijas Stabilitātes programma 2020. – 2023.gadam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9C19D9A" id="Group 125" o:spid="_x0000_s1027" style="position:absolute;margin-left:0;margin-top:0;width:523.4pt;height:563.35pt;z-index:-2516510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71861EAA" w14:textId="77777777" w:rsidR="0067167C" w:rsidRPr="00D551C4" w:rsidRDefault="002937DA" w:rsidP="0043197A">
                            <w:pPr>
                              <w:rPr>
                                <w:rFonts w:ascii="Times New Roman" w:hAnsi="Times New Roman" w:cs="Times New Roman"/>
                                <w:color w:val="FFFFFF" w:themeColor="background1"/>
                                <w:sz w:val="56"/>
                                <w:szCs w:val="56"/>
                              </w:rPr>
                            </w:pPr>
                            <w:sdt>
                              <w:sdtPr>
                                <w:rPr>
                                  <w:rFonts w:ascii="Times New Roman" w:hAnsi="Times New Roman" w:cs="Times New Roman"/>
                                  <w:color w:val="FFFFFF" w:themeColor="background1"/>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EndPr/>
                              <w:sdtContent>
                                <w:r w:rsidR="0067167C">
                                  <w:rPr>
                                    <w:rFonts w:ascii="Times New Roman" w:hAnsi="Times New Roman" w:cs="Times New Roman"/>
                                    <w:color w:val="FFFFFF" w:themeColor="background1"/>
                                    <w:sz w:val="56"/>
                                    <w:szCs w:val="56"/>
                                  </w:rPr>
                                  <w:t>Latvijas Stabilitātes programma 2020. – 2023.gadam</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560614" w:rsidRPr="00D551C4">
            <w:rPr>
              <w:noProof/>
              <w:highlight w:val="yellow"/>
              <w:lang w:eastAsia="lv-LV"/>
            </w:rPr>
            <mc:AlternateContent>
              <mc:Choice Requires="wps">
                <w:drawing>
                  <wp:anchor distT="0" distB="0" distL="114300" distR="114300" simplePos="0" relativeHeight="251666432" behindDoc="0" locked="0" layoutInCell="1" allowOverlap="1" wp14:anchorId="04BE8376" wp14:editId="1BC5F24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960" cy="104457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960"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31FD9F3" w14:textId="77777777" w:rsidR="0067167C" w:rsidRDefault="0067167C">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w:t>
                                    </w:r>
                                    <w:r>
                                      <w:rPr>
                                        <w:rFonts w:ascii="Times New Roman" w:hAnsi="Times New Roman" w:cs="Times New Roman"/>
                                        <w:color w:val="FFFFFF" w:themeColor="background1"/>
                                        <w:sz w:val="24"/>
                                        <w:szCs w:val="24"/>
                                        <w:lang w:val="en-US"/>
                                      </w:rPr>
                                      <w:t>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4BE8376" id="Rectangle 130" o:spid="_x0000_s1030" style="position:absolute;margin-left:-6.4pt;margin-top:0;width:44.8pt;height:82.2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" fillcolor="#5b9bd5 [3204]" stroked="f" strokeweight="1pt">
                    <v:path arrowok="t"/>
                    <o:lock v:ext="edit" aspectratio="t"/>
                    <v:textbox inset="3.6pt,,3.6pt">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31FD9F3" w14:textId="77777777" w:rsidR="0067167C" w:rsidRDefault="0067167C">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w:t>
                              </w:r>
                              <w:r>
                                <w:rPr>
                                  <w:rFonts w:ascii="Times New Roman" w:hAnsi="Times New Roman" w:cs="Times New Roman"/>
                                  <w:color w:val="FFFFFF" w:themeColor="background1"/>
                                  <w:sz w:val="24"/>
                                  <w:szCs w:val="24"/>
                                  <w:lang w:val="en-US"/>
                                </w:rPr>
                                <w:t>20</w:t>
                              </w:r>
                            </w:p>
                          </w:sdtContent>
                        </w:sdt>
                      </w:txbxContent>
                    </v:textbox>
                    <w10:wrap anchorx="margin" anchory="page"/>
                  </v:rect>
                </w:pict>
              </mc:Fallback>
            </mc:AlternateContent>
          </w:r>
          <w:r w:rsidR="0043197A" w:rsidRPr="00D551C4">
            <w:rPr>
              <w:rFonts w:ascii="Times New Roman" w:hAnsi="Times New Roman" w:cs="Times New Roman"/>
              <w:b/>
              <w:bCs/>
              <w:smallCaps/>
              <w:highlight w:val="yellow"/>
            </w:rPr>
            <w:br w:type="page"/>
          </w:r>
        </w:p>
      </w:sdtContent>
    </w:sdt>
    <w:sdt>
      <w:sdtPr>
        <w:rPr>
          <w:rFonts w:asciiTheme="minorHAnsi" w:eastAsiaTheme="minorEastAsia" w:hAnsiTheme="minorHAnsi" w:cstheme="minorBidi"/>
          <w:b w:val="0"/>
          <w:bCs w:val="0"/>
          <w:smallCaps w:val="0"/>
          <w:color w:val="auto"/>
          <w:sz w:val="22"/>
          <w:szCs w:val="22"/>
          <w:highlight w:val="yellow"/>
        </w:rPr>
        <w:id w:val="423391642"/>
        <w:docPartObj>
          <w:docPartGallery w:val="Table of Contents"/>
          <w:docPartUnique/>
        </w:docPartObj>
      </w:sdtPr>
      <w:sdtEndPr>
        <w:rPr>
          <w:noProof/>
        </w:rPr>
      </w:sdtEndPr>
      <w:sdtContent>
        <w:p w14:paraId="57CAE1FA" w14:textId="77777777" w:rsidR="00551458" w:rsidRPr="00416B51" w:rsidRDefault="00551458" w:rsidP="00551458">
          <w:pPr>
            <w:pStyle w:val="TOCHeading"/>
            <w:numPr>
              <w:ilvl w:val="0"/>
              <w:numId w:val="0"/>
            </w:numPr>
            <w:ind w:left="432"/>
            <w:jc w:val="center"/>
            <w:rPr>
              <w:rFonts w:ascii="Times New Roman" w:hAnsi="Times New Roman" w:cs="Times New Roman"/>
            </w:rPr>
          </w:pPr>
          <w:r w:rsidRPr="00416B51">
            <w:rPr>
              <w:rFonts w:ascii="Times New Roman" w:hAnsi="Times New Roman" w:cs="Times New Roman"/>
            </w:rPr>
            <w:t>SATURS</w:t>
          </w:r>
          <w:bookmarkStart w:id="0" w:name="_GoBack"/>
          <w:bookmarkEnd w:id="0"/>
        </w:p>
        <w:p w14:paraId="5A113F46" w14:textId="7D6C9835" w:rsidR="009E1135" w:rsidRDefault="006C007F">
          <w:pPr>
            <w:pStyle w:val="TOC1"/>
            <w:rPr>
              <w:rFonts w:asciiTheme="minorHAnsi" w:eastAsiaTheme="minorEastAsia" w:hAnsiTheme="minorHAnsi" w:cstheme="minorBidi"/>
              <w:noProof/>
              <w:sz w:val="22"/>
              <w:szCs w:val="22"/>
              <w:lang w:eastAsia="lv-LV"/>
            </w:rPr>
          </w:pPr>
          <w:r w:rsidRPr="00D551C4">
            <w:rPr>
              <w:highlight w:val="yellow"/>
            </w:rPr>
            <w:fldChar w:fldCharType="begin"/>
          </w:r>
          <w:r w:rsidR="00551458" w:rsidRPr="00D551C4">
            <w:rPr>
              <w:highlight w:val="yellow"/>
            </w:rPr>
            <w:instrText xml:space="preserve"> TOC \o "1-3" \h \z \u </w:instrText>
          </w:r>
          <w:r w:rsidRPr="00D551C4">
            <w:rPr>
              <w:highlight w:val="yellow"/>
            </w:rPr>
            <w:fldChar w:fldCharType="separate"/>
          </w:r>
          <w:hyperlink w:anchor="_Toc38887962" w:history="1">
            <w:r w:rsidR="009E1135" w:rsidRPr="007B6AA2">
              <w:rPr>
                <w:rStyle w:val="Hyperlink"/>
                <w:rFonts w:eastAsiaTheme="majorEastAsia"/>
                <w:noProof/>
              </w:rPr>
              <w:t>1.</w:t>
            </w:r>
            <w:r w:rsidR="009E1135">
              <w:rPr>
                <w:rFonts w:asciiTheme="minorHAnsi" w:eastAsiaTheme="minorEastAsia" w:hAnsiTheme="minorHAnsi" w:cstheme="minorBidi"/>
                <w:noProof/>
                <w:sz w:val="22"/>
                <w:szCs w:val="22"/>
                <w:lang w:eastAsia="lv-LV"/>
              </w:rPr>
              <w:tab/>
            </w:r>
            <w:r w:rsidR="009E1135" w:rsidRPr="007B6AA2">
              <w:rPr>
                <w:rStyle w:val="Hyperlink"/>
                <w:rFonts w:eastAsiaTheme="majorEastAsia"/>
                <w:noProof/>
              </w:rPr>
              <w:t>Ievads</w:t>
            </w:r>
            <w:r w:rsidR="009E1135">
              <w:rPr>
                <w:noProof/>
                <w:webHidden/>
              </w:rPr>
              <w:tab/>
            </w:r>
            <w:r w:rsidR="009E1135">
              <w:rPr>
                <w:noProof/>
                <w:webHidden/>
              </w:rPr>
              <w:fldChar w:fldCharType="begin"/>
            </w:r>
            <w:r w:rsidR="009E1135">
              <w:rPr>
                <w:noProof/>
                <w:webHidden/>
              </w:rPr>
              <w:instrText xml:space="preserve"> PAGEREF _Toc38887962 \h </w:instrText>
            </w:r>
            <w:r w:rsidR="009E1135">
              <w:rPr>
                <w:noProof/>
                <w:webHidden/>
              </w:rPr>
            </w:r>
            <w:r w:rsidR="009E1135">
              <w:rPr>
                <w:noProof/>
                <w:webHidden/>
              </w:rPr>
              <w:fldChar w:fldCharType="separate"/>
            </w:r>
            <w:r w:rsidR="009E1135">
              <w:rPr>
                <w:noProof/>
                <w:webHidden/>
              </w:rPr>
              <w:t>4</w:t>
            </w:r>
            <w:r w:rsidR="009E1135">
              <w:rPr>
                <w:noProof/>
                <w:webHidden/>
              </w:rPr>
              <w:fldChar w:fldCharType="end"/>
            </w:r>
          </w:hyperlink>
        </w:p>
        <w:p w14:paraId="62B5564A" w14:textId="50397DB6" w:rsidR="009E1135" w:rsidRDefault="009E1135">
          <w:pPr>
            <w:pStyle w:val="TOC1"/>
            <w:rPr>
              <w:rFonts w:asciiTheme="minorHAnsi" w:eastAsiaTheme="minorEastAsia" w:hAnsiTheme="minorHAnsi" w:cstheme="minorBidi"/>
              <w:noProof/>
              <w:sz w:val="22"/>
              <w:szCs w:val="22"/>
              <w:lang w:eastAsia="lv-LV"/>
            </w:rPr>
          </w:pPr>
          <w:hyperlink w:anchor="_Toc38887963" w:history="1">
            <w:r w:rsidRPr="007B6AA2">
              <w:rPr>
                <w:rStyle w:val="Hyperlink"/>
                <w:rFonts w:eastAsiaTheme="majorEastAsia"/>
                <w:noProof/>
              </w:rPr>
              <w:t>2.</w:t>
            </w:r>
            <w:r>
              <w:rPr>
                <w:rFonts w:asciiTheme="minorHAnsi" w:eastAsiaTheme="minorEastAsia" w:hAnsiTheme="minorHAnsi" w:cstheme="minorBidi"/>
                <w:noProof/>
                <w:sz w:val="22"/>
                <w:szCs w:val="22"/>
                <w:lang w:eastAsia="lv-LV"/>
              </w:rPr>
              <w:tab/>
            </w:r>
            <w:r w:rsidRPr="007B6AA2">
              <w:rPr>
                <w:rStyle w:val="Hyperlink"/>
                <w:rFonts w:eastAsiaTheme="majorEastAsia"/>
                <w:noProof/>
              </w:rPr>
              <w:t>Ekonomiskā situācija</w:t>
            </w:r>
            <w:r>
              <w:rPr>
                <w:noProof/>
                <w:webHidden/>
              </w:rPr>
              <w:tab/>
            </w:r>
            <w:r>
              <w:rPr>
                <w:noProof/>
                <w:webHidden/>
              </w:rPr>
              <w:fldChar w:fldCharType="begin"/>
            </w:r>
            <w:r>
              <w:rPr>
                <w:noProof/>
                <w:webHidden/>
              </w:rPr>
              <w:instrText xml:space="preserve"> PAGEREF _Toc38887963 \h </w:instrText>
            </w:r>
            <w:r>
              <w:rPr>
                <w:noProof/>
                <w:webHidden/>
              </w:rPr>
            </w:r>
            <w:r>
              <w:rPr>
                <w:noProof/>
                <w:webHidden/>
              </w:rPr>
              <w:fldChar w:fldCharType="separate"/>
            </w:r>
            <w:r>
              <w:rPr>
                <w:noProof/>
                <w:webHidden/>
              </w:rPr>
              <w:t>5</w:t>
            </w:r>
            <w:r>
              <w:rPr>
                <w:noProof/>
                <w:webHidden/>
              </w:rPr>
              <w:fldChar w:fldCharType="end"/>
            </w:r>
          </w:hyperlink>
        </w:p>
        <w:p w14:paraId="61BC4A5E" w14:textId="3C5681D9"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64" w:history="1">
            <w:r w:rsidRPr="007B6AA2">
              <w:rPr>
                <w:rStyle w:val="Hyperlink"/>
                <w:rFonts w:eastAsiaTheme="majorEastAsia"/>
                <w:noProof/>
              </w:rPr>
              <w:t>2.1.</w:t>
            </w:r>
            <w:r>
              <w:rPr>
                <w:rFonts w:asciiTheme="minorHAnsi" w:eastAsiaTheme="minorEastAsia" w:hAnsiTheme="minorHAnsi" w:cstheme="minorBidi"/>
                <w:noProof/>
                <w:sz w:val="22"/>
                <w:szCs w:val="22"/>
                <w:lang w:eastAsia="lv-LV"/>
              </w:rPr>
              <w:tab/>
            </w:r>
            <w:r w:rsidRPr="007B6AA2">
              <w:rPr>
                <w:rStyle w:val="Hyperlink"/>
                <w:rFonts w:eastAsiaTheme="majorEastAsia"/>
                <w:noProof/>
              </w:rPr>
              <w:t>Ārējā ekonomiskā vide</w:t>
            </w:r>
            <w:r>
              <w:rPr>
                <w:noProof/>
                <w:webHidden/>
              </w:rPr>
              <w:tab/>
            </w:r>
            <w:r>
              <w:rPr>
                <w:noProof/>
                <w:webHidden/>
              </w:rPr>
              <w:fldChar w:fldCharType="begin"/>
            </w:r>
            <w:r>
              <w:rPr>
                <w:noProof/>
                <w:webHidden/>
              </w:rPr>
              <w:instrText xml:space="preserve"> PAGEREF _Toc38887964 \h </w:instrText>
            </w:r>
            <w:r>
              <w:rPr>
                <w:noProof/>
                <w:webHidden/>
              </w:rPr>
            </w:r>
            <w:r>
              <w:rPr>
                <w:noProof/>
                <w:webHidden/>
              </w:rPr>
              <w:fldChar w:fldCharType="separate"/>
            </w:r>
            <w:r>
              <w:rPr>
                <w:noProof/>
                <w:webHidden/>
              </w:rPr>
              <w:t>5</w:t>
            </w:r>
            <w:r>
              <w:rPr>
                <w:noProof/>
                <w:webHidden/>
              </w:rPr>
              <w:fldChar w:fldCharType="end"/>
            </w:r>
          </w:hyperlink>
        </w:p>
        <w:p w14:paraId="0F7DF129" w14:textId="48F3C8C6"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65" w:history="1">
            <w:r w:rsidRPr="007B6AA2">
              <w:rPr>
                <w:rStyle w:val="Hyperlink"/>
                <w:rFonts w:eastAsiaTheme="majorEastAsia"/>
                <w:noProof/>
              </w:rPr>
              <w:t>2.2.</w:t>
            </w:r>
            <w:r>
              <w:rPr>
                <w:rFonts w:asciiTheme="minorHAnsi" w:eastAsiaTheme="minorEastAsia" w:hAnsiTheme="minorHAnsi" w:cstheme="minorBidi"/>
                <w:noProof/>
                <w:sz w:val="22"/>
                <w:szCs w:val="22"/>
                <w:lang w:eastAsia="lv-LV"/>
              </w:rPr>
              <w:tab/>
            </w:r>
            <w:r w:rsidRPr="007B6AA2">
              <w:rPr>
                <w:rStyle w:val="Hyperlink"/>
                <w:rFonts w:eastAsiaTheme="majorEastAsia"/>
                <w:noProof/>
              </w:rPr>
              <w:t>Pašreizējā ekonomiskā attīstība</w:t>
            </w:r>
            <w:r>
              <w:rPr>
                <w:noProof/>
                <w:webHidden/>
              </w:rPr>
              <w:tab/>
            </w:r>
            <w:r>
              <w:rPr>
                <w:noProof/>
                <w:webHidden/>
              </w:rPr>
              <w:fldChar w:fldCharType="begin"/>
            </w:r>
            <w:r>
              <w:rPr>
                <w:noProof/>
                <w:webHidden/>
              </w:rPr>
              <w:instrText xml:space="preserve"> PAGEREF _Toc38887965 \h </w:instrText>
            </w:r>
            <w:r>
              <w:rPr>
                <w:noProof/>
                <w:webHidden/>
              </w:rPr>
            </w:r>
            <w:r>
              <w:rPr>
                <w:noProof/>
                <w:webHidden/>
              </w:rPr>
              <w:fldChar w:fldCharType="separate"/>
            </w:r>
            <w:r>
              <w:rPr>
                <w:noProof/>
                <w:webHidden/>
              </w:rPr>
              <w:t>6</w:t>
            </w:r>
            <w:r>
              <w:rPr>
                <w:noProof/>
                <w:webHidden/>
              </w:rPr>
              <w:fldChar w:fldCharType="end"/>
            </w:r>
          </w:hyperlink>
        </w:p>
        <w:p w14:paraId="6D9972C8" w14:textId="3D5589E8"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66" w:history="1">
            <w:r w:rsidRPr="007B6AA2">
              <w:rPr>
                <w:rStyle w:val="Hyperlink"/>
                <w:rFonts w:eastAsiaTheme="majorEastAsia"/>
                <w:noProof/>
              </w:rPr>
              <w:t>2.3.</w:t>
            </w:r>
            <w:r>
              <w:rPr>
                <w:rFonts w:asciiTheme="minorHAnsi" w:eastAsiaTheme="minorEastAsia" w:hAnsiTheme="minorHAnsi" w:cstheme="minorBidi"/>
                <w:noProof/>
                <w:sz w:val="22"/>
                <w:szCs w:val="22"/>
                <w:lang w:eastAsia="lv-LV"/>
              </w:rPr>
              <w:tab/>
            </w:r>
            <w:r w:rsidRPr="007B6AA2">
              <w:rPr>
                <w:rStyle w:val="Hyperlink"/>
                <w:rFonts w:eastAsiaTheme="majorEastAsia"/>
                <w:noProof/>
              </w:rPr>
              <w:t>Makroekonomiskās attīstības scenārijs</w:t>
            </w:r>
            <w:r>
              <w:rPr>
                <w:noProof/>
                <w:webHidden/>
              </w:rPr>
              <w:tab/>
            </w:r>
            <w:r>
              <w:rPr>
                <w:noProof/>
                <w:webHidden/>
              </w:rPr>
              <w:fldChar w:fldCharType="begin"/>
            </w:r>
            <w:r>
              <w:rPr>
                <w:noProof/>
                <w:webHidden/>
              </w:rPr>
              <w:instrText xml:space="preserve"> PAGEREF _Toc38887966 \h </w:instrText>
            </w:r>
            <w:r>
              <w:rPr>
                <w:noProof/>
                <w:webHidden/>
              </w:rPr>
            </w:r>
            <w:r>
              <w:rPr>
                <w:noProof/>
                <w:webHidden/>
              </w:rPr>
              <w:fldChar w:fldCharType="separate"/>
            </w:r>
            <w:r>
              <w:rPr>
                <w:noProof/>
                <w:webHidden/>
              </w:rPr>
              <w:t>16</w:t>
            </w:r>
            <w:r>
              <w:rPr>
                <w:noProof/>
                <w:webHidden/>
              </w:rPr>
              <w:fldChar w:fldCharType="end"/>
            </w:r>
          </w:hyperlink>
        </w:p>
        <w:p w14:paraId="32D54809" w14:textId="6CDABEFC" w:rsidR="009E1135" w:rsidRDefault="009E1135">
          <w:pPr>
            <w:pStyle w:val="TOC3"/>
            <w:rPr>
              <w:rFonts w:asciiTheme="minorHAnsi" w:eastAsiaTheme="minorEastAsia" w:hAnsiTheme="minorHAnsi" w:cstheme="minorBidi"/>
              <w:noProof/>
              <w:sz w:val="22"/>
              <w:szCs w:val="22"/>
              <w:lang w:eastAsia="lv-LV"/>
            </w:rPr>
          </w:pPr>
          <w:hyperlink w:anchor="_Toc38887967" w:history="1">
            <w:r w:rsidRPr="007B6AA2">
              <w:rPr>
                <w:rStyle w:val="Hyperlink"/>
                <w:rFonts w:eastAsiaTheme="majorEastAsia"/>
                <w:noProof/>
              </w:rPr>
              <w:t>2.3.1.</w:t>
            </w:r>
            <w:r>
              <w:rPr>
                <w:rFonts w:asciiTheme="minorHAnsi" w:eastAsiaTheme="minorEastAsia" w:hAnsiTheme="minorHAnsi" w:cstheme="minorBidi"/>
                <w:noProof/>
                <w:sz w:val="22"/>
                <w:szCs w:val="22"/>
                <w:lang w:eastAsia="lv-LV"/>
              </w:rPr>
              <w:tab/>
            </w:r>
            <w:r w:rsidRPr="007B6AA2">
              <w:rPr>
                <w:rStyle w:val="Hyperlink"/>
                <w:noProof/>
                <w:lang w:eastAsia="lv-LV"/>
              </w:rPr>
              <w:t>Bāzes scenārijs</w:t>
            </w:r>
            <w:r>
              <w:rPr>
                <w:noProof/>
                <w:webHidden/>
              </w:rPr>
              <w:tab/>
            </w:r>
            <w:r>
              <w:rPr>
                <w:noProof/>
                <w:webHidden/>
              </w:rPr>
              <w:fldChar w:fldCharType="begin"/>
            </w:r>
            <w:r>
              <w:rPr>
                <w:noProof/>
                <w:webHidden/>
              </w:rPr>
              <w:instrText xml:space="preserve"> PAGEREF _Toc38887967 \h </w:instrText>
            </w:r>
            <w:r>
              <w:rPr>
                <w:noProof/>
                <w:webHidden/>
              </w:rPr>
            </w:r>
            <w:r>
              <w:rPr>
                <w:noProof/>
                <w:webHidden/>
              </w:rPr>
              <w:fldChar w:fldCharType="separate"/>
            </w:r>
            <w:r>
              <w:rPr>
                <w:noProof/>
                <w:webHidden/>
              </w:rPr>
              <w:t>16</w:t>
            </w:r>
            <w:r>
              <w:rPr>
                <w:noProof/>
                <w:webHidden/>
              </w:rPr>
              <w:fldChar w:fldCharType="end"/>
            </w:r>
          </w:hyperlink>
        </w:p>
        <w:p w14:paraId="3B3951F8" w14:textId="7D3652EC" w:rsidR="009E1135" w:rsidRDefault="009E1135">
          <w:pPr>
            <w:pStyle w:val="TOC3"/>
            <w:rPr>
              <w:rFonts w:asciiTheme="minorHAnsi" w:eastAsiaTheme="minorEastAsia" w:hAnsiTheme="minorHAnsi" w:cstheme="minorBidi"/>
              <w:noProof/>
              <w:sz w:val="22"/>
              <w:szCs w:val="22"/>
              <w:lang w:eastAsia="lv-LV"/>
            </w:rPr>
          </w:pPr>
          <w:hyperlink w:anchor="_Toc38887968" w:history="1">
            <w:r w:rsidRPr="007B6AA2">
              <w:rPr>
                <w:rStyle w:val="Hyperlink"/>
                <w:noProof/>
                <w:lang w:eastAsia="lv-LV"/>
              </w:rPr>
              <w:t>2.3.2.</w:t>
            </w:r>
            <w:r>
              <w:rPr>
                <w:rFonts w:asciiTheme="minorHAnsi" w:eastAsiaTheme="minorEastAsia" w:hAnsiTheme="minorHAnsi" w:cstheme="minorBidi"/>
                <w:noProof/>
                <w:sz w:val="22"/>
                <w:szCs w:val="22"/>
                <w:lang w:eastAsia="lv-LV"/>
              </w:rPr>
              <w:tab/>
            </w:r>
            <w:r w:rsidRPr="007B6AA2">
              <w:rPr>
                <w:rStyle w:val="Hyperlink"/>
                <w:noProof/>
                <w:lang w:eastAsia="lv-LV"/>
              </w:rPr>
              <w:t>Covid-19 ietekmes scenārijs</w:t>
            </w:r>
            <w:r>
              <w:rPr>
                <w:noProof/>
                <w:webHidden/>
              </w:rPr>
              <w:tab/>
            </w:r>
            <w:r>
              <w:rPr>
                <w:noProof/>
                <w:webHidden/>
              </w:rPr>
              <w:fldChar w:fldCharType="begin"/>
            </w:r>
            <w:r>
              <w:rPr>
                <w:noProof/>
                <w:webHidden/>
              </w:rPr>
              <w:instrText xml:space="preserve"> PAGEREF _Toc38887968 \h </w:instrText>
            </w:r>
            <w:r>
              <w:rPr>
                <w:noProof/>
                <w:webHidden/>
              </w:rPr>
            </w:r>
            <w:r>
              <w:rPr>
                <w:noProof/>
                <w:webHidden/>
              </w:rPr>
              <w:fldChar w:fldCharType="separate"/>
            </w:r>
            <w:r>
              <w:rPr>
                <w:noProof/>
                <w:webHidden/>
              </w:rPr>
              <w:t>18</w:t>
            </w:r>
            <w:r>
              <w:rPr>
                <w:noProof/>
                <w:webHidden/>
              </w:rPr>
              <w:fldChar w:fldCharType="end"/>
            </w:r>
          </w:hyperlink>
        </w:p>
        <w:p w14:paraId="210A62A0" w14:textId="087F410D" w:rsidR="009E1135" w:rsidRDefault="009E1135">
          <w:pPr>
            <w:pStyle w:val="TOC1"/>
            <w:rPr>
              <w:rFonts w:asciiTheme="minorHAnsi" w:eastAsiaTheme="minorEastAsia" w:hAnsiTheme="minorHAnsi" w:cstheme="minorBidi"/>
              <w:noProof/>
              <w:sz w:val="22"/>
              <w:szCs w:val="22"/>
              <w:lang w:eastAsia="lv-LV"/>
            </w:rPr>
          </w:pPr>
          <w:hyperlink w:anchor="_Toc38887969" w:history="1">
            <w:r w:rsidRPr="007B6AA2">
              <w:rPr>
                <w:rStyle w:val="Hyperlink"/>
                <w:rFonts w:eastAsiaTheme="majorEastAsia"/>
                <w:noProof/>
              </w:rPr>
              <w:t>3.</w:t>
            </w:r>
            <w:r>
              <w:rPr>
                <w:rFonts w:asciiTheme="minorHAnsi" w:eastAsiaTheme="minorEastAsia" w:hAnsiTheme="minorHAnsi" w:cstheme="minorBidi"/>
                <w:noProof/>
                <w:sz w:val="22"/>
                <w:szCs w:val="22"/>
                <w:lang w:eastAsia="lv-LV"/>
              </w:rPr>
              <w:tab/>
            </w:r>
            <w:r w:rsidRPr="007B6AA2">
              <w:rPr>
                <w:rStyle w:val="Hyperlink"/>
                <w:rFonts w:eastAsiaTheme="majorEastAsia"/>
                <w:noProof/>
              </w:rPr>
              <w:t>Vispārējās valdības budžeta bilance un parāds</w:t>
            </w:r>
            <w:r>
              <w:rPr>
                <w:noProof/>
                <w:webHidden/>
              </w:rPr>
              <w:tab/>
            </w:r>
            <w:r>
              <w:rPr>
                <w:noProof/>
                <w:webHidden/>
              </w:rPr>
              <w:fldChar w:fldCharType="begin"/>
            </w:r>
            <w:r>
              <w:rPr>
                <w:noProof/>
                <w:webHidden/>
              </w:rPr>
              <w:instrText xml:space="preserve"> PAGEREF _Toc38887969 \h </w:instrText>
            </w:r>
            <w:r>
              <w:rPr>
                <w:noProof/>
                <w:webHidden/>
              </w:rPr>
            </w:r>
            <w:r>
              <w:rPr>
                <w:noProof/>
                <w:webHidden/>
              </w:rPr>
              <w:fldChar w:fldCharType="separate"/>
            </w:r>
            <w:r>
              <w:rPr>
                <w:noProof/>
                <w:webHidden/>
              </w:rPr>
              <w:t>22</w:t>
            </w:r>
            <w:r>
              <w:rPr>
                <w:noProof/>
                <w:webHidden/>
              </w:rPr>
              <w:fldChar w:fldCharType="end"/>
            </w:r>
          </w:hyperlink>
        </w:p>
        <w:p w14:paraId="26764B33" w14:textId="7E0CD577"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70" w:history="1">
            <w:r w:rsidRPr="007B6AA2">
              <w:rPr>
                <w:rStyle w:val="Hyperlink"/>
                <w:rFonts w:eastAsiaTheme="majorEastAsia"/>
                <w:noProof/>
              </w:rPr>
              <w:t>3.1.</w:t>
            </w:r>
            <w:r>
              <w:rPr>
                <w:rFonts w:asciiTheme="minorHAnsi" w:eastAsiaTheme="minorEastAsia" w:hAnsiTheme="minorHAnsi" w:cstheme="minorBidi"/>
                <w:noProof/>
                <w:sz w:val="22"/>
                <w:szCs w:val="22"/>
                <w:lang w:eastAsia="lv-LV"/>
              </w:rPr>
              <w:tab/>
            </w:r>
            <w:r w:rsidRPr="007B6AA2">
              <w:rPr>
                <w:rStyle w:val="Hyperlink"/>
                <w:rFonts w:eastAsiaTheme="majorEastAsia"/>
                <w:noProof/>
              </w:rPr>
              <w:t>Fiskālās politikas stratēģija un vidēja termiņa mērķis</w:t>
            </w:r>
            <w:r>
              <w:rPr>
                <w:noProof/>
                <w:webHidden/>
              </w:rPr>
              <w:tab/>
            </w:r>
            <w:r>
              <w:rPr>
                <w:noProof/>
                <w:webHidden/>
              </w:rPr>
              <w:fldChar w:fldCharType="begin"/>
            </w:r>
            <w:r>
              <w:rPr>
                <w:noProof/>
                <w:webHidden/>
              </w:rPr>
              <w:instrText xml:space="preserve"> PAGEREF _Toc38887970 \h </w:instrText>
            </w:r>
            <w:r>
              <w:rPr>
                <w:noProof/>
                <w:webHidden/>
              </w:rPr>
            </w:r>
            <w:r>
              <w:rPr>
                <w:noProof/>
                <w:webHidden/>
              </w:rPr>
              <w:fldChar w:fldCharType="separate"/>
            </w:r>
            <w:r>
              <w:rPr>
                <w:noProof/>
                <w:webHidden/>
              </w:rPr>
              <w:t>22</w:t>
            </w:r>
            <w:r>
              <w:rPr>
                <w:noProof/>
                <w:webHidden/>
              </w:rPr>
              <w:fldChar w:fldCharType="end"/>
            </w:r>
          </w:hyperlink>
        </w:p>
        <w:p w14:paraId="232FAA69" w14:textId="4D851171" w:rsidR="009E1135" w:rsidRDefault="009E1135">
          <w:pPr>
            <w:pStyle w:val="TOC3"/>
            <w:rPr>
              <w:rFonts w:asciiTheme="minorHAnsi" w:eastAsiaTheme="minorEastAsia" w:hAnsiTheme="minorHAnsi" w:cstheme="minorBidi"/>
              <w:noProof/>
              <w:sz w:val="22"/>
              <w:szCs w:val="22"/>
              <w:lang w:eastAsia="lv-LV"/>
            </w:rPr>
          </w:pPr>
          <w:hyperlink w:anchor="_Toc38887971" w:history="1">
            <w:r w:rsidRPr="007B6AA2">
              <w:rPr>
                <w:rStyle w:val="Hyperlink"/>
                <w:rFonts w:eastAsiaTheme="majorEastAsia"/>
                <w:noProof/>
              </w:rPr>
              <w:t>3.1.1.</w:t>
            </w:r>
            <w:r>
              <w:rPr>
                <w:rFonts w:asciiTheme="minorHAnsi" w:eastAsiaTheme="minorEastAsia" w:hAnsiTheme="minorHAnsi" w:cstheme="minorBidi"/>
                <w:noProof/>
                <w:sz w:val="22"/>
                <w:szCs w:val="22"/>
                <w:lang w:eastAsia="lv-LV"/>
              </w:rPr>
              <w:tab/>
            </w:r>
            <w:r w:rsidRPr="007B6AA2">
              <w:rPr>
                <w:rStyle w:val="Hyperlink"/>
                <w:rFonts w:eastAsiaTheme="majorEastAsia"/>
                <w:noProof/>
              </w:rPr>
              <w:t>Strukturālās bilances mērķi 2021., 2022. un 2023.gadam</w:t>
            </w:r>
            <w:r>
              <w:rPr>
                <w:noProof/>
                <w:webHidden/>
              </w:rPr>
              <w:tab/>
            </w:r>
            <w:r>
              <w:rPr>
                <w:noProof/>
                <w:webHidden/>
              </w:rPr>
              <w:fldChar w:fldCharType="begin"/>
            </w:r>
            <w:r>
              <w:rPr>
                <w:noProof/>
                <w:webHidden/>
              </w:rPr>
              <w:instrText xml:space="preserve"> PAGEREF _Toc38887971 \h </w:instrText>
            </w:r>
            <w:r>
              <w:rPr>
                <w:noProof/>
                <w:webHidden/>
              </w:rPr>
            </w:r>
            <w:r>
              <w:rPr>
                <w:noProof/>
                <w:webHidden/>
              </w:rPr>
              <w:fldChar w:fldCharType="separate"/>
            </w:r>
            <w:r>
              <w:rPr>
                <w:noProof/>
                <w:webHidden/>
              </w:rPr>
              <w:t>23</w:t>
            </w:r>
            <w:r>
              <w:rPr>
                <w:noProof/>
                <w:webHidden/>
              </w:rPr>
              <w:fldChar w:fldCharType="end"/>
            </w:r>
          </w:hyperlink>
        </w:p>
        <w:p w14:paraId="76A95189" w14:textId="61BD3842" w:rsidR="009E1135" w:rsidRDefault="009E1135">
          <w:pPr>
            <w:pStyle w:val="TOC3"/>
            <w:rPr>
              <w:rFonts w:asciiTheme="minorHAnsi" w:eastAsiaTheme="minorEastAsia" w:hAnsiTheme="minorHAnsi" w:cstheme="minorBidi"/>
              <w:noProof/>
              <w:sz w:val="22"/>
              <w:szCs w:val="22"/>
              <w:lang w:eastAsia="lv-LV"/>
            </w:rPr>
          </w:pPr>
          <w:hyperlink w:anchor="_Toc38887972" w:history="1">
            <w:r w:rsidRPr="007B6AA2">
              <w:rPr>
                <w:rStyle w:val="Hyperlink"/>
                <w:rFonts w:eastAsiaTheme="majorEastAsia"/>
                <w:noProof/>
              </w:rPr>
              <w:t>3.1.2.</w:t>
            </w:r>
            <w:r>
              <w:rPr>
                <w:rFonts w:asciiTheme="minorHAnsi" w:eastAsiaTheme="minorEastAsia" w:hAnsiTheme="minorHAnsi" w:cstheme="minorBidi"/>
                <w:noProof/>
                <w:sz w:val="22"/>
                <w:szCs w:val="22"/>
                <w:lang w:eastAsia="lv-LV"/>
              </w:rPr>
              <w:tab/>
            </w:r>
            <w:r w:rsidRPr="007B6AA2">
              <w:rPr>
                <w:rStyle w:val="Hyperlink"/>
                <w:rFonts w:eastAsiaTheme="majorEastAsia"/>
                <w:noProof/>
              </w:rPr>
              <w:t>Diskrecionārie pasākumi</w:t>
            </w:r>
            <w:r>
              <w:rPr>
                <w:noProof/>
                <w:webHidden/>
              </w:rPr>
              <w:tab/>
            </w:r>
            <w:r>
              <w:rPr>
                <w:noProof/>
                <w:webHidden/>
              </w:rPr>
              <w:fldChar w:fldCharType="begin"/>
            </w:r>
            <w:r>
              <w:rPr>
                <w:noProof/>
                <w:webHidden/>
              </w:rPr>
              <w:instrText xml:space="preserve"> PAGEREF _Toc38887972 \h </w:instrText>
            </w:r>
            <w:r>
              <w:rPr>
                <w:noProof/>
                <w:webHidden/>
              </w:rPr>
            </w:r>
            <w:r>
              <w:rPr>
                <w:noProof/>
                <w:webHidden/>
              </w:rPr>
              <w:fldChar w:fldCharType="separate"/>
            </w:r>
            <w:r>
              <w:rPr>
                <w:noProof/>
                <w:webHidden/>
              </w:rPr>
              <w:t>27</w:t>
            </w:r>
            <w:r>
              <w:rPr>
                <w:noProof/>
                <w:webHidden/>
              </w:rPr>
              <w:fldChar w:fldCharType="end"/>
            </w:r>
          </w:hyperlink>
        </w:p>
        <w:p w14:paraId="58A9FB57" w14:textId="14FF8AA8" w:rsidR="009E1135" w:rsidRDefault="009E1135">
          <w:pPr>
            <w:pStyle w:val="TOC3"/>
            <w:rPr>
              <w:rFonts w:asciiTheme="minorHAnsi" w:eastAsiaTheme="minorEastAsia" w:hAnsiTheme="minorHAnsi" w:cstheme="minorBidi"/>
              <w:noProof/>
              <w:sz w:val="22"/>
              <w:szCs w:val="22"/>
              <w:lang w:eastAsia="lv-LV"/>
            </w:rPr>
          </w:pPr>
          <w:hyperlink w:anchor="_Toc38887973" w:history="1">
            <w:r w:rsidRPr="007B6AA2">
              <w:rPr>
                <w:rStyle w:val="Hyperlink"/>
                <w:rFonts w:eastAsiaTheme="majorEastAsia"/>
                <w:noProof/>
              </w:rPr>
              <w:t>3.1.3.</w:t>
            </w:r>
            <w:r>
              <w:rPr>
                <w:rFonts w:asciiTheme="minorHAnsi" w:eastAsiaTheme="minorEastAsia" w:hAnsiTheme="minorHAnsi" w:cstheme="minorBidi"/>
                <w:noProof/>
                <w:sz w:val="22"/>
                <w:szCs w:val="22"/>
                <w:lang w:eastAsia="lv-LV"/>
              </w:rPr>
              <w:tab/>
            </w:r>
            <w:r w:rsidRPr="007B6AA2">
              <w:rPr>
                <w:rStyle w:val="Hyperlink"/>
                <w:rFonts w:eastAsiaTheme="majorEastAsia"/>
                <w:noProof/>
              </w:rPr>
              <w:t>Fiskāli nozīmīga strukturālā reforma Regulas Nr. 1175/2011 izpratnē</w:t>
            </w:r>
            <w:r>
              <w:rPr>
                <w:noProof/>
                <w:webHidden/>
              </w:rPr>
              <w:tab/>
            </w:r>
            <w:r>
              <w:rPr>
                <w:noProof/>
                <w:webHidden/>
              </w:rPr>
              <w:fldChar w:fldCharType="begin"/>
            </w:r>
            <w:r>
              <w:rPr>
                <w:noProof/>
                <w:webHidden/>
              </w:rPr>
              <w:instrText xml:space="preserve"> PAGEREF _Toc38887973 \h </w:instrText>
            </w:r>
            <w:r>
              <w:rPr>
                <w:noProof/>
                <w:webHidden/>
              </w:rPr>
            </w:r>
            <w:r>
              <w:rPr>
                <w:noProof/>
                <w:webHidden/>
              </w:rPr>
              <w:fldChar w:fldCharType="separate"/>
            </w:r>
            <w:r>
              <w:rPr>
                <w:noProof/>
                <w:webHidden/>
              </w:rPr>
              <w:t>27</w:t>
            </w:r>
            <w:r>
              <w:rPr>
                <w:noProof/>
                <w:webHidden/>
              </w:rPr>
              <w:fldChar w:fldCharType="end"/>
            </w:r>
          </w:hyperlink>
        </w:p>
        <w:p w14:paraId="0C1C1B24" w14:textId="40CA90BA"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74" w:history="1">
            <w:r w:rsidRPr="007B6AA2">
              <w:rPr>
                <w:rStyle w:val="Hyperlink"/>
                <w:rFonts w:eastAsiaTheme="majorEastAsia"/>
                <w:noProof/>
              </w:rPr>
              <w:t>3.2.</w:t>
            </w:r>
            <w:r>
              <w:rPr>
                <w:rFonts w:asciiTheme="minorHAnsi" w:eastAsiaTheme="minorEastAsia" w:hAnsiTheme="minorHAnsi" w:cstheme="minorBidi"/>
                <w:noProof/>
                <w:sz w:val="22"/>
                <w:szCs w:val="22"/>
                <w:lang w:eastAsia="lv-LV"/>
              </w:rPr>
              <w:tab/>
            </w:r>
            <w:r w:rsidRPr="007B6AA2">
              <w:rPr>
                <w:rStyle w:val="Hyperlink"/>
                <w:rFonts w:eastAsiaTheme="majorEastAsia"/>
                <w:noProof/>
              </w:rPr>
              <w:t>Pašreizējā fiskālā situācija</w:t>
            </w:r>
            <w:r>
              <w:rPr>
                <w:noProof/>
                <w:webHidden/>
              </w:rPr>
              <w:tab/>
            </w:r>
            <w:r>
              <w:rPr>
                <w:noProof/>
                <w:webHidden/>
              </w:rPr>
              <w:fldChar w:fldCharType="begin"/>
            </w:r>
            <w:r>
              <w:rPr>
                <w:noProof/>
                <w:webHidden/>
              </w:rPr>
              <w:instrText xml:space="preserve"> PAGEREF _Toc38887974 \h </w:instrText>
            </w:r>
            <w:r>
              <w:rPr>
                <w:noProof/>
                <w:webHidden/>
              </w:rPr>
            </w:r>
            <w:r>
              <w:rPr>
                <w:noProof/>
                <w:webHidden/>
              </w:rPr>
              <w:fldChar w:fldCharType="separate"/>
            </w:r>
            <w:r>
              <w:rPr>
                <w:noProof/>
                <w:webHidden/>
              </w:rPr>
              <w:t>33</w:t>
            </w:r>
            <w:r>
              <w:rPr>
                <w:noProof/>
                <w:webHidden/>
              </w:rPr>
              <w:fldChar w:fldCharType="end"/>
            </w:r>
          </w:hyperlink>
        </w:p>
        <w:p w14:paraId="2D49E216" w14:textId="769E94AC"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75" w:history="1">
            <w:r w:rsidRPr="007B6AA2">
              <w:rPr>
                <w:rStyle w:val="Hyperlink"/>
                <w:rFonts w:eastAsiaTheme="majorEastAsia"/>
                <w:noProof/>
              </w:rPr>
              <w:t>3.3.</w:t>
            </w:r>
            <w:r>
              <w:rPr>
                <w:rFonts w:asciiTheme="minorHAnsi" w:eastAsiaTheme="minorEastAsia" w:hAnsiTheme="minorHAnsi" w:cstheme="minorBidi"/>
                <w:noProof/>
                <w:sz w:val="22"/>
                <w:szCs w:val="22"/>
                <w:lang w:eastAsia="lv-LV"/>
              </w:rPr>
              <w:tab/>
            </w:r>
            <w:r w:rsidRPr="007B6AA2">
              <w:rPr>
                <w:rStyle w:val="Hyperlink"/>
                <w:rFonts w:eastAsiaTheme="majorEastAsia"/>
                <w:noProof/>
              </w:rPr>
              <w:t>Fiskālās attīstības scenārijs</w:t>
            </w:r>
            <w:r>
              <w:rPr>
                <w:noProof/>
                <w:webHidden/>
              </w:rPr>
              <w:tab/>
            </w:r>
            <w:r>
              <w:rPr>
                <w:noProof/>
                <w:webHidden/>
              </w:rPr>
              <w:fldChar w:fldCharType="begin"/>
            </w:r>
            <w:r>
              <w:rPr>
                <w:noProof/>
                <w:webHidden/>
              </w:rPr>
              <w:instrText xml:space="preserve"> PAGEREF _Toc38887975 \h </w:instrText>
            </w:r>
            <w:r>
              <w:rPr>
                <w:noProof/>
                <w:webHidden/>
              </w:rPr>
            </w:r>
            <w:r>
              <w:rPr>
                <w:noProof/>
                <w:webHidden/>
              </w:rPr>
              <w:fldChar w:fldCharType="separate"/>
            </w:r>
            <w:r>
              <w:rPr>
                <w:noProof/>
                <w:webHidden/>
              </w:rPr>
              <w:t>37</w:t>
            </w:r>
            <w:r>
              <w:rPr>
                <w:noProof/>
                <w:webHidden/>
              </w:rPr>
              <w:fldChar w:fldCharType="end"/>
            </w:r>
          </w:hyperlink>
        </w:p>
        <w:p w14:paraId="06732DB4" w14:textId="0002AA89"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76" w:history="1">
            <w:r w:rsidRPr="007B6AA2">
              <w:rPr>
                <w:rStyle w:val="Hyperlink"/>
                <w:rFonts w:eastAsia="Calibri"/>
                <w:noProof/>
              </w:rPr>
              <w:t>3.4.</w:t>
            </w:r>
            <w:r>
              <w:rPr>
                <w:rFonts w:asciiTheme="minorHAnsi" w:eastAsiaTheme="minorEastAsia" w:hAnsiTheme="minorHAnsi" w:cstheme="minorBidi"/>
                <w:noProof/>
                <w:sz w:val="22"/>
                <w:szCs w:val="22"/>
                <w:lang w:eastAsia="lv-LV"/>
              </w:rPr>
              <w:tab/>
            </w:r>
            <w:r w:rsidRPr="007B6AA2">
              <w:rPr>
                <w:rStyle w:val="Hyperlink"/>
                <w:rFonts w:eastAsiaTheme="majorEastAsia"/>
                <w:noProof/>
              </w:rPr>
              <w:t>Valdības parāda vidēja termiņa attīstības tendences</w:t>
            </w:r>
            <w:r>
              <w:rPr>
                <w:noProof/>
                <w:webHidden/>
              </w:rPr>
              <w:tab/>
            </w:r>
            <w:r>
              <w:rPr>
                <w:noProof/>
                <w:webHidden/>
              </w:rPr>
              <w:fldChar w:fldCharType="begin"/>
            </w:r>
            <w:r>
              <w:rPr>
                <w:noProof/>
                <w:webHidden/>
              </w:rPr>
              <w:instrText xml:space="preserve"> PAGEREF _Toc38887976 \h </w:instrText>
            </w:r>
            <w:r>
              <w:rPr>
                <w:noProof/>
                <w:webHidden/>
              </w:rPr>
            </w:r>
            <w:r>
              <w:rPr>
                <w:noProof/>
                <w:webHidden/>
              </w:rPr>
              <w:fldChar w:fldCharType="separate"/>
            </w:r>
            <w:r>
              <w:rPr>
                <w:noProof/>
                <w:webHidden/>
              </w:rPr>
              <w:t>45</w:t>
            </w:r>
            <w:r>
              <w:rPr>
                <w:noProof/>
                <w:webHidden/>
              </w:rPr>
              <w:fldChar w:fldCharType="end"/>
            </w:r>
          </w:hyperlink>
        </w:p>
        <w:p w14:paraId="0BACFF5A" w14:textId="4D217A8D" w:rsidR="009E1135" w:rsidRDefault="009E1135">
          <w:pPr>
            <w:pStyle w:val="TOC3"/>
            <w:rPr>
              <w:rFonts w:asciiTheme="minorHAnsi" w:eastAsiaTheme="minorEastAsia" w:hAnsiTheme="minorHAnsi" w:cstheme="minorBidi"/>
              <w:noProof/>
              <w:sz w:val="22"/>
              <w:szCs w:val="22"/>
              <w:lang w:eastAsia="lv-LV"/>
            </w:rPr>
          </w:pPr>
          <w:hyperlink w:anchor="_Toc38887977" w:history="1">
            <w:r w:rsidRPr="007B6AA2">
              <w:rPr>
                <w:rStyle w:val="Hyperlink"/>
                <w:rFonts w:eastAsiaTheme="majorEastAsia"/>
                <w:noProof/>
              </w:rPr>
              <w:t>3.4.1.Vispārējās valdības parāda prognoze vidējā termiņā Bāzes scenārijā</w:t>
            </w:r>
            <w:r>
              <w:rPr>
                <w:noProof/>
                <w:webHidden/>
              </w:rPr>
              <w:tab/>
            </w:r>
            <w:r>
              <w:rPr>
                <w:noProof/>
                <w:webHidden/>
              </w:rPr>
              <w:fldChar w:fldCharType="begin"/>
            </w:r>
            <w:r>
              <w:rPr>
                <w:noProof/>
                <w:webHidden/>
              </w:rPr>
              <w:instrText xml:space="preserve"> PAGEREF _Toc38887977 \h </w:instrText>
            </w:r>
            <w:r>
              <w:rPr>
                <w:noProof/>
                <w:webHidden/>
              </w:rPr>
            </w:r>
            <w:r>
              <w:rPr>
                <w:noProof/>
                <w:webHidden/>
              </w:rPr>
              <w:fldChar w:fldCharType="separate"/>
            </w:r>
            <w:r>
              <w:rPr>
                <w:noProof/>
                <w:webHidden/>
              </w:rPr>
              <w:t>46</w:t>
            </w:r>
            <w:r>
              <w:rPr>
                <w:noProof/>
                <w:webHidden/>
              </w:rPr>
              <w:fldChar w:fldCharType="end"/>
            </w:r>
          </w:hyperlink>
        </w:p>
        <w:p w14:paraId="06CCD293" w14:textId="358D62BE" w:rsidR="009E1135" w:rsidRDefault="009E1135">
          <w:pPr>
            <w:pStyle w:val="TOC3"/>
            <w:rPr>
              <w:rFonts w:asciiTheme="minorHAnsi" w:eastAsiaTheme="minorEastAsia" w:hAnsiTheme="minorHAnsi" w:cstheme="minorBidi"/>
              <w:noProof/>
              <w:sz w:val="22"/>
              <w:szCs w:val="22"/>
              <w:lang w:eastAsia="lv-LV"/>
            </w:rPr>
          </w:pPr>
          <w:hyperlink w:anchor="_Toc38887978" w:history="1">
            <w:r w:rsidRPr="007B6AA2">
              <w:rPr>
                <w:rStyle w:val="Hyperlink"/>
                <w:rFonts w:eastAsiaTheme="majorEastAsia"/>
                <w:noProof/>
              </w:rPr>
              <w:t>3.4.2.Vispārējās valdības parāda prognoze vidējā termiņā Covid-19 ietekmes scenārijā</w:t>
            </w:r>
            <w:r>
              <w:rPr>
                <w:noProof/>
                <w:webHidden/>
              </w:rPr>
              <w:tab/>
            </w:r>
            <w:r>
              <w:rPr>
                <w:noProof/>
                <w:webHidden/>
              </w:rPr>
              <w:fldChar w:fldCharType="begin"/>
            </w:r>
            <w:r>
              <w:rPr>
                <w:noProof/>
                <w:webHidden/>
              </w:rPr>
              <w:instrText xml:space="preserve"> PAGEREF _Toc38887978 \h </w:instrText>
            </w:r>
            <w:r>
              <w:rPr>
                <w:noProof/>
                <w:webHidden/>
              </w:rPr>
            </w:r>
            <w:r>
              <w:rPr>
                <w:noProof/>
                <w:webHidden/>
              </w:rPr>
              <w:fldChar w:fldCharType="separate"/>
            </w:r>
            <w:r>
              <w:rPr>
                <w:noProof/>
                <w:webHidden/>
              </w:rPr>
              <w:t>47</w:t>
            </w:r>
            <w:r>
              <w:rPr>
                <w:noProof/>
                <w:webHidden/>
              </w:rPr>
              <w:fldChar w:fldCharType="end"/>
            </w:r>
          </w:hyperlink>
        </w:p>
        <w:p w14:paraId="7AB711B0" w14:textId="43AB5456"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79" w:history="1">
            <w:r w:rsidRPr="007B6AA2">
              <w:rPr>
                <w:rStyle w:val="Hyperlink"/>
                <w:rFonts w:eastAsia="Calibri"/>
                <w:noProof/>
              </w:rPr>
              <w:t>3.5.</w:t>
            </w:r>
            <w:r>
              <w:rPr>
                <w:rFonts w:asciiTheme="minorHAnsi" w:eastAsiaTheme="minorEastAsia" w:hAnsiTheme="minorHAnsi" w:cstheme="minorBidi"/>
                <w:noProof/>
                <w:sz w:val="22"/>
                <w:szCs w:val="22"/>
                <w:lang w:eastAsia="lv-LV"/>
              </w:rPr>
              <w:tab/>
            </w:r>
            <w:r w:rsidRPr="007B6AA2">
              <w:rPr>
                <w:rStyle w:val="Hyperlink"/>
                <w:rFonts w:eastAsiaTheme="majorEastAsia"/>
                <w:noProof/>
              </w:rPr>
              <w:t>Vispārējās valdības budžeta bilances un parāda prognožu salīdzinājums ar Latvijas Stabilitātes programmu 2019.–2022.gadam</w:t>
            </w:r>
            <w:r>
              <w:rPr>
                <w:noProof/>
                <w:webHidden/>
              </w:rPr>
              <w:tab/>
            </w:r>
            <w:r>
              <w:rPr>
                <w:noProof/>
                <w:webHidden/>
              </w:rPr>
              <w:fldChar w:fldCharType="begin"/>
            </w:r>
            <w:r>
              <w:rPr>
                <w:noProof/>
                <w:webHidden/>
              </w:rPr>
              <w:instrText xml:space="preserve"> PAGEREF _Toc38887979 \h </w:instrText>
            </w:r>
            <w:r>
              <w:rPr>
                <w:noProof/>
                <w:webHidden/>
              </w:rPr>
            </w:r>
            <w:r>
              <w:rPr>
                <w:noProof/>
                <w:webHidden/>
              </w:rPr>
              <w:fldChar w:fldCharType="separate"/>
            </w:r>
            <w:r>
              <w:rPr>
                <w:noProof/>
                <w:webHidden/>
              </w:rPr>
              <w:t>49</w:t>
            </w:r>
            <w:r>
              <w:rPr>
                <w:noProof/>
                <w:webHidden/>
              </w:rPr>
              <w:fldChar w:fldCharType="end"/>
            </w:r>
          </w:hyperlink>
        </w:p>
        <w:p w14:paraId="5C2E874B" w14:textId="6559A289"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80" w:history="1">
            <w:r w:rsidRPr="007B6AA2">
              <w:rPr>
                <w:rStyle w:val="Hyperlink"/>
                <w:rFonts w:eastAsia="Calibri"/>
                <w:noProof/>
              </w:rPr>
              <w:t>3.6.</w:t>
            </w:r>
            <w:r>
              <w:rPr>
                <w:rFonts w:asciiTheme="minorHAnsi" w:eastAsiaTheme="minorEastAsia" w:hAnsiTheme="minorHAnsi" w:cstheme="minorBidi"/>
                <w:noProof/>
                <w:sz w:val="22"/>
                <w:szCs w:val="22"/>
                <w:lang w:eastAsia="lv-LV"/>
              </w:rPr>
              <w:tab/>
            </w:r>
            <w:r w:rsidRPr="007B6AA2">
              <w:rPr>
                <w:rStyle w:val="Hyperlink"/>
                <w:rFonts w:eastAsiaTheme="majorEastAsia"/>
                <w:noProof/>
              </w:rPr>
              <w:t>Valsts sniegtie galvojumi</w:t>
            </w:r>
            <w:r>
              <w:rPr>
                <w:noProof/>
                <w:webHidden/>
              </w:rPr>
              <w:tab/>
            </w:r>
            <w:r>
              <w:rPr>
                <w:noProof/>
                <w:webHidden/>
              </w:rPr>
              <w:fldChar w:fldCharType="begin"/>
            </w:r>
            <w:r>
              <w:rPr>
                <w:noProof/>
                <w:webHidden/>
              </w:rPr>
              <w:instrText xml:space="preserve"> PAGEREF _Toc38887980 \h </w:instrText>
            </w:r>
            <w:r>
              <w:rPr>
                <w:noProof/>
                <w:webHidden/>
              </w:rPr>
            </w:r>
            <w:r>
              <w:rPr>
                <w:noProof/>
                <w:webHidden/>
              </w:rPr>
              <w:fldChar w:fldCharType="separate"/>
            </w:r>
            <w:r>
              <w:rPr>
                <w:noProof/>
                <w:webHidden/>
              </w:rPr>
              <w:t>50</w:t>
            </w:r>
            <w:r>
              <w:rPr>
                <w:noProof/>
                <w:webHidden/>
              </w:rPr>
              <w:fldChar w:fldCharType="end"/>
            </w:r>
          </w:hyperlink>
        </w:p>
        <w:p w14:paraId="000939EB" w14:textId="331378C0" w:rsidR="009E1135" w:rsidRDefault="009E1135">
          <w:pPr>
            <w:pStyle w:val="TOC1"/>
            <w:rPr>
              <w:rFonts w:asciiTheme="minorHAnsi" w:eastAsiaTheme="minorEastAsia" w:hAnsiTheme="minorHAnsi" w:cstheme="minorBidi"/>
              <w:noProof/>
              <w:sz w:val="22"/>
              <w:szCs w:val="22"/>
              <w:lang w:eastAsia="lv-LV"/>
            </w:rPr>
          </w:pPr>
          <w:hyperlink w:anchor="_Toc38887981" w:history="1">
            <w:r w:rsidRPr="007B6AA2">
              <w:rPr>
                <w:rStyle w:val="Hyperlink"/>
                <w:rFonts w:eastAsia="Calibri"/>
                <w:noProof/>
              </w:rPr>
              <w:t>4.</w:t>
            </w:r>
            <w:r>
              <w:rPr>
                <w:rFonts w:asciiTheme="minorHAnsi" w:eastAsiaTheme="minorEastAsia" w:hAnsiTheme="minorHAnsi" w:cstheme="minorBidi"/>
                <w:noProof/>
                <w:sz w:val="22"/>
                <w:szCs w:val="22"/>
                <w:lang w:eastAsia="lv-LV"/>
              </w:rPr>
              <w:tab/>
            </w:r>
            <w:r w:rsidRPr="007B6AA2">
              <w:rPr>
                <w:rStyle w:val="Hyperlink"/>
                <w:rFonts w:eastAsiaTheme="majorEastAsia"/>
                <w:noProof/>
              </w:rPr>
              <w:t>Valsts finanšu kvalitāte</w:t>
            </w:r>
            <w:r>
              <w:rPr>
                <w:noProof/>
                <w:webHidden/>
              </w:rPr>
              <w:tab/>
            </w:r>
            <w:r>
              <w:rPr>
                <w:noProof/>
                <w:webHidden/>
              </w:rPr>
              <w:fldChar w:fldCharType="begin"/>
            </w:r>
            <w:r>
              <w:rPr>
                <w:noProof/>
                <w:webHidden/>
              </w:rPr>
              <w:instrText xml:space="preserve"> PAGEREF _Toc38887981 \h </w:instrText>
            </w:r>
            <w:r>
              <w:rPr>
                <w:noProof/>
                <w:webHidden/>
              </w:rPr>
            </w:r>
            <w:r>
              <w:rPr>
                <w:noProof/>
                <w:webHidden/>
              </w:rPr>
              <w:fldChar w:fldCharType="separate"/>
            </w:r>
            <w:r>
              <w:rPr>
                <w:noProof/>
                <w:webHidden/>
              </w:rPr>
              <w:t>52</w:t>
            </w:r>
            <w:r>
              <w:rPr>
                <w:noProof/>
                <w:webHidden/>
              </w:rPr>
              <w:fldChar w:fldCharType="end"/>
            </w:r>
          </w:hyperlink>
        </w:p>
        <w:p w14:paraId="7CFF8E89" w14:textId="50C16981" w:rsidR="009E1135" w:rsidRDefault="009E1135">
          <w:pPr>
            <w:pStyle w:val="TOC2"/>
            <w:rPr>
              <w:rFonts w:asciiTheme="minorHAnsi" w:eastAsiaTheme="minorEastAsia" w:hAnsiTheme="minorHAnsi" w:cstheme="minorBidi"/>
              <w:noProof/>
              <w:sz w:val="22"/>
              <w:szCs w:val="22"/>
              <w:lang w:eastAsia="lv-LV"/>
            </w:rPr>
          </w:pPr>
          <w:hyperlink w:anchor="_Toc38887982" w:history="1">
            <w:r w:rsidRPr="007B6AA2">
              <w:rPr>
                <w:rStyle w:val="Hyperlink"/>
                <w:rFonts w:eastAsiaTheme="majorEastAsia"/>
                <w:noProof/>
              </w:rPr>
              <w:t>4.1. Valsts budžeta līdzekļu efektivitāte un izlietojuma kontrole</w:t>
            </w:r>
            <w:r>
              <w:rPr>
                <w:noProof/>
                <w:webHidden/>
              </w:rPr>
              <w:tab/>
            </w:r>
            <w:r>
              <w:rPr>
                <w:noProof/>
                <w:webHidden/>
              </w:rPr>
              <w:fldChar w:fldCharType="begin"/>
            </w:r>
            <w:r>
              <w:rPr>
                <w:noProof/>
                <w:webHidden/>
              </w:rPr>
              <w:instrText xml:space="preserve"> PAGEREF _Toc38887982 \h </w:instrText>
            </w:r>
            <w:r>
              <w:rPr>
                <w:noProof/>
                <w:webHidden/>
              </w:rPr>
            </w:r>
            <w:r>
              <w:rPr>
                <w:noProof/>
                <w:webHidden/>
              </w:rPr>
              <w:fldChar w:fldCharType="separate"/>
            </w:r>
            <w:r>
              <w:rPr>
                <w:noProof/>
                <w:webHidden/>
              </w:rPr>
              <w:t>52</w:t>
            </w:r>
            <w:r>
              <w:rPr>
                <w:noProof/>
                <w:webHidden/>
              </w:rPr>
              <w:fldChar w:fldCharType="end"/>
            </w:r>
          </w:hyperlink>
        </w:p>
        <w:p w14:paraId="730C1760" w14:textId="2E45D792" w:rsidR="009E1135" w:rsidRDefault="009E1135">
          <w:pPr>
            <w:pStyle w:val="TOC2"/>
            <w:tabs>
              <w:tab w:val="left" w:pos="880"/>
            </w:tabs>
            <w:rPr>
              <w:rFonts w:asciiTheme="minorHAnsi" w:eastAsiaTheme="minorEastAsia" w:hAnsiTheme="minorHAnsi" w:cstheme="minorBidi"/>
              <w:noProof/>
              <w:sz w:val="22"/>
              <w:szCs w:val="22"/>
              <w:lang w:eastAsia="lv-LV"/>
            </w:rPr>
          </w:pPr>
          <w:hyperlink w:anchor="_Toc38887983" w:history="1">
            <w:r w:rsidRPr="007B6AA2">
              <w:rPr>
                <w:rStyle w:val="Hyperlink"/>
                <w:rFonts w:eastAsiaTheme="majorEastAsia"/>
                <w:noProof/>
              </w:rPr>
              <w:t>4.2.</w:t>
            </w:r>
            <w:r>
              <w:rPr>
                <w:rFonts w:asciiTheme="minorHAnsi" w:eastAsiaTheme="minorEastAsia" w:hAnsiTheme="minorHAnsi" w:cstheme="minorBidi"/>
                <w:noProof/>
                <w:sz w:val="22"/>
                <w:szCs w:val="22"/>
                <w:lang w:eastAsia="lv-LV"/>
              </w:rPr>
              <w:tab/>
            </w:r>
            <w:r w:rsidRPr="007B6AA2">
              <w:rPr>
                <w:rStyle w:val="Hyperlink"/>
                <w:rFonts w:eastAsiaTheme="majorEastAsia"/>
                <w:noProof/>
              </w:rPr>
              <w:t>Ieņēmumu struktūras un sistēmas efektivitāte</w:t>
            </w:r>
            <w:r>
              <w:rPr>
                <w:noProof/>
                <w:webHidden/>
              </w:rPr>
              <w:tab/>
            </w:r>
            <w:r>
              <w:rPr>
                <w:noProof/>
                <w:webHidden/>
              </w:rPr>
              <w:fldChar w:fldCharType="begin"/>
            </w:r>
            <w:r>
              <w:rPr>
                <w:noProof/>
                <w:webHidden/>
              </w:rPr>
              <w:instrText xml:space="preserve"> PAGEREF _Toc38887983 \h </w:instrText>
            </w:r>
            <w:r>
              <w:rPr>
                <w:noProof/>
                <w:webHidden/>
              </w:rPr>
            </w:r>
            <w:r>
              <w:rPr>
                <w:noProof/>
                <w:webHidden/>
              </w:rPr>
              <w:fldChar w:fldCharType="separate"/>
            </w:r>
            <w:r>
              <w:rPr>
                <w:noProof/>
                <w:webHidden/>
              </w:rPr>
              <w:t>56</w:t>
            </w:r>
            <w:r>
              <w:rPr>
                <w:noProof/>
                <w:webHidden/>
              </w:rPr>
              <w:fldChar w:fldCharType="end"/>
            </w:r>
          </w:hyperlink>
        </w:p>
        <w:p w14:paraId="31E9C439" w14:textId="563BD024" w:rsidR="009E1135" w:rsidRDefault="009E1135">
          <w:pPr>
            <w:pStyle w:val="TOC3"/>
            <w:rPr>
              <w:rFonts w:asciiTheme="minorHAnsi" w:eastAsiaTheme="minorEastAsia" w:hAnsiTheme="minorHAnsi" w:cstheme="minorBidi"/>
              <w:noProof/>
              <w:sz w:val="22"/>
              <w:szCs w:val="22"/>
              <w:lang w:eastAsia="lv-LV"/>
            </w:rPr>
          </w:pPr>
          <w:hyperlink w:anchor="_Toc38887984" w:history="1">
            <w:r w:rsidRPr="007B6AA2">
              <w:rPr>
                <w:rStyle w:val="Hyperlink"/>
                <w:noProof/>
              </w:rPr>
              <w:t>4.2.1.</w:t>
            </w:r>
            <w:r>
              <w:rPr>
                <w:rFonts w:asciiTheme="minorHAnsi" w:eastAsiaTheme="minorEastAsia" w:hAnsiTheme="minorHAnsi" w:cstheme="minorBidi"/>
                <w:noProof/>
                <w:sz w:val="22"/>
                <w:szCs w:val="22"/>
                <w:lang w:eastAsia="lv-LV"/>
              </w:rPr>
              <w:tab/>
            </w:r>
            <w:r w:rsidRPr="007B6AA2">
              <w:rPr>
                <w:rStyle w:val="Hyperlink"/>
                <w:noProof/>
              </w:rPr>
              <w:t>Stabilitātes programmas bāzes scenārija nodokļu ieņēmumu prognozes</w:t>
            </w:r>
            <w:r>
              <w:rPr>
                <w:noProof/>
                <w:webHidden/>
              </w:rPr>
              <w:tab/>
            </w:r>
            <w:r>
              <w:rPr>
                <w:noProof/>
                <w:webHidden/>
              </w:rPr>
              <w:fldChar w:fldCharType="begin"/>
            </w:r>
            <w:r>
              <w:rPr>
                <w:noProof/>
                <w:webHidden/>
              </w:rPr>
              <w:instrText xml:space="preserve"> PAGEREF _Toc38887984 \h </w:instrText>
            </w:r>
            <w:r>
              <w:rPr>
                <w:noProof/>
                <w:webHidden/>
              </w:rPr>
            </w:r>
            <w:r>
              <w:rPr>
                <w:noProof/>
                <w:webHidden/>
              </w:rPr>
              <w:fldChar w:fldCharType="separate"/>
            </w:r>
            <w:r>
              <w:rPr>
                <w:noProof/>
                <w:webHidden/>
              </w:rPr>
              <w:t>56</w:t>
            </w:r>
            <w:r>
              <w:rPr>
                <w:noProof/>
                <w:webHidden/>
              </w:rPr>
              <w:fldChar w:fldCharType="end"/>
            </w:r>
          </w:hyperlink>
        </w:p>
        <w:p w14:paraId="70198C68" w14:textId="2A5F893C" w:rsidR="009E1135" w:rsidRDefault="009E1135">
          <w:pPr>
            <w:pStyle w:val="TOC3"/>
            <w:rPr>
              <w:rFonts w:asciiTheme="minorHAnsi" w:eastAsiaTheme="minorEastAsia" w:hAnsiTheme="minorHAnsi" w:cstheme="minorBidi"/>
              <w:noProof/>
              <w:sz w:val="22"/>
              <w:szCs w:val="22"/>
              <w:lang w:eastAsia="lv-LV"/>
            </w:rPr>
          </w:pPr>
          <w:hyperlink w:anchor="_Toc38887985" w:history="1">
            <w:r w:rsidRPr="007B6AA2">
              <w:rPr>
                <w:rStyle w:val="Hyperlink"/>
                <w:noProof/>
              </w:rPr>
              <w:t>4.2.2.</w:t>
            </w:r>
            <w:r>
              <w:rPr>
                <w:rFonts w:asciiTheme="minorHAnsi" w:eastAsiaTheme="minorEastAsia" w:hAnsiTheme="minorHAnsi" w:cstheme="minorBidi"/>
                <w:noProof/>
                <w:sz w:val="22"/>
                <w:szCs w:val="22"/>
                <w:lang w:eastAsia="lv-LV"/>
              </w:rPr>
              <w:tab/>
            </w:r>
            <w:r w:rsidRPr="007B6AA2">
              <w:rPr>
                <w:rStyle w:val="Hyperlink"/>
                <w:noProof/>
              </w:rPr>
              <w:t>Scenārija COVID-19 nodokļu ieņēmumu prognozes</w:t>
            </w:r>
            <w:r>
              <w:rPr>
                <w:noProof/>
                <w:webHidden/>
              </w:rPr>
              <w:tab/>
            </w:r>
            <w:r>
              <w:rPr>
                <w:noProof/>
                <w:webHidden/>
              </w:rPr>
              <w:fldChar w:fldCharType="begin"/>
            </w:r>
            <w:r>
              <w:rPr>
                <w:noProof/>
                <w:webHidden/>
              </w:rPr>
              <w:instrText xml:space="preserve"> PAGEREF _Toc38887985 \h </w:instrText>
            </w:r>
            <w:r>
              <w:rPr>
                <w:noProof/>
                <w:webHidden/>
              </w:rPr>
            </w:r>
            <w:r>
              <w:rPr>
                <w:noProof/>
                <w:webHidden/>
              </w:rPr>
              <w:fldChar w:fldCharType="separate"/>
            </w:r>
            <w:r>
              <w:rPr>
                <w:noProof/>
                <w:webHidden/>
              </w:rPr>
              <w:t>66</w:t>
            </w:r>
            <w:r>
              <w:rPr>
                <w:noProof/>
                <w:webHidden/>
              </w:rPr>
              <w:fldChar w:fldCharType="end"/>
            </w:r>
          </w:hyperlink>
        </w:p>
        <w:p w14:paraId="1F2C597C" w14:textId="0688120D" w:rsidR="009E1135" w:rsidRDefault="009E1135">
          <w:pPr>
            <w:pStyle w:val="TOC1"/>
            <w:rPr>
              <w:rFonts w:asciiTheme="minorHAnsi" w:eastAsiaTheme="minorEastAsia" w:hAnsiTheme="minorHAnsi" w:cstheme="minorBidi"/>
              <w:noProof/>
              <w:sz w:val="22"/>
              <w:szCs w:val="22"/>
              <w:lang w:eastAsia="lv-LV"/>
            </w:rPr>
          </w:pPr>
          <w:hyperlink w:anchor="_Toc38887986" w:history="1">
            <w:r w:rsidRPr="007B6AA2">
              <w:rPr>
                <w:rStyle w:val="Hyperlink"/>
                <w:rFonts w:eastAsiaTheme="majorEastAsia"/>
                <w:noProof/>
              </w:rPr>
              <w:t>Pielikumi</w:t>
            </w:r>
            <w:r>
              <w:rPr>
                <w:noProof/>
                <w:webHidden/>
              </w:rPr>
              <w:tab/>
            </w:r>
            <w:r>
              <w:rPr>
                <w:noProof/>
                <w:webHidden/>
              </w:rPr>
              <w:fldChar w:fldCharType="begin"/>
            </w:r>
            <w:r>
              <w:rPr>
                <w:noProof/>
                <w:webHidden/>
              </w:rPr>
              <w:instrText xml:space="preserve"> PAGEREF _Toc38887986 \h </w:instrText>
            </w:r>
            <w:r>
              <w:rPr>
                <w:noProof/>
                <w:webHidden/>
              </w:rPr>
            </w:r>
            <w:r>
              <w:rPr>
                <w:noProof/>
                <w:webHidden/>
              </w:rPr>
              <w:fldChar w:fldCharType="separate"/>
            </w:r>
            <w:r>
              <w:rPr>
                <w:noProof/>
                <w:webHidden/>
              </w:rPr>
              <w:t>71</w:t>
            </w:r>
            <w:r>
              <w:rPr>
                <w:noProof/>
                <w:webHidden/>
              </w:rPr>
              <w:fldChar w:fldCharType="end"/>
            </w:r>
          </w:hyperlink>
        </w:p>
        <w:p w14:paraId="0371AC83" w14:textId="6B86B331" w:rsidR="009E1135" w:rsidRDefault="009E1135">
          <w:pPr>
            <w:pStyle w:val="TOC2"/>
            <w:rPr>
              <w:rFonts w:asciiTheme="minorHAnsi" w:eastAsiaTheme="minorEastAsia" w:hAnsiTheme="minorHAnsi" w:cstheme="minorBidi"/>
              <w:noProof/>
              <w:sz w:val="22"/>
              <w:szCs w:val="22"/>
              <w:lang w:eastAsia="lv-LV"/>
            </w:rPr>
          </w:pPr>
          <w:hyperlink w:anchor="_Toc38887987" w:history="1">
            <w:r w:rsidRPr="007B6AA2">
              <w:rPr>
                <w:rStyle w:val="Hyperlink"/>
                <w:rFonts w:eastAsiaTheme="majorEastAsia"/>
                <w:noProof/>
              </w:rPr>
              <w:t>A. Pielikums. Bāzes scenārijs</w:t>
            </w:r>
            <w:r>
              <w:rPr>
                <w:noProof/>
                <w:webHidden/>
              </w:rPr>
              <w:tab/>
            </w:r>
            <w:r>
              <w:rPr>
                <w:noProof/>
                <w:webHidden/>
              </w:rPr>
              <w:fldChar w:fldCharType="begin"/>
            </w:r>
            <w:r>
              <w:rPr>
                <w:noProof/>
                <w:webHidden/>
              </w:rPr>
              <w:instrText xml:space="preserve"> PAGEREF _Toc38887987 \h </w:instrText>
            </w:r>
            <w:r>
              <w:rPr>
                <w:noProof/>
                <w:webHidden/>
              </w:rPr>
            </w:r>
            <w:r>
              <w:rPr>
                <w:noProof/>
                <w:webHidden/>
              </w:rPr>
              <w:fldChar w:fldCharType="separate"/>
            </w:r>
            <w:r>
              <w:rPr>
                <w:noProof/>
                <w:webHidden/>
              </w:rPr>
              <w:t>71</w:t>
            </w:r>
            <w:r>
              <w:rPr>
                <w:noProof/>
                <w:webHidden/>
              </w:rPr>
              <w:fldChar w:fldCharType="end"/>
            </w:r>
          </w:hyperlink>
        </w:p>
        <w:p w14:paraId="3AF3D57D" w14:textId="625ED988" w:rsidR="009E1135" w:rsidRDefault="009E1135">
          <w:pPr>
            <w:pStyle w:val="TOC2"/>
            <w:rPr>
              <w:rFonts w:asciiTheme="minorHAnsi" w:eastAsiaTheme="minorEastAsia" w:hAnsiTheme="minorHAnsi" w:cstheme="minorBidi"/>
              <w:noProof/>
              <w:sz w:val="22"/>
              <w:szCs w:val="22"/>
              <w:lang w:eastAsia="lv-LV"/>
            </w:rPr>
          </w:pPr>
          <w:hyperlink w:anchor="_Toc38887988" w:history="1">
            <w:r w:rsidRPr="007B6AA2">
              <w:rPr>
                <w:rStyle w:val="Hyperlink"/>
                <w:noProof/>
              </w:rPr>
              <w:t>B. Pielikums. Covid-19 ietekmes scenārijs</w:t>
            </w:r>
            <w:r>
              <w:rPr>
                <w:noProof/>
                <w:webHidden/>
              </w:rPr>
              <w:tab/>
            </w:r>
            <w:r>
              <w:rPr>
                <w:noProof/>
                <w:webHidden/>
              </w:rPr>
              <w:fldChar w:fldCharType="begin"/>
            </w:r>
            <w:r>
              <w:rPr>
                <w:noProof/>
                <w:webHidden/>
              </w:rPr>
              <w:instrText xml:space="preserve"> PAGEREF _Toc38887988 \h </w:instrText>
            </w:r>
            <w:r>
              <w:rPr>
                <w:noProof/>
                <w:webHidden/>
              </w:rPr>
            </w:r>
            <w:r>
              <w:rPr>
                <w:noProof/>
                <w:webHidden/>
              </w:rPr>
              <w:fldChar w:fldCharType="separate"/>
            </w:r>
            <w:r>
              <w:rPr>
                <w:noProof/>
                <w:webHidden/>
              </w:rPr>
              <w:t>75</w:t>
            </w:r>
            <w:r>
              <w:rPr>
                <w:noProof/>
                <w:webHidden/>
              </w:rPr>
              <w:fldChar w:fldCharType="end"/>
            </w:r>
          </w:hyperlink>
        </w:p>
        <w:p w14:paraId="6B5BADE4" w14:textId="734C882E" w:rsidR="00AE4A09" w:rsidRPr="00D551C4" w:rsidRDefault="006C007F" w:rsidP="00AE4A09">
          <w:pPr>
            <w:spacing w:after="0" w:line="240" w:lineRule="auto"/>
            <w:rPr>
              <w:noProof/>
              <w:highlight w:val="yellow"/>
            </w:rPr>
          </w:pPr>
          <w:r w:rsidRPr="00D551C4">
            <w:rPr>
              <w:b/>
              <w:bCs/>
              <w:noProof/>
              <w:highlight w:val="yellow"/>
            </w:rPr>
            <w:fldChar w:fldCharType="end"/>
          </w:r>
        </w:p>
      </w:sdtContent>
    </w:sdt>
    <w:p w14:paraId="372AFB90" w14:textId="77777777" w:rsidR="00551458" w:rsidRPr="00D551C4" w:rsidRDefault="00551458" w:rsidP="00AE4A09">
      <w:pPr>
        <w:spacing w:after="60"/>
        <w:rPr>
          <w:highlight w:val="yellow"/>
        </w:rPr>
      </w:pPr>
      <w:r w:rsidRPr="00D551C4">
        <w:rPr>
          <w:rFonts w:ascii="Times New Roman" w:hAnsi="Times New Roman" w:cs="Times New Roman"/>
          <w:b/>
          <w:color w:val="000000"/>
          <w:sz w:val="28"/>
          <w:szCs w:val="24"/>
          <w:highlight w:val="yellow"/>
          <w:lang w:eastAsia="lv-LV"/>
        </w:rPr>
        <w:br w:type="page"/>
      </w:r>
    </w:p>
    <w:p w14:paraId="0701A758" w14:textId="77777777" w:rsidR="003F78CC" w:rsidRPr="00F033D3" w:rsidRDefault="003F78CC" w:rsidP="003F78CC">
      <w:pPr>
        <w:tabs>
          <w:tab w:val="left" w:pos="3544"/>
        </w:tabs>
        <w:jc w:val="center"/>
        <w:rPr>
          <w:rFonts w:ascii="Times New Roman" w:hAnsi="Times New Roman" w:cs="Times New Roman"/>
          <w:b/>
          <w:color w:val="000000"/>
          <w:sz w:val="28"/>
          <w:szCs w:val="24"/>
          <w:lang w:eastAsia="lv-LV"/>
        </w:rPr>
      </w:pPr>
      <w:r w:rsidRPr="00F033D3">
        <w:rPr>
          <w:rFonts w:ascii="Times New Roman" w:hAnsi="Times New Roman" w:cs="Times New Roman"/>
          <w:b/>
          <w:color w:val="000000"/>
          <w:sz w:val="28"/>
          <w:szCs w:val="24"/>
          <w:lang w:eastAsia="lv-LV"/>
        </w:rPr>
        <w:t>Saīsinājumu apzīmējumi</w:t>
      </w:r>
    </w:p>
    <w:p w14:paraId="657DA140" w14:textId="77777777" w:rsidR="0051767F" w:rsidRPr="00F033D3" w:rsidRDefault="0051767F" w:rsidP="005F72E5">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sz w:val="24"/>
          <w:szCs w:val="24"/>
        </w:rPr>
        <w:t>ALTUM</w:t>
      </w:r>
      <w:r w:rsidRPr="00F033D3">
        <w:rPr>
          <w:rFonts w:ascii="Times New Roman" w:hAnsi="Times New Roman" w:cs="Times New Roman"/>
          <w:color w:val="000000"/>
          <w:sz w:val="24"/>
          <w:szCs w:val="24"/>
          <w:lang w:eastAsia="lv-LV"/>
        </w:rPr>
        <w:tab/>
      </w:r>
      <w:r w:rsidRPr="00F033D3">
        <w:rPr>
          <w:rFonts w:ascii="Times New Roman" w:hAnsi="Times New Roman" w:cs="Times New Roman"/>
          <w:sz w:val="24"/>
          <w:szCs w:val="24"/>
        </w:rPr>
        <w:t>AS „Attīstības finanšu institūcija „ALTUM””</w:t>
      </w:r>
    </w:p>
    <w:p w14:paraId="1F9FFCA1" w14:textId="77777777" w:rsidR="0051767F" w:rsidRPr="00F033D3"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color w:val="000000"/>
          <w:sz w:val="24"/>
          <w:szCs w:val="24"/>
          <w:lang w:eastAsia="lv-LV"/>
        </w:rPr>
        <w:t>ASV</w:t>
      </w:r>
      <w:r w:rsidRPr="00F033D3">
        <w:rPr>
          <w:rFonts w:ascii="Times New Roman" w:hAnsi="Times New Roman" w:cs="Times New Roman"/>
          <w:color w:val="000000"/>
          <w:sz w:val="24"/>
          <w:szCs w:val="24"/>
          <w:lang w:eastAsia="lv-LV"/>
        </w:rPr>
        <w:tab/>
        <w:t>Amerikas Savienotās valstis</w:t>
      </w:r>
    </w:p>
    <w:p w14:paraId="57AB60F0" w14:textId="77777777" w:rsidR="0051767F" w:rsidRPr="00F033D3" w:rsidRDefault="0051767F" w:rsidP="004E0A34">
      <w:pPr>
        <w:tabs>
          <w:tab w:val="left" w:pos="1276"/>
          <w:tab w:val="left" w:pos="3544"/>
        </w:tabs>
        <w:spacing w:after="40" w:line="240" w:lineRule="auto"/>
        <w:ind w:left="3544" w:hanging="3544"/>
        <w:jc w:val="both"/>
        <w:rPr>
          <w:rFonts w:ascii="Times New Roman" w:hAnsi="Times New Roman"/>
          <w:sz w:val="24"/>
        </w:rPr>
      </w:pPr>
      <w:r w:rsidRPr="00F033D3">
        <w:rPr>
          <w:rFonts w:ascii="Times New Roman" w:hAnsi="Times New Roman"/>
          <w:sz w:val="24"/>
        </w:rPr>
        <w:t xml:space="preserve">AWG </w:t>
      </w:r>
      <w:r w:rsidRPr="00F033D3">
        <w:rPr>
          <w:rFonts w:ascii="Times New Roman" w:hAnsi="Times New Roman"/>
          <w:sz w:val="24"/>
        </w:rPr>
        <w:tab/>
      </w:r>
      <w:r w:rsidRPr="00F033D3">
        <w:rPr>
          <w:rFonts w:ascii="Times New Roman" w:hAnsi="Times New Roman"/>
          <w:sz w:val="24"/>
        </w:rPr>
        <w:tab/>
        <w:t>Ekonomikas politikas komitejas Sabiedrības novecošanās un valsts finanšu ilgtspējas darba grupa</w:t>
      </w:r>
    </w:p>
    <w:p w14:paraId="3718A163" w14:textId="77777777" w:rsidR="0051767F" w:rsidRPr="00F033D3" w:rsidRDefault="0051767F" w:rsidP="004E0A34">
      <w:pPr>
        <w:tabs>
          <w:tab w:val="left" w:pos="3544"/>
        </w:tabs>
        <w:spacing w:after="40" w:line="240" w:lineRule="auto"/>
        <w:jc w:val="both"/>
        <w:rPr>
          <w:rFonts w:ascii="Times New Roman" w:hAnsi="Times New Roman" w:cs="Times New Roman"/>
          <w:color w:val="000000"/>
          <w:sz w:val="24"/>
        </w:rPr>
      </w:pPr>
      <w:r w:rsidRPr="00F033D3">
        <w:rPr>
          <w:rFonts w:ascii="Times New Roman" w:hAnsi="Times New Roman" w:cs="Times New Roman"/>
          <w:color w:val="000000"/>
          <w:sz w:val="24"/>
          <w:szCs w:val="24"/>
          <w:lang w:eastAsia="lv-LV"/>
        </w:rPr>
        <w:t xml:space="preserve">CSP </w:t>
      </w:r>
      <w:r w:rsidRPr="00F033D3">
        <w:rPr>
          <w:rFonts w:ascii="Times New Roman" w:hAnsi="Times New Roman" w:cs="Times New Roman"/>
          <w:color w:val="000000"/>
          <w:sz w:val="24"/>
          <w:szCs w:val="24"/>
          <w:lang w:eastAsia="lv-LV"/>
        </w:rPr>
        <w:tab/>
      </w:r>
      <w:r w:rsidRPr="00F033D3">
        <w:rPr>
          <w:rFonts w:ascii="Times New Roman" w:hAnsi="Times New Roman" w:cs="Times New Roman"/>
          <w:color w:val="000000"/>
          <w:sz w:val="24"/>
        </w:rPr>
        <w:t>Centrālā statistikas pārvalde</w:t>
      </w:r>
    </w:p>
    <w:p w14:paraId="46F4260F" w14:textId="77777777" w:rsidR="0051767F" w:rsidRPr="00F033D3"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color w:val="000000"/>
          <w:sz w:val="24"/>
          <w:szCs w:val="24"/>
          <w:lang w:eastAsia="lv-LV"/>
        </w:rPr>
        <w:t xml:space="preserve">EK </w:t>
      </w:r>
      <w:r w:rsidRPr="00F033D3">
        <w:rPr>
          <w:rFonts w:ascii="Times New Roman" w:hAnsi="Times New Roman" w:cs="Times New Roman"/>
          <w:color w:val="000000"/>
          <w:sz w:val="24"/>
          <w:szCs w:val="24"/>
          <w:lang w:eastAsia="lv-LV"/>
        </w:rPr>
        <w:tab/>
        <w:t>Eiropas Komisija</w:t>
      </w:r>
    </w:p>
    <w:p w14:paraId="1F64F826" w14:textId="6C581EE4" w:rsidR="0051767F" w:rsidRPr="00F033D3"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color w:val="000000"/>
          <w:sz w:val="24"/>
          <w:szCs w:val="24"/>
          <w:lang w:eastAsia="lv-LV"/>
        </w:rPr>
        <w:t>EKS 2010</w:t>
      </w:r>
      <w:r w:rsidRPr="00F033D3">
        <w:rPr>
          <w:rFonts w:ascii="Times New Roman" w:hAnsi="Times New Roman" w:cs="Times New Roman"/>
          <w:color w:val="000000"/>
          <w:sz w:val="24"/>
          <w:szCs w:val="24"/>
          <w:lang w:eastAsia="lv-LV"/>
        </w:rPr>
        <w:tab/>
        <w:t>Eiropas Kontu sistēma</w:t>
      </w:r>
      <w:r w:rsidR="00330252">
        <w:rPr>
          <w:rFonts w:ascii="Times New Roman" w:hAnsi="Times New Roman" w:cs="Times New Roman"/>
          <w:color w:val="000000"/>
          <w:sz w:val="24"/>
          <w:szCs w:val="24"/>
          <w:lang w:eastAsia="lv-LV"/>
        </w:rPr>
        <w:t>m</w:t>
      </w:r>
    </w:p>
    <w:p w14:paraId="7F909674" w14:textId="77777777" w:rsidR="0051767F" w:rsidRPr="00F033D3"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color w:val="000000"/>
          <w:sz w:val="24"/>
          <w:szCs w:val="24"/>
          <w:lang w:eastAsia="lv-LV"/>
        </w:rPr>
        <w:t xml:space="preserve">ES </w:t>
      </w:r>
      <w:r w:rsidRPr="00F033D3">
        <w:rPr>
          <w:rFonts w:ascii="Times New Roman" w:hAnsi="Times New Roman" w:cs="Times New Roman"/>
          <w:color w:val="000000"/>
          <w:sz w:val="24"/>
          <w:szCs w:val="24"/>
          <w:lang w:eastAsia="lv-LV"/>
        </w:rPr>
        <w:tab/>
        <w:t>Eiropas Savienība</w:t>
      </w:r>
    </w:p>
    <w:p w14:paraId="68E8D95F" w14:textId="77777777" w:rsidR="0051767F" w:rsidRPr="00F033D3" w:rsidRDefault="0051767F" w:rsidP="00917436">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olor w:val="000000" w:themeColor="text1"/>
          <w:sz w:val="24"/>
        </w:rPr>
        <w:t>Eurostat</w:t>
      </w:r>
      <w:r w:rsidRPr="00F033D3">
        <w:rPr>
          <w:i/>
          <w:szCs w:val="24"/>
        </w:rPr>
        <w:tab/>
      </w:r>
      <w:r w:rsidRPr="00F033D3">
        <w:rPr>
          <w:rFonts w:ascii="Times New Roman" w:hAnsi="Times New Roman" w:cs="Times New Roman"/>
          <w:color w:val="000000"/>
          <w:sz w:val="24"/>
          <w:szCs w:val="24"/>
          <w:lang w:eastAsia="lv-LV"/>
        </w:rPr>
        <w:t>Eiropas Savienības</w:t>
      </w:r>
      <w:r w:rsidRPr="00F033D3">
        <w:rPr>
          <w:rFonts w:ascii="Times New Roman" w:hAnsi="Times New Roman"/>
          <w:color w:val="000000" w:themeColor="text1"/>
          <w:sz w:val="24"/>
        </w:rPr>
        <w:t xml:space="preserve"> Statistikas birojs Eurostat</w:t>
      </w:r>
    </w:p>
    <w:p w14:paraId="47E80DD1" w14:textId="77777777" w:rsidR="0051767F" w:rsidRPr="00F033D3"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F033D3">
        <w:rPr>
          <w:rFonts w:ascii="Times New Roman" w:hAnsi="Times New Roman" w:cs="Times New Roman"/>
          <w:color w:val="000000"/>
          <w:sz w:val="24"/>
          <w:szCs w:val="24"/>
          <w:lang w:eastAsia="lv-LV"/>
        </w:rPr>
        <w:t xml:space="preserve">FDL </w:t>
      </w:r>
      <w:r w:rsidRPr="00F033D3">
        <w:rPr>
          <w:rFonts w:ascii="Times New Roman" w:hAnsi="Times New Roman" w:cs="Times New Roman"/>
          <w:color w:val="000000"/>
          <w:sz w:val="24"/>
          <w:szCs w:val="24"/>
          <w:lang w:eastAsia="lv-LV"/>
        </w:rPr>
        <w:tab/>
        <w:t>Fiskālās disciplīnas likums</w:t>
      </w:r>
    </w:p>
    <w:p w14:paraId="2C66F1E1" w14:textId="56AEB03F" w:rsidR="0051767F" w:rsidRDefault="0051767F" w:rsidP="004E0A34">
      <w:pPr>
        <w:tabs>
          <w:tab w:val="left" w:pos="3544"/>
        </w:tabs>
        <w:spacing w:after="40" w:line="240" w:lineRule="auto"/>
        <w:jc w:val="both"/>
        <w:rPr>
          <w:rFonts w:ascii="Times New Roman" w:hAnsi="Times New Roman" w:cs="Times New Roman"/>
          <w:sz w:val="24"/>
        </w:rPr>
      </w:pPr>
      <w:r w:rsidRPr="00F033D3">
        <w:rPr>
          <w:rFonts w:ascii="Times New Roman" w:hAnsi="Times New Roman" w:cs="Times New Roman"/>
          <w:color w:val="000000"/>
          <w:sz w:val="24"/>
          <w:szCs w:val="24"/>
          <w:lang w:eastAsia="lv-LV"/>
        </w:rPr>
        <w:t xml:space="preserve">FM </w:t>
      </w:r>
      <w:r w:rsidRPr="00F033D3">
        <w:rPr>
          <w:rFonts w:ascii="Times New Roman" w:hAnsi="Times New Roman" w:cs="Times New Roman"/>
          <w:color w:val="000000"/>
          <w:sz w:val="24"/>
          <w:szCs w:val="24"/>
          <w:lang w:eastAsia="lv-LV"/>
        </w:rPr>
        <w:tab/>
      </w:r>
      <w:r w:rsidRPr="00F033D3">
        <w:rPr>
          <w:rFonts w:ascii="Times New Roman" w:hAnsi="Times New Roman" w:cs="Times New Roman"/>
          <w:sz w:val="24"/>
        </w:rPr>
        <w:t>Finanšu ministrija</w:t>
      </w:r>
    </w:p>
    <w:p w14:paraId="0DE141A2" w14:textId="77777777" w:rsidR="0051767F" w:rsidRPr="00291A3B"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291A3B">
        <w:rPr>
          <w:rFonts w:ascii="Times New Roman" w:hAnsi="Times New Roman" w:cs="Times New Roman"/>
          <w:color w:val="000000"/>
          <w:sz w:val="24"/>
          <w:szCs w:val="24"/>
          <w:lang w:eastAsia="lv-LV"/>
        </w:rPr>
        <w:t>IIN</w:t>
      </w:r>
      <w:r w:rsidRPr="00291A3B">
        <w:rPr>
          <w:rFonts w:ascii="Times New Roman" w:hAnsi="Times New Roman" w:cs="Times New Roman"/>
          <w:color w:val="000000"/>
          <w:sz w:val="24"/>
          <w:szCs w:val="24"/>
          <w:lang w:eastAsia="lv-LV"/>
        </w:rPr>
        <w:tab/>
        <w:t>Iedzīvotāju ienākumu nodoklis</w:t>
      </w:r>
    </w:p>
    <w:p w14:paraId="159FA6EA" w14:textId="52E055A3" w:rsidR="0051767F" w:rsidRPr="00291A3B"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291A3B">
        <w:rPr>
          <w:rFonts w:ascii="Times New Roman" w:hAnsi="Times New Roman" w:cs="Times New Roman"/>
          <w:color w:val="000000"/>
          <w:sz w:val="24"/>
          <w:szCs w:val="24"/>
          <w:lang w:eastAsia="lv-LV"/>
        </w:rPr>
        <w:t xml:space="preserve">IKP </w:t>
      </w:r>
      <w:r w:rsidRPr="00291A3B">
        <w:rPr>
          <w:rFonts w:ascii="Times New Roman" w:hAnsi="Times New Roman" w:cs="Times New Roman"/>
          <w:color w:val="000000"/>
          <w:sz w:val="24"/>
          <w:szCs w:val="24"/>
          <w:lang w:eastAsia="lv-LV"/>
        </w:rPr>
        <w:tab/>
      </w:r>
      <w:r w:rsidR="00884AE0" w:rsidRPr="00291A3B">
        <w:rPr>
          <w:rFonts w:ascii="Times New Roman" w:hAnsi="Times New Roman" w:cs="Times New Roman"/>
          <w:color w:val="000000"/>
          <w:sz w:val="24"/>
          <w:szCs w:val="24"/>
          <w:lang w:eastAsia="lv-LV"/>
        </w:rPr>
        <w:t>Iekšzemes kopprod</w:t>
      </w:r>
      <w:r w:rsidRPr="00291A3B">
        <w:rPr>
          <w:rFonts w:ascii="Times New Roman" w:hAnsi="Times New Roman" w:cs="Times New Roman"/>
          <w:color w:val="000000"/>
          <w:sz w:val="24"/>
          <w:szCs w:val="24"/>
          <w:lang w:eastAsia="lv-LV"/>
        </w:rPr>
        <w:t>ukts</w:t>
      </w:r>
    </w:p>
    <w:p w14:paraId="28D3284A" w14:textId="77777777" w:rsidR="0051767F" w:rsidRPr="00291A3B"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291A3B">
        <w:rPr>
          <w:rFonts w:ascii="Times New Roman" w:hAnsi="Times New Roman" w:cs="Times New Roman"/>
          <w:sz w:val="24"/>
          <w:szCs w:val="24"/>
        </w:rPr>
        <w:t xml:space="preserve">LBFV </w:t>
      </w:r>
      <w:r w:rsidRPr="00291A3B">
        <w:rPr>
          <w:rFonts w:ascii="Times New Roman" w:hAnsi="Times New Roman" w:cs="Times New Roman"/>
          <w:sz w:val="24"/>
          <w:szCs w:val="24"/>
        </w:rPr>
        <w:tab/>
        <w:t>Likums par budžetu un finanšu vadību</w:t>
      </w:r>
    </w:p>
    <w:p w14:paraId="48C1FA6A" w14:textId="1267D203" w:rsidR="0051767F"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291A3B">
        <w:rPr>
          <w:rFonts w:ascii="Times New Roman" w:hAnsi="Times New Roman" w:cs="Times New Roman"/>
          <w:color w:val="000000"/>
          <w:sz w:val="24"/>
          <w:szCs w:val="24"/>
          <w:lang w:eastAsia="lv-LV"/>
        </w:rPr>
        <w:t xml:space="preserve">MK </w:t>
      </w:r>
      <w:r w:rsidRPr="00291A3B">
        <w:rPr>
          <w:rFonts w:ascii="Times New Roman" w:hAnsi="Times New Roman" w:cs="Times New Roman"/>
          <w:color w:val="000000"/>
          <w:sz w:val="24"/>
          <w:szCs w:val="24"/>
          <w:lang w:eastAsia="lv-LV"/>
        </w:rPr>
        <w:tab/>
      </w:r>
      <w:r w:rsidR="00870EF7" w:rsidRPr="00291A3B">
        <w:rPr>
          <w:rFonts w:ascii="Times New Roman" w:hAnsi="Times New Roman" w:cs="Times New Roman"/>
          <w:color w:val="000000"/>
          <w:sz w:val="24"/>
          <w:szCs w:val="24"/>
          <w:lang w:eastAsia="lv-LV"/>
        </w:rPr>
        <w:t>Ministru kabin</w:t>
      </w:r>
      <w:r w:rsidRPr="00291A3B">
        <w:rPr>
          <w:rFonts w:ascii="Times New Roman" w:hAnsi="Times New Roman" w:cs="Times New Roman"/>
          <w:color w:val="000000"/>
          <w:sz w:val="24"/>
          <w:szCs w:val="24"/>
          <w:lang w:eastAsia="lv-LV"/>
        </w:rPr>
        <w:t>ets</w:t>
      </w:r>
    </w:p>
    <w:p w14:paraId="02DD2F94" w14:textId="77777777" w:rsidR="0051767F" w:rsidRPr="00BD29CA" w:rsidRDefault="0051767F" w:rsidP="004E0A34">
      <w:pPr>
        <w:tabs>
          <w:tab w:val="left" w:pos="3544"/>
          <w:tab w:val="left" w:pos="3585"/>
        </w:tabs>
        <w:spacing w:after="40" w:line="240" w:lineRule="auto"/>
        <w:jc w:val="both"/>
        <w:rPr>
          <w:rFonts w:ascii="Times New Roman" w:hAnsi="Times New Roman"/>
          <w:sz w:val="24"/>
        </w:rPr>
      </w:pPr>
      <w:r w:rsidRPr="00BD29CA">
        <w:rPr>
          <w:rFonts w:ascii="Times New Roman" w:hAnsi="Times New Roman"/>
          <w:sz w:val="24"/>
        </w:rPr>
        <w:t>PCI</w:t>
      </w:r>
      <w:r w:rsidRPr="00BD29CA">
        <w:rPr>
          <w:rFonts w:ascii="Times New Roman" w:hAnsi="Times New Roman"/>
          <w:sz w:val="24"/>
        </w:rPr>
        <w:tab/>
        <w:t>Patēriņa cenu indekss</w:t>
      </w:r>
    </w:p>
    <w:p w14:paraId="7A77034C" w14:textId="1EE32642" w:rsidR="0051767F" w:rsidRPr="00BD29CA" w:rsidRDefault="0051767F" w:rsidP="004E0A34">
      <w:pPr>
        <w:tabs>
          <w:tab w:val="left" w:pos="3544"/>
          <w:tab w:val="left" w:pos="3585"/>
        </w:tabs>
        <w:spacing w:after="40" w:line="240" w:lineRule="auto"/>
        <w:jc w:val="both"/>
        <w:rPr>
          <w:rFonts w:ascii="Times New Roman" w:hAnsi="Times New Roman" w:cs="Times New Roman"/>
          <w:sz w:val="24"/>
          <w:szCs w:val="24"/>
        </w:rPr>
      </w:pPr>
      <w:r w:rsidRPr="00BD29CA">
        <w:rPr>
          <w:rFonts w:ascii="Times New Roman" w:hAnsi="Times New Roman" w:cs="Times New Roman"/>
          <w:sz w:val="24"/>
          <w:szCs w:val="24"/>
        </w:rPr>
        <w:t>PVN</w:t>
      </w:r>
      <w:r w:rsidRPr="00BD29CA">
        <w:rPr>
          <w:rFonts w:ascii="Times New Roman" w:hAnsi="Times New Roman" w:cs="Times New Roman"/>
          <w:sz w:val="24"/>
          <w:szCs w:val="24"/>
        </w:rPr>
        <w:tab/>
      </w:r>
      <w:r w:rsidR="0089342E" w:rsidRPr="00BD29CA">
        <w:rPr>
          <w:rFonts w:ascii="Times New Roman" w:hAnsi="Times New Roman" w:cs="Times New Roman"/>
          <w:sz w:val="24"/>
          <w:szCs w:val="24"/>
        </w:rPr>
        <w:t>Pievienotās vērtības nod</w:t>
      </w:r>
      <w:r w:rsidRPr="00BD29CA">
        <w:rPr>
          <w:rFonts w:ascii="Times New Roman" w:hAnsi="Times New Roman" w:cs="Times New Roman"/>
          <w:sz w:val="24"/>
          <w:szCs w:val="24"/>
        </w:rPr>
        <w:t>oklis</w:t>
      </w:r>
    </w:p>
    <w:p w14:paraId="55175294" w14:textId="6BB5B510" w:rsidR="0051767F" w:rsidRPr="002F2C9A" w:rsidRDefault="0051767F" w:rsidP="004E0A34">
      <w:pPr>
        <w:tabs>
          <w:tab w:val="left" w:pos="3544"/>
        </w:tabs>
        <w:spacing w:after="40" w:line="240" w:lineRule="auto"/>
        <w:jc w:val="both"/>
        <w:rPr>
          <w:rFonts w:ascii="Times New Roman" w:hAnsi="Times New Roman"/>
          <w:sz w:val="24"/>
        </w:rPr>
      </w:pPr>
      <w:r w:rsidRPr="002F2C9A">
        <w:rPr>
          <w:rFonts w:ascii="Times New Roman" w:hAnsi="Times New Roman"/>
          <w:sz w:val="24"/>
        </w:rPr>
        <w:t>SIP</w:t>
      </w:r>
      <w:r w:rsidRPr="002F2C9A">
        <w:rPr>
          <w:rFonts w:ascii="Times New Roman" w:hAnsi="Times New Roman"/>
          <w:sz w:val="24"/>
        </w:rPr>
        <w:tab/>
      </w:r>
      <w:r w:rsidR="0089342E" w:rsidRPr="002F2C9A">
        <w:rPr>
          <w:rFonts w:ascii="Times New Roman" w:hAnsi="Times New Roman"/>
          <w:sz w:val="24"/>
        </w:rPr>
        <w:t xml:space="preserve">Stabilitātes un izaugsmes </w:t>
      </w:r>
      <w:r w:rsidRPr="002F2C9A">
        <w:rPr>
          <w:rFonts w:ascii="Times New Roman" w:hAnsi="Times New Roman"/>
          <w:sz w:val="24"/>
        </w:rPr>
        <w:t>pakts</w:t>
      </w:r>
    </w:p>
    <w:p w14:paraId="6130BCEA" w14:textId="77777777" w:rsidR="0051767F" w:rsidRPr="002F2C9A" w:rsidRDefault="0051767F" w:rsidP="004E0A34">
      <w:pPr>
        <w:tabs>
          <w:tab w:val="left" w:pos="3544"/>
        </w:tabs>
        <w:spacing w:after="40" w:line="240" w:lineRule="auto"/>
        <w:jc w:val="both"/>
        <w:rPr>
          <w:rFonts w:ascii="Times New Roman" w:hAnsi="Times New Roman" w:cs="Times New Roman"/>
          <w:color w:val="000000"/>
          <w:sz w:val="24"/>
          <w:szCs w:val="24"/>
          <w:lang w:eastAsia="lv-LV"/>
        </w:rPr>
      </w:pPr>
      <w:r w:rsidRPr="002F2C9A">
        <w:rPr>
          <w:rFonts w:ascii="Times New Roman" w:hAnsi="Times New Roman" w:cs="Times New Roman"/>
          <w:color w:val="000000"/>
          <w:sz w:val="24"/>
          <w:szCs w:val="24"/>
          <w:lang w:eastAsia="lv-LV"/>
        </w:rPr>
        <w:t xml:space="preserve">SVF </w:t>
      </w:r>
      <w:r w:rsidRPr="002F2C9A">
        <w:rPr>
          <w:rFonts w:ascii="Times New Roman" w:hAnsi="Times New Roman" w:cs="Times New Roman"/>
          <w:color w:val="000000"/>
          <w:sz w:val="24"/>
          <w:szCs w:val="24"/>
          <w:lang w:eastAsia="lv-LV"/>
        </w:rPr>
        <w:tab/>
        <w:t>Starptautiskais valūtas fonds</w:t>
      </w:r>
    </w:p>
    <w:p w14:paraId="25CC50EC" w14:textId="731C1752" w:rsidR="0051767F" w:rsidRDefault="0051767F" w:rsidP="004E0A34">
      <w:pPr>
        <w:tabs>
          <w:tab w:val="left" w:pos="3544"/>
        </w:tabs>
        <w:spacing w:after="40" w:line="240" w:lineRule="auto"/>
        <w:jc w:val="both"/>
        <w:rPr>
          <w:rFonts w:ascii="Times New Roman" w:hAnsi="Times New Roman" w:cs="Times New Roman"/>
          <w:sz w:val="24"/>
          <w:szCs w:val="24"/>
        </w:rPr>
      </w:pPr>
      <w:r w:rsidRPr="002F2C9A">
        <w:rPr>
          <w:rFonts w:ascii="Times New Roman" w:hAnsi="Times New Roman" w:cs="Times New Roman"/>
          <w:sz w:val="24"/>
          <w:szCs w:val="24"/>
        </w:rPr>
        <w:t>UIN</w:t>
      </w:r>
      <w:r w:rsidRPr="002F2C9A">
        <w:rPr>
          <w:rFonts w:ascii="Times New Roman" w:hAnsi="Times New Roman" w:cs="Times New Roman"/>
          <w:sz w:val="24"/>
          <w:szCs w:val="24"/>
        </w:rPr>
        <w:tab/>
        <w:t>Uzņēmumu ieņēmumu nodoklis</w:t>
      </w:r>
    </w:p>
    <w:p w14:paraId="17B7981B" w14:textId="4B20D9EA" w:rsidR="007F6EE6" w:rsidRPr="002F2C9A" w:rsidRDefault="007F6EE6" w:rsidP="004E0A34">
      <w:pPr>
        <w:tabs>
          <w:tab w:val="left" w:pos="3544"/>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VID</w:t>
      </w:r>
      <w:r>
        <w:rPr>
          <w:rFonts w:ascii="Times New Roman" w:hAnsi="Times New Roman" w:cs="Times New Roman"/>
          <w:sz w:val="24"/>
          <w:szCs w:val="24"/>
        </w:rPr>
        <w:tab/>
        <w:t>Valsts ieņēmumu dienests</w:t>
      </w:r>
    </w:p>
    <w:p w14:paraId="5848C434" w14:textId="43901A81" w:rsidR="0051767F" w:rsidRDefault="0051767F" w:rsidP="004E0A34">
      <w:pPr>
        <w:tabs>
          <w:tab w:val="left" w:pos="3544"/>
        </w:tabs>
        <w:spacing w:after="40" w:line="240" w:lineRule="auto"/>
        <w:jc w:val="both"/>
        <w:rPr>
          <w:rFonts w:ascii="Times New Roman" w:hAnsi="Times New Roman" w:cs="Times New Roman"/>
          <w:sz w:val="24"/>
          <w:szCs w:val="24"/>
        </w:rPr>
      </w:pPr>
      <w:r w:rsidRPr="00B85B22">
        <w:rPr>
          <w:rFonts w:ascii="Times New Roman" w:hAnsi="Times New Roman" w:cs="Times New Roman"/>
          <w:sz w:val="24"/>
          <w:szCs w:val="24"/>
        </w:rPr>
        <w:t xml:space="preserve">VK </w:t>
      </w:r>
      <w:r w:rsidRPr="00B85B22">
        <w:rPr>
          <w:rFonts w:ascii="Times New Roman" w:hAnsi="Times New Roman" w:cs="Times New Roman"/>
          <w:sz w:val="24"/>
          <w:szCs w:val="24"/>
        </w:rPr>
        <w:tab/>
        <w:t>Valsts kase</w:t>
      </w:r>
    </w:p>
    <w:p w14:paraId="0A55976A" w14:textId="5E851B4D" w:rsidR="007F6EE6" w:rsidRPr="00B85B22" w:rsidRDefault="007F6EE6" w:rsidP="004E0A34">
      <w:pPr>
        <w:tabs>
          <w:tab w:val="left" w:pos="3544"/>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VM</w:t>
      </w:r>
      <w:r>
        <w:rPr>
          <w:rFonts w:ascii="Times New Roman" w:hAnsi="Times New Roman" w:cs="Times New Roman"/>
          <w:sz w:val="24"/>
          <w:szCs w:val="24"/>
        </w:rPr>
        <w:tab/>
        <w:t>Veselības ministrija</w:t>
      </w:r>
    </w:p>
    <w:p w14:paraId="48632945" w14:textId="77777777" w:rsidR="0051767F" w:rsidRPr="00B85B22" w:rsidRDefault="0051767F" w:rsidP="004E0A34">
      <w:pPr>
        <w:tabs>
          <w:tab w:val="left" w:pos="3544"/>
        </w:tabs>
        <w:spacing w:after="40" w:line="240" w:lineRule="auto"/>
        <w:ind w:left="3544" w:hanging="3544"/>
        <w:jc w:val="both"/>
        <w:rPr>
          <w:rFonts w:ascii="Times New Roman" w:hAnsi="Times New Roman" w:cs="Times New Roman"/>
          <w:color w:val="000000"/>
          <w:sz w:val="24"/>
        </w:rPr>
      </w:pPr>
      <w:r w:rsidRPr="00B85B22">
        <w:rPr>
          <w:rFonts w:ascii="Times New Roman" w:hAnsi="Times New Roman"/>
          <w:color w:val="000000"/>
          <w:sz w:val="24"/>
        </w:rPr>
        <w:t xml:space="preserve">VTM </w:t>
      </w:r>
      <w:r w:rsidRPr="00B85B22">
        <w:rPr>
          <w:rFonts w:ascii="Times New Roman" w:hAnsi="Times New Roman"/>
          <w:color w:val="000000"/>
          <w:sz w:val="24"/>
        </w:rPr>
        <w:tab/>
        <w:t>Vidēja termiņa budžeta bilances mērķis strukturālā izteiksmē</w:t>
      </w:r>
    </w:p>
    <w:p w14:paraId="1F330B6B" w14:textId="77777777" w:rsidR="0051767F" w:rsidRPr="00B85B22" w:rsidRDefault="0051767F" w:rsidP="004E0A34">
      <w:pPr>
        <w:tabs>
          <w:tab w:val="left" w:pos="3544"/>
        </w:tabs>
        <w:spacing w:after="40" w:line="240" w:lineRule="auto"/>
        <w:ind w:left="3544" w:hanging="3544"/>
        <w:jc w:val="both"/>
        <w:rPr>
          <w:rFonts w:ascii="Times New Roman" w:hAnsi="Times New Roman" w:cs="Times New Roman"/>
          <w:color w:val="000000"/>
          <w:sz w:val="24"/>
        </w:rPr>
      </w:pPr>
      <w:r w:rsidRPr="00B85B22">
        <w:rPr>
          <w:rFonts w:ascii="Times New Roman" w:hAnsi="Times New Roman" w:cs="Times New Roman"/>
          <w:color w:val="000000"/>
          <w:sz w:val="24"/>
        </w:rPr>
        <w:t>VTM SIP</w:t>
      </w:r>
      <w:r w:rsidRPr="00B85B22">
        <w:rPr>
          <w:rFonts w:ascii="Times New Roman" w:hAnsi="Times New Roman" w:cs="Times New Roman"/>
          <w:color w:val="000000"/>
          <w:sz w:val="24"/>
        </w:rPr>
        <w:tab/>
        <w:t>Vidēja termiņa budžeta bilances mērķis SIP izpratnē</w:t>
      </w:r>
    </w:p>
    <w:p w14:paraId="0449C910" w14:textId="77777777" w:rsidR="003F78CC" w:rsidRPr="00D551C4" w:rsidRDefault="003F78CC" w:rsidP="00D51057">
      <w:pPr>
        <w:spacing w:after="0" w:line="240" w:lineRule="auto"/>
        <w:ind w:left="3544" w:hanging="3544"/>
        <w:jc w:val="both"/>
        <w:rPr>
          <w:rFonts w:ascii="Times New Roman" w:hAnsi="Times New Roman" w:cs="Times New Roman"/>
          <w:color w:val="000000"/>
          <w:highlight w:val="yellow"/>
        </w:rPr>
      </w:pPr>
      <w:r w:rsidRPr="00D551C4">
        <w:rPr>
          <w:rFonts w:ascii="Times New Roman" w:hAnsi="Times New Roman" w:cs="Times New Roman"/>
          <w:color w:val="000000"/>
          <w:highlight w:val="yellow"/>
        </w:rPr>
        <w:br w:type="page"/>
      </w:r>
    </w:p>
    <w:p w14:paraId="1DB31F57" w14:textId="49B1EB9D" w:rsidR="003F78CC" w:rsidRPr="001A5E50" w:rsidRDefault="009E1135" w:rsidP="00F74C66">
      <w:pPr>
        <w:pStyle w:val="Heading1"/>
        <w:numPr>
          <w:ilvl w:val="0"/>
          <w:numId w:val="1"/>
        </w:numPr>
        <w:spacing w:before="0" w:after="0" w:line="240" w:lineRule="auto"/>
        <w:ind w:left="284" w:hanging="283"/>
        <w:jc w:val="center"/>
        <w:rPr>
          <w:rFonts w:ascii="Times New Roman" w:hAnsi="Times New Roman" w:cs="Times New Roman"/>
          <w:sz w:val="32"/>
        </w:rPr>
      </w:pPr>
      <w:bookmarkStart w:id="1" w:name="_Toc38887962"/>
      <w:r>
        <w:rPr>
          <w:rFonts w:ascii="Times New Roman" w:hAnsi="Times New Roman" w:cs="Times New Roman"/>
          <w:sz w:val="32"/>
        </w:rPr>
        <w:t>Ievads</w:t>
      </w:r>
      <w:bookmarkEnd w:id="1"/>
    </w:p>
    <w:p w14:paraId="7BC60CBE" w14:textId="77777777" w:rsidR="00C11D88" w:rsidRPr="00D551C4" w:rsidRDefault="00C11D88" w:rsidP="00403201">
      <w:pPr>
        <w:spacing w:after="0" w:line="240" w:lineRule="auto"/>
        <w:ind w:firstLine="720"/>
        <w:jc w:val="both"/>
        <w:rPr>
          <w:rFonts w:ascii="Times New Roman" w:eastAsia="Times New Roman" w:hAnsi="Times New Roman" w:cs="Times New Roman"/>
          <w:color w:val="000000"/>
          <w:sz w:val="24"/>
          <w:szCs w:val="23"/>
          <w:highlight w:val="yellow"/>
          <w:lang w:eastAsia="lv-LV"/>
        </w:rPr>
      </w:pPr>
    </w:p>
    <w:p w14:paraId="655B6D37" w14:textId="19B50DCC" w:rsidR="001522D7" w:rsidRPr="001522D7" w:rsidRDefault="001522D7" w:rsidP="001522D7">
      <w:pPr>
        <w:spacing w:after="0" w:line="240" w:lineRule="auto"/>
        <w:ind w:firstLine="709"/>
        <w:jc w:val="both"/>
        <w:rPr>
          <w:rFonts w:ascii="Times New Roman" w:eastAsia="Times New Roman" w:hAnsi="Times New Roman" w:cs="Times New Roman"/>
          <w:color w:val="000000"/>
          <w:sz w:val="24"/>
          <w:szCs w:val="24"/>
          <w:lang w:eastAsia="lv-LV"/>
        </w:rPr>
      </w:pPr>
      <w:r w:rsidRPr="001522D7">
        <w:rPr>
          <w:rFonts w:ascii="Times New Roman" w:eastAsia="Times New Roman" w:hAnsi="Times New Roman" w:cs="Times New Roman"/>
          <w:color w:val="000000"/>
          <w:sz w:val="24"/>
          <w:szCs w:val="24"/>
          <w:lang w:eastAsia="lv-LV"/>
        </w:rPr>
        <w:t>Latvijas Stabilitātes programma ir izstrādāta vadoties pēc SIP ieviešanas nosacījumiem un vadlīnijām, un tiek sagatavota saskaņā ar Padomes 1997</w:t>
      </w:r>
      <w:r w:rsidR="00B94A04">
        <w:rPr>
          <w:rFonts w:ascii="Times New Roman" w:eastAsia="Times New Roman" w:hAnsi="Times New Roman" w:cs="Times New Roman"/>
          <w:color w:val="000000"/>
          <w:sz w:val="24"/>
          <w:szCs w:val="24"/>
          <w:lang w:eastAsia="lv-LV"/>
        </w:rPr>
        <w:t>.gada 7.jūlija Regulas (EK) Nr.</w:t>
      </w:r>
      <w:hyperlink r:id="rId10" w:tgtFrame="_blank" w:history="1">
        <w:r w:rsidRPr="001522D7">
          <w:rPr>
            <w:rFonts w:ascii="Times New Roman" w:eastAsia="Times New Roman" w:hAnsi="Times New Roman" w:cs="Times New Roman"/>
            <w:color w:val="000000"/>
            <w:sz w:val="24"/>
            <w:szCs w:val="24"/>
            <w:lang w:eastAsia="lv-LV"/>
          </w:rPr>
          <w:t>1466/97</w:t>
        </w:r>
      </w:hyperlink>
      <w:r w:rsidRPr="001522D7">
        <w:rPr>
          <w:rFonts w:ascii="Times New Roman" w:eastAsia="Times New Roman" w:hAnsi="Times New Roman" w:cs="Times New Roman"/>
          <w:color w:val="000000"/>
          <w:sz w:val="24"/>
          <w:szCs w:val="24"/>
          <w:lang w:eastAsia="lv-LV"/>
        </w:rPr>
        <w:t xml:space="preserve"> par budžeta stāvokļa uzraudzības un ekonomikas politikas uzraudzības un koordinācijas stiprināšanu prasībām. </w:t>
      </w:r>
    </w:p>
    <w:p w14:paraId="7F79BE87" w14:textId="66BB9CB3" w:rsidR="001522D7" w:rsidRPr="001522D7" w:rsidRDefault="001522D7" w:rsidP="001522D7">
      <w:pPr>
        <w:spacing w:after="0" w:line="240" w:lineRule="auto"/>
        <w:ind w:firstLine="709"/>
        <w:jc w:val="both"/>
        <w:rPr>
          <w:rFonts w:ascii="Times New Roman" w:eastAsia="Times New Roman" w:hAnsi="Times New Roman" w:cs="Times New Roman"/>
          <w:color w:val="000000"/>
          <w:sz w:val="24"/>
          <w:szCs w:val="24"/>
          <w:lang w:eastAsia="lv-LV"/>
        </w:rPr>
      </w:pPr>
      <w:r w:rsidRPr="001522D7">
        <w:rPr>
          <w:rFonts w:ascii="Times New Roman" w:eastAsia="Times New Roman" w:hAnsi="Times New Roman" w:cs="Times New Roman"/>
          <w:color w:val="000000"/>
          <w:sz w:val="24"/>
          <w:szCs w:val="24"/>
          <w:lang w:eastAsia="lv-LV"/>
        </w:rPr>
        <w:t>Lai gan šajā laikā E</w:t>
      </w:r>
      <w:r w:rsidR="00B94A04">
        <w:rPr>
          <w:rFonts w:ascii="Times New Roman" w:eastAsia="Times New Roman" w:hAnsi="Times New Roman" w:cs="Times New Roman"/>
          <w:color w:val="000000"/>
          <w:sz w:val="24"/>
          <w:szCs w:val="24"/>
          <w:lang w:eastAsia="lv-LV"/>
        </w:rPr>
        <w:t>S</w:t>
      </w:r>
      <w:r w:rsidRPr="001522D7">
        <w:rPr>
          <w:rFonts w:ascii="Times New Roman" w:eastAsia="Times New Roman" w:hAnsi="Times New Roman" w:cs="Times New Roman"/>
          <w:color w:val="000000"/>
          <w:sz w:val="24"/>
          <w:szCs w:val="24"/>
          <w:lang w:eastAsia="lv-LV"/>
        </w:rPr>
        <w:t xml:space="preserve"> plosās </w:t>
      </w:r>
      <w:r w:rsidR="00F66C01">
        <w:rPr>
          <w:rFonts w:ascii="Times New Roman" w:eastAsia="Times New Roman" w:hAnsi="Times New Roman" w:cs="Times New Roman"/>
          <w:color w:val="000000"/>
          <w:sz w:val="24"/>
          <w:szCs w:val="24"/>
          <w:lang w:eastAsia="lv-LV"/>
        </w:rPr>
        <w:t>Covid-19</w:t>
      </w:r>
      <w:r w:rsidR="00365242">
        <w:rPr>
          <w:rFonts w:ascii="Times New Roman" w:eastAsia="Times New Roman" w:hAnsi="Times New Roman" w:cs="Times New Roman"/>
          <w:color w:val="000000"/>
          <w:sz w:val="24"/>
          <w:szCs w:val="24"/>
          <w:lang w:eastAsia="lv-LV"/>
        </w:rPr>
        <w:t xml:space="preserve"> </w:t>
      </w:r>
      <w:r w:rsidRPr="001522D7">
        <w:rPr>
          <w:rFonts w:ascii="Times New Roman" w:eastAsia="Times New Roman" w:hAnsi="Times New Roman" w:cs="Times New Roman"/>
          <w:color w:val="000000"/>
          <w:sz w:val="24"/>
          <w:szCs w:val="24"/>
          <w:lang w:eastAsia="lv-LV"/>
        </w:rPr>
        <w:t>pandēmija un tā būtiski ietekmē makroekonomiskās prognozes, kā arī dalībvalstis izstrādā fiskālos pasākumus pandēmijas ierobežošanai</w:t>
      </w:r>
      <w:r w:rsidR="00D4257C">
        <w:rPr>
          <w:rFonts w:ascii="Times New Roman" w:eastAsia="Times New Roman" w:hAnsi="Times New Roman" w:cs="Times New Roman"/>
          <w:color w:val="000000"/>
          <w:sz w:val="24"/>
          <w:szCs w:val="24"/>
          <w:lang w:eastAsia="lv-LV"/>
        </w:rPr>
        <w:t xml:space="preserve">, </w:t>
      </w:r>
      <w:r w:rsidR="00F66C01">
        <w:rPr>
          <w:rFonts w:ascii="Times New Roman" w:eastAsia="Times New Roman" w:hAnsi="Times New Roman" w:cs="Times New Roman"/>
          <w:color w:val="000000"/>
          <w:sz w:val="24"/>
          <w:szCs w:val="24"/>
          <w:lang w:eastAsia="lv-LV"/>
        </w:rPr>
        <w:t xml:space="preserve">skarto iedzīvotāju un uzņēmumu </w:t>
      </w:r>
      <w:r w:rsidRPr="001522D7">
        <w:rPr>
          <w:rFonts w:ascii="Times New Roman" w:eastAsia="Times New Roman" w:hAnsi="Times New Roman" w:cs="Times New Roman"/>
          <w:color w:val="000000"/>
          <w:sz w:val="24"/>
          <w:szCs w:val="24"/>
          <w:lang w:eastAsia="lv-LV"/>
        </w:rPr>
        <w:t>atbalstam</w:t>
      </w:r>
      <w:r w:rsidR="001A5E50">
        <w:rPr>
          <w:rFonts w:ascii="Times New Roman" w:eastAsia="Times New Roman" w:hAnsi="Times New Roman" w:cs="Times New Roman"/>
          <w:color w:val="000000"/>
          <w:sz w:val="24"/>
          <w:szCs w:val="24"/>
          <w:lang w:eastAsia="lv-LV"/>
        </w:rPr>
        <w:t>,</w:t>
      </w:r>
      <w:r w:rsidRPr="001522D7">
        <w:rPr>
          <w:rFonts w:ascii="Times New Roman" w:eastAsia="Times New Roman" w:hAnsi="Times New Roman" w:cs="Times New Roman"/>
          <w:color w:val="000000"/>
          <w:sz w:val="24"/>
          <w:szCs w:val="24"/>
          <w:lang w:eastAsia="lv-LV"/>
        </w:rPr>
        <w:t xml:space="preserve"> un tas būtiski var ietekmēt Stabilitātes programmas rādītājus, tika nolemts, ka Stabilitātes programmas ir jāsag</w:t>
      </w:r>
      <w:r w:rsidR="00EE4325">
        <w:rPr>
          <w:rFonts w:ascii="Times New Roman" w:eastAsia="Times New Roman" w:hAnsi="Times New Roman" w:cs="Times New Roman"/>
          <w:color w:val="000000"/>
          <w:sz w:val="24"/>
          <w:szCs w:val="24"/>
          <w:lang w:eastAsia="lv-LV"/>
        </w:rPr>
        <w:t>atavo un jāiesniedz EK līdz 30.</w:t>
      </w:r>
      <w:r w:rsidRPr="001522D7">
        <w:rPr>
          <w:rFonts w:ascii="Times New Roman" w:eastAsia="Times New Roman" w:hAnsi="Times New Roman" w:cs="Times New Roman"/>
          <w:color w:val="000000"/>
          <w:sz w:val="24"/>
          <w:szCs w:val="24"/>
          <w:lang w:eastAsia="lv-LV"/>
        </w:rPr>
        <w:t>ap</w:t>
      </w:r>
      <w:r w:rsidR="005059C2">
        <w:rPr>
          <w:rFonts w:ascii="Times New Roman" w:eastAsia="Times New Roman" w:hAnsi="Times New Roman" w:cs="Times New Roman"/>
          <w:color w:val="000000"/>
          <w:sz w:val="24"/>
          <w:szCs w:val="24"/>
          <w:lang w:eastAsia="lv-LV"/>
        </w:rPr>
        <w:t>rīlim, kā tas noteikts minētajā</w:t>
      </w:r>
      <w:r w:rsidRPr="001522D7">
        <w:rPr>
          <w:rFonts w:ascii="Times New Roman" w:eastAsia="Times New Roman" w:hAnsi="Times New Roman" w:cs="Times New Roman"/>
          <w:color w:val="000000"/>
          <w:sz w:val="24"/>
          <w:szCs w:val="24"/>
          <w:lang w:eastAsia="lv-LV"/>
        </w:rPr>
        <w:t xml:space="preserve"> regulā. Tas veicinātu informācijas iegūšanu un analīzi, ļautu labāk izstrādāt EK prognozes un dotu vismaz pirmajā tuvinājumā priekštatu par ES ekonomikas un fiskālo stāvokli. Tas, savukārt, dotu iespēju labāk vadīt ekonomikas politiku ar nacionālajiem un ES fiskālajiem instrumentiem.</w:t>
      </w:r>
    </w:p>
    <w:p w14:paraId="7C8F424A" w14:textId="0B764FD4" w:rsidR="001522D7" w:rsidRPr="001522D7" w:rsidRDefault="001522D7" w:rsidP="001522D7">
      <w:pPr>
        <w:spacing w:after="0" w:line="240" w:lineRule="auto"/>
        <w:ind w:firstLine="709"/>
        <w:jc w:val="both"/>
        <w:rPr>
          <w:rFonts w:ascii="Times New Roman" w:eastAsia="Times New Roman" w:hAnsi="Times New Roman" w:cs="Times New Roman"/>
          <w:color w:val="000000"/>
          <w:sz w:val="24"/>
          <w:szCs w:val="24"/>
          <w:lang w:eastAsia="lv-LV"/>
        </w:rPr>
      </w:pPr>
      <w:r w:rsidRPr="001522D7">
        <w:rPr>
          <w:rFonts w:ascii="Times New Roman" w:eastAsia="Times New Roman" w:hAnsi="Times New Roman" w:cs="Times New Roman"/>
          <w:color w:val="000000"/>
          <w:sz w:val="24"/>
          <w:szCs w:val="24"/>
          <w:lang w:eastAsia="lv-LV"/>
        </w:rPr>
        <w:t>Līdz ar to</w:t>
      </w:r>
      <w:r w:rsidR="001A5E50">
        <w:rPr>
          <w:rFonts w:ascii="Times New Roman" w:eastAsia="Times New Roman" w:hAnsi="Times New Roman" w:cs="Times New Roman"/>
          <w:color w:val="000000"/>
          <w:sz w:val="24"/>
          <w:szCs w:val="24"/>
          <w:lang w:eastAsia="lv-LV"/>
        </w:rPr>
        <w:t>,</w:t>
      </w:r>
      <w:r w:rsidRPr="001522D7">
        <w:rPr>
          <w:rFonts w:ascii="Times New Roman" w:eastAsia="Times New Roman" w:hAnsi="Times New Roman" w:cs="Times New Roman"/>
          <w:color w:val="000000"/>
          <w:sz w:val="24"/>
          <w:szCs w:val="24"/>
          <w:lang w:eastAsia="lv-LV"/>
        </w:rPr>
        <w:t xml:space="preserve"> šogad, pretēji nosaukumam, šī St</w:t>
      </w:r>
      <w:r w:rsidR="004B7B5A">
        <w:rPr>
          <w:rFonts w:ascii="Times New Roman" w:eastAsia="Times New Roman" w:hAnsi="Times New Roman" w:cs="Times New Roman"/>
          <w:color w:val="000000"/>
          <w:sz w:val="24"/>
          <w:szCs w:val="24"/>
          <w:lang w:eastAsia="lv-LV"/>
        </w:rPr>
        <w:t>abilitātes programma 2020</w:t>
      </w:r>
      <w:r w:rsidR="009E1135">
        <w:rPr>
          <w:rFonts w:ascii="Times New Roman" w:eastAsia="Times New Roman" w:hAnsi="Times New Roman" w:cs="Times New Roman"/>
          <w:color w:val="000000"/>
          <w:sz w:val="24"/>
          <w:szCs w:val="24"/>
          <w:lang w:eastAsia="lv-LV"/>
        </w:rPr>
        <w:t>.</w:t>
      </w:r>
      <w:r w:rsidR="00254A69" w:rsidRPr="001522D7">
        <w:rPr>
          <w:rFonts w:ascii="Times New Roman" w:eastAsia="Times New Roman" w:hAnsi="Times New Roman" w:cs="Times New Roman"/>
          <w:color w:val="000000"/>
          <w:sz w:val="24"/>
          <w:szCs w:val="24"/>
          <w:lang w:eastAsia="lv-LV"/>
        </w:rPr>
        <w:t>–</w:t>
      </w:r>
      <w:r w:rsidR="00254A69">
        <w:rPr>
          <w:rFonts w:ascii="Times New Roman" w:eastAsia="Times New Roman" w:hAnsi="Times New Roman" w:cs="Times New Roman"/>
          <w:color w:val="000000"/>
          <w:sz w:val="24"/>
          <w:szCs w:val="24"/>
          <w:lang w:eastAsia="lv-LV"/>
        </w:rPr>
        <w:t>2023.</w:t>
      </w:r>
      <w:r w:rsidRPr="001522D7">
        <w:rPr>
          <w:rFonts w:ascii="Times New Roman" w:eastAsia="Times New Roman" w:hAnsi="Times New Roman" w:cs="Times New Roman"/>
          <w:color w:val="000000"/>
          <w:sz w:val="24"/>
          <w:szCs w:val="24"/>
          <w:lang w:eastAsia="lv-LV"/>
        </w:rPr>
        <w:t>gadam nesniedz informāciju ne par drošām makroekonomiskajām prognozēm, ne par stabilu fiskālo pasākumu krīzes pārvarēšanai. Stabilitātes programma ir izstrādāta pamatojoties uz FM šā gada aprīlī izstrādātajām makroekonomiskajām prognozēm un ietver fiskālos pasākumus, kas ir pieņemti M</w:t>
      </w:r>
      <w:r w:rsidR="00254A69">
        <w:rPr>
          <w:rFonts w:ascii="Times New Roman" w:eastAsia="Times New Roman" w:hAnsi="Times New Roman" w:cs="Times New Roman"/>
          <w:color w:val="000000"/>
          <w:sz w:val="24"/>
          <w:szCs w:val="24"/>
          <w:lang w:eastAsia="lv-LV"/>
        </w:rPr>
        <w:t>K līdz šā gada 17.</w:t>
      </w:r>
      <w:r w:rsidRPr="001522D7">
        <w:rPr>
          <w:rFonts w:ascii="Times New Roman" w:eastAsia="Times New Roman" w:hAnsi="Times New Roman" w:cs="Times New Roman"/>
          <w:color w:val="000000"/>
          <w:sz w:val="24"/>
          <w:szCs w:val="24"/>
          <w:lang w:eastAsia="lv-LV"/>
        </w:rPr>
        <w:t>aprīlim. Darbs pie fiskālo pasākumu Covid-19 krīzes mazināšanai izstrādes turpinās, ir uzsākts darbs pie ekonomikas sildīšanas fiskālajiem pasākumiem. Daudz nenoteiktības iever arī makroekonomiskās prognozes, jo tās būtiski atkarīgas no Covid-19 pandēmijas gaitas pasaulē un ar to saistītajiem ierobežojošiem pasākumiem. Līdz ar to</w:t>
      </w:r>
      <w:r w:rsidR="001A5E50">
        <w:rPr>
          <w:rFonts w:ascii="Times New Roman" w:eastAsia="Times New Roman" w:hAnsi="Times New Roman" w:cs="Times New Roman"/>
          <w:color w:val="000000"/>
          <w:sz w:val="24"/>
          <w:szCs w:val="24"/>
          <w:lang w:eastAsia="lv-LV"/>
        </w:rPr>
        <w:t>,</w:t>
      </w:r>
      <w:r w:rsidRPr="001522D7">
        <w:rPr>
          <w:rFonts w:ascii="Times New Roman" w:eastAsia="Times New Roman" w:hAnsi="Times New Roman" w:cs="Times New Roman"/>
          <w:color w:val="000000"/>
          <w:sz w:val="24"/>
          <w:szCs w:val="24"/>
          <w:lang w:eastAsia="lv-LV"/>
        </w:rPr>
        <w:t xml:space="preserve"> faktiskie fiskālie rādītāji atšķirsies no Stabilitātes programmas prognozētajām vērtībām daudz būtiskāk kā citos gados. </w:t>
      </w:r>
    </w:p>
    <w:p w14:paraId="5657F4C1" w14:textId="39F6AAE7" w:rsidR="001522D7" w:rsidRPr="001522D7" w:rsidRDefault="00D4257C" w:rsidP="001522D7">
      <w:pPr>
        <w:spacing w:after="0" w:line="240" w:lineRule="auto"/>
        <w:ind w:firstLine="709"/>
        <w:jc w:val="both"/>
        <w:rPr>
          <w:rFonts w:ascii="Times New Roman" w:eastAsia="Times New Roman" w:hAnsi="Times New Roman" w:cs="Times New Roman"/>
          <w:color w:val="000000"/>
          <w:sz w:val="24"/>
          <w:szCs w:val="24"/>
          <w:lang w:eastAsia="lv-LV"/>
        </w:rPr>
      </w:pPr>
      <w:r w:rsidRPr="001522D7">
        <w:rPr>
          <w:rFonts w:ascii="Times New Roman" w:eastAsia="Times New Roman" w:hAnsi="Times New Roman" w:cs="Times New Roman"/>
          <w:color w:val="000000"/>
          <w:sz w:val="24"/>
          <w:szCs w:val="24"/>
          <w:lang w:eastAsia="lv-LV"/>
        </w:rPr>
        <w:t xml:space="preserve">Atšķirībā no iepriekšējām </w:t>
      </w:r>
      <w:r>
        <w:rPr>
          <w:rFonts w:ascii="Times New Roman" w:eastAsia="Times New Roman" w:hAnsi="Times New Roman" w:cs="Times New Roman"/>
          <w:color w:val="000000"/>
          <w:sz w:val="24"/>
          <w:szCs w:val="24"/>
          <w:lang w:eastAsia="lv-LV"/>
        </w:rPr>
        <w:t>S</w:t>
      </w:r>
      <w:r w:rsidRPr="001522D7">
        <w:rPr>
          <w:rFonts w:ascii="Times New Roman" w:eastAsia="Times New Roman" w:hAnsi="Times New Roman" w:cs="Times New Roman"/>
          <w:color w:val="000000"/>
          <w:sz w:val="24"/>
          <w:szCs w:val="24"/>
          <w:lang w:eastAsia="lv-LV"/>
        </w:rPr>
        <w:t>tabilitātes programmām, šoreiz fiskālās prognozes ir sagatavotas balstoties uz divu makroekonomisko prognožu scenārijiem. Pirmais – bāzes scenārijs</w:t>
      </w:r>
      <w:r>
        <w:rPr>
          <w:rFonts w:ascii="Times New Roman" w:eastAsia="Times New Roman" w:hAnsi="Times New Roman" w:cs="Times New Roman"/>
          <w:color w:val="000000"/>
          <w:sz w:val="24"/>
          <w:szCs w:val="24"/>
          <w:lang w:eastAsia="lv-LV"/>
        </w:rPr>
        <w:t>,</w:t>
      </w:r>
      <w:r w:rsidRPr="001522D7">
        <w:rPr>
          <w:rFonts w:ascii="Times New Roman" w:eastAsia="Times New Roman" w:hAnsi="Times New Roman" w:cs="Times New Roman"/>
          <w:color w:val="000000"/>
          <w:sz w:val="24"/>
          <w:szCs w:val="24"/>
          <w:lang w:eastAsia="lv-LV"/>
        </w:rPr>
        <w:t xml:space="preserve"> ir sagatavots šā gada februārī, kad  šajā kontinenta daļā </w:t>
      </w:r>
      <w:r>
        <w:rPr>
          <w:rFonts w:ascii="Times New Roman" w:eastAsia="Times New Roman" w:hAnsi="Times New Roman" w:cs="Times New Roman"/>
          <w:color w:val="000000"/>
          <w:sz w:val="24"/>
          <w:szCs w:val="24"/>
          <w:lang w:eastAsia="lv-LV"/>
        </w:rPr>
        <w:t xml:space="preserve">vēl </w:t>
      </w:r>
      <w:r w:rsidRPr="001522D7">
        <w:rPr>
          <w:rFonts w:ascii="Times New Roman" w:eastAsia="Times New Roman" w:hAnsi="Times New Roman" w:cs="Times New Roman"/>
          <w:color w:val="000000"/>
          <w:sz w:val="24"/>
          <w:szCs w:val="24"/>
          <w:lang w:eastAsia="lv-LV"/>
        </w:rPr>
        <w:t xml:space="preserve">nebija </w:t>
      </w:r>
      <w:r>
        <w:rPr>
          <w:rFonts w:ascii="Times New Roman" w:eastAsia="Times New Roman" w:hAnsi="Times New Roman" w:cs="Times New Roman"/>
          <w:color w:val="000000"/>
          <w:sz w:val="24"/>
          <w:szCs w:val="24"/>
          <w:lang w:eastAsia="lv-LV"/>
        </w:rPr>
        <w:t xml:space="preserve">sākusies Covid-19 </w:t>
      </w:r>
      <w:r w:rsidRPr="001522D7">
        <w:rPr>
          <w:rFonts w:ascii="Times New Roman" w:eastAsia="Times New Roman" w:hAnsi="Times New Roman" w:cs="Times New Roman"/>
          <w:color w:val="000000"/>
          <w:sz w:val="24"/>
          <w:szCs w:val="24"/>
          <w:lang w:eastAsia="lv-LV"/>
        </w:rPr>
        <w:t>pandēmija, bet otrs scenārijs – Covid-19 scenārijs, kā jau minēts, ir izstrādāts šā gada aprīlī. Lai šajā scenārijā varētu ņemt vērā pēc iespējas vairāk datus par Covi</w:t>
      </w:r>
      <w:r>
        <w:rPr>
          <w:rFonts w:ascii="Times New Roman" w:eastAsia="Times New Roman" w:hAnsi="Times New Roman" w:cs="Times New Roman"/>
          <w:color w:val="000000"/>
          <w:sz w:val="24"/>
          <w:szCs w:val="24"/>
          <w:lang w:eastAsia="lv-LV"/>
        </w:rPr>
        <w:t>d</w:t>
      </w:r>
      <w:r w:rsidRPr="001522D7">
        <w:rPr>
          <w:rFonts w:ascii="Times New Roman" w:eastAsia="Times New Roman" w:hAnsi="Times New Roman" w:cs="Times New Roman"/>
          <w:color w:val="000000"/>
          <w:sz w:val="24"/>
          <w:szCs w:val="24"/>
          <w:lang w:eastAsia="lv-LV"/>
        </w:rPr>
        <w:t>-19 pandēmijas ietekmi uz valsts eko</w:t>
      </w:r>
      <w:r>
        <w:rPr>
          <w:rFonts w:ascii="Times New Roman" w:eastAsia="Times New Roman" w:hAnsi="Times New Roman" w:cs="Times New Roman"/>
          <w:color w:val="000000"/>
          <w:sz w:val="24"/>
          <w:szCs w:val="24"/>
          <w:lang w:eastAsia="lv-LV"/>
        </w:rPr>
        <w:t>nomiku, programmas izstrāde tiek</w:t>
      </w:r>
      <w:r w:rsidRPr="001522D7">
        <w:rPr>
          <w:rFonts w:ascii="Times New Roman" w:eastAsia="Times New Roman" w:hAnsi="Times New Roman" w:cs="Times New Roman"/>
          <w:color w:val="000000"/>
          <w:sz w:val="24"/>
          <w:szCs w:val="24"/>
          <w:lang w:eastAsia="lv-LV"/>
        </w:rPr>
        <w:t xml:space="preserve"> atlikta par divām nedēļām. Pretēji LBFV 28.pantā noteiktajam, ka MK līdz kārtējā gada 15.aprīlim iesniedz Saeimai Latvijas Stabilitātes programmu, likumā “Par valsts apdraudējuma un tā seku novēršanas un pārvarēšanas pasākumiem sakarā ar Covid-19 izplatību” paredzot, ka datums tiek </w:t>
      </w:r>
      <w:r>
        <w:rPr>
          <w:rFonts w:ascii="Times New Roman" w:eastAsia="Times New Roman" w:hAnsi="Times New Roman" w:cs="Times New Roman"/>
          <w:color w:val="000000"/>
          <w:sz w:val="24"/>
          <w:szCs w:val="24"/>
          <w:lang w:eastAsia="lv-LV"/>
        </w:rPr>
        <w:t>mainīts uz 30.</w:t>
      </w:r>
      <w:r w:rsidRPr="001522D7">
        <w:rPr>
          <w:rFonts w:ascii="Times New Roman" w:eastAsia="Times New Roman" w:hAnsi="Times New Roman" w:cs="Times New Roman"/>
          <w:color w:val="000000"/>
          <w:sz w:val="24"/>
          <w:szCs w:val="24"/>
          <w:lang w:eastAsia="lv-LV"/>
        </w:rPr>
        <w:t>aprīli, kas ir pēdējais termiņš Stabilitātes programmas iesniegšanai saskaņā ar minēto regulu.</w:t>
      </w:r>
      <w:r w:rsidR="00365242">
        <w:rPr>
          <w:rFonts w:ascii="Times New Roman" w:eastAsia="Times New Roman" w:hAnsi="Times New Roman" w:cs="Times New Roman"/>
          <w:color w:val="000000"/>
          <w:sz w:val="24"/>
          <w:szCs w:val="24"/>
          <w:lang w:eastAsia="lv-LV"/>
        </w:rPr>
        <w:t xml:space="preserve"> </w:t>
      </w:r>
      <w:r w:rsidR="001522D7" w:rsidRPr="001522D7">
        <w:rPr>
          <w:rFonts w:ascii="Times New Roman" w:eastAsia="Times New Roman" w:hAnsi="Times New Roman" w:cs="Times New Roman"/>
          <w:color w:val="000000"/>
          <w:sz w:val="24"/>
          <w:szCs w:val="24"/>
          <w:lang w:eastAsia="lv-LV"/>
        </w:rPr>
        <w:t>Divu scenāriju izstrāde dod iespēju salīdzināt makroekonomiskos un fiskālos rādītājus un dod labāku priekštatu par krīzes ietekmi mūsu valstī.</w:t>
      </w:r>
    </w:p>
    <w:p w14:paraId="46EEA51E" w14:textId="7D2EB823" w:rsidR="0050445F" w:rsidRPr="0050445F" w:rsidRDefault="00315FBF" w:rsidP="0050445F">
      <w:pPr>
        <w:spacing w:after="0" w:line="240" w:lineRule="auto"/>
        <w:ind w:firstLine="709"/>
        <w:jc w:val="both"/>
        <w:rPr>
          <w:rFonts w:ascii="Times New Roman" w:eastAsia="Times New Roman" w:hAnsi="Times New Roman" w:cs="Times New Roman"/>
          <w:color w:val="000000"/>
          <w:sz w:val="24"/>
          <w:szCs w:val="24"/>
          <w:lang w:eastAsia="lv-LV"/>
        </w:rPr>
      </w:pPr>
      <w:r w:rsidRPr="00315FBF">
        <w:rPr>
          <w:rFonts w:ascii="Times New Roman" w:eastAsia="Times New Roman" w:hAnsi="Times New Roman" w:cs="Times New Roman"/>
          <w:color w:val="000000"/>
          <w:sz w:val="24"/>
          <w:szCs w:val="24"/>
          <w:lang w:eastAsia="lv-LV"/>
        </w:rPr>
        <w:t xml:space="preserve">Salīdzināmajās cenās </w:t>
      </w:r>
      <w:r w:rsidR="0050445F" w:rsidRPr="0050445F">
        <w:rPr>
          <w:rFonts w:ascii="Times New Roman" w:eastAsia="Times New Roman" w:hAnsi="Times New Roman" w:cs="Times New Roman"/>
          <w:color w:val="000000"/>
          <w:sz w:val="24"/>
          <w:szCs w:val="24"/>
          <w:lang w:eastAsia="lv-LV"/>
        </w:rPr>
        <w:t>202</w:t>
      </w:r>
      <w:r w:rsidR="0050445F">
        <w:rPr>
          <w:rFonts w:ascii="Times New Roman" w:eastAsia="Times New Roman" w:hAnsi="Times New Roman" w:cs="Times New Roman"/>
          <w:color w:val="000000"/>
          <w:sz w:val="24"/>
          <w:szCs w:val="24"/>
          <w:lang w:eastAsia="lv-LV"/>
        </w:rPr>
        <w:t>0.</w:t>
      </w:r>
      <w:r w:rsidR="0050445F" w:rsidRPr="0050445F">
        <w:rPr>
          <w:rFonts w:ascii="Times New Roman" w:eastAsia="Times New Roman" w:hAnsi="Times New Roman" w:cs="Times New Roman"/>
          <w:color w:val="000000"/>
          <w:sz w:val="24"/>
          <w:szCs w:val="24"/>
          <w:lang w:eastAsia="lv-LV"/>
        </w:rPr>
        <w:t>ga</w:t>
      </w:r>
      <w:r w:rsidR="004B7B5A">
        <w:rPr>
          <w:rFonts w:ascii="Times New Roman" w:eastAsia="Times New Roman" w:hAnsi="Times New Roman" w:cs="Times New Roman"/>
          <w:color w:val="000000"/>
          <w:sz w:val="24"/>
          <w:szCs w:val="24"/>
          <w:lang w:eastAsia="lv-LV"/>
        </w:rPr>
        <w:t xml:space="preserve">dā tiek prognozēts IKP kritums </w:t>
      </w:r>
      <w:r w:rsidR="0050445F" w:rsidRPr="0050445F">
        <w:rPr>
          <w:rFonts w:ascii="Times New Roman" w:eastAsia="Times New Roman" w:hAnsi="Times New Roman" w:cs="Times New Roman"/>
          <w:color w:val="000000"/>
          <w:sz w:val="24"/>
          <w:szCs w:val="24"/>
          <w:lang w:eastAsia="lv-LV"/>
        </w:rPr>
        <w:t xml:space="preserve">7,0% apmērā </w:t>
      </w:r>
      <w:r w:rsidR="001D7770">
        <w:rPr>
          <w:rFonts w:ascii="Times New Roman" w:eastAsia="Times New Roman" w:hAnsi="Times New Roman" w:cs="Times New Roman"/>
          <w:color w:val="000000"/>
          <w:sz w:val="24"/>
          <w:szCs w:val="24"/>
          <w:lang w:eastAsia="lv-LV"/>
        </w:rPr>
        <w:t>pretēji 2,2</w:t>
      </w:r>
      <w:r w:rsidR="0050445F" w:rsidRPr="0050445F">
        <w:rPr>
          <w:rFonts w:ascii="Times New Roman" w:eastAsia="Times New Roman" w:hAnsi="Times New Roman" w:cs="Times New Roman"/>
          <w:color w:val="000000"/>
          <w:sz w:val="24"/>
          <w:szCs w:val="24"/>
          <w:lang w:eastAsia="lv-LV"/>
        </w:rPr>
        <w:t>% kāpumam, ja krīzes nebūtu</w:t>
      </w:r>
      <w:r w:rsidR="0050445F">
        <w:rPr>
          <w:rFonts w:ascii="Times New Roman" w:eastAsia="Times New Roman" w:hAnsi="Times New Roman" w:cs="Times New Roman"/>
          <w:color w:val="000000"/>
          <w:sz w:val="24"/>
          <w:szCs w:val="24"/>
          <w:lang w:eastAsia="lv-LV"/>
        </w:rPr>
        <w:t>, savukārt 2021.</w:t>
      </w:r>
      <w:r w:rsidR="0050445F" w:rsidRPr="0050445F">
        <w:rPr>
          <w:rFonts w:ascii="Times New Roman" w:eastAsia="Times New Roman" w:hAnsi="Times New Roman" w:cs="Times New Roman"/>
          <w:color w:val="000000"/>
          <w:sz w:val="24"/>
          <w:szCs w:val="24"/>
          <w:lang w:eastAsia="lv-LV"/>
        </w:rPr>
        <w:t>gadā tiek prognozēts IKP pieaugums 1,0% apmērā pretēji bāzes scenārija prognozei ar 2,8% kāpumu.</w:t>
      </w:r>
    </w:p>
    <w:p w14:paraId="4C414CBC" w14:textId="7C02FC7E" w:rsidR="0050445F" w:rsidRPr="0050445F" w:rsidRDefault="0050445F" w:rsidP="0050445F">
      <w:pPr>
        <w:spacing w:after="0" w:line="240" w:lineRule="auto"/>
        <w:ind w:firstLine="709"/>
        <w:jc w:val="both"/>
        <w:rPr>
          <w:rFonts w:ascii="Times New Roman" w:eastAsia="Times New Roman" w:hAnsi="Times New Roman" w:cs="Times New Roman"/>
          <w:color w:val="000000"/>
          <w:sz w:val="24"/>
          <w:szCs w:val="24"/>
          <w:lang w:eastAsia="lv-LV"/>
        </w:rPr>
      </w:pPr>
      <w:r w:rsidRPr="0050445F">
        <w:rPr>
          <w:rFonts w:ascii="Times New Roman" w:eastAsia="Times New Roman" w:hAnsi="Times New Roman" w:cs="Times New Roman"/>
          <w:color w:val="000000"/>
          <w:sz w:val="24"/>
          <w:szCs w:val="24"/>
          <w:lang w:eastAsia="lv-LV"/>
        </w:rPr>
        <w:t>Vispārējās valdības budžeta deficīts šogad tiek prognozēts 9,4% no IKP apmērā jeb par 9</w:t>
      </w:r>
      <w:r w:rsidR="009E1135">
        <w:rPr>
          <w:rFonts w:ascii="Times New Roman" w:eastAsia="Times New Roman" w:hAnsi="Times New Roman" w:cs="Times New Roman"/>
          <w:color w:val="000000"/>
          <w:sz w:val="24"/>
          <w:szCs w:val="24"/>
          <w:lang w:eastAsia="lv-LV"/>
        </w:rPr>
        <w:t>,0</w:t>
      </w:r>
      <w:r w:rsidRPr="0050445F">
        <w:rPr>
          <w:rFonts w:ascii="Times New Roman" w:eastAsia="Times New Roman" w:hAnsi="Times New Roman" w:cs="Times New Roman"/>
          <w:color w:val="000000"/>
          <w:sz w:val="24"/>
          <w:szCs w:val="24"/>
          <w:lang w:eastAsia="lv-LV"/>
        </w:rPr>
        <w:t xml:space="preserve"> procentu punktiem lielāks, kā bāzes scenārijā, neskaitot vēl izstrādes stadijā esošos atbalsta pasākumus.</w:t>
      </w:r>
      <w:r>
        <w:rPr>
          <w:rFonts w:ascii="Times New Roman" w:eastAsia="Times New Roman" w:hAnsi="Times New Roman" w:cs="Times New Roman"/>
          <w:color w:val="000000"/>
          <w:sz w:val="24"/>
          <w:szCs w:val="24"/>
          <w:lang w:eastAsia="lv-LV"/>
        </w:rPr>
        <w:t xml:space="preserve"> Savukārt 2021.</w:t>
      </w:r>
      <w:r w:rsidRPr="0050445F">
        <w:rPr>
          <w:rFonts w:ascii="Times New Roman" w:eastAsia="Times New Roman" w:hAnsi="Times New Roman" w:cs="Times New Roman"/>
          <w:color w:val="000000"/>
          <w:sz w:val="24"/>
          <w:szCs w:val="24"/>
          <w:lang w:eastAsia="lv-LV"/>
        </w:rPr>
        <w:t>gadā pie nemainīgas politikas deficīts samazināsies līdz 5,0% no IKP, pretēji bāzes scenārijā prognozētajam deficītam 0,1% no IKP apmērā.</w:t>
      </w:r>
    </w:p>
    <w:p w14:paraId="0029A42A" w14:textId="7DE83DB7" w:rsidR="0050445F" w:rsidRPr="0050445F" w:rsidRDefault="0050445F" w:rsidP="0050445F">
      <w:pPr>
        <w:spacing w:after="0" w:line="240" w:lineRule="auto"/>
        <w:ind w:firstLine="709"/>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Savukārt, </w:t>
      </w:r>
      <w:r w:rsidR="00315FBF" w:rsidRPr="00315FBF">
        <w:rPr>
          <w:rFonts w:ascii="Times New Roman" w:eastAsia="Times New Roman" w:hAnsi="Times New Roman" w:cs="Times New Roman"/>
          <w:color w:val="000000"/>
          <w:sz w:val="24"/>
          <w:szCs w:val="24"/>
          <w:lang w:eastAsia="lv-LV"/>
        </w:rPr>
        <w:t>vispārējās valdības</w:t>
      </w:r>
      <w:r>
        <w:rPr>
          <w:rFonts w:ascii="Times New Roman" w:eastAsia="Times New Roman" w:hAnsi="Times New Roman" w:cs="Times New Roman"/>
          <w:color w:val="000000"/>
          <w:sz w:val="24"/>
          <w:szCs w:val="24"/>
          <w:lang w:eastAsia="lv-LV"/>
        </w:rPr>
        <w:t xml:space="preserve"> parāds 2020.</w:t>
      </w:r>
      <w:r w:rsidRPr="0050445F">
        <w:rPr>
          <w:rFonts w:ascii="Times New Roman" w:eastAsia="Times New Roman" w:hAnsi="Times New Roman" w:cs="Times New Roman"/>
          <w:color w:val="000000"/>
          <w:sz w:val="24"/>
          <w:szCs w:val="24"/>
          <w:lang w:eastAsia="lv-LV"/>
        </w:rPr>
        <w:t>gadā pretēji bāzes scenārijā prognozētajiem 37,9% no IKP pie</w:t>
      </w:r>
      <w:r>
        <w:rPr>
          <w:rFonts w:ascii="Times New Roman" w:eastAsia="Times New Roman" w:hAnsi="Times New Roman" w:cs="Times New Roman"/>
          <w:color w:val="000000"/>
          <w:sz w:val="24"/>
          <w:szCs w:val="24"/>
          <w:lang w:eastAsia="lv-LV"/>
        </w:rPr>
        <w:t>augs līdz 51,7% no IKP un 2021.gadā</w:t>
      </w:r>
      <w:r w:rsidRPr="0050445F">
        <w:rPr>
          <w:rFonts w:ascii="Times New Roman" w:eastAsia="Times New Roman" w:hAnsi="Times New Roman" w:cs="Times New Roman"/>
          <w:color w:val="000000"/>
          <w:sz w:val="24"/>
          <w:szCs w:val="24"/>
          <w:lang w:eastAsia="lv-LV"/>
        </w:rPr>
        <w:t xml:space="preserve"> sasniegs 52,2% no IKP.</w:t>
      </w:r>
    </w:p>
    <w:p w14:paraId="146AED27" w14:textId="77777777" w:rsidR="00B51617" w:rsidRPr="00D551C4" w:rsidRDefault="00B51617" w:rsidP="00CF7805">
      <w:pPr>
        <w:jc w:val="both"/>
        <w:rPr>
          <w:highlight w:val="yellow"/>
        </w:rPr>
      </w:pPr>
      <w:r w:rsidRPr="00D551C4">
        <w:rPr>
          <w:highlight w:val="yellow"/>
        </w:rPr>
        <w:br w:type="page"/>
      </w:r>
    </w:p>
    <w:p w14:paraId="6518A790" w14:textId="77777777" w:rsidR="005536A9" w:rsidRPr="00DE30C4" w:rsidRDefault="00F512CA" w:rsidP="00F512CA">
      <w:pPr>
        <w:pStyle w:val="Heading1"/>
        <w:numPr>
          <w:ilvl w:val="0"/>
          <w:numId w:val="1"/>
        </w:numPr>
        <w:ind w:left="284" w:hanging="283"/>
        <w:jc w:val="center"/>
        <w:rPr>
          <w:rFonts w:ascii="Times New Roman" w:hAnsi="Times New Roman" w:cs="Times New Roman"/>
          <w:sz w:val="32"/>
        </w:rPr>
      </w:pPr>
      <w:bookmarkStart w:id="2" w:name="_Toc510790651"/>
      <w:bookmarkStart w:id="3" w:name="_Toc5627361"/>
      <w:bookmarkStart w:id="4" w:name="_Toc38887963"/>
      <w:r w:rsidRPr="00DE30C4">
        <w:rPr>
          <w:rFonts w:ascii="Times New Roman" w:hAnsi="Times New Roman" w:cs="Times New Roman"/>
          <w:sz w:val="32"/>
        </w:rPr>
        <w:t>Ekonomiskā situācija</w:t>
      </w:r>
      <w:bookmarkEnd w:id="2"/>
      <w:bookmarkEnd w:id="3"/>
      <w:bookmarkEnd w:id="4"/>
    </w:p>
    <w:p w14:paraId="7DE13A91" w14:textId="77777777" w:rsidR="00B45C68" w:rsidRPr="00DE30C4" w:rsidRDefault="00B45C68" w:rsidP="00B74B22">
      <w:pPr>
        <w:pStyle w:val="Heading2"/>
        <w:numPr>
          <w:ilvl w:val="1"/>
          <w:numId w:val="4"/>
        </w:numPr>
        <w:spacing w:before="120" w:after="60"/>
        <w:ind w:left="1134" w:hanging="425"/>
        <w:rPr>
          <w:rFonts w:ascii="Times New Roman" w:hAnsi="Times New Roman" w:cs="Times New Roman"/>
          <w:sz w:val="24"/>
          <w:szCs w:val="24"/>
        </w:rPr>
      </w:pPr>
      <w:bookmarkStart w:id="5" w:name="_Toc479331082"/>
      <w:bookmarkStart w:id="6" w:name="_Toc510790652"/>
      <w:bookmarkStart w:id="7" w:name="_Toc5627362"/>
      <w:bookmarkStart w:id="8" w:name="_Toc38887964"/>
      <w:r w:rsidRPr="00DE30C4">
        <w:rPr>
          <w:rFonts w:ascii="Times New Roman" w:hAnsi="Times New Roman" w:cs="Times New Roman"/>
          <w:sz w:val="24"/>
          <w:szCs w:val="24"/>
        </w:rPr>
        <w:t>Ārējā ekonomiskā vide</w:t>
      </w:r>
      <w:bookmarkEnd w:id="5"/>
      <w:bookmarkEnd w:id="6"/>
      <w:bookmarkEnd w:id="7"/>
      <w:bookmarkEnd w:id="8"/>
    </w:p>
    <w:p w14:paraId="4490C529" w14:textId="58DDEA6B" w:rsidR="00DE30C4" w:rsidRPr="00DE30C4" w:rsidRDefault="00DE30C4" w:rsidP="00DE30C4">
      <w:pPr>
        <w:spacing w:after="0" w:line="240" w:lineRule="auto"/>
        <w:ind w:firstLine="709"/>
        <w:jc w:val="both"/>
        <w:rPr>
          <w:rFonts w:ascii="Times New Roman" w:hAnsi="Times New Roman" w:cs="Times New Roman"/>
          <w:sz w:val="24"/>
          <w:szCs w:val="20"/>
        </w:rPr>
      </w:pPr>
      <w:bookmarkStart w:id="9" w:name="_Toc479331083"/>
      <w:bookmarkStart w:id="10" w:name="_Toc510790653"/>
      <w:r w:rsidRPr="00DE30C4">
        <w:rPr>
          <w:rFonts w:ascii="Times New Roman" w:hAnsi="Times New Roman" w:cs="Times New Roman"/>
          <w:sz w:val="24"/>
          <w:szCs w:val="20"/>
        </w:rPr>
        <w:t>Pasaule</w:t>
      </w:r>
      <w:r w:rsidR="00B36A27">
        <w:rPr>
          <w:rFonts w:ascii="Times New Roman" w:hAnsi="Times New Roman" w:cs="Times New Roman"/>
          <w:sz w:val="24"/>
          <w:szCs w:val="20"/>
        </w:rPr>
        <w:t>s ekonomikas izaugsme pēc 2018.</w:t>
      </w:r>
      <w:r w:rsidRPr="00DE30C4">
        <w:rPr>
          <w:rFonts w:ascii="Times New Roman" w:hAnsi="Times New Roman" w:cs="Times New Roman"/>
          <w:sz w:val="24"/>
          <w:szCs w:val="20"/>
        </w:rPr>
        <w:t xml:space="preserve">gadā sasniegtā paātrinājuma līdz 3,6% pagājušajā gadā palēninājās līdz 2,9% un līdzīga situācija bija arī </w:t>
      </w:r>
      <w:r w:rsidR="00E82EB6" w:rsidRPr="00E82EB6">
        <w:rPr>
          <w:rFonts w:ascii="Times New Roman" w:eastAsia="Calibri" w:hAnsi="Times New Roman" w:cs="Times New Roman"/>
          <w:i/>
          <w:color w:val="000000"/>
          <w:sz w:val="24"/>
          <w:szCs w:val="24"/>
        </w:rPr>
        <w:t>euro</w:t>
      </w:r>
      <w:r w:rsidR="00E82EB6">
        <w:rPr>
          <w:rFonts w:ascii="Times New Roman" w:eastAsia="Calibri" w:hAnsi="Times New Roman" w:cs="Times New Roman"/>
          <w:color w:val="000000"/>
          <w:sz w:val="24"/>
          <w:szCs w:val="24"/>
        </w:rPr>
        <w:t xml:space="preserve"> </w:t>
      </w:r>
      <w:r w:rsidR="00E82EB6" w:rsidRPr="00B0388A">
        <w:rPr>
          <w:rFonts w:ascii="Times New Roman" w:eastAsia="Calibri" w:hAnsi="Times New Roman" w:cs="Times New Roman"/>
          <w:color w:val="000000"/>
          <w:sz w:val="24"/>
          <w:szCs w:val="24"/>
        </w:rPr>
        <w:t>z</w:t>
      </w:r>
      <w:r w:rsidR="00E82EB6">
        <w:rPr>
          <w:rFonts w:ascii="Times New Roman" w:eastAsia="Calibri" w:hAnsi="Times New Roman" w:cs="Times New Roman"/>
          <w:color w:val="000000"/>
          <w:sz w:val="24"/>
          <w:szCs w:val="24"/>
        </w:rPr>
        <w:t>on</w:t>
      </w:r>
      <w:r w:rsidRPr="00DE30C4">
        <w:rPr>
          <w:rFonts w:ascii="Times New Roman" w:hAnsi="Times New Roman" w:cs="Times New Roman"/>
          <w:sz w:val="24"/>
          <w:szCs w:val="20"/>
        </w:rPr>
        <w:t xml:space="preserve">ā, izaugsmei palēninoties no 1,9% līdz 1,2%. Lai gan gada otrajā pusē jau sāka izskanēt brīdinājumi, ka drīzumā recesijā varētu nonākt gan ASV, gan </w:t>
      </w:r>
      <w:r w:rsidR="00E82EB6" w:rsidRPr="00E82EB6">
        <w:rPr>
          <w:rFonts w:ascii="Times New Roman" w:eastAsia="Calibri" w:hAnsi="Times New Roman" w:cs="Times New Roman"/>
          <w:i/>
          <w:color w:val="000000"/>
          <w:sz w:val="24"/>
          <w:szCs w:val="24"/>
        </w:rPr>
        <w:t>euro</w:t>
      </w:r>
      <w:r w:rsidR="00E82EB6">
        <w:rPr>
          <w:rFonts w:ascii="Times New Roman" w:eastAsia="Calibri" w:hAnsi="Times New Roman" w:cs="Times New Roman"/>
          <w:color w:val="000000"/>
          <w:sz w:val="24"/>
          <w:szCs w:val="24"/>
        </w:rPr>
        <w:t xml:space="preserve"> </w:t>
      </w:r>
      <w:r w:rsidR="00E82EB6" w:rsidRPr="00B0388A">
        <w:rPr>
          <w:rFonts w:ascii="Times New Roman" w:eastAsia="Calibri" w:hAnsi="Times New Roman" w:cs="Times New Roman"/>
          <w:color w:val="000000"/>
          <w:sz w:val="24"/>
          <w:szCs w:val="24"/>
        </w:rPr>
        <w:t>z</w:t>
      </w:r>
      <w:r w:rsidR="00E82EB6">
        <w:rPr>
          <w:rFonts w:ascii="Times New Roman" w:eastAsia="Calibri" w:hAnsi="Times New Roman" w:cs="Times New Roman"/>
          <w:color w:val="000000"/>
          <w:sz w:val="24"/>
          <w:szCs w:val="24"/>
        </w:rPr>
        <w:t>on</w:t>
      </w:r>
      <w:r w:rsidRPr="00DE30C4">
        <w:rPr>
          <w:rFonts w:ascii="Times New Roman" w:hAnsi="Times New Roman" w:cs="Times New Roman"/>
          <w:sz w:val="24"/>
          <w:szCs w:val="20"/>
        </w:rPr>
        <w:t>as ekonomika, vēl 2020. gada sākumā tika sagaidīts, ka ekonomikas izaugsme pasaulē un Eiropā šogad kļūs nedaudz straujāka. Tomēr līdz ar Covid-19 uzliesmojumu un arvien plašāku slimības izplatību visā pasaulē kļuvis skaid</w:t>
      </w:r>
      <w:r w:rsidR="00B36A27">
        <w:rPr>
          <w:rFonts w:ascii="Times New Roman" w:hAnsi="Times New Roman" w:cs="Times New Roman"/>
          <w:sz w:val="24"/>
          <w:szCs w:val="20"/>
        </w:rPr>
        <w:t>rs, ka pasaules ekonomika 2020.</w:t>
      </w:r>
      <w:r w:rsidRPr="00DE30C4">
        <w:rPr>
          <w:rFonts w:ascii="Times New Roman" w:hAnsi="Times New Roman" w:cs="Times New Roman"/>
          <w:sz w:val="24"/>
          <w:szCs w:val="20"/>
        </w:rPr>
        <w:t xml:space="preserve">gadā piedzīvos recesiju, kuras dziļums un smagums būs atkarīgs no tā, cik ilgu laiku prasīs vīrusa izplatības ierobežošana. </w:t>
      </w:r>
    </w:p>
    <w:p w14:paraId="00E892BC" w14:textId="7C76F729" w:rsidR="00DE30C4" w:rsidRPr="00DE30C4" w:rsidRDefault="00DE30C4" w:rsidP="00DE30C4">
      <w:pPr>
        <w:spacing w:after="0" w:line="240" w:lineRule="auto"/>
        <w:ind w:firstLine="709"/>
        <w:jc w:val="both"/>
        <w:rPr>
          <w:rFonts w:ascii="Times New Roman" w:hAnsi="Times New Roman" w:cs="Times New Roman"/>
          <w:sz w:val="24"/>
          <w:szCs w:val="20"/>
        </w:rPr>
      </w:pPr>
      <w:r w:rsidRPr="00DE30C4">
        <w:rPr>
          <w:rFonts w:ascii="Times New Roman" w:hAnsi="Times New Roman" w:cs="Times New Roman"/>
          <w:sz w:val="24"/>
          <w:szCs w:val="20"/>
        </w:rPr>
        <w:t xml:space="preserve">Pēc </w:t>
      </w:r>
      <w:r>
        <w:rPr>
          <w:rFonts w:ascii="Times New Roman" w:hAnsi="Times New Roman" w:cs="Times New Roman"/>
          <w:sz w:val="24"/>
          <w:szCs w:val="20"/>
        </w:rPr>
        <w:t>SVF</w:t>
      </w:r>
      <w:r w:rsidRPr="00DE30C4">
        <w:rPr>
          <w:rFonts w:ascii="Times New Roman" w:hAnsi="Times New Roman" w:cs="Times New Roman"/>
          <w:sz w:val="24"/>
          <w:szCs w:val="20"/>
        </w:rPr>
        <w:t xml:space="preserve"> jaunākajām prognozēm, pasaules ekonomikas rece</w:t>
      </w:r>
      <w:r w:rsidR="00B36A27">
        <w:rPr>
          <w:rFonts w:ascii="Times New Roman" w:hAnsi="Times New Roman" w:cs="Times New Roman"/>
          <w:sz w:val="24"/>
          <w:szCs w:val="20"/>
        </w:rPr>
        <w:t>sija būs vēl smagāka kā 2009.</w:t>
      </w:r>
      <w:r w:rsidRPr="00DE30C4">
        <w:rPr>
          <w:rFonts w:ascii="Times New Roman" w:hAnsi="Times New Roman" w:cs="Times New Roman"/>
          <w:sz w:val="24"/>
          <w:szCs w:val="20"/>
        </w:rPr>
        <w:t>gadā, kad pasaules eko</w:t>
      </w:r>
      <w:r w:rsidR="00B36A27">
        <w:rPr>
          <w:rFonts w:ascii="Times New Roman" w:hAnsi="Times New Roman" w:cs="Times New Roman"/>
          <w:sz w:val="24"/>
          <w:szCs w:val="20"/>
        </w:rPr>
        <w:t xml:space="preserve">nomika saruka par 0,1%. </w:t>
      </w:r>
      <w:r w:rsidR="00D4257C">
        <w:rPr>
          <w:rFonts w:ascii="Times New Roman" w:hAnsi="Times New Roman" w:cs="Times New Roman"/>
          <w:sz w:val="24"/>
          <w:szCs w:val="20"/>
        </w:rPr>
        <w:t xml:space="preserve">Šā gada </w:t>
      </w:r>
      <w:r w:rsidR="00B36A27">
        <w:rPr>
          <w:rFonts w:ascii="Times New Roman" w:hAnsi="Times New Roman" w:cs="Times New Roman"/>
          <w:sz w:val="24"/>
          <w:szCs w:val="20"/>
        </w:rPr>
        <w:t>14.</w:t>
      </w:r>
      <w:r w:rsidRPr="00DE30C4">
        <w:rPr>
          <w:rFonts w:ascii="Times New Roman" w:hAnsi="Times New Roman" w:cs="Times New Roman"/>
          <w:sz w:val="24"/>
          <w:szCs w:val="20"/>
        </w:rPr>
        <w:t xml:space="preserve">aprīlī SVF prognozējis, ka pasaules ekonomika šogad saruks par 3,0%, nākamajā gadā izaugsmei atjaunojoties un kopproduktam palielinoties par 5,8%. Līdzīgas prognozes par globālās izaugsmes kritumu publiskojušas arī citas pasaules vadošās organizācijas un finanšu kompānijas. Ja ekonomiskā aktivitāte Ķīnā, kas sākotnēji bija vīrusa izplatības epicentrs, pēc divu mēnešu paralīzes jau ir sākusi atjaunoties, citur pasaulē, pirmkārt Eiropā un ASV, aktivitāte turpina kristies, un pašlaik nav pārliecinošu prognožu, kad vīrusa izplatības mazināšanai noteiktie ierobežojumi varētu tikt atcelti. Ķīnas ekonomikai SVF šim gadam prognozē 1,2% pieaugumu, kamēr </w:t>
      </w:r>
      <w:r w:rsidR="00E82EB6" w:rsidRPr="00E82EB6">
        <w:rPr>
          <w:rFonts w:ascii="Times New Roman" w:eastAsia="Calibri" w:hAnsi="Times New Roman" w:cs="Times New Roman"/>
          <w:i/>
          <w:color w:val="000000"/>
          <w:sz w:val="24"/>
          <w:szCs w:val="24"/>
        </w:rPr>
        <w:t>euro</w:t>
      </w:r>
      <w:r w:rsidR="00E82EB6">
        <w:rPr>
          <w:rFonts w:ascii="Times New Roman" w:eastAsia="Calibri" w:hAnsi="Times New Roman" w:cs="Times New Roman"/>
          <w:color w:val="000000"/>
          <w:sz w:val="24"/>
          <w:szCs w:val="24"/>
        </w:rPr>
        <w:t xml:space="preserve"> </w:t>
      </w:r>
      <w:r w:rsidR="00E82EB6" w:rsidRPr="00B0388A">
        <w:rPr>
          <w:rFonts w:ascii="Times New Roman" w:eastAsia="Calibri" w:hAnsi="Times New Roman" w:cs="Times New Roman"/>
          <w:color w:val="000000"/>
          <w:sz w:val="24"/>
          <w:szCs w:val="24"/>
        </w:rPr>
        <w:t>z</w:t>
      </w:r>
      <w:r w:rsidR="00E82EB6">
        <w:rPr>
          <w:rFonts w:ascii="Times New Roman" w:eastAsia="Calibri" w:hAnsi="Times New Roman" w:cs="Times New Roman"/>
          <w:color w:val="000000"/>
          <w:sz w:val="24"/>
          <w:szCs w:val="24"/>
        </w:rPr>
        <w:t>on</w:t>
      </w:r>
      <w:r w:rsidRPr="00DE30C4">
        <w:rPr>
          <w:rFonts w:ascii="Times New Roman" w:hAnsi="Times New Roman" w:cs="Times New Roman"/>
          <w:sz w:val="24"/>
          <w:szCs w:val="20"/>
        </w:rPr>
        <w:t>as un ASV ekonomikai tiek prognozēts attiecīgi 7,5% un 5,9% kritums.</w:t>
      </w:r>
    </w:p>
    <w:p w14:paraId="7551EBCB" w14:textId="701D6F56" w:rsidR="00DE30C4" w:rsidRPr="00DE30C4" w:rsidRDefault="00DE30C4" w:rsidP="00DE30C4">
      <w:pPr>
        <w:spacing w:after="0" w:line="240" w:lineRule="auto"/>
        <w:ind w:firstLine="709"/>
        <w:jc w:val="both"/>
        <w:rPr>
          <w:rFonts w:ascii="Times New Roman" w:hAnsi="Times New Roman" w:cs="Times New Roman"/>
          <w:sz w:val="24"/>
          <w:szCs w:val="20"/>
        </w:rPr>
      </w:pPr>
      <w:r w:rsidRPr="00DE30C4">
        <w:rPr>
          <w:rFonts w:ascii="Times New Roman" w:hAnsi="Times New Roman" w:cs="Times New Roman"/>
          <w:sz w:val="24"/>
          <w:szCs w:val="20"/>
        </w:rPr>
        <w:t xml:space="preserve">Latvijas lielākajām ārējās tirdzniecības partnervalstīm </w:t>
      </w:r>
      <w:r w:rsidR="004B7B5A">
        <w:rPr>
          <w:rFonts w:ascii="Times New Roman" w:hAnsi="Times New Roman" w:cs="Times New Roman"/>
          <w:sz w:val="24"/>
          <w:szCs w:val="20"/>
        </w:rPr>
        <w:t>Igaunijai un Lietuvai SVF 2020.</w:t>
      </w:r>
      <w:r w:rsidRPr="00DE30C4">
        <w:rPr>
          <w:rFonts w:ascii="Times New Roman" w:hAnsi="Times New Roman" w:cs="Times New Roman"/>
          <w:sz w:val="24"/>
          <w:szCs w:val="20"/>
        </w:rPr>
        <w:t xml:space="preserve">gadam prognozējis attiecīgi </w:t>
      </w:r>
      <w:r w:rsidR="004B7B5A">
        <w:rPr>
          <w:rFonts w:ascii="Times New Roman" w:hAnsi="Times New Roman" w:cs="Times New Roman"/>
          <w:sz w:val="24"/>
          <w:szCs w:val="20"/>
        </w:rPr>
        <w:t>7,5</w:t>
      </w:r>
      <w:r w:rsidR="00B36A27">
        <w:rPr>
          <w:rFonts w:ascii="Times New Roman" w:hAnsi="Times New Roman" w:cs="Times New Roman"/>
          <w:sz w:val="24"/>
          <w:szCs w:val="20"/>
        </w:rPr>
        <w:t>% un 8,1% kritumu, ko 2021.</w:t>
      </w:r>
      <w:r w:rsidRPr="00DE30C4">
        <w:rPr>
          <w:rFonts w:ascii="Times New Roman" w:hAnsi="Times New Roman" w:cs="Times New Roman"/>
          <w:sz w:val="24"/>
          <w:szCs w:val="20"/>
        </w:rPr>
        <w:t>gadā nomainīs 7,9% un 8,2% izaugsme. Iepriekš š</w:t>
      </w:r>
      <w:r w:rsidR="00B36A27">
        <w:rPr>
          <w:rFonts w:ascii="Times New Roman" w:hAnsi="Times New Roman" w:cs="Times New Roman"/>
          <w:sz w:val="24"/>
          <w:szCs w:val="20"/>
        </w:rPr>
        <w:t>o valstu centrālās bankas 2020.</w:t>
      </w:r>
      <w:r w:rsidRPr="00DE30C4">
        <w:rPr>
          <w:rFonts w:ascii="Times New Roman" w:hAnsi="Times New Roman" w:cs="Times New Roman"/>
          <w:sz w:val="24"/>
          <w:szCs w:val="20"/>
        </w:rPr>
        <w:t xml:space="preserve">gadam bija prognozējušas attiecīgi vairāk nekā par 6% </w:t>
      </w:r>
      <w:r>
        <w:rPr>
          <w:rFonts w:ascii="Times New Roman" w:hAnsi="Times New Roman" w:cs="Times New Roman"/>
          <w:sz w:val="24"/>
          <w:szCs w:val="20"/>
        </w:rPr>
        <w:t>IKP</w:t>
      </w:r>
      <w:r w:rsidRPr="00DE30C4">
        <w:rPr>
          <w:rFonts w:ascii="Times New Roman" w:hAnsi="Times New Roman" w:cs="Times New Roman"/>
          <w:sz w:val="24"/>
          <w:szCs w:val="20"/>
        </w:rPr>
        <w:t xml:space="preserve"> kritumu Igaunijai un 11,4% IKP kritumu kā centrālo scenāriju Lietuvai.</w:t>
      </w:r>
    </w:p>
    <w:p w14:paraId="62CFBF1C" w14:textId="0662228F" w:rsidR="00DE30C4" w:rsidRPr="00DE30C4" w:rsidRDefault="00DE30C4" w:rsidP="00DE30C4">
      <w:pPr>
        <w:spacing w:after="0" w:line="240" w:lineRule="auto"/>
        <w:ind w:firstLine="709"/>
        <w:jc w:val="both"/>
        <w:rPr>
          <w:rFonts w:ascii="Times New Roman" w:hAnsi="Times New Roman" w:cs="Times New Roman"/>
          <w:sz w:val="24"/>
          <w:szCs w:val="20"/>
        </w:rPr>
      </w:pPr>
      <w:r w:rsidRPr="00DE30C4">
        <w:rPr>
          <w:rFonts w:ascii="Times New Roman" w:hAnsi="Times New Roman" w:cs="Times New Roman"/>
          <w:sz w:val="24"/>
          <w:szCs w:val="20"/>
        </w:rPr>
        <w:t>Pastāvot ļoti augstai nenoteiktībai par Covid-19 ierobežošanai nepieciešamo laiku, gan pasaules, gan Latvijas galveno eksporta partnervalstu ekonomiskās attīstības prognozes pēdējā pusotra mēneša laikā ir tikušas visai strauji koriģētas un ar šādām korekcijām jārēķinās arī turpmāk. Latvijas makroekonomisko rādītāju prognozes tika izstrādātas aprīļa sākumā, ņemot vērā tajā brīdī pieejamo informāciju un prognozes par pasaules ekonomikas</w:t>
      </w:r>
      <w:r w:rsidR="00B36A27">
        <w:rPr>
          <w:rFonts w:ascii="Times New Roman" w:hAnsi="Times New Roman" w:cs="Times New Roman"/>
          <w:sz w:val="24"/>
          <w:szCs w:val="20"/>
        </w:rPr>
        <w:t xml:space="preserve"> attīstību un izmantojot EK 25.</w:t>
      </w:r>
      <w:r w:rsidRPr="00DE30C4">
        <w:rPr>
          <w:rFonts w:ascii="Times New Roman" w:hAnsi="Times New Roman" w:cs="Times New Roman"/>
          <w:sz w:val="24"/>
          <w:szCs w:val="20"/>
        </w:rPr>
        <w:t xml:space="preserve">marta prognožu tehniskos pieņēmumus, kas paredzēja, ka pasaules </w:t>
      </w:r>
      <w:r w:rsidR="00B36A27">
        <w:rPr>
          <w:rFonts w:ascii="Times New Roman" w:hAnsi="Times New Roman" w:cs="Times New Roman"/>
          <w:sz w:val="24"/>
          <w:szCs w:val="20"/>
        </w:rPr>
        <w:t>ekonomika, neskaitot ES, 2020.</w:t>
      </w:r>
      <w:r w:rsidRPr="00DE30C4">
        <w:rPr>
          <w:rFonts w:ascii="Times New Roman" w:hAnsi="Times New Roman" w:cs="Times New Roman"/>
          <w:sz w:val="24"/>
          <w:szCs w:val="20"/>
        </w:rPr>
        <w:t>gadā palielināsies par 1,1%, kas bija par 2,2 procentpunktiem mazāk</w:t>
      </w:r>
      <w:r w:rsidR="00D4257C">
        <w:rPr>
          <w:rFonts w:ascii="Times New Roman" w:hAnsi="Times New Roman" w:cs="Times New Roman"/>
          <w:sz w:val="24"/>
          <w:szCs w:val="20"/>
        </w:rPr>
        <w:t xml:space="preserve"> </w:t>
      </w:r>
      <w:r w:rsidRPr="00DE30C4">
        <w:rPr>
          <w:rFonts w:ascii="Times New Roman" w:hAnsi="Times New Roman" w:cs="Times New Roman"/>
          <w:sz w:val="24"/>
          <w:szCs w:val="20"/>
        </w:rPr>
        <w:t xml:space="preserve">kā </w:t>
      </w:r>
      <w:r w:rsidR="00B36A27">
        <w:rPr>
          <w:rFonts w:ascii="Times New Roman" w:hAnsi="Times New Roman" w:cs="Times New Roman"/>
          <w:sz w:val="24"/>
          <w:szCs w:val="20"/>
        </w:rPr>
        <w:t>EK bija paredzējusi savās 2019.</w:t>
      </w:r>
      <w:r w:rsidRPr="00DE30C4">
        <w:rPr>
          <w:rFonts w:ascii="Times New Roman" w:hAnsi="Times New Roman" w:cs="Times New Roman"/>
          <w:sz w:val="24"/>
          <w:szCs w:val="20"/>
        </w:rPr>
        <w:t>gada rudens prognozēs.</w:t>
      </w:r>
    </w:p>
    <w:p w14:paraId="56E37DFF" w14:textId="30EF905E" w:rsidR="00DE30C4" w:rsidRPr="00DE30C4" w:rsidRDefault="00DE30C4" w:rsidP="004B7B5A">
      <w:pPr>
        <w:spacing w:after="0" w:line="240" w:lineRule="auto"/>
        <w:ind w:firstLine="709"/>
        <w:jc w:val="both"/>
        <w:rPr>
          <w:rFonts w:ascii="Times New Roman" w:hAnsi="Times New Roman" w:cs="Times New Roman"/>
          <w:sz w:val="24"/>
          <w:szCs w:val="20"/>
        </w:rPr>
      </w:pPr>
      <w:r w:rsidRPr="00DE30C4">
        <w:rPr>
          <w:rFonts w:ascii="Times New Roman" w:hAnsi="Times New Roman" w:cs="Times New Roman"/>
          <w:sz w:val="24"/>
          <w:szCs w:val="20"/>
        </w:rPr>
        <w:t>Covid-19 straujā izplatība un tās radītie draudi ekonomikai radījuši progresējošu nestabilitāti pasaules finanšu tirgos, izraisot izejvielu preču cenu kritumu</w:t>
      </w:r>
      <w:r w:rsidR="00D4257C">
        <w:rPr>
          <w:rFonts w:ascii="Times New Roman" w:hAnsi="Times New Roman" w:cs="Times New Roman"/>
          <w:sz w:val="24"/>
          <w:szCs w:val="20"/>
        </w:rPr>
        <w:t>,</w:t>
      </w:r>
      <w:r w:rsidRPr="00DE30C4">
        <w:rPr>
          <w:rFonts w:ascii="Times New Roman" w:hAnsi="Times New Roman" w:cs="Times New Roman"/>
          <w:sz w:val="24"/>
          <w:szCs w:val="20"/>
        </w:rPr>
        <w:t xml:space="preserve"> straujas valūtu kursu un akciju cenu svārstības. Naftas cenas kritušās lī</w:t>
      </w:r>
      <w:r w:rsidR="00B36A27">
        <w:rPr>
          <w:rFonts w:ascii="Times New Roman" w:hAnsi="Times New Roman" w:cs="Times New Roman"/>
          <w:sz w:val="24"/>
          <w:szCs w:val="20"/>
        </w:rPr>
        <w:t>dz zemākajam līmenim kopš 2003.</w:t>
      </w:r>
      <w:r w:rsidRPr="00DE30C4">
        <w:rPr>
          <w:rFonts w:ascii="Times New Roman" w:hAnsi="Times New Roman" w:cs="Times New Roman"/>
          <w:sz w:val="24"/>
          <w:szCs w:val="20"/>
        </w:rPr>
        <w:t xml:space="preserve">gada, </w:t>
      </w:r>
      <w:r w:rsidRPr="00DE30C4">
        <w:rPr>
          <w:rFonts w:ascii="Times New Roman" w:hAnsi="Times New Roman" w:cs="Times New Roman"/>
          <w:i/>
          <w:sz w:val="24"/>
          <w:szCs w:val="20"/>
        </w:rPr>
        <w:t>Brent</w:t>
      </w:r>
      <w:r w:rsidRPr="00DE30C4">
        <w:rPr>
          <w:rFonts w:ascii="Times New Roman" w:hAnsi="Times New Roman" w:cs="Times New Roman"/>
          <w:sz w:val="24"/>
          <w:szCs w:val="20"/>
        </w:rPr>
        <w:t xml:space="preserve"> jēlnaftas cenai no 66 dolāriem par barelu gada sākumā samazinoties līdz 27 dolāriem par barelu aprīļa vidū. Mazākā apmērā, bet samazinājušās arī rūpniecisko metālu un lauksaimniecības preču cenas. Straujas svārstības – sākotnēji ļoti strauju kritumu un pēc tam daļēju atgūšanos piedzīvojuši pasaules akciju tirgi. </w:t>
      </w:r>
    </w:p>
    <w:p w14:paraId="70657DE5" w14:textId="34F68DF8" w:rsidR="00DE30C4" w:rsidRPr="00DE30C4" w:rsidRDefault="00DE30C4" w:rsidP="00DE30C4">
      <w:pPr>
        <w:spacing w:after="0" w:line="240" w:lineRule="auto"/>
        <w:ind w:firstLine="720"/>
        <w:jc w:val="both"/>
        <w:rPr>
          <w:rFonts w:ascii="Times New Roman" w:hAnsi="Times New Roman" w:cs="Times New Roman"/>
          <w:sz w:val="24"/>
          <w:szCs w:val="20"/>
        </w:rPr>
      </w:pPr>
      <w:r w:rsidRPr="00DE30C4">
        <w:rPr>
          <w:rFonts w:ascii="Times New Roman" w:hAnsi="Times New Roman" w:cs="Times New Roman"/>
          <w:sz w:val="24"/>
          <w:szCs w:val="20"/>
        </w:rPr>
        <w:t>Reaģējot uz ekonomiskās situācijas kraso pasliktināšanos, pasaules valstu centrālās bankas ir pastiprinājušas monetārās stimulēšanas pasākumus. AS</w:t>
      </w:r>
      <w:r w:rsidR="00B36A27">
        <w:rPr>
          <w:rFonts w:ascii="Times New Roman" w:hAnsi="Times New Roman" w:cs="Times New Roman"/>
          <w:sz w:val="24"/>
          <w:szCs w:val="20"/>
        </w:rPr>
        <w:t>V Federālo rezervju sistēma 15.</w:t>
      </w:r>
      <w:r w:rsidRPr="00DE30C4">
        <w:rPr>
          <w:rFonts w:ascii="Times New Roman" w:hAnsi="Times New Roman" w:cs="Times New Roman"/>
          <w:sz w:val="24"/>
          <w:szCs w:val="20"/>
        </w:rPr>
        <w:t>martā samazināja bāzes procentlikmi līdz 0-0,2</w:t>
      </w:r>
      <w:r w:rsidR="00B36A27">
        <w:rPr>
          <w:rFonts w:ascii="Times New Roman" w:hAnsi="Times New Roman" w:cs="Times New Roman"/>
          <w:sz w:val="24"/>
          <w:szCs w:val="20"/>
        </w:rPr>
        <w:t>5%, bet 23.</w:t>
      </w:r>
      <w:r w:rsidRPr="00DE30C4">
        <w:rPr>
          <w:rFonts w:ascii="Times New Roman" w:hAnsi="Times New Roman" w:cs="Times New Roman"/>
          <w:sz w:val="24"/>
          <w:szCs w:val="20"/>
        </w:rPr>
        <w:t xml:space="preserve">martā paziņoja par valsts vērtspapīru iegādi neierobežotā apmērā, lai palīdzētu pārvarēt Covid-19 krīzes ietekmi. </w:t>
      </w:r>
      <w:r w:rsidRPr="009408B2">
        <w:rPr>
          <w:rFonts w:ascii="Times New Roman" w:hAnsi="Times New Roman" w:cs="Times New Roman"/>
          <w:sz w:val="24"/>
          <w:szCs w:val="20"/>
        </w:rPr>
        <w:t>Eiropas Centrālā banka</w:t>
      </w:r>
      <w:r w:rsidR="00B36A27">
        <w:rPr>
          <w:rFonts w:ascii="Times New Roman" w:hAnsi="Times New Roman" w:cs="Times New Roman"/>
          <w:sz w:val="24"/>
          <w:szCs w:val="20"/>
        </w:rPr>
        <w:t xml:space="preserve"> savukārt 19.</w:t>
      </w:r>
      <w:r w:rsidRPr="00DE30C4">
        <w:rPr>
          <w:rFonts w:ascii="Times New Roman" w:hAnsi="Times New Roman" w:cs="Times New Roman"/>
          <w:sz w:val="24"/>
          <w:szCs w:val="20"/>
        </w:rPr>
        <w:t xml:space="preserve">martā uzsāka valdības un uzņēmumu obligāciju uzpirkšanas programmu 750 miljardu </w:t>
      </w:r>
      <w:r w:rsidRPr="00DE30C4">
        <w:rPr>
          <w:rFonts w:ascii="Times New Roman" w:hAnsi="Times New Roman" w:cs="Times New Roman"/>
          <w:i/>
          <w:sz w:val="24"/>
          <w:szCs w:val="20"/>
        </w:rPr>
        <w:t>euro</w:t>
      </w:r>
      <w:r w:rsidRPr="00DE30C4">
        <w:rPr>
          <w:rFonts w:ascii="Times New Roman" w:hAnsi="Times New Roman" w:cs="Times New Roman"/>
          <w:sz w:val="24"/>
          <w:szCs w:val="20"/>
        </w:rPr>
        <w:t xml:space="preserve"> apmērā.</w:t>
      </w:r>
    </w:p>
    <w:p w14:paraId="009BA75E" w14:textId="77777777" w:rsidR="00E53D87" w:rsidRPr="00D551C4" w:rsidRDefault="00E53D87" w:rsidP="00E53D87">
      <w:pPr>
        <w:spacing w:after="0" w:line="240" w:lineRule="auto"/>
        <w:ind w:firstLine="578"/>
        <w:jc w:val="both"/>
        <w:rPr>
          <w:rFonts w:ascii="Times New Roman" w:eastAsia="Calibri" w:hAnsi="Times New Roman" w:cs="Times New Roman"/>
          <w:sz w:val="24"/>
          <w:highlight w:val="yellow"/>
        </w:rPr>
      </w:pPr>
    </w:p>
    <w:p w14:paraId="6E706749" w14:textId="77777777" w:rsidR="00E53D87" w:rsidRPr="00D551C4" w:rsidRDefault="00E53D87" w:rsidP="00E53D87">
      <w:pPr>
        <w:pStyle w:val="ListParagraph"/>
        <w:spacing w:after="0" w:line="240" w:lineRule="auto"/>
        <w:ind w:left="360"/>
        <w:jc w:val="both"/>
        <w:rPr>
          <w:rFonts w:ascii="Times New Roman" w:eastAsia="Calibri" w:hAnsi="Times New Roman" w:cs="Times New Roman"/>
          <w:sz w:val="24"/>
          <w:highlight w:val="yellow"/>
        </w:rPr>
      </w:pPr>
    </w:p>
    <w:p w14:paraId="693746D1" w14:textId="77777777" w:rsidR="00DE30C4" w:rsidRPr="00BC3E35" w:rsidRDefault="00DE30C4" w:rsidP="00B74B22">
      <w:pPr>
        <w:pStyle w:val="Heading2"/>
        <w:numPr>
          <w:ilvl w:val="1"/>
          <w:numId w:val="4"/>
        </w:numPr>
        <w:spacing w:before="0" w:after="120" w:line="240" w:lineRule="auto"/>
        <w:ind w:left="777" w:firstLine="0"/>
        <w:jc w:val="both"/>
        <w:rPr>
          <w:rFonts w:ascii="Times New Roman" w:hAnsi="Times New Roman" w:cs="Times New Roman"/>
          <w:sz w:val="24"/>
        </w:rPr>
      </w:pPr>
      <w:bookmarkStart w:id="11" w:name="_Toc479331084"/>
      <w:bookmarkStart w:id="12" w:name="_Toc510790654"/>
      <w:bookmarkStart w:id="13" w:name="_Toc38887965"/>
      <w:bookmarkEnd w:id="9"/>
      <w:bookmarkEnd w:id="10"/>
      <w:r w:rsidRPr="00E53D87">
        <w:rPr>
          <w:rFonts w:ascii="Times New Roman" w:hAnsi="Times New Roman" w:cs="Times New Roman"/>
          <w:sz w:val="24"/>
        </w:rPr>
        <w:t xml:space="preserve">Pašreizējā ekonomiskā </w:t>
      </w:r>
      <w:r>
        <w:rPr>
          <w:rFonts w:ascii="Times New Roman" w:hAnsi="Times New Roman" w:cs="Times New Roman"/>
          <w:sz w:val="24"/>
        </w:rPr>
        <w:t>attīstība</w:t>
      </w:r>
      <w:bookmarkEnd w:id="13"/>
    </w:p>
    <w:p w14:paraId="08A4A981" w14:textId="155BB334" w:rsidR="00DE30C4" w:rsidRDefault="00DE30C4" w:rsidP="00DE30C4">
      <w:pPr>
        <w:spacing w:after="0" w:line="240" w:lineRule="auto"/>
        <w:ind w:firstLine="720"/>
        <w:jc w:val="both"/>
        <w:rPr>
          <w:rFonts w:ascii="Times New Roman" w:hAnsi="Times New Roman" w:cs="Times New Roman"/>
          <w:sz w:val="24"/>
          <w:szCs w:val="20"/>
        </w:rPr>
      </w:pPr>
      <w:r w:rsidRPr="00525EA7">
        <w:rPr>
          <w:rFonts w:ascii="Times New Roman" w:hAnsi="Times New Roman" w:cs="Times New Roman"/>
          <w:sz w:val="24"/>
          <w:szCs w:val="20"/>
        </w:rPr>
        <w:t>Pēc Latvijas ekonomiskās izaugsm</w:t>
      </w:r>
      <w:r w:rsidR="00B36A27">
        <w:rPr>
          <w:rFonts w:ascii="Times New Roman" w:hAnsi="Times New Roman" w:cs="Times New Roman"/>
          <w:sz w:val="24"/>
          <w:szCs w:val="20"/>
        </w:rPr>
        <w:t>es paātrināšanās 2017. un 2018.</w:t>
      </w:r>
      <w:r w:rsidRPr="00525EA7">
        <w:rPr>
          <w:rFonts w:ascii="Times New Roman" w:hAnsi="Times New Roman" w:cs="Times New Roman"/>
          <w:sz w:val="24"/>
          <w:szCs w:val="20"/>
        </w:rPr>
        <w:t>gadā līdz attiecīgi 3,8% un 4,3%, ko noteica augošais ārējais pieprasījums un investīc</w:t>
      </w:r>
      <w:r w:rsidR="00B36A27">
        <w:rPr>
          <w:rFonts w:ascii="Times New Roman" w:hAnsi="Times New Roman" w:cs="Times New Roman"/>
          <w:sz w:val="24"/>
          <w:szCs w:val="20"/>
        </w:rPr>
        <w:t>iju plūsmas atjaunošanās, 2019.</w:t>
      </w:r>
      <w:r w:rsidRPr="00525EA7">
        <w:rPr>
          <w:rFonts w:ascii="Times New Roman" w:hAnsi="Times New Roman" w:cs="Times New Roman"/>
          <w:sz w:val="24"/>
          <w:szCs w:val="20"/>
        </w:rPr>
        <w:t xml:space="preserve">gadā </w:t>
      </w:r>
      <w:r>
        <w:rPr>
          <w:rFonts w:ascii="Times New Roman" w:hAnsi="Times New Roman" w:cs="Times New Roman"/>
          <w:sz w:val="24"/>
          <w:szCs w:val="20"/>
        </w:rPr>
        <w:t>ekonomikas</w:t>
      </w:r>
      <w:r w:rsidRPr="00525EA7">
        <w:rPr>
          <w:rFonts w:ascii="Times New Roman" w:hAnsi="Times New Roman" w:cs="Times New Roman"/>
          <w:sz w:val="24"/>
          <w:szCs w:val="20"/>
        </w:rPr>
        <w:t xml:space="preserve"> pieauguma temps atkal kļuva lēnāks. Pērn Latvijas </w:t>
      </w:r>
      <w:r>
        <w:rPr>
          <w:rFonts w:ascii="Times New Roman" w:hAnsi="Times New Roman" w:cs="Times New Roman"/>
          <w:sz w:val="24"/>
          <w:szCs w:val="20"/>
        </w:rPr>
        <w:t>IKP salīdzināmās cenās</w:t>
      </w:r>
      <w:r w:rsidRPr="00525EA7">
        <w:rPr>
          <w:rFonts w:ascii="Times New Roman" w:hAnsi="Times New Roman" w:cs="Times New Roman"/>
          <w:sz w:val="24"/>
          <w:szCs w:val="20"/>
        </w:rPr>
        <w:t xml:space="preserve"> </w:t>
      </w:r>
      <w:r>
        <w:rPr>
          <w:rFonts w:ascii="Times New Roman" w:hAnsi="Times New Roman" w:cs="Times New Roman"/>
          <w:sz w:val="24"/>
          <w:szCs w:val="20"/>
        </w:rPr>
        <w:t>palielinājās par</w:t>
      </w:r>
      <w:r w:rsidRPr="00525EA7">
        <w:rPr>
          <w:rFonts w:ascii="Times New Roman" w:hAnsi="Times New Roman" w:cs="Times New Roman"/>
          <w:sz w:val="24"/>
          <w:szCs w:val="20"/>
        </w:rPr>
        <w:t xml:space="preserve"> 2,2</w:t>
      </w:r>
      <w:r>
        <w:rPr>
          <w:rFonts w:ascii="Times New Roman" w:hAnsi="Times New Roman" w:cs="Times New Roman"/>
          <w:sz w:val="24"/>
          <w:szCs w:val="20"/>
        </w:rPr>
        <w:t>%.</w:t>
      </w:r>
    </w:p>
    <w:p w14:paraId="30076AB8" w14:textId="4E094196" w:rsidR="00DE30C4" w:rsidRDefault="00DE30C4" w:rsidP="00DE30C4">
      <w:pPr>
        <w:spacing w:after="240" w:line="240" w:lineRule="auto"/>
        <w:ind w:firstLine="720"/>
        <w:jc w:val="both"/>
        <w:rPr>
          <w:rFonts w:ascii="Times New Roman" w:hAnsi="Times New Roman" w:cs="Times New Roman"/>
          <w:sz w:val="24"/>
          <w:szCs w:val="20"/>
        </w:rPr>
      </w:pPr>
      <w:r w:rsidRPr="00B15917">
        <w:rPr>
          <w:rFonts w:ascii="Times New Roman" w:hAnsi="Times New Roman" w:cs="Times New Roman"/>
          <w:sz w:val="24"/>
          <w:szCs w:val="20"/>
        </w:rPr>
        <w:t>Izau</w:t>
      </w:r>
      <w:r w:rsidR="00EE4325">
        <w:rPr>
          <w:rFonts w:ascii="Times New Roman" w:hAnsi="Times New Roman" w:cs="Times New Roman"/>
          <w:sz w:val="24"/>
          <w:szCs w:val="20"/>
        </w:rPr>
        <w:t>gsmes tempu sabremzēšanos 2019.</w:t>
      </w:r>
      <w:r w:rsidRPr="00B15917">
        <w:rPr>
          <w:rFonts w:ascii="Times New Roman" w:hAnsi="Times New Roman" w:cs="Times New Roman"/>
          <w:sz w:val="24"/>
          <w:szCs w:val="20"/>
        </w:rPr>
        <w:t>gadā noteica gan ārējās vides pasliktināšanās, gan vairāki vienreizēji iekšēji faktori –</w:t>
      </w:r>
      <w:r>
        <w:rPr>
          <w:rFonts w:ascii="Times New Roman" w:hAnsi="Times New Roman" w:cs="Times New Roman"/>
          <w:sz w:val="24"/>
          <w:szCs w:val="20"/>
        </w:rPr>
        <w:t xml:space="preserve"> </w:t>
      </w:r>
      <w:r w:rsidRPr="00B15917">
        <w:rPr>
          <w:rFonts w:ascii="Times New Roman" w:hAnsi="Times New Roman" w:cs="Times New Roman"/>
          <w:sz w:val="24"/>
          <w:szCs w:val="20"/>
        </w:rPr>
        <w:t xml:space="preserve">enerģētikas nozarei nelabvēlīgie laika apstākļi gada pirmajā pusē, </w:t>
      </w:r>
      <w:r>
        <w:rPr>
          <w:rFonts w:ascii="Times New Roman" w:hAnsi="Times New Roman" w:cs="Times New Roman"/>
          <w:sz w:val="24"/>
          <w:szCs w:val="20"/>
        </w:rPr>
        <w:t xml:space="preserve">tranzīta kritums, kā arī </w:t>
      </w:r>
      <w:r w:rsidRPr="00B15917">
        <w:rPr>
          <w:rFonts w:ascii="Times New Roman" w:hAnsi="Times New Roman" w:cs="Times New Roman"/>
          <w:sz w:val="24"/>
          <w:szCs w:val="20"/>
        </w:rPr>
        <w:t xml:space="preserve">finanšu pakalpojumu eksporta samazināšanās. </w:t>
      </w:r>
      <w:r>
        <w:rPr>
          <w:rFonts w:ascii="Times New Roman" w:hAnsi="Times New Roman" w:cs="Times New Roman"/>
          <w:sz w:val="24"/>
          <w:szCs w:val="20"/>
        </w:rPr>
        <w:t>Savukārt Latvijas ekonomi</w:t>
      </w:r>
      <w:r w:rsidRPr="00B15917">
        <w:rPr>
          <w:rFonts w:ascii="Times New Roman" w:hAnsi="Times New Roman" w:cs="Times New Roman"/>
          <w:sz w:val="24"/>
          <w:szCs w:val="20"/>
        </w:rPr>
        <w:t>kas izaugsmi</w:t>
      </w:r>
      <w:r w:rsidR="00B36A27">
        <w:rPr>
          <w:rFonts w:ascii="Times New Roman" w:hAnsi="Times New Roman" w:cs="Times New Roman"/>
          <w:sz w:val="24"/>
          <w:szCs w:val="20"/>
        </w:rPr>
        <w:t xml:space="preserve"> 2019.</w:t>
      </w:r>
      <w:r>
        <w:rPr>
          <w:rFonts w:ascii="Times New Roman" w:hAnsi="Times New Roman" w:cs="Times New Roman"/>
          <w:sz w:val="24"/>
          <w:szCs w:val="20"/>
        </w:rPr>
        <w:t>gadā nodrošināja iekšzemes pieprasījuma pieaugums, privātajam patēriņam</w:t>
      </w:r>
      <w:r w:rsidRPr="00B15917">
        <w:rPr>
          <w:rFonts w:ascii="Times New Roman" w:hAnsi="Times New Roman" w:cs="Times New Roman"/>
          <w:sz w:val="24"/>
          <w:szCs w:val="20"/>
        </w:rPr>
        <w:t xml:space="preserve"> </w:t>
      </w:r>
      <w:r>
        <w:rPr>
          <w:rFonts w:ascii="Times New Roman" w:hAnsi="Times New Roman" w:cs="Times New Roman"/>
          <w:sz w:val="24"/>
          <w:szCs w:val="20"/>
        </w:rPr>
        <w:t xml:space="preserve">palielinoties par 2,9%, </w:t>
      </w:r>
      <w:r w:rsidRPr="00B15917">
        <w:rPr>
          <w:rFonts w:ascii="Times New Roman" w:hAnsi="Times New Roman" w:cs="Times New Roman"/>
          <w:sz w:val="24"/>
          <w:szCs w:val="20"/>
        </w:rPr>
        <w:t xml:space="preserve">ko veicināja joprojām strauji augošā darba samaksa un bezdarba līmeņa samazināšanās. </w:t>
      </w:r>
      <w:r>
        <w:rPr>
          <w:rFonts w:ascii="Times New Roman" w:hAnsi="Times New Roman" w:cs="Times New Roman"/>
          <w:sz w:val="24"/>
          <w:szCs w:val="20"/>
        </w:rPr>
        <w:t xml:space="preserve">Sabiedriskais patēriņš tajā pašā laikā pieauga par 2,6%. </w:t>
      </w:r>
      <w:r w:rsidRPr="00B15917">
        <w:rPr>
          <w:rFonts w:ascii="Times New Roman" w:hAnsi="Times New Roman" w:cs="Times New Roman"/>
          <w:sz w:val="24"/>
          <w:szCs w:val="20"/>
        </w:rPr>
        <w:t>Stabilizējoties ES fondu investīciju plūsmai, ieguldījumi bruto pamatkapitālā pērn pieauga aptuveni</w:t>
      </w:r>
      <w:r w:rsidR="00656D26">
        <w:rPr>
          <w:rFonts w:ascii="Times New Roman" w:hAnsi="Times New Roman" w:cs="Times New Roman"/>
          <w:sz w:val="24"/>
          <w:szCs w:val="20"/>
        </w:rPr>
        <w:t xml:space="preserve"> piecreiz lēnāk </w:t>
      </w:r>
      <w:r w:rsidR="00857D2B">
        <w:rPr>
          <w:rFonts w:ascii="Times New Roman" w:hAnsi="Times New Roman" w:cs="Times New Roman"/>
          <w:sz w:val="24"/>
          <w:szCs w:val="20"/>
        </w:rPr>
        <w:t>kā 2018.</w:t>
      </w:r>
      <w:r>
        <w:rPr>
          <w:rFonts w:ascii="Times New Roman" w:hAnsi="Times New Roman" w:cs="Times New Roman"/>
          <w:sz w:val="24"/>
          <w:szCs w:val="20"/>
        </w:rPr>
        <w:t>gadā – par 3,1%.</w:t>
      </w:r>
      <w:r w:rsidRPr="00B15917">
        <w:rPr>
          <w:rFonts w:ascii="Times New Roman" w:hAnsi="Times New Roman" w:cs="Times New Roman"/>
          <w:sz w:val="24"/>
          <w:szCs w:val="20"/>
        </w:rPr>
        <w:t xml:space="preserve"> Savukārt straujāku eksporta pieaugumu kavēja pasaules ekonomiskās izaugsmes un globālās tirdzniecības sabremzēšanās, kā arī preču reeksporta apjomu straujš kritums. Tikmēr Latvijā ražoto preču eksports pērn pieauga, ko īpaši pozitīvi ietekmēja augstie graudaugu eksporta apjomi, turklāt noturīgs kāpums tika reģistrēts arī pakalpojumu eksportā. </w:t>
      </w:r>
      <w:r w:rsidR="00B36A27">
        <w:rPr>
          <w:rFonts w:ascii="Times New Roman" w:hAnsi="Times New Roman" w:cs="Times New Roman"/>
          <w:sz w:val="24"/>
          <w:szCs w:val="20"/>
        </w:rPr>
        <w:t>Tādējādi 2019.</w:t>
      </w:r>
      <w:r>
        <w:rPr>
          <w:rFonts w:ascii="Times New Roman" w:hAnsi="Times New Roman" w:cs="Times New Roman"/>
          <w:sz w:val="24"/>
          <w:szCs w:val="20"/>
        </w:rPr>
        <w:t>gadā kopējais preču un pakalpojumu eksports bi</w:t>
      </w:r>
      <w:r w:rsidR="00B36A27">
        <w:rPr>
          <w:rFonts w:ascii="Times New Roman" w:hAnsi="Times New Roman" w:cs="Times New Roman"/>
          <w:sz w:val="24"/>
          <w:szCs w:val="20"/>
        </w:rPr>
        <w:t>ja par 2,0% augstāks nekā 2018.</w:t>
      </w:r>
      <w:r>
        <w:rPr>
          <w:rFonts w:ascii="Times New Roman" w:hAnsi="Times New Roman" w:cs="Times New Roman"/>
          <w:sz w:val="24"/>
          <w:szCs w:val="20"/>
        </w:rPr>
        <w:t xml:space="preserve">gadā. </w:t>
      </w:r>
      <w:r w:rsidRPr="00B15917">
        <w:rPr>
          <w:rFonts w:ascii="Times New Roman" w:hAnsi="Times New Roman" w:cs="Times New Roman"/>
          <w:sz w:val="24"/>
          <w:szCs w:val="20"/>
        </w:rPr>
        <w:t xml:space="preserve">Tajā pašā laikā preču un pakalpojumu importa </w:t>
      </w:r>
      <w:r>
        <w:rPr>
          <w:rFonts w:ascii="Times New Roman" w:hAnsi="Times New Roman" w:cs="Times New Roman"/>
          <w:sz w:val="24"/>
          <w:szCs w:val="20"/>
        </w:rPr>
        <w:t>kāpums</w:t>
      </w:r>
      <w:r w:rsidRPr="00B15917">
        <w:rPr>
          <w:rFonts w:ascii="Times New Roman" w:hAnsi="Times New Roman" w:cs="Times New Roman"/>
          <w:sz w:val="24"/>
          <w:szCs w:val="20"/>
        </w:rPr>
        <w:t xml:space="preserve"> bija straujāks par eksportu, </w:t>
      </w:r>
      <w:r>
        <w:rPr>
          <w:rFonts w:ascii="Times New Roman" w:hAnsi="Times New Roman" w:cs="Times New Roman"/>
          <w:sz w:val="24"/>
          <w:szCs w:val="20"/>
        </w:rPr>
        <w:t xml:space="preserve">pieaugumam veidojot 2,3%, </w:t>
      </w:r>
      <w:r w:rsidRPr="00B15917">
        <w:rPr>
          <w:rFonts w:ascii="Times New Roman" w:hAnsi="Times New Roman" w:cs="Times New Roman"/>
          <w:sz w:val="24"/>
          <w:szCs w:val="20"/>
        </w:rPr>
        <w:t xml:space="preserve">tādējādi neto eksporta devums Latvijas ekonomiskajā izaugsmē </w:t>
      </w:r>
      <w:r>
        <w:rPr>
          <w:rFonts w:ascii="Times New Roman" w:hAnsi="Times New Roman" w:cs="Times New Roman"/>
          <w:sz w:val="24"/>
          <w:szCs w:val="20"/>
        </w:rPr>
        <w:t xml:space="preserve">pērn </w:t>
      </w:r>
      <w:r w:rsidRPr="00B15917">
        <w:rPr>
          <w:rFonts w:ascii="Times New Roman" w:hAnsi="Times New Roman" w:cs="Times New Roman"/>
          <w:sz w:val="24"/>
          <w:szCs w:val="20"/>
        </w:rPr>
        <w:t>bija negatīvs.</w:t>
      </w:r>
    </w:p>
    <w:p w14:paraId="2795D8CE" w14:textId="77777777" w:rsidR="00DE30C4" w:rsidRDefault="00DE30C4" w:rsidP="00DE30C4">
      <w:pPr>
        <w:spacing w:after="120" w:line="240" w:lineRule="auto"/>
        <w:ind w:firstLine="720"/>
        <w:jc w:val="both"/>
        <w:rPr>
          <w:rFonts w:ascii="Times New Roman" w:hAnsi="Times New Roman" w:cs="Times New Roman"/>
          <w:b/>
          <w:i/>
          <w:sz w:val="24"/>
          <w:szCs w:val="20"/>
        </w:rPr>
      </w:pPr>
      <w:r w:rsidRPr="006747BC">
        <w:rPr>
          <w:rFonts w:ascii="Times New Roman" w:hAnsi="Times New Roman" w:cs="Times New Roman"/>
          <w:b/>
          <w:i/>
          <w:sz w:val="24"/>
          <w:szCs w:val="20"/>
        </w:rPr>
        <w:t>Nozaru attīstība</w:t>
      </w:r>
      <w:r>
        <w:rPr>
          <w:rFonts w:ascii="Times New Roman" w:hAnsi="Times New Roman" w:cs="Times New Roman"/>
          <w:b/>
          <w:i/>
          <w:sz w:val="24"/>
          <w:szCs w:val="20"/>
        </w:rPr>
        <w:t xml:space="preserve"> </w:t>
      </w:r>
    </w:p>
    <w:p w14:paraId="3AAB2703" w14:textId="73850CE5" w:rsidR="00DE30C4"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Latvijas ekonomisko izaugsmi pērn noteica noturīgs privātais patēriņš, tādējādi arī nozaru griezumā lielāko devumu valsts tautsaimniecības pievienotās vērtības kāpumā nodrošināja uz iekšējo tirgu vērsto nozaru stabilā attīstība. Tā, piemēram, </w:t>
      </w:r>
      <w:r w:rsidRPr="00441B18">
        <w:rPr>
          <w:rFonts w:ascii="Times New Roman" w:hAnsi="Times New Roman" w:cs="Times New Roman"/>
          <w:b/>
          <w:sz w:val="24"/>
          <w:szCs w:val="20"/>
        </w:rPr>
        <w:t>tirdzniecības</w:t>
      </w:r>
      <w:r>
        <w:rPr>
          <w:rFonts w:ascii="Times New Roman" w:hAnsi="Times New Roman" w:cs="Times New Roman"/>
          <w:sz w:val="24"/>
          <w:szCs w:val="20"/>
        </w:rPr>
        <w:t xml:space="preserve"> nozares pievienotā v</w:t>
      </w:r>
      <w:r w:rsidR="00B36A27">
        <w:rPr>
          <w:rFonts w:ascii="Times New Roman" w:hAnsi="Times New Roman" w:cs="Times New Roman"/>
          <w:sz w:val="24"/>
          <w:szCs w:val="20"/>
        </w:rPr>
        <w:t>ērtība salīdzināmās cenās 2019.</w:t>
      </w:r>
      <w:r>
        <w:rPr>
          <w:rFonts w:ascii="Times New Roman" w:hAnsi="Times New Roman" w:cs="Times New Roman"/>
          <w:sz w:val="24"/>
          <w:szCs w:val="20"/>
        </w:rPr>
        <w:t>gadā palielinājās par 4,1%, ko noteica straujāks vairumtirdzniecības apjomu pieaugums. Tikmēr mazumtirdzniecībā kāpums bija lēnāks, tam sasniedzot 2,4%. Augstāku mazumtirdzniecības apjomu pieaugumu ierobežoja vājie pārtikas un autodegvielas pārdošanas apjomu kāpumi, kamēr nepārtikas preču, izņemot degvielu, mazumtirdzniecības pieauguma temps bija ātrāks un atbilda reālās neto darb</w:t>
      </w:r>
      <w:r w:rsidR="00B36A27">
        <w:rPr>
          <w:rFonts w:ascii="Times New Roman" w:hAnsi="Times New Roman" w:cs="Times New Roman"/>
          <w:sz w:val="24"/>
          <w:szCs w:val="20"/>
        </w:rPr>
        <w:t>a samaksas kāpumam valstī 2019.</w:t>
      </w:r>
      <w:r>
        <w:rPr>
          <w:rFonts w:ascii="Times New Roman" w:hAnsi="Times New Roman" w:cs="Times New Roman"/>
          <w:sz w:val="24"/>
          <w:szCs w:val="20"/>
        </w:rPr>
        <w:t>gadā. Šā gada sākumā mazumtirdzniecības apjomu pieaugums bija straujāks par pē</w:t>
      </w:r>
      <w:r w:rsidR="00B36A27">
        <w:rPr>
          <w:rFonts w:ascii="Times New Roman" w:hAnsi="Times New Roman" w:cs="Times New Roman"/>
          <w:sz w:val="24"/>
          <w:szCs w:val="20"/>
        </w:rPr>
        <w:t>rnā gada kopējo sniegumu, 2020.</w:t>
      </w:r>
      <w:r>
        <w:rPr>
          <w:rFonts w:ascii="Times New Roman" w:hAnsi="Times New Roman" w:cs="Times New Roman"/>
          <w:sz w:val="24"/>
          <w:szCs w:val="20"/>
        </w:rPr>
        <w:t>gada pirmajos divos</w:t>
      </w:r>
      <w:r w:rsidR="00B36A27">
        <w:rPr>
          <w:rFonts w:ascii="Times New Roman" w:hAnsi="Times New Roman" w:cs="Times New Roman"/>
          <w:sz w:val="24"/>
          <w:szCs w:val="20"/>
        </w:rPr>
        <w:t xml:space="preserve"> mēnešos salīdzinājumā ar 2019.</w:t>
      </w:r>
      <w:r>
        <w:rPr>
          <w:rFonts w:ascii="Times New Roman" w:hAnsi="Times New Roman" w:cs="Times New Roman"/>
          <w:sz w:val="24"/>
          <w:szCs w:val="20"/>
        </w:rPr>
        <w:t xml:space="preserve">gada attiecīgo laika posmu mazumtirdzniecības apgrozījumam salīdzināmās cenās palielinoties par 3,3%. To noteica gan straujāks nepārtikas preču, atskaitot degvielu, gan pārtikas preču veikalu tirdzniecības kāpums – attiecīgi par 5,3% un 3,8%. Tajā pašā laikā autodegvielas tirdzniecība saruka – par 3,3% gada griezumā. Saistībā ar Covid-19 izplatību Latvijā un no tā izrietošajiem ierobežojumiem sagaidāms, ka martā strauji pieaugs pārdošanas apjomi pārtikas preču veikalos. Savukārt mazumtirdzniecības apjomus citās preču grupās negatīvi ietekmēs aicinājums iedzīvotājus ievērot fizisko distancēšanos, kā arī citas ar vīrusa izplatību saistītās sekas, piemēram, vairojoties nenoteiktībai par savu finansiālo situāciju, iedzīvotāji varētu samazināt savu patēriņu un lemt par lielāku uzkrājumu veikšanu. </w:t>
      </w:r>
    </w:p>
    <w:p w14:paraId="4AAEECD2" w14:textId="67FD0F24" w:rsidR="00DE30C4" w:rsidRPr="00AC528F" w:rsidRDefault="00DE30C4" w:rsidP="00B36A27">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Citas ar vietējo tirgu saistītās </w:t>
      </w:r>
      <w:r w:rsidRPr="004462EB">
        <w:rPr>
          <w:rFonts w:ascii="Times New Roman" w:hAnsi="Times New Roman" w:cs="Times New Roman"/>
          <w:b/>
          <w:sz w:val="24"/>
          <w:szCs w:val="20"/>
        </w:rPr>
        <w:t>pakalpojumu nozares</w:t>
      </w:r>
      <w:r w:rsidR="00B36A27">
        <w:rPr>
          <w:rFonts w:ascii="Times New Roman" w:hAnsi="Times New Roman" w:cs="Times New Roman"/>
          <w:sz w:val="24"/>
          <w:szCs w:val="20"/>
        </w:rPr>
        <w:t xml:space="preserve"> 2019.</w:t>
      </w:r>
      <w:r>
        <w:rPr>
          <w:rFonts w:ascii="Times New Roman" w:hAnsi="Times New Roman" w:cs="Times New Roman"/>
          <w:sz w:val="24"/>
          <w:szCs w:val="20"/>
        </w:rPr>
        <w:t xml:space="preserve">gadā arī nodrošināja būtisku devumu Latvijas ekonomiskajā izaugsmē. </w:t>
      </w:r>
      <w:r w:rsidRPr="004462EB">
        <w:rPr>
          <w:rFonts w:ascii="Times New Roman" w:hAnsi="Times New Roman" w:cs="Times New Roman"/>
          <w:sz w:val="24"/>
          <w:szCs w:val="20"/>
        </w:rPr>
        <w:t>Veselība</w:t>
      </w:r>
      <w:r>
        <w:rPr>
          <w:rFonts w:ascii="Times New Roman" w:hAnsi="Times New Roman" w:cs="Times New Roman"/>
          <w:sz w:val="24"/>
          <w:szCs w:val="20"/>
        </w:rPr>
        <w:t>s</w:t>
      </w:r>
      <w:r w:rsidRPr="004462EB">
        <w:rPr>
          <w:rFonts w:ascii="Times New Roman" w:hAnsi="Times New Roman" w:cs="Times New Roman"/>
          <w:sz w:val="24"/>
          <w:szCs w:val="20"/>
        </w:rPr>
        <w:t xml:space="preserve"> un sociālā</w:t>
      </w:r>
      <w:r>
        <w:rPr>
          <w:rFonts w:ascii="Times New Roman" w:hAnsi="Times New Roman" w:cs="Times New Roman"/>
          <w:sz w:val="24"/>
          <w:szCs w:val="20"/>
        </w:rPr>
        <w:t>s</w:t>
      </w:r>
      <w:r w:rsidRPr="004462EB">
        <w:rPr>
          <w:rFonts w:ascii="Times New Roman" w:hAnsi="Times New Roman" w:cs="Times New Roman"/>
          <w:sz w:val="24"/>
          <w:szCs w:val="20"/>
        </w:rPr>
        <w:t xml:space="preserve"> aprūpe</w:t>
      </w:r>
      <w:r>
        <w:rPr>
          <w:rFonts w:ascii="Times New Roman" w:hAnsi="Times New Roman" w:cs="Times New Roman"/>
          <w:sz w:val="24"/>
          <w:szCs w:val="20"/>
        </w:rPr>
        <w:t xml:space="preserve">s jomā </w:t>
      </w:r>
      <w:r w:rsidR="00B36A27">
        <w:rPr>
          <w:rFonts w:ascii="Times New Roman" w:hAnsi="Times New Roman" w:cs="Times New Roman"/>
          <w:sz w:val="24"/>
          <w:szCs w:val="20"/>
        </w:rPr>
        <w:t>radītā pievienotā vērtība 2019.</w:t>
      </w:r>
      <w:r>
        <w:rPr>
          <w:rFonts w:ascii="Times New Roman" w:hAnsi="Times New Roman" w:cs="Times New Roman"/>
          <w:sz w:val="24"/>
          <w:szCs w:val="20"/>
        </w:rPr>
        <w:t>gadā pieauga par 9,5%, i</w:t>
      </w:r>
      <w:r w:rsidRPr="004462EB">
        <w:rPr>
          <w:rFonts w:ascii="Times New Roman" w:hAnsi="Times New Roman" w:cs="Times New Roman"/>
          <w:sz w:val="24"/>
          <w:szCs w:val="20"/>
        </w:rPr>
        <w:t>zmitināšana</w:t>
      </w:r>
      <w:r>
        <w:rPr>
          <w:rFonts w:ascii="Times New Roman" w:hAnsi="Times New Roman" w:cs="Times New Roman"/>
          <w:sz w:val="24"/>
          <w:szCs w:val="20"/>
        </w:rPr>
        <w:t>s un ēdināšanas pakalpojumu – par 8,0%, p</w:t>
      </w:r>
      <w:r w:rsidRPr="004462EB">
        <w:rPr>
          <w:rFonts w:ascii="Times New Roman" w:hAnsi="Times New Roman" w:cs="Times New Roman"/>
          <w:sz w:val="24"/>
          <w:szCs w:val="20"/>
        </w:rPr>
        <w:t>rofesionālie, zināt</w:t>
      </w:r>
      <w:r>
        <w:rPr>
          <w:rFonts w:ascii="Times New Roman" w:hAnsi="Times New Roman" w:cs="Times New Roman"/>
          <w:sz w:val="24"/>
          <w:szCs w:val="20"/>
        </w:rPr>
        <w:t>niskie un tehniskie pakalpojumi, kopā ar</w:t>
      </w:r>
      <w:r w:rsidRPr="004462EB">
        <w:rPr>
          <w:rFonts w:ascii="Times New Roman" w:hAnsi="Times New Roman" w:cs="Times New Roman"/>
          <w:sz w:val="24"/>
          <w:szCs w:val="20"/>
        </w:rPr>
        <w:t xml:space="preserve"> administratīvo un apkalpojošo dienestu darbība</w:t>
      </w:r>
      <w:r>
        <w:rPr>
          <w:rFonts w:ascii="Times New Roman" w:hAnsi="Times New Roman" w:cs="Times New Roman"/>
          <w:sz w:val="24"/>
          <w:szCs w:val="20"/>
        </w:rPr>
        <w:t xml:space="preserve"> uzrādīja pievienotās vērtības pieaugumu par 6,5%. Tomēr līdzīgi kā ar tirdzniecību arī pakalpojumu nozares, īpaši, izmitināšana un ēdināšana, māksla un izklaide, smagi cietīs Covid-19 izplatības dēļ. </w:t>
      </w:r>
      <w:r w:rsidRPr="00AC528F">
        <w:rPr>
          <w:rFonts w:ascii="Times New Roman" w:hAnsi="Times New Roman" w:cs="Times New Roman"/>
          <w:b/>
          <w:sz w:val="24"/>
          <w:szCs w:val="20"/>
        </w:rPr>
        <w:t>Informācijas un komunikācijas p</w:t>
      </w:r>
      <w:r>
        <w:rPr>
          <w:rFonts w:ascii="Times New Roman" w:hAnsi="Times New Roman" w:cs="Times New Roman"/>
          <w:b/>
          <w:sz w:val="24"/>
          <w:szCs w:val="20"/>
        </w:rPr>
        <w:t xml:space="preserve">akalpojumu </w:t>
      </w:r>
      <w:r>
        <w:rPr>
          <w:rFonts w:ascii="Times New Roman" w:hAnsi="Times New Roman" w:cs="Times New Roman"/>
          <w:sz w:val="24"/>
          <w:szCs w:val="20"/>
        </w:rPr>
        <w:t>radītā pievienotā vērtība pērn pieauga lēnāk nekā</w:t>
      </w:r>
      <w:r w:rsidR="00B36A27">
        <w:rPr>
          <w:rFonts w:ascii="Times New Roman" w:hAnsi="Times New Roman" w:cs="Times New Roman"/>
          <w:sz w:val="24"/>
          <w:szCs w:val="20"/>
        </w:rPr>
        <w:t xml:space="preserve"> iepriekšējos trīs gadus, 2019.</w:t>
      </w:r>
      <w:r>
        <w:rPr>
          <w:rFonts w:ascii="Times New Roman" w:hAnsi="Times New Roman" w:cs="Times New Roman"/>
          <w:sz w:val="24"/>
          <w:szCs w:val="20"/>
        </w:rPr>
        <w:t>gadā izaugsmei veidojot 2,0%. Savukārt nozares turpmākās perspektīvas nav skaidras. No vienas puses, šogad, pieaugot nepieciešamībai pēc IT risinājumiem, organizējot darba procesus, nozares izaugsme varētu būt atkal straujāka. Tajā pašā laikā, ar Covid-19 izplatību saistītajai krīzei ieilgstot un uzņēmumiem saskaroties ar nopietnām finanšu problēmām, pieprasījums pēc informācijas un komunikācijas tehnoloģiju pakalpojumiem varētu arī mazināties.</w:t>
      </w:r>
    </w:p>
    <w:p w14:paraId="33C02056" w14:textId="54155018" w:rsidR="00DE30C4" w:rsidRDefault="00DE30C4" w:rsidP="00DE30C4">
      <w:pPr>
        <w:spacing w:after="0" w:line="240" w:lineRule="auto"/>
        <w:ind w:firstLine="720"/>
        <w:jc w:val="both"/>
        <w:rPr>
          <w:rFonts w:ascii="Open Sans" w:hAnsi="Open Sans" w:cs="Arial"/>
          <w:sz w:val="23"/>
          <w:szCs w:val="23"/>
        </w:rPr>
      </w:pPr>
      <w:r w:rsidRPr="004462EB">
        <w:rPr>
          <w:rFonts w:ascii="Times New Roman" w:hAnsi="Times New Roman" w:cs="Times New Roman"/>
          <w:b/>
          <w:sz w:val="24"/>
          <w:szCs w:val="20"/>
        </w:rPr>
        <w:t>Lauksaimniecības</w:t>
      </w:r>
      <w:r>
        <w:rPr>
          <w:rFonts w:ascii="Times New Roman" w:hAnsi="Times New Roman" w:cs="Times New Roman"/>
          <w:sz w:val="24"/>
          <w:szCs w:val="20"/>
        </w:rPr>
        <w:t xml:space="preserve"> (</w:t>
      </w:r>
      <w:r w:rsidRPr="00556C73">
        <w:rPr>
          <w:rFonts w:ascii="Times New Roman" w:eastAsia="Calibri" w:hAnsi="Times New Roman" w:cs="Times New Roman"/>
          <w:sz w:val="24"/>
        </w:rPr>
        <w:t>ieskaitot lauksaimniecību, me</w:t>
      </w:r>
      <w:r>
        <w:rPr>
          <w:rFonts w:ascii="Times New Roman" w:eastAsia="Calibri" w:hAnsi="Times New Roman" w:cs="Times New Roman"/>
          <w:sz w:val="24"/>
        </w:rPr>
        <w:t>žsaimniecību un zivsaimniecību)</w:t>
      </w:r>
      <w:r>
        <w:rPr>
          <w:rFonts w:ascii="Times New Roman" w:hAnsi="Times New Roman" w:cs="Times New Roman"/>
          <w:sz w:val="24"/>
          <w:szCs w:val="20"/>
        </w:rPr>
        <w:t xml:space="preserve"> pievienotā vērtība pērn palielinājās par 12,8%, tādējādi lauksaimniecības nozarei uzrādot straujāko izaugsmi starp visām Latvijas tautsaimniecības nozarēm. Pateicoties augkopībai labvēl</w:t>
      </w:r>
      <w:r w:rsidR="00B36A27">
        <w:rPr>
          <w:rFonts w:ascii="Times New Roman" w:hAnsi="Times New Roman" w:cs="Times New Roman"/>
          <w:sz w:val="24"/>
          <w:szCs w:val="20"/>
        </w:rPr>
        <w:t>īgajiem laika apstākļiem, 2019.</w:t>
      </w:r>
      <w:r>
        <w:rPr>
          <w:rFonts w:ascii="Times New Roman" w:hAnsi="Times New Roman" w:cs="Times New Roman"/>
          <w:sz w:val="24"/>
          <w:szCs w:val="20"/>
        </w:rPr>
        <w:t>gadā Latvijā tika iegūta vēsturiski augstākā graudu kopraža, kā rezultātā augkopības produkcijas p</w:t>
      </w:r>
      <w:r w:rsidR="00B36A27">
        <w:rPr>
          <w:rFonts w:ascii="Times New Roman" w:hAnsi="Times New Roman" w:cs="Times New Roman"/>
          <w:sz w:val="24"/>
          <w:szCs w:val="20"/>
        </w:rPr>
        <w:t>ieaugums salīdzinājumā ar 2018.</w:t>
      </w:r>
      <w:r>
        <w:rPr>
          <w:rFonts w:ascii="Times New Roman" w:hAnsi="Times New Roman" w:cs="Times New Roman"/>
          <w:sz w:val="24"/>
          <w:szCs w:val="20"/>
        </w:rPr>
        <w:t xml:space="preserve">gadu sasniedza 46,4%. </w:t>
      </w:r>
      <w:r>
        <w:rPr>
          <w:rFonts w:ascii="Open Sans" w:hAnsi="Open Sans" w:cs="Arial"/>
          <w:sz w:val="23"/>
          <w:szCs w:val="23"/>
        </w:rPr>
        <w:t xml:space="preserve">Savukārt lopkopības produkcijas </w:t>
      </w:r>
      <w:r w:rsidR="00B36A27">
        <w:rPr>
          <w:rFonts w:ascii="Open Sans" w:hAnsi="Open Sans" w:cs="Arial"/>
          <w:sz w:val="23"/>
          <w:szCs w:val="23"/>
        </w:rPr>
        <w:t>apjoms pērn samazinājās par 1,1</w:t>
      </w:r>
      <w:r>
        <w:rPr>
          <w:rFonts w:ascii="Open Sans" w:hAnsi="Open Sans" w:cs="Arial"/>
          <w:sz w:val="23"/>
          <w:szCs w:val="23"/>
        </w:rPr>
        <w:t xml:space="preserve">%. Mežsaimniecības un mežistrādes apjomi tajā pašā laikā palielinājās par 5,9%, kamēr zivsaimniecībā, kas veido nelielu daļu Latvijas lauksaimniecības struktūrā, tika reģistrēts kritums. </w:t>
      </w:r>
    </w:p>
    <w:p w14:paraId="6CA55A3B" w14:textId="53E08E35" w:rsidR="00DE30C4"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Ievērojami lēnāku izaugsmi nekā iepriekšējos divus gadus pērn uzrādīja </w:t>
      </w:r>
      <w:r w:rsidRPr="003A6BB1">
        <w:rPr>
          <w:rFonts w:ascii="Times New Roman" w:hAnsi="Times New Roman" w:cs="Times New Roman"/>
          <w:b/>
          <w:sz w:val="24"/>
          <w:szCs w:val="20"/>
        </w:rPr>
        <w:t>būvniecība</w:t>
      </w:r>
      <w:r>
        <w:rPr>
          <w:rFonts w:ascii="Times New Roman" w:hAnsi="Times New Roman" w:cs="Times New Roman"/>
          <w:sz w:val="24"/>
          <w:szCs w:val="20"/>
        </w:rPr>
        <w:t>, tās pievienotajai vērtībai salīdzināmās cenās palielinoties par 2,9%. Būvniecības nozares izaugsmes tempu sabremzēšanās galvenokārt bija saistīta ar ES fondu investīciju plūsmas stabilizēšanos, kas noteica inženierbūvniecības apjomu pieaugumu tikai par 1,0%. Savukārt pērn veikto specializēto būvdarbu apjomi, tajā skaitā elektroinstalāciju ierīkošana, cauruļvadu uzstādīšana, b</w:t>
      </w:r>
      <w:r w:rsidRPr="003A6BB1">
        <w:rPr>
          <w:rFonts w:ascii="Times New Roman" w:hAnsi="Times New Roman" w:cs="Times New Roman"/>
          <w:sz w:val="24"/>
          <w:szCs w:val="20"/>
        </w:rPr>
        <w:t>ūvdarbu pabeigšana</w:t>
      </w:r>
      <w:r>
        <w:rPr>
          <w:rFonts w:ascii="Times New Roman" w:hAnsi="Times New Roman" w:cs="Times New Roman"/>
          <w:sz w:val="24"/>
          <w:szCs w:val="20"/>
        </w:rPr>
        <w:t>, saglabājās iepriekšējā gada līmenī. Tajā pašā laikā būvniecības izaugsmi pozitīvi ietekmēja ēku celtniecības pieaugums par 7,8%. Jāatzīmē, ka šogad ES fondu investīcijas saglabāsies aptuveni iepriekšējā gada līmenī, tādējādi, lai nodrošinātu būv</w:t>
      </w:r>
      <w:r w:rsidR="00B36A27">
        <w:rPr>
          <w:rFonts w:ascii="Times New Roman" w:hAnsi="Times New Roman" w:cs="Times New Roman"/>
          <w:sz w:val="24"/>
          <w:szCs w:val="20"/>
        </w:rPr>
        <w:t>niecības sektora izaugsmi 2020.</w:t>
      </w:r>
      <w:r>
        <w:rPr>
          <w:rFonts w:ascii="Times New Roman" w:hAnsi="Times New Roman" w:cs="Times New Roman"/>
          <w:sz w:val="24"/>
          <w:szCs w:val="20"/>
        </w:rPr>
        <w:t xml:space="preserve">gadā, svarīga nozīmē būs ar privāto finansējumu īstenoto būvniecības projektu realizēšanai. </w:t>
      </w:r>
      <w:r w:rsidRPr="003D3F5D">
        <w:rPr>
          <w:rFonts w:ascii="Times New Roman" w:hAnsi="Times New Roman" w:cs="Times New Roman"/>
          <w:sz w:val="24"/>
          <w:szCs w:val="20"/>
        </w:rPr>
        <w:t>Tomēr pēdējie būvnieku konfidences rādītāji norādīja uz būtisku noskaņojuma pasliktināšanos nozarē, kas saistīts ar aktuālākajiem notikumiem un nenoteiktību saistībā ar Covid-19 izplatību Latvijā, tādējādi arī būvniecības perspektīvas un jaunu ar celtniecību saistītu investīciju projektu īstenošana Latvijā šogad varētu būt apdraudēta.</w:t>
      </w:r>
    </w:p>
    <w:p w14:paraId="1E838538" w14:textId="53DB4CB9" w:rsidR="00DE30C4" w:rsidRDefault="00DE30C4" w:rsidP="00DE30C4">
      <w:pPr>
        <w:spacing w:after="0" w:line="240" w:lineRule="auto"/>
        <w:ind w:firstLine="720"/>
        <w:jc w:val="both"/>
        <w:rPr>
          <w:rFonts w:ascii="Times New Roman" w:hAnsi="Times New Roman" w:cs="Times New Roman"/>
          <w:sz w:val="24"/>
          <w:szCs w:val="20"/>
        </w:rPr>
      </w:pPr>
      <w:r w:rsidRPr="0077023D">
        <w:rPr>
          <w:rFonts w:ascii="Times New Roman" w:hAnsi="Times New Roman" w:cs="Times New Roman"/>
          <w:sz w:val="24"/>
          <w:szCs w:val="20"/>
        </w:rPr>
        <w:t>Mēre</w:t>
      </w:r>
      <w:r w:rsidR="00B36A27">
        <w:rPr>
          <w:rFonts w:ascii="Times New Roman" w:hAnsi="Times New Roman" w:cs="Times New Roman"/>
          <w:sz w:val="24"/>
          <w:szCs w:val="20"/>
        </w:rPr>
        <w:t>nu izaugsmi 2,1% apmērā 2019.</w:t>
      </w:r>
      <w:r w:rsidRPr="0077023D">
        <w:rPr>
          <w:rFonts w:ascii="Times New Roman" w:hAnsi="Times New Roman" w:cs="Times New Roman"/>
          <w:sz w:val="24"/>
          <w:szCs w:val="20"/>
        </w:rPr>
        <w:t xml:space="preserve">gadā uzrādīja </w:t>
      </w:r>
      <w:r w:rsidRPr="0077023D">
        <w:rPr>
          <w:rFonts w:ascii="Times New Roman" w:hAnsi="Times New Roman" w:cs="Times New Roman"/>
          <w:b/>
          <w:sz w:val="24"/>
          <w:szCs w:val="20"/>
        </w:rPr>
        <w:t>apstrādes rūpniecība</w:t>
      </w:r>
      <w:r w:rsidRPr="0077023D">
        <w:rPr>
          <w:rFonts w:ascii="Times New Roman" w:hAnsi="Times New Roman" w:cs="Times New Roman"/>
          <w:sz w:val="24"/>
          <w:szCs w:val="20"/>
        </w:rPr>
        <w:t>, kuras attīstību pērn kavējusi gan pasaules ekonomiskās izaugsmes vājināšanās un pieprasījuma samazināšanās ārējos tirgos, gan nelabvēlīgā situācija lielākajā apstrādes rūpniecības apakšnozarē – ko</w:t>
      </w:r>
      <w:r>
        <w:rPr>
          <w:rFonts w:ascii="Times New Roman" w:hAnsi="Times New Roman" w:cs="Times New Roman"/>
          <w:sz w:val="24"/>
          <w:szCs w:val="20"/>
        </w:rPr>
        <w:t>kapstrādē. Kokrūpniecības izlaide pērn samazinājās par 0,2%,</w:t>
      </w:r>
      <w:r w:rsidRPr="0077023D">
        <w:rPr>
          <w:rFonts w:ascii="Times New Roman" w:hAnsi="Times New Roman" w:cs="Times New Roman"/>
          <w:sz w:val="24"/>
          <w:szCs w:val="20"/>
        </w:rPr>
        <w:t xml:space="preserve"> ko ietekmēja pieprasījuma un cenu kritums eksporta tirgos. Ražošanas apjomu sarukums tika reģistrēts arī otrā lielākajā apstrādes rūpniecības apakšnozarē – pārtikas produktu ražošanā</w:t>
      </w:r>
      <w:r>
        <w:rPr>
          <w:rFonts w:ascii="Times New Roman" w:hAnsi="Times New Roman" w:cs="Times New Roman"/>
          <w:sz w:val="24"/>
          <w:szCs w:val="20"/>
        </w:rPr>
        <w:t xml:space="preserve"> (-1,0%)</w:t>
      </w:r>
      <w:r w:rsidRPr="0077023D">
        <w:rPr>
          <w:rFonts w:ascii="Times New Roman" w:hAnsi="Times New Roman" w:cs="Times New Roman"/>
          <w:sz w:val="24"/>
          <w:szCs w:val="20"/>
        </w:rPr>
        <w:t>. Tajā pašā laikā spēcīgu izaugsmi joprojām spēja uzrādīt metālizstrādājumu un elektrisko iekārtu ražošana, kā arī datoru un elektronisko iekārtu ražošanas apakšnozares.</w:t>
      </w:r>
      <w:r>
        <w:rPr>
          <w:rFonts w:ascii="Times New Roman" w:hAnsi="Times New Roman" w:cs="Times New Roman"/>
          <w:sz w:val="24"/>
          <w:szCs w:val="20"/>
        </w:rPr>
        <w:t xml:space="preserve"> Rū</w:t>
      </w:r>
      <w:r w:rsidR="00B36A27">
        <w:rPr>
          <w:rFonts w:ascii="Times New Roman" w:hAnsi="Times New Roman" w:cs="Times New Roman"/>
          <w:sz w:val="24"/>
          <w:szCs w:val="20"/>
        </w:rPr>
        <w:t>pniecības kopējo izaugsmi 2019.</w:t>
      </w:r>
      <w:r>
        <w:rPr>
          <w:rFonts w:ascii="Times New Roman" w:hAnsi="Times New Roman" w:cs="Times New Roman"/>
          <w:sz w:val="24"/>
          <w:szCs w:val="20"/>
        </w:rPr>
        <w:t xml:space="preserve">gadā negatīvi ietekmēja arī </w:t>
      </w:r>
      <w:r w:rsidRPr="00DB161F">
        <w:rPr>
          <w:rFonts w:ascii="Times New Roman" w:hAnsi="Times New Roman" w:cs="Times New Roman"/>
          <w:b/>
          <w:sz w:val="24"/>
          <w:szCs w:val="20"/>
        </w:rPr>
        <w:t>elektroenerģijas un gāzes apgādes</w:t>
      </w:r>
      <w:r>
        <w:rPr>
          <w:rFonts w:ascii="Times New Roman" w:hAnsi="Times New Roman" w:cs="Times New Roman"/>
          <w:sz w:val="24"/>
          <w:szCs w:val="20"/>
        </w:rPr>
        <w:t xml:space="preserve"> sarukums par 4,4%, ko noteica saražotās elektroenerģijas spēcīgais kritums pērnā gada pirmajā pusē saistībā ar elektroenerģijas ražošanai nelabvēlīgajiem laikapstākļiem. Šā gada sākumā rūpniecībā turpinājās negatīvas tendences, kad janvārī rūpniecības kopējā izlaide samazinājās par 4,5%, salīdzinot ar attiecīgo mēnesi pirms gada. Tas bija straujā</w:t>
      </w:r>
      <w:r w:rsidR="00B36A27">
        <w:rPr>
          <w:rFonts w:ascii="Times New Roman" w:hAnsi="Times New Roman" w:cs="Times New Roman"/>
          <w:sz w:val="24"/>
          <w:szCs w:val="20"/>
        </w:rPr>
        <w:t>kais nozares kritums kopš 2009.</w:t>
      </w:r>
      <w:r>
        <w:rPr>
          <w:rFonts w:ascii="Times New Roman" w:hAnsi="Times New Roman" w:cs="Times New Roman"/>
          <w:sz w:val="24"/>
          <w:szCs w:val="20"/>
        </w:rPr>
        <w:t>gada nogales. To ietekmēja gan enerģētikas nozares sarukums par 11,0%, gan apstrādes rūpniecības kritums par 3,6%, kad bāzes efekta ietekmē būtiski samazinājās kokrūpniecības izlaide. Jāatzīmē, ka norises pasaulē, tajā skaitā Latvijā, saistībā ar koronavīrusa izraisītās slimības Covid-19 straujo izplatību ietekmēs arī apstrādes rūpniecības turpmāko attīstību šogad. Šī slimība ir būtiski iedragājusi ekonomisko aktivitāti</w:t>
      </w:r>
      <w:r w:rsidRPr="00AD0B71">
        <w:rPr>
          <w:rFonts w:ascii="Times New Roman" w:hAnsi="Times New Roman" w:cs="Times New Roman"/>
          <w:sz w:val="24"/>
          <w:szCs w:val="20"/>
        </w:rPr>
        <w:t xml:space="preserve"> </w:t>
      </w:r>
      <w:r>
        <w:rPr>
          <w:rFonts w:ascii="Times New Roman" w:hAnsi="Times New Roman" w:cs="Times New Roman"/>
          <w:sz w:val="24"/>
          <w:szCs w:val="20"/>
        </w:rPr>
        <w:t>pasaulē, kā rezultātā ir</w:t>
      </w:r>
      <w:r w:rsidRPr="00AD0B71">
        <w:rPr>
          <w:rFonts w:ascii="Times New Roman" w:hAnsi="Times New Roman" w:cs="Times New Roman"/>
          <w:sz w:val="24"/>
          <w:szCs w:val="20"/>
        </w:rPr>
        <w:t xml:space="preserve"> traucēta starptautisko piegāžu darbība</w:t>
      </w:r>
      <w:r>
        <w:rPr>
          <w:rFonts w:ascii="Times New Roman" w:hAnsi="Times New Roman" w:cs="Times New Roman"/>
          <w:sz w:val="24"/>
          <w:szCs w:val="20"/>
        </w:rPr>
        <w:t xml:space="preserve"> un samazinās jau tā novājinātā globālā tirdzniecība.</w:t>
      </w:r>
      <w:r w:rsidRPr="00AD0B71">
        <w:rPr>
          <w:rFonts w:ascii="Times New Roman" w:hAnsi="Times New Roman" w:cs="Times New Roman"/>
          <w:sz w:val="24"/>
          <w:szCs w:val="20"/>
        </w:rPr>
        <w:t xml:space="preserve"> </w:t>
      </w:r>
      <w:r>
        <w:rPr>
          <w:rFonts w:ascii="Times New Roman" w:hAnsi="Times New Roman" w:cs="Times New Roman"/>
          <w:sz w:val="24"/>
          <w:szCs w:val="20"/>
        </w:rPr>
        <w:t>Tāpat, arī Latvijas rūpniecības uzņēmumiem, ievērojot piesardzības pasākumus un reaģējos uz šo saspringto situāciju, ir jāpielāgo savi ražošanas procesi un jāseko pieprasījuma izmaiņām.</w:t>
      </w:r>
    </w:p>
    <w:p w14:paraId="369A6B85" w14:textId="7FAD8A53" w:rsidR="00DE30C4" w:rsidRDefault="00DE30C4" w:rsidP="00DE30C4">
      <w:pPr>
        <w:spacing w:after="0" w:line="240" w:lineRule="auto"/>
        <w:ind w:firstLine="720"/>
        <w:jc w:val="both"/>
        <w:rPr>
          <w:rFonts w:ascii="Times New Roman" w:hAnsi="Times New Roman" w:cs="Times New Roman"/>
          <w:sz w:val="24"/>
          <w:szCs w:val="24"/>
        </w:rPr>
      </w:pPr>
      <w:r w:rsidRPr="001C0C0D">
        <w:rPr>
          <w:rFonts w:ascii="Times New Roman" w:hAnsi="Times New Roman" w:cs="Times New Roman"/>
          <w:b/>
          <w:sz w:val="24"/>
          <w:szCs w:val="20"/>
        </w:rPr>
        <w:t>Transporta</w:t>
      </w:r>
      <w:r>
        <w:rPr>
          <w:rFonts w:ascii="Times New Roman" w:hAnsi="Times New Roman" w:cs="Times New Roman"/>
          <w:b/>
          <w:sz w:val="24"/>
          <w:szCs w:val="20"/>
        </w:rPr>
        <w:t xml:space="preserve"> un uzglabāšanas</w:t>
      </w:r>
      <w:r w:rsidRPr="001C0C0D">
        <w:rPr>
          <w:rFonts w:ascii="Times New Roman" w:hAnsi="Times New Roman" w:cs="Times New Roman"/>
          <w:b/>
          <w:sz w:val="24"/>
          <w:szCs w:val="20"/>
        </w:rPr>
        <w:t xml:space="preserve"> nozarē</w:t>
      </w:r>
      <w:r w:rsidR="00B36A27">
        <w:rPr>
          <w:rFonts w:ascii="Times New Roman" w:hAnsi="Times New Roman" w:cs="Times New Roman"/>
          <w:sz w:val="24"/>
          <w:szCs w:val="20"/>
        </w:rPr>
        <w:t xml:space="preserve"> 2019.</w:t>
      </w:r>
      <w:r w:rsidRPr="001C0C0D">
        <w:rPr>
          <w:rFonts w:ascii="Times New Roman" w:hAnsi="Times New Roman" w:cs="Times New Roman"/>
          <w:sz w:val="24"/>
          <w:szCs w:val="20"/>
        </w:rPr>
        <w:t>gadā tika reģistrēts sarukums par 4%. To noteica kravu tranzīta kritums caur Latvijas ostām, Krievijai pārorientējot kravas u</w:t>
      </w:r>
      <w:r w:rsidR="004B7B5A">
        <w:rPr>
          <w:rFonts w:ascii="Times New Roman" w:hAnsi="Times New Roman" w:cs="Times New Roman"/>
          <w:sz w:val="24"/>
          <w:szCs w:val="20"/>
        </w:rPr>
        <w:t>z savām Baltijas jūras ostām un</w:t>
      </w:r>
      <w:r w:rsidRPr="001C0C0D">
        <w:rPr>
          <w:rFonts w:ascii="Times New Roman" w:hAnsi="Times New Roman" w:cs="Times New Roman"/>
          <w:sz w:val="24"/>
          <w:szCs w:val="20"/>
        </w:rPr>
        <w:t xml:space="preserve"> krītoties pieprasījumam pēc Krievijas oglēm pasaules tirgos.</w:t>
      </w:r>
      <w:r>
        <w:rPr>
          <w:rFonts w:ascii="Times New Roman" w:hAnsi="Times New Roman" w:cs="Times New Roman"/>
          <w:sz w:val="24"/>
          <w:szCs w:val="20"/>
        </w:rPr>
        <w:t xml:space="preserve"> Tā rezultātā</w:t>
      </w:r>
      <w:r w:rsidRPr="001C0C0D">
        <w:rPr>
          <w:rFonts w:ascii="Times New Roman" w:hAnsi="Times New Roman" w:cs="Times New Roman"/>
          <w:sz w:val="24"/>
          <w:szCs w:val="20"/>
        </w:rPr>
        <w:t xml:space="preserve"> </w:t>
      </w:r>
      <w:r w:rsidRPr="00F126C2">
        <w:rPr>
          <w:rFonts w:ascii="Times New Roman" w:hAnsi="Times New Roman" w:cs="Times New Roman"/>
          <w:sz w:val="24"/>
          <w:szCs w:val="20"/>
        </w:rPr>
        <w:t>kravu apgrozījums ostās</w:t>
      </w:r>
      <w:r w:rsidR="00B36A27">
        <w:rPr>
          <w:rFonts w:ascii="Times New Roman" w:hAnsi="Times New Roman" w:cs="Times New Roman"/>
          <w:sz w:val="24"/>
          <w:szCs w:val="20"/>
        </w:rPr>
        <w:t xml:space="preserve"> 2019.</w:t>
      </w:r>
      <w:r>
        <w:rPr>
          <w:rFonts w:ascii="Times New Roman" w:hAnsi="Times New Roman" w:cs="Times New Roman"/>
          <w:sz w:val="24"/>
          <w:szCs w:val="20"/>
        </w:rPr>
        <w:t xml:space="preserve">gadā bija par 5,7% zemāks nekā  2018. gadā, savukārt </w:t>
      </w:r>
      <w:r w:rsidRPr="00E323EA">
        <w:rPr>
          <w:rFonts w:ascii="Times New Roman" w:hAnsi="Times New Roman" w:cs="Times New Roman"/>
          <w:sz w:val="24"/>
          <w:szCs w:val="20"/>
        </w:rPr>
        <w:t>pa dzelzceļu pārvadāto kravu apjoms pērn saruka par 15,8%.</w:t>
      </w:r>
      <w:r>
        <w:rPr>
          <w:rFonts w:ascii="Times New Roman" w:hAnsi="Times New Roman" w:cs="Times New Roman"/>
          <w:sz w:val="24"/>
          <w:szCs w:val="20"/>
        </w:rPr>
        <w:t xml:space="preserve"> Kravu apgrozība autopārvadājumos saglabājās</w:t>
      </w:r>
      <w:r w:rsidR="00B36A27">
        <w:rPr>
          <w:rFonts w:ascii="Times New Roman" w:hAnsi="Times New Roman" w:cs="Times New Roman"/>
          <w:sz w:val="24"/>
          <w:szCs w:val="20"/>
        </w:rPr>
        <w:t xml:space="preserve"> iepriekšējā gada līmenī, 2019.</w:t>
      </w:r>
      <w:r>
        <w:rPr>
          <w:rFonts w:ascii="Times New Roman" w:hAnsi="Times New Roman" w:cs="Times New Roman"/>
          <w:sz w:val="24"/>
          <w:szCs w:val="20"/>
        </w:rPr>
        <w:t xml:space="preserve">gadā samazinoties par 0,2%. Savukārt aviopārvadājumi pēdējo gadu laikā bija tie, kas balstījuši </w:t>
      </w:r>
      <w:r w:rsidR="00B36A27">
        <w:rPr>
          <w:rFonts w:ascii="Times New Roman" w:hAnsi="Times New Roman" w:cs="Times New Roman"/>
          <w:sz w:val="24"/>
          <w:szCs w:val="24"/>
        </w:rPr>
        <w:t>transporta nozari, un 2019.</w:t>
      </w:r>
      <w:r w:rsidRPr="00796669">
        <w:rPr>
          <w:rFonts w:ascii="Times New Roman" w:hAnsi="Times New Roman" w:cs="Times New Roman"/>
          <w:sz w:val="24"/>
          <w:szCs w:val="24"/>
        </w:rPr>
        <w:t>gadā lidostā Rīga apkalpoto pasažieru skaits bija audzis par 10,5%. Turklāt šā gada janvārī, salīdzinot ar iepriekšējā gada janvāri, lidostā Rīga pasažieru skaits pieauga par 12,2%.</w:t>
      </w:r>
      <w:r w:rsidRPr="00796669">
        <w:rPr>
          <w:rFonts w:ascii="Arial" w:hAnsi="Arial" w:cs="Arial"/>
          <w:color w:val="0D3051"/>
          <w:sz w:val="24"/>
          <w:szCs w:val="24"/>
        </w:rPr>
        <w:t xml:space="preserve"> </w:t>
      </w:r>
      <w:r w:rsidRPr="00291AC7">
        <w:rPr>
          <w:rFonts w:ascii="Times New Roman" w:hAnsi="Times New Roman" w:cs="Times New Roman"/>
          <w:sz w:val="24"/>
          <w:szCs w:val="24"/>
        </w:rPr>
        <w:t xml:space="preserve">Tomēr transporta sektora turpmākās perspektīvas ir kritiskas – tranzītu turpinās negatīvi ietekmēt Krievijas kravu pārvadājumu politikas īstenošana. To apstiprina </w:t>
      </w:r>
      <w:r>
        <w:rPr>
          <w:rFonts w:ascii="Times New Roman" w:hAnsi="Times New Roman" w:cs="Times New Roman"/>
          <w:sz w:val="24"/>
          <w:szCs w:val="24"/>
        </w:rPr>
        <w:t>jaunākie transporta dati par kravu pārvadājumiem šā gada sākumu</w:t>
      </w:r>
      <w:r w:rsidRPr="00291AC7">
        <w:rPr>
          <w:rFonts w:ascii="Times New Roman" w:hAnsi="Times New Roman" w:cs="Times New Roman"/>
          <w:sz w:val="24"/>
          <w:szCs w:val="24"/>
        </w:rPr>
        <w:t xml:space="preserve">, kad </w:t>
      </w:r>
      <w:r w:rsidR="004B7B5A">
        <w:rPr>
          <w:rFonts w:ascii="Times New Roman" w:hAnsi="Times New Roman" w:cs="Times New Roman"/>
          <w:sz w:val="24"/>
          <w:szCs w:val="24"/>
        </w:rPr>
        <w:t>2020.</w:t>
      </w:r>
      <w:r>
        <w:rPr>
          <w:rFonts w:ascii="Times New Roman" w:hAnsi="Times New Roman" w:cs="Times New Roman"/>
          <w:sz w:val="24"/>
          <w:szCs w:val="24"/>
        </w:rPr>
        <w:t xml:space="preserve">gada pirmajos divos mēnešos </w:t>
      </w:r>
      <w:r w:rsidRPr="00291AC7">
        <w:rPr>
          <w:rFonts w:ascii="Times New Roman" w:hAnsi="Times New Roman" w:cs="Times New Roman"/>
          <w:sz w:val="24"/>
          <w:szCs w:val="24"/>
        </w:rPr>
        <w:t>salīdzinājumā ar</w:t>
      </w:r>
      <w:r w:rsidR="00B36A27">
        <w:rPr>
          <w:rFonts w:ascii="Times New Roman" w:hAnsi="Times New Roman" w:cs="Times New Roman"/>
          <w:sz w:val="24"/>
          <w:szCs w:val="24"/>
        </w:rPr>
        <w:t xml:space="preserve"> attiecīgo laika periodu 2019.</w:t>
      </w:r>
      <w:r>
        <w:rPr>
          <w:rFonts w:ascii="Times New Roman" w:hAnsi="Times New Roman" w:cs="Times New Roman"/>
          <w:sz w:val="24"/>
          <w:szCs w:val="24"/>
        </w:rPr>
        <w:t>gadā</w:t>
      </w:r>
      <w:r w:rsidRPr="00291AC7">
        <w:rPr>
          <w:rFonts w:ascii="Times New Roman" w:hAnsi="Times New Roman" w:cs="Times New Roman"/>
          <w:sz w:val="24"/>
          <w:szCs w:val="24"/>
        </w:rPr>
        <w:t xml:space="preserve"> kravu apgrozījum</w:t>
      </w:r>
      <w:r>
        <w:rPr>
          <w:rFonts w:ascii="Times New Roman" w:hAnsi="Times New Roman" w:cs="Times New Roman"/>
          <w:sz w:val="24"/>
          <w:szCs w:val="24"/>
        </w:rPr>
        <w:t>s Latvijas ostās saruka par 32,2</w:t>
      </w:r>
      <w:r w:rsidRPr="00291AC7">
        <w:rPr>
          <w:rFonts w:ascii="Times New Roman" w:hAnsi="Times New Roman" w:cs="Times New Roman"/>
          <w:sz w:val="24"/>
          <w:szCs w:val="24"/>
        </w:rPr>
        <w:t>%, un dzelzceļā pārvadāto kravu apjoms sa</w:t>
      </w:r>
      <w:r>
        <w:rPr>
          <w:rFonts w:ascii="Times New Roman" w:hAnsi="Times New Roman" w:cs="Times New Roman"/>
          <w:sz w:val="24"/>
          <w:szCs w:val="24"/>
        </w:rPr>
        <w:t>mazinājās pat uz pusi – par 50,0</w:t>
      </w:r>
      <w:r w:rsidRPr="00291AC7">
        <w:rPr>
          <w:rFonts w:ascii="Times New Roman" w:hAnsi="Times New Roman" w:cs="Times New Roman"/>
          <w:sz w:val="24"/>
          <w:szCs w:val="24"/>
        </w:rPr>
        <w:t>%.</w:t>
      </w:r>
      <w:r>
        <w:rPr>
          <w:rFonts w:ascii="Times New Roman" w:hAnsi="Times New Roman" w:cs="Times New Roman"/>
          <w:sz w:val="24"/>
          <w:szCs w:val="24"/>
        </w:rPr>
        <w:t xml:space="preserve"> Savukārt aviopārvadājumos februārī vēl ir sagaidāms apkalpoto pasažieru pieaugums, taču saistībā ar Covid-19 slimības izplatību jau marta sākumā situācija nozarē piedzīvoja straujas izmaiņas. </w:t>
      </w:r>
      <w:r w:rsidRPr="00D6468B">
        <w:rPr>
          <w:rFonts w:ascii="Times New Roman" w:hAnsi="Times New Roman" w:cs="Times New Roman"/>
          <w:color w:val="000000" w:themeColor="text1"/>
          <w:sz w:val="24"/>
          <w:szCs w:val="24"/>
        </w:rPr>
        <w:t xml:space="preserve">Mēneša sākumā Latvijas nacionālā aviokompānija </w:t>
      </w:r>
      <w:r w:rsidRPr="00D6468B">
        <w:rPr>
          <w:rFonts w:ascii="Times New Roman" w:hAnsi="Times New Roman" w:cs="Times New Roman"/>
          <w:i/>
          <w:color w:val="000000" w:themeColor="text1"/>
          <w:sz w:val="24"/>
          <w:szCs w:val="24"/>
        </w:rPr>
        <w:t>airBaltic</w:t>
      </w:r>
      <w:r w:rsidRPr="00D6468B">
        <w:rPr>
          <w:rFonts w:ascii="Times New Roman" w:hAnsi="Times New Roman" w:cs="Times New Roman"/>
          <w:color w:val="000000" w:themeColor="text1"/>
          <w:sz w:val="24"/>
          <w:szCs w:val="24"/>
        </w:rPr>
        <w:t xml:space="preserve"> samazināja reisu skaitu un pārtrauca lidojumus </w:t>
      </w:r>
      <w:r w:rsidRPr="00D6468B">
        <w:rPr>
          <w:rFonts w:ascii="Times New Roman" w:hAnsi="Times New Roman" w:cs="Times New Roman"/>
          <w:sz w:val="24"/>
          <w:szCs w:val="24"/>
        </w:rPr>
        <w:t>uz un no vairākiem galamērķiem.</w:t>
      </w:r>
      <w:r>
        <w:rPr>
          <w:rFonts w:ascii="Times New Roman" w:hAnsi="Times New Roman" w:cs="Times New Roman"/>
          <w:sz w:val="24"/>
          <w:szCs w:val="24"/>
        </w:rPr>
        <w:t xml:space="preserve"> Taču, lai efektīvāk ierobežotu Covid-1</w:t>
      </w:r>
      <w:r w:rsidR="00B36A27">
        <w:rPr>
          <w:rFonts w:ascii="Times New Roman" w:hAnsi="Times New Roman" w:cs="Times New Roman"/>
          <w:sz w:val="24"/>
          <w:szCs w:val="24"/>
        </w:rPr>
        <w:t>9 izplatību Latvijā, jau no 17.</w:t>
      </w:r>
      <w:r>
        <w:rPr>
          <w:rFonts w:ascii="Times New Roman" w:hAnsi="Times New Roman" w:cs="Times New Roman"/>
          <w:sz w:val="24"/>
          <w:szCs w:val="24"/>
        </w:rPr>
        <w:t>marta tika atcelti visi starptautiskie pasažieru pārvadājumi caur lidostu, ostām, ar autobusiem un dzelzceļa transportu. Neapšaubāmi, šie noteikumi atstās smagas sekas uz pasažieru pārvadātājiem un transporta nozari kopumā, kam būs būtiska negatīva ietekme uz Latvijas ekonomiku šogad.</w:t>
      </w:r>
    </w:p>
    <w:p w14:paraId="5D1B8D4E" w14:textId="3C6F91B3" w:rsidR="00DE30C4" w:rsidRDefault="00B36A27" w:rsidP="00DE30C4">
      <w:pPr>
        <w:spacing w:after="240" w:line="240" w:lineRule="auto"/>
        <w:ind w:firstLine="720"/>
        <w:jc w:val="both"/>
        <w:rPr>
          <w:rFonts w:ascii="Times New Roman" w:hAnsi="Times New Roman" w:cs="Times New Roman"/>
          <w:sz w:val="24"/>
          <w:szCs w:val="24"/>
        </w:rPr>
      </w:pPr>
      <w:r>
        <w:rPr>
          <w:rFonts w:ascii="Times New Roman" w:hAnsi="Times New Roman" w:cs="Times New Roman"/>
          <w:sz w:val="24"/>
          <w:szCs w:val="24"/>
        </w:rPr>
        <w:t>2019.</w:t>
      </w:r>
      <w:r w:rsidR="00DE30C4" w:rsidRPr="00665262">
        <w:rPr>
          <w:rFonts w:ascii="Times New Roman" w:hAnsi="Times New Roman" w:cs="Times New Roman"/>
          <w:sz w:val="24"/>
          <w:szCs w:val="24"/>
        </w:rPr>
        <w:t xml:space="preserve">gadā kritumu uzrādīja arī </w:t>
      </w:r>
      <w:r w:rsidR="00DE30C4" w:rsidRPr="00665262">
        <w:rPr>
          <w:rFonts w:ascii="Times New Roman" w:hAnsi="Times New Roman" w:cs="Times New Roman"/>
          <w:b/>
          <w:sz w:val="24"/>
          <w:szCs w:val="24"/>
        </w:rPr>
        <w:t>finanšu un apdrošināšanas nozare</w:t>
      </w:r>
      <w:r w:rsidR="00DE30C4" w:rsidRPr="00665262">
        <w:rPr>
          <w:rFonts w:ascii="Times New Roman" w:hAnsi="Times New Roman" w:cs="Times New Roman"/>
          <w:sz w:val="24"/>
          <w:szCs w:val="24"/>
        </w:rPr>
        <w:t>. Samazinoties nerezidentu apkalpošanas biznesam un sarūkot finanšu pakalpojumu eksportam, nozares pievienotā vērtība pērn samazinājusies par 8,8%. Līdz ar to arī nozares īpatsvars ekonomikā</w:t>
      </w:r>
      <w:r>
        <w:rPr>
          <w:rFonts w:ascii="Times New Roman" w:hAnsi="Times New Roman" w:cs="Times New Roman"/>
          <w:sz w:val="24"/>
          <w:szCs w:val="24"/>
        </w:rPr>
        <w:t xml:space="preserve"> ir būtiski samazinājies, 2019.</w:t>
      </w:r>
      <w:r w:rsidR="00DE30C4" w:rsidRPr="00665262">
        <w:rPr>
          <w:rFonts w:ascii="Times New Roman" w:hAnsi="Times New Roman" w:cs="Times New Roman"/>
          <w:sz w:val="24"/>
          <w:szCs w:val="24"/>
        </w:rPr>
        <w:t xml:space="preserve">gadā veidojot 3,2%. </w:t>
      </w:r>
      <w:r w:rsidR="00DE30C4" w:rsidRPr="00610823">
        <w:rPr>
          <w:rFonts w:ascii="Times New Roman" w:hAnsi="Times New Roman" w:cs="Times New Roman"/>
          <w:sz w:val="24"/>
          <w:szCs w:val="24"/>
        </w:rPr>
        <w:t xml:space="preserve">Pievienotās vērtības kritums nozarē </w:t>
      </w:r>
      <w:r w:rsidR="00DE30C4">
        <w:rPr>
          <w:rFonts w:ascii="Times New Roman" w:hAnsi="Times New Roman" w:cs="Times New Roman"/>
          <w:sz w:val="24"/>
          <w:szCs w:val="24"/>
        </w:rPr>
        <w:t>bija</w:t>
      </w:r>
      <w:r w:rsidR="00DE30C4" w:rsidRPr="00665262">
        <w:rPr>
          <w:rFonts w:ascii="Times New Roman" w:hAnsi="Times New Roman" w:cs="Times New Roman"/>
          <w:sz w:val="24"/>
          <w:szCs w:val="24"/>
        </w:rPr>
        <w:t xml:space="preserve"> saistīts ar Latvijas centieniem uzlabot finan</w:t>
      </w:r>
      <w:r w:rsidR="00DE30C4">
        <w:rPr>
          <w:rFonts w:ascii="Times New Roman" w:hAnsi="Times New Roman" w:cs="Times New Roman"/>
          <w:sz w:val="24"/>
          <w:szCs w:val="24"/>
        </w:rPr>
        <w:t xml:space="preserve">šu noziegumu novēršanas sistēmu, </w:t>
      </w:r>
      <w:r w:rsidR="00DE30C4" w:rsidRPr="00D6468B">
        <w:rPr>
          <w:rFonts w:ascii="Times New Roman" w:hAnsi="Times New Roman" w:cs="Times New Roman"/>
          <w:sz w:val="24"/>
          <w:szCs w:val="24"/>
        </w:rPr>
        <w:t xml:space="preserve">kā rezultātā, Latvijai izpildot visas </w:t>
      </w:r>
      <w:r w:rsidR="00DE30C4" w:rsidRPr="009408B2">
        <w:rPr>
          <w:rFonts w:ascii="Times New Roman" w:hAnsi="Times New Roman" w:cs="Times New Roman"/>
          <w:sz w:val="24"/>
          <w:szCs w:val="24"/>
        </w:rPr>
        <w:t xml:space="preserve">Finanšu darījuma darba grupas </w:t>
      </w:r>
      <w:r w:rsidR="00DE30C4" w:rsidRPr="00D6468B">
        <w:rPr>
          <w:rFonts w:ascii="Times New Roman" w:hAnsi="Times New Roman" w:cs="Times New Roman"/>
          <w:sz w:val="24"/>
          <w:szCs w:val="24"/>
        </w:rPr>
        <w:t>rekomendācijas, ir būtiski samazinājušies nerezidentu noguldījumi.</w:t>
      </w:r>
      <w:r w:rsidR="00DE30C4" w:rsidRPr="00665262">
        <w:rPr>
          <w:rFonts w:ascii="Times New Roman" w:hAnsi="Times New Roman" w:cs="Times New Roman"/>
          <w:sz w:val="24"/>
          <w:szCs w:val="24"/>
        </w:rPr>
        <w:t xml:space="preserve"> </w:t>
      </w:r>
      <w:r w:rsidR="00DE30C4">
        <w:rPr>
          <w:rFonts w:ascii="Times New Roman" w:hAnsi="Times New Roman" w:cs="Times New Roman"/>
          <w:sz w:val="24"/>
          <w:szCs w:val="24"/>
        </w:rPr>
        <w:t>Nerezidentu noguldījumu apj</w:t>
      </w:r>
      <w:r>
        <w:rPr>
          <w:rFonts w:ascii="Times New Roman" w:hAnsi="Times New Roman" w:cs="Times New Roman"/>
          <w:sz w:val="24"/>
          <w:szCs w:val="24"/>
        </w:rPr>
        <w:t>oms Latvijas komercbankās 2019.</w:t>
      </w:r>
      <w:r w:rsidR="00DE30C4">
        <w:rPr>
          <w:rFonts w:ascii="Times New Roman" w:hAnsi="Times New Roman" w:cs="Times New Roman"/>
          <w:sz w:val="24"/>
          <w:szCs w:val="24"/>
        </w:rPr>
        <w:t>g</w:t>
      </w:r>
      <w:r>
        <w:rPr>
          <w:rFonts w:ascii="Times New Roman" w:hAnsi="Times New Roman" w:cs="Times New Roman"/>
          <w:sz w:val="24"/>
          <w:szCs w:val="24"/>
        </w:rPr>
        <w:t>ada beigās, salīdzinot ar 2018.</w:t>
      </w:r>
      <w:r w:rsidR="00DE30C4">
        <w:rPr>
          <w:rFonts w:ascii="Times New Roman" w:hAnsi="Times New Roman" w:cs="Times New Roman"/>
          <w:sz w:val="24"/>
          <w:szCs w:val="24"/>
        </w:rPr>
        <w:t>gada nogali, bija sarucis par 24,6% un veidoja 23% no kopējiem noguldījumiem – vairā</w:t>
      </w:r>
      <w:r w:rsidR="004B7B5A">
        <w:rPr>
          <w:rFonts w:ascii="Times New Roman" w:hAnsi="Times New Roman" w:cs="Times New Roman"/>
          <w:sz w:val="24"/>
          <w:szCs w:val="24"/>
        </w:rPr>
        <w:t>k nekā uz pusi mazāk nekā 2015.</w:t>
      </w:r>
      <w:r w:rsidR="00DE30C4">
        <w:rPr>
          <w:rFonts w:ascii="Times New Roman" w:hAnsi="Times New Roman" w:cs="Times New Roman"/>
          <w:sz w:val="24"/>
          <w:szCs w:val="24"/>
        </w:rPr>
        <w:t>gadā, kad nerezidentu noguldījumu īpatsvars Latvijā bija sasniedzis 58%. Vienlaikus jāatzīmē,</w:t>
      </w:r>
      <w:r>
        <w:rPr>
          <w:rFonts w:ascii="Times New Roman" w:hAnsi="Times New Roman" w:cs="Times New Roman"/>
          <w:sz w:val="24"/>
          <w:szCs w:val="24"/>
        </w:rPr>
        <w:t xml:space="preserve"> ka rezidentu noguldījumi 2019.</w:t>
      </w:r>
      <w:r w:rsidR="00DE30C4">
        <w:rPr>
          <w:rFonts w:ascii="Times New Roman" w:hAnsi="Times New Roman" w:cs="Times New Roman"/>
          <w:sz w:val="24"/>
          <w:szCs w:val="24"/>
        </w:rPr>
        <w:t xml:space="preserve">gadā turpinājuši pieaugt, sasniedzot 14 miljardus </w:t>
      </w:r>
      <w:r w:rsidR="00DE30C4" w:rsidRPr="00A26F38">
        <w:rPr>
          <w:rFonts w:ascii="Times New Roman" w:hAnsi="Times New Roman" w:cs="Times New Roman"/>
          <w:i/>
          <w:sz w:val="24"/>
          <w:szCs w:val="24"/>
        </w:rPr>
        <w:t>euro</w:t>
      </w:r>
      <w:r w:rsidR="00DE30C4">
        <w:rPr>
          <w:rFonts w:ascii="Times New Roman" w:hAnsi="Times New Roman" w:cs="Times New Roman"/>
          <w:sz w:val="24"/>
          <w:szCs w:val="24"/>
        </w:rPr>
        <w:t>, kas bija par 7,5% vairāk nekā pirms gada.</w:t>
      </w:r>
    </w:p>
    <w:p w14:paraId="0508C7D3" w14:textId="77777777" w:rsidR="00DE30C4" w:rsidRPr="009179D1" w:rsidRDefault="00DE30C4" w:rsidP="00DE30C4">
      <w:pPr>
        <w:spacing w:after="120" w:line="240" w:lineRule="auto"/>
        <w:ind w:firstLine="720"/>
        <w:jc w:val="both"/>
        <w:rPr>
          <w:rFonts w:ascii="Times New Roman" w:hAnsi="Times New Roman" w:cs="Times New Roman"/>
          <w:b/>
          <w:sz w:val="24"/>
          <w:szCs w:val="24"/>
        </w:rPr>
      </w:pPr>
      <w:r w:rsidRPr="006747BC">
        <w:rPr>
          <w:rFonts w:ascii="Times New Roman" w:hAnsi="Times New Roman" w:cs="Times New Roman"/>
          <w:b/>
          <w:i/>
          <w:sz w:val="24"/>
          <w:szCs w:val="24"/>
        </w:rPr>
        <w:t>Investīcijas</w:t>
      </w:r>
    </w:p>
    <w:p w14:paraId="3CE69F00" w14:textId="1CEE1CD2"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2019.gadā</w:t>
      </w:r>
      <w:r>
        <w:rPr>
          <w:rFonts w:ascii="Times New Roman" w:hAnsi="Times New Roman" w:cs="Times New Roman"/>
          <w:sz w:val="24"/>
          <w:szCs w:val="20"/>
        </w:rPr>
        <w:t xml:space="preserve"> </w:t>
      </w:r>
      <w:r w:rsidRPr="00DF70FA">
        <w:rPr>
          <w:rFonts w:ascii="Times New Roman" w:hAnsi="Times New Roman" w:cs="Times New Roman"/>
          <w:b/>
          <w:sz w:val="24"/>
          <w:szCs w:val="20"/>
        </w:rPr>
        <w:t>ieguldījumi bruto pamatkapitāla veidošanā jeb investīcijas</w:t>
      </w:r>
      <w:r>
        <w:rPr>
          <w:rFonts w:ascii="Times New Roman" w:hAnsi="Times New Roman" w:cs="Times New Roman"/>
          <w:sz w:val="24"/>
          <w:szCs w:val="20"/>
        </w:rPr>
        <w:t xml:space="preserve"> uzrādīja pieaugumu</w:t>
      </w:r>
      <w:r w:rsidRPr="0098250F">
        <w:rPr>
          <w:rFonts w:ascii="Times New Roman" w:hAnsi="Times New Roman" w:cs="Times New Roman"/>
          <w:sz w:val="24"/>
          <w:szCs w:val="20"/>
        </w:rPr>
        <w:t xml:space="preserve">, bet salīdzinājumā ar iepriekšējiem diviem gadiem investīciju </w:t>
      </w:r>
      <w:r>
        <w:rPr>
          <w:rFonts w:ascii="Times New Roman" w:hAnsi="Times New Roman" w:cs="Times New Roman"/>
          <w:sz w:val="24"/>
          <w:szCs w:val="20"/>
        </w:rPr>
        <w:t>kāpumu</w:t>
      </w:r>
      <w:r w:rsidRPr="0098250F">
        <w:rPr>
          <w:rFonts w:ascii="Times New Roman" w:hAnsi="Times New Roman" w:cs="Times New Roman"/>
          <w:sz w:val="24"/>
          <w:szCs w:val="20"/>
        </w:rPr>
        <w:t xml:space="preserve"> drīzāk var </w:t>
      </w:r>
      <w:r>
        <w:rPr>
          <w:rFonts w:ascii="Times New Roman" w:hAnsi="Times New Roman" w:cs="Times New Roman"/>
          <w:sz w:val="24"/>
          <w:szCs w:val="20"/>
        </w:rPr>
        <w:t>uzskatīt par simbolisku, jo gada laikā tā</w:t>
      </w:r>
      <w:r w:rsidRPr="0098250F">
        <w:rPr>
          <w:rFonts w:ascii="Times New Roman" w:hAnsi="Times New Roman" w:cs="Times New Roman"/>
          <w:sz w:val="24"/>
          <w:szCs w:val="20"/>
        </w:rPr>
        <w:t xml:space="preserve">s palielinājās tikai par 3,1%. Tomēr investīciju kāpums bija straujāks par IKP </w:t>
      </w:r>
      <w:r>
        <w:rPr>
          <w:rFonts w:ascii="Times New Roman" w:hAnsi="Times New Roman" w:cs="Times New Roman"/>
          <w:sz w:val="24"/>
          <w:szCs w:val="20"/>
        </w:rPr>
        <w:t xml:space="preserve">kopējo </w:t>
      </w:r>
      <w:r w:rsidRPr="0098250F">
        <w:rPr>
          <w:rFonts w:ascii="Times New Roman" w:hAnsi="Times New Roman" w:cs="Times New Roman"/>
          <w:sz w:val="24"/>
          <w:szCs w:val="20"/>
        </w:rPr>
        <w:t>izaugsmi un nodr</w:t>
      </w:r>
      <w:r>
        <w:rPr>
          <w:rFonts w:ascii="Times New Roman" w:hAnsi="Times New Roman" w:cs="Times New Roman"/>
          <w:sz w:val="24"/>
          <w:szCs w:val="20"/>
        </w:rPr>
        <w:t>ošināja 0,7 procentpunktus reālā</w:t>
      </w:r>
      <w:r w:rsidRPr="0098250F">
        <w:rPr>
          <w:rFonts w:ascii="Times New Roman" w:hAnsi="Times New Roman" w:cs="Times New Roman"/>
          <w:sz w:val="24"/>
          <w:szCs w:val="20"/>
        </w:rPr>
        <w:t xml:space="preserve"> IKP pieaugumā </w:t>
      </w:r>
      <w:r>
        <w:rPr>
          <w:rFonts w:ascii="Times New Roman" w:hAnsi="Times New Roman" w:cs="Times New Roman"/>
          <w:sz w:val="24"/>
          <w:szCs w:val="20"/>
        </w:rPr>
        <w:t>2019.</w:t>
      </w:r>
      <w:r w:rsidRPr="0098250F">
        <w:rPr>
          <w:rFonts w:ascii="Times New Roman" w:hAnsi="Times New Roman" w:cs="Times New Roman"/>
          <w:sz w:val="24"/>
          <w:szCs w:val="20"/>
        </w:rPr>
        <w:t>gadā. Investīci</w:t>
      </w:r>
      <w:r>
        <w:rPr>
          <w:rFonts w:ascii="Times New Roman" w:hAnsi="Times New Roman" w:cs="Times New Roman"/>
          <w:sz w:val="24"/>
          <w:szCs w:val="20"/>
        </w:rPr>
        <w:t>ju pieauguma tempa piebremzēšanās</w:t>
      </w:r>
      <w:r w:rsidRPr="0098250F">
        <w:rPr>
          <w:rFonts w:ascii="Times New Roman" w:hAnsi="Times New Roman" w:cs="Times New Roman"/>
          <w:sz w:val="24"/>
          <w:szCs w:val="20"/>
        </w:rPr>
        <w:t xml:space="preserve"> saistīta galvenokārt ar zemāku būvniecības aktivitāti, uz ko norāda arī </w:t>
      </w:r>
      <w:r>
        <w:rPr>
          <w:rFonts w:ascii="Times New Roman" w:hAnsi="Times New Roman" w:cs="Times New Roman"/>
          <w:sz w:val="24"/>
          <w:szCs w:val="20"/>
        </w:rPr>
        <w:t xml:space="preserve">vājāks </w:t>
      </w:r>
      <w:r w:rsidRPr="0098250F">
        <w:rPr>
          <w:rFonts w:ascii="Times New Roman" w:hAnsi="Times New Roman" w:cs="Times New Roman"/>
          <w:sz w:val="24"/>
          <w:szCs w:val="20"/>
        </w:rPr>
        <w:t xml:space="preserve">būvniecības nozares sniegums 2019.gadā. </w:t>
      </w:r>
    </w:p>
    <w:p w14:paraId="766EA96D" w14:textId="1EB736BF"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Neskatoties uz to, ka būvniecības aktivitāte pagājuš</w:t>
      </w:r>
      <w:r>
        <w:rPr>
          <w:rFonts w:ascii="Times New Roman" w:hAnsi="Times New Roman" w:cs="Times New Roman"/>
          <w:sz w:val="24"/>
          <w:szCs w:val="20"/>
        </w:rPr>
        <w:t>aj</w:t>
      </w:r>
      <w:r w:rsidRPr="0098250F">
        <w:rPr>
          <w:rFonts w:ascii="Times New Roman" w:hAnsi="Times New Roman" w:cs="Times New Roman"/>
          <w:sz w:val="24"/>
          <w:szCs w:val="20"/>
        </w:rPr>
        <w:t xml:space="preserve">ā gadā </w:t>
      </w:r>
      <w:r>
        <w:rPr>
          <w:rFonts w:ascii="Times New Roman" w:hAnsi="Times New Roman" w:cs="Times New Roman"/>
          <w:sz w:val="24"/>
          <w:szCs w:val="20"/>
        </w:rPr>
        <w:t>ievērojami samazinājā</w:t>
      </w:r>
      <w:r w:rsidRPr="0098250F">
        <w:rPr>
          <w:rFonts w:ascii="Times New Roman" w:hAnsi="Times New Roman" w:cs="Times New Roman"/>
          <w:sz w:val="24"/>
          <w:szCs w:val="20"/>
        </w:rPr>
        <w:t>s, investīcijas joprojām pamatā tiek novirzītas biroju, mājokļu, noliktavu un citu ēku būvniecībā, kā arī jau esošo ēku un būvju renovācijā. 2019.</w:t>
      </w:r>
      <w:r w:rsidR="00B36A27">
        <w:rPr>
          <w:rFonts w:ascii="Times New Roman" w:hAnsi="Times New Roman" w:cs="Times New Roman"/>
          <w:sz w:val="24"/>
          <w:szCs w:val="20"/>
        </w:rPr>
        <w:t>g</w:t>
      </w:r>
      <w:r w:rsidRPr="0098250F">
        <w:rPr>
          <w:rFonts w:ascii="Times New Roman" w:hAnsi="Times New Roman" w:cs="Times New Roman"/>
          <w:sz w:val="24"/>
          <w:szCs w:val="20"/>
        </w:rPr>
        <w:t xml:space="preserve">adā investīcijas ēkās un būvēs veidoja 50,9% no kopējām investīcijām jeb </w:t>
      </w:r>
      <w:r w:rsidRPr="003360AF">
        <w:rPr>
          <w:rFonts w:ascii="Times New Roman" w:hAnsi="Times New Roman" w:cs="Times New Roman"/>
          <w:sz w:val="24"/>
          <w:szCs w:val="20"/>
        </w:rPr>
        <w:t>3</w:t>
      </w:r>
      <w:r w:rsidR="003360AF" w:rsidRPr="003360AF">
        <w:rPr>
          <w:rFonts w:ascii="Times New Roman" w:hAnsi="Times New Roman" w:cs="Times New Roman"/>
          <w:sz w:val="24"/>
          <w:szCs w:val="20"/>
        </w:rPr>
        <w:t> </w:t>
      </w:r>
      <w:r w:rsidRPr="003360AF">
        <w:rPr>
          <w:rFonts w:ascii="Times New Roman" w:hAnsi="Times New Roman" w:cs="Times New Roman"/>
          <w:sz w:val="24"/>
          <w:szCs w:val="20"/>
        </w:rPr>
        <w:t>332</w:t>
      </w:r>
      <w:r w:rsidRPr="0098250F">
        <w:rPr>
          <w:rFonts w:ascii="Times New Roman" w:hAnsi="Times New Roman" w:cs="Times New Roman"/>
          <w:sz w:val="24"/>
          <w:szCs w:val="20"/>
        </w:rPr>
        <w:t xml:space="preserve">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Investīciju apjoma pieaugums ēkās un būvēs fiksēts </w:t>
      </w:r>
      <w:r>
        <w:rPr>
          <w:rFonts w:ascii="Times New Roman" w:hAnsi="Times New Roman" w:cs="Times New Roman"/>
          <w:sz w:val="24"/>
          <w:szCs w:val="20"/>
        </w:rPr>
        <w:t>vairākās tautsaimniecības nozarēs</w:t>
      </w:r>
      <w:r w:rsidRPr="0098250F">
        <w:rPr>
          <w:rFonts w:ascii="Times New Roman" w:hAnsi="Times New Roman" w:cs="Times New Roman"/>
          <w:sz w:val="24"/>
          <w:szCs w:val="20"/>
        </w:rPr>
        <w:t>, tomēr lielāko devumu nodrošināja divas nozares, proti</w:t>
      </w:r>
      <w:r>
        <w:rPr>
          <w:rFonts w:ascii="Times New Roman" w:hAnsi="Times New Roman" w:cs="Times New Roman"/>
          <w:sz w:val="24"/>
          <w:szCs w:val="20"/>
        </w:rPr>
        <w:t>,</w:t>
      </w:r>
      <w:r w:rsidRPr="0098250F">
        <w:rPr>
          <w:rFonts w:ascii="Times New Roman" w:hAnsi="Times New Roman" w:cs="Times New Roman"/>
          <w:sz w:val="24"/>
          <w:szCs w:val="20"/>
        </w:rPr>
        <w:t xml:space="preserve"> operācijas ar nekustamo īpašumu, kā arī valsts pārvalde un aizsardzība. Kopumā investīcijas ēkās un būvēs</w:t>
      </w:r>
      <w:r>
        <w:rPr>
          <w:rFonts w:ascii="Times New Roman" w:hAnsi="Times New Roman" w:cs="Times New Roman"/>
          <w:sz w:val="24"/>
          <w:szCs w:val="20"/>
        </w:rPr>
        <w:t xml:space="preserve"> pērn</w:t>
      </w:r>
      <w:r w:rsidRPr="0098250F">
        <w:rPr>
          <w:rFonts w:ascii="Times New Roman" w:hAnsi="Times New Roman" w:cs="Times New Roman"/>
          <w:sz w:val="24"/>
          <w:szCs w:val="20"/>
        </w:rPr>
        <w:t xml:space="preserve"> bija par 2,8% augstākas nekā 2018.gadā. </w:t>
      </w:r>
    </w:p>
    <w:p w14:paraId="0E66A00E" w14:textId="51243EBE" w:rsidR="00DE30C4" w:rsidRPr="0098250F"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Investīciju kāpums</w:t>
      </w:r>
      <w:r w:rsidRPr="0098250F">
        <w:rPr>
          <w:rFonts w:ascii="Times New Roman" w:hAnsi="Times New Roman" w:cs="Times New Roman"/>
          <w:sz w:val="24"/>
          <w:szCs w:val="20"/>
        </w:rPr>
        <w:t xml:space="preserve"> tehnoloģiskajās iekārtās un mašīnās arī </w:t>
      </w:r>
      <w:r>
        <w:rPr>
          <w:rFonts w:ascii="Times New Roman" w:hAnsi="Times New Roman" w:cs="Times New Roman"/>
          <w:sz w:val="24"/>
          <w:szCs w:val="20"/>
        </w:rPr>
        <w:t>palēninājās, pērn pieaugumam veidojot</w:t>
      </w:r>
      <w:r w:rsidRPr="0098250F">
        <w:rPr>
          <w:rFonts w:ascii="Times New Roman" w:hAnsi="Times New Roman" w:cs="Times New Roman"/>
          <w:sz w:val="24"/>
          <w:szCs w:val="20"/>
        </w:rPr>
        <w:t xml:space="preserve"> vien 2,0%, pretstatā </w:t>
      </w:r>
      <w:r>
        <w:rPr>
          <w:rFonts w:ascii="Times New Roman" w:hAnsi="Times New Roman" w:cs="Times New Roman"/>
          <w:sz w:val="24"/>
          <w:szCs w:val="20"/>
        </w:rPr>
        <w:t>13,1% kāpumam</w:t>
      </w:r>
      <w:r w:rsidRPr="0098250F">
        <w:rPr>
          <w:rFonts w:ascii="Times New Roman" w:hAnsi="Times New Roman" w:cs="Times New Roman"/>
          <w:sz w:val="24"/>
          <w:szCs w:val="20"/>
        </w:rPr>
        <w:t xml:space="preserve"> 2018.gadā. Tādēj</w:t>
      </w:r>
      <w:r>
        <w:rPr>
          <w:rFonts w:ascii="Times New Roman" w:hAnsi="Times New Roman" w:cs="Times New Roman"/>
          <w:sz w:val="24"/>
          <w:szCs w:val="20"/>
        </w:rPr>
        <w:t>ādi</w:t>
      </w:r>
      <w:r w:rsidRPr="0098250F">
        <w:rPr>
          <w:rFonts w:ascii="Times New Roman" w:hAnsi="Times New Roman" w:cs="Times New Roman"/>
          <w:sz w:val="24"/>
          <w:szCs w:val="20"/>
        </w:rPr>
        <w:t xml:space="preserve"> investīciju apjoms iekārtās un mašīnās 2019.gadā sasniedza </w:t>
      </w:r>
      <w:r w:rsidRPr="00C214BC">
        <w:rPr>
          <w:rFonts w:ascii="Times New Roman" w:hAnsi="Times New Roman" w:cs="Times New Roman"/>
          <w:sz w:val="24"/>
          <w:szCs w:val="20"/>
        </w:rPr>
        <w:t>2,8 mljrd</w:t>
      </w:r>
      <w:r>
        <w:rPr>
          <w:rFonts w:ascii="Times New Roman" w:hAnsi="Times New Roman" w:cs="Times New Roman"/>
          <w:sz w:val="24"/>
          <w:szCs w:val="20"/>
        </w:rPr>
        <w:t>.</w:t>
      </w:r>
      <w:r w:rsidRPr="00C214BC">
        <w:rPr>
          <w:rFonts w:ascii="Times New Roman" w:hAnsi="Times New Roman" w:cs="Times New Roman"/>
          <w:sz w:val="24"/>
          <w:szCs w:val="20"/>
        </w:rPr>
        <w:t xml:space="preserve">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Tomēr, neskatoties </w:t>
      </w:r>
      <w:r>
        <w:rPr>
          <w:rFonts w:ascii="Times New Roman" w:hAnsi="Times New Roman" w:cs="Times New Roman"/>
          <w:sz w:val="24"/>
          <w:szCs w:val="20"/>
        </w:rPr>
        <w:t xml:space="preserve">uz </w:t>
      </w:r>
      <w:r w:rsidRPr="0098250F">
        <w:rPr>
          <w:rFonts w:ascii="Times New Roman" w:hAnsi="Times New Roman" w:cs="Times New Roman"/>
          <w:sz w:val="24"/>
          <w:szCs w:val="20"/>
        </w:rPr>
        <w:t xml:space="preserve">pēdējos gados </w:t>
      </w:r>
      <w:r>
        <w:rPr>
          <w:rFonts w:ascii="Times New Roman" w:hAnsi="Times New Roman" w:cs="Times New Roman"/>
          <w:sz w:val="24"/>
          <w:szCs w:val="20"/>
        </w:rPr>
        <w:t xml:space="preserve">reģistrēto </w:t>
      </w:r>
      <w:r w:rsidRPr="0098250F">
        <w:rPr>
          <w:rFonts w:ascii="Times New Roman" w:hAnsi="Times New Roman" w:cs="Times New Roman"/>
          <w:sz w:val="24"/>
          <w:szCs w:val="20"/>
        </w:rPr>
        <w:t xml:space="preserve">investīciju kāpumu šajos aktīvos, pašreizējais investīciju apjoms iekārtās un mašīnās </w:t>
      </w:r>
      <w:r>
        <w:rPr>
          <w:rFonts w:ascii="Times New Roman" w:hAnsi="Times New Roman" w:cs="Times New Roman"/>
          <w:sz w:val="24"/>
          <w:szCs w:val="20"/>
        </w:rPr>
        <w:t>uzskatāms pārāk zems</w:t>
      </w:r>
      <w:r w:rsidRPr="0098250F">
        <w:rPr>
          <w:rFonts w:ascii="Times New Roman" w:hAnsi="Times New Roman" w:cs="Times New Roman"/>
          <w:sz w:val="24"/>
          <w:szCs w:val="20"/>
        </w:rPr>
        <w:t xml:space="preserve">, lai </w:t>
      </w:r>
      <w:r>
        <w:rPr>
          <w:rFonts w:ascii="Times New Roman" w:hAnsi="Times New Roman" w:cs="Times New Roman"/>
          <w:sz w:val="24"/>
          <w:szCs w:val="20"/>
        </w:rPr>
        <w:t>tas spētu būtiski veicināt un nodrošināt produktivitātes pieaugumu</w:t>
      </w:r>
      <w:r w:rsidRPr="0098250F">
        <w:rPr>
          <w:rFonts w:ascii="Times New Roman" w:hAnsi="Times New Roman" w:cs="Times New Roman"/>
          <w:sz w:val="24"/>
          <w:szCs w:val="20"/>
        </w:rPr>
        <w:t xml:space="preserve"> un </w:t>
      </w:r>
      <w:r>
        <w:rPr>
          <w:rFonts w:ascii="Times New Roman" w:hAnsi="Times New Roman" w:cs="Times New Roman"/>
          <w:sz w:val="24"/>
          <w:szCs w:val="20"/>
        </w:rPr>
        <w:t>inovāciju ieviešanu</w:t>
      </w:r>
      <w:r w:rsidRPr="0098250F">
        <w:rPr>
          <w:rFonts w:ascii="Times New Roman" w:hAnsi="Times New Roman" w:cs="Times New Roman"/>
          <w:sz w:val="24"/>
          <w:szCs w:val="20"/>
        </w:rPr>
        <w:t>. Piemēram, investīcijas iekārtās un mašīnās 2019.</w:t>
      </w:r>
      <w:r w:rsidR="00B36A27">
        <w:rPr>
          <w:rFonts w:ascii="Times New Roman" w:hAnsi="Times New Roman" w:cs="Times New Roman"/>
          <w:sz w:val="24"/>
          <w:szCs w:val="20"/>
        </w:rPr>
        <w:t>gadā kopumā bija par 1 m</w:t>
      </w:r>
      <w:r w:rsidRPr="0098250F">
        <w:rPr>
          <w:rFonts w:ascii="Times New Roman" w:hAnsi="Times New Roman" w:cs="Times New Roman"/>
          <w:sz w:val="24"/>
          <w:szCs w:val="20"/>
        </w:rPr>
        <w:t>lj</w:t>
      </w:r>
      <w:r w:rsidR="00B36A27">
        <w:rPr>
          <w:rFonts w:ascii="Times New Roman" w:hAnsi="Times New Roman" w:cs="Times New Roman"/>
          <w:sz w:val="24"/>
          <w:szCs w:val="20"/>
        </w:rPr>
        <w:t>rd.</w:t>
      </w:r>
      <w:r w:rsidRPr="0098250F">
        <w:rPr>
          <w:rFonts w:ascii="Times New Roman" w:hAnsi="Times New Roman" w:cs="Times New Roman"/>
          <w:sz w:val="24"/>
          <w:szCs w:val="20"/>
        </w:rPr>
        <w:t xml:space="preserve"> </w:t>
      </w:r>
      <w:r>
        <w:rPr>
          <w:rFonts w:ascii="Times New Roman" w:hAnsi="Times New Roman" w:cs="Times New Roman"/>
          <w:sz w:val="24"/>
          <w:szCs w:val="20"/>
        </w:rPr>
        <w:t>zemākas</w:t>
      </w:r>
      <w:r w:rsidRPr="0098250F">
        <w:rPr>
          <w:rFonts w:ascii="Times New Roman" w:hAnsi="Times New Roman" w:cs="Times New Roman"/>
          <w:sz w:val="24"/>
          <w:szCs w:val="20"/>
        </w:rPr>
        <w:t xml:space="preserve"> nekā 2007.</w:t>
      </w:r>
      <w:r w:rsidR="00FC6028">
        <w:rPr>
          <w:rFonts w:ascii="Times New Roman" w:hAnsi="Times New Roman" w:cs="Times New Roman"/>
          <w:sz w:val="24"/>
          <w:szCs w:val="20"/>
        </w:rPr>
        <w:t>–</w:t>
      </w:r>
      <w:r w:rsidRPr="0098250F">
        <w:rPr>
          <w:rFonts w:ascii="Times New Roman" w:hAnsi="Times New Roman" w:cs="Times New Roman"/>
          <w:sz w:val="24"/>
          <w:szCs w:val="20"/>
        </w:rPr>
        <w:t>2008.gada periodā.</w:t>
      </w:r>
      <w:r>
        <w:rPr>
          <w:rFonts w:ascii="Times New Roman" w:hAnsi="Times New Roman" w:cs="Times New Roman"/>
          <w:sz w:val="24"/>
          <w:szCs w:val="20"/>
        </w:rPr>
        <w:t xml:space="preserve"> A</w:t>
      </w:r>
      <w:r w:rsidRPr="0098250F">
        <w:rPr>
          <w:rFonts w:ascii="Times New Roman" w:hAnsi="Times New Roman" w:cs="Times New Roman"/>
          <w:sz w:val="24"/>
          <w:szCs w:val="20"/>
        </w:rPr>
        <w:t>rī pārējos investīciju objektos</w:t>
      </w:r>
      <w:r>
        <w:rPr>
          <w:rFonts w:ascii="Times New Roman" w:hAnsi="Times New Roman" w:cs="Times New Roman"/>
          <w:sz w:val="24"/>
          <w:szCs w:val="20"/>
        </w:rPr>
        <w:t xml:space="preserve"> investīciju apjoms</w:t>
      </w:r>
      <w:r w:rsidRPr="0098250F">
        <w:rPr>
          <w:rFonts w:ascii="Times New Roman" w:hAnsi="Times New Roman" w:cs="Times New Roman"/>
          <w:sz w:val="24"/>
          <w:szCs w:val="20"/>
        </w:rPr>
        <w:t xml:space="preserve"> ir mazāks nekā pirms</w:t>
      </w:r>
      <w:r w:rsidR="00B36A27">
        <w:rPr>
          <w:rFonts w:ascii="Times New Roman" w:hAnsi="Times New Roman" w:cs="Times New Roman"/>
          <w:sz w:val="24"/>
          <w:szCs w:val="20"/>
        </w:rPr>
        <w:t xml:space="preserve"> 2009.</w:t>
      </w:r>
      <w:r>
        <w:rPr>
          <w:rFonts w:ascii="Times New Roman" w:hAnsi="Times New Roman" w:cs="Times New Roman"/>
          <w:sz w:val="24"/>
          <w:szCs w:val="20"/>
        </w:rPr>
        <w:t>gada</w:t>
      </w:r>
      <w:r w:rsidRPr="0098250F">
        <w:rPr>
          <w:rFonts w:ascii="Times New Roman" w:hAnsi="Times New Roman" w:cs="Times New Roman"/>
          <w:sz w:val="24"/>
          <w:szCs w:val="20"/>
        </w:rPr>
        <w:t xml:space="preserve"> finanšu krīzes, </w:t>
      </w:r>
      <w:r>
        <w:rPr>
          <w:rFonts w:ascii="Times New Roman" w:hAnsi="Times New Roman" w:cs="Times New Roman"/>
          <w:sz w:val="24"/>
          <w:szCs w:val="20"/>
        </w:rPr>
        <w:t>taču</w:t>
      </w:r>
      <w:r w:rsidRPr="0098250F">
        <w:rPr>
          <w:rFonts w:ascii="Times New Roman" w:hAnsi="Times New Roman" w:cs="Times New Roman"/>
          <w:sz w:val="24"/>
          <w:szCs w:val="20"/>
        </w:rPr>
        <w:t xml:space="preserve"> </w:t>
      </w:r>
      <w:r w:rsidR="00291A3B">
        <w:rPr>
          <w:rFonts w:ascii="Times New Roman" w:hAnsi="Times New Roman" w:cs="Times New Roman"/>
          <w:sz w:val="24"/>
          <w:szCs w:val="20"/>
        </w:rPr>
        <w:t>IKP</w:t>
      </w:r>
      <w:r w:rsidRPr="0098250F">
        <w:rPr>
          <w:rFonts w:ascii="Times New Roman" w:hAnsi="Times New Roman" w:cs="Times New Roman"/>
          <w:sz w:val="24"/>
          <w:szCs w:val="20"/>
        </w:rPr>
        <w:t xml:space="preserve"> kopumā pārsniedza pirmskrīzes līmeni</w:t>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jau 2017.gadā. Tas norāda uz uzņēmēju piesardzību veikt investīcijas un paplašināt savu </w:t>
      </w:r>
      <w:r>
        <w:rPr>
          <w:rFonts w:ascii="Times New Roman" w:hAnsi="Times New Roman" w:cs="Times New Roman"/>
          <w:sz w:val="24"/>
          <w:szCs w:val="20"/>
        </w:rPr>
        <w:t>uzņēmējdarbību. Neiepriecina arī uzņēmēju</w:t>
      </w:r>
      <w:r w:rsidRPr="0098250F">
        <w:rPr>
          <w:rFonts w:ascii="Times New Roman" w:hAnsi="Times New Roman" w:cs="Times New Roman"/>
          <w:sz w:val="24"/>
          <w:szCs w:val="20"/>
        </w:rPr>
        <w:t xml:space="preserve"> aptauju dati par investīciju veikšanu ietekmējošiem faktori</w:t>
      </w:r>
      <w:r>
        <w:rPr>
          <w:rFonts w:ascii="Times New Roman" w:hAnsi="Times New Roman" w:cs="Times New Roman"/>
          <w:sz w:val="24"/>
          <w:szCs w:val="20"/>
        </w:rPr>
        <w:t>em, kas norāda uz to, ka lielākā</w:t>
      </w:r>
      <w:r w:rsidRPr="0098250F">
        <w:rPr>
          <w:rFonts w:ascii="Times New Roman" w:hAnsi="Times New Roman" w:cs="Times New Roman"/>
          <w:sz w:val="24"/>
          <w:szCs w:val="20"/>
        </w:rPr>
        <w:t xml:space="preserve"> daļa </w:t>
      </w:r>
      <w:r>
        <w:rPr>
          <w:rFonts w:ascii="Times New Roman" w:hAnsi="Times New Roman" w:cs="Times New Roman"/>
          <w:sz w:val="24"/>
          <w:szCs w:val="20"/>
        </w:rPr>
        <w:t>veikto investīciju</w:t>
      </w:r>
      <w:r w:rsidRPr="0098250F">
        <w:rPr>
          <w:rFonts w:ascii="Times New Roman" w:hAnsi="Times New Roman" w:cs="Times New Roman"/>
          <w:sz w:val="24"/>
          <w:szCs w:val="20"/>
        </w:rPr>
        <w:t xml:space="preserve"> ir vērstas uz vecās iekārtas aizvietošanu un ražošanas procesu optimizāciju</w:t>
      </w:r>
      <w:r>
        <w:rPr>
          <w:rFonts w:ascii="Times New Roman" w:hAnsi="Times New Roman" w:cs="Times New Roman"/>
          <w:sz w:val="24"/>
          <w:szCs w:val="20"/>
        </w:rPr>
        <w:t xml:space="preserve">, bet </w:t>
      </w:r>
      <w:r w:rsidRPr="0098250F">
        <w:rPr>
          <w:rFonts w:ascii="Times New Roman" w:hAnsi="Times New Roman" w:cs="Times New Roman"/>
          <w:sz w:val="24"/>
          <w:szCs w:val="20"/>
        </w:rPr>
        <w:t xml:space="preserve">tikai trešdaļa </w:t>
      </w:r>
      <w:r>
        <w:rPr>
          <w:rFonts w:ascii="Times New Roman" w:hAnsi="Times New Roman" w:cs="Times New Roman"/>
          <w:sz w:val="24"/>
          <w:szCs w:val="20"/>
        </w:rPr>
        <w:t xml:space="preserve">investīciju ir mērķētas </w:t>
      </w:r>
      <w:r w:rsidRPr="0098250F">
        <w:rPr>
          <w:rFonts w:ascii="Times New Roman" w:hAnsi="Times New Roman" w:cs="Times New Roman"/>
          <w:sz w:val="24"/>
          <w:szCs w:val="20"/>
        </w:rPr>
        <w:t xml:space="preserve">uz ražošanas paplašināšanos. </w:t>
      </w:r>
    </w:p>
    <w:p w14:paraId="1216EA78" w14:textId="668F4744"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Būtiska loma investīciju aktivitātes pieaugumā pēdējos gados bija arī ES fondu investīcijām. Valsts budžeta izdevumi ES fondu investīciju projektiem pērnajā gadā bija 712 milj. </w:t>
      </w:r>
      <w:r w:rsidRPr="00A26F38">
        <w:rPr>
          <w:rFonts w:ascii="Times New Roman" w:hAnsi="Times New Roman" w:cs="Times New Roman"/>
          <w:i/>
          <w:sz w:val="24"/>
          <w:szCs w:val="20"/>
        </w:rPr>
        <w:t>euro</w:t>
      </w:r>
      <w:r w:rsidR="00B36A27">
        <w:rPr>
          <w:rFonts w:ascii="Times New Roman" w:hAnsi="Times New Roman" w:cs="Times New Roman"/>
          <w:sz w:val="24"/>
          <w:szCs w:val="20"/>
        </w:rPr>
        <w:t xml:space="preserve">, </w:t>
      </w:r>
      <w:r>
        <w:rPr>
          <w:rFonts w:ascii="Times New Roman" w:hAnsi="Times New Roman" w:cs="Times New Roman"/>
          <w:sz w:val="24"/>
          <w:szCs w:val="20"/>
        </w:rPr>
        <w:t>n</w:t>
      </w:r>
      <w:r w:rsidRPr="0098250F">
        <w:rPr>
          <w:rFonts w:ascii="Times New Roman" w:hAnsi="Times New Roman" w:cs="Times New Roman"/>
          <w:sz w:val="24"/>
          <w:szCs w:val="20"/>
        </w:rPr>
        <w:t>o tiem 350 milj.</w:t>
      </w:r>
      <w:r>
        <w:rPr>
          <w:rFonts w:ascii="Times New Roman" w:hAnsi="Times New Roman" w:cs="Times New Roman"/>
          <w:sz w:val="24"/>
          <w:szCs w:val="20"/>
        </w:rPr>
        <w:t xml:space="preserve"> </w:t>
      </w:r>
      <w:r w:rsidRPr="00A26F38">
        <w:rPr>
          <w:rFonts w:ascii="Times New Roman" w:hAnsi="Times New Roman" w:cs="Times New Roman"/>
          <w:i/>
          <w:sz w:val="24"/>
          <w:szCs w:val="20"/>
        </w:rPr>
        <w:t>euro</w:t>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bija kapitālie izdevumi jeb investīcijas, kas tiešā veidā ietekmē bruto pamatkapitāla veidošanas apjomu tautsaimniecībā. </w:t>
      </w:r>
      <w:r>
        <w:rPr>
          <w:rFonts w:ascii="Times New Roman" w:hAnsi="Times New Roman" w:cs="Times New Roman"/>
          <w:sz w:val="24"/>
          <w:szCs w:val="20"/>
        </w:rPr>
        <w:t>Tomēr</w:t>
      </w:r>
      <w:r w:rsidRPr="0098250F">
        <w:rPr>
          <w:rFonts w:ascii="Times New Roman" w:hAnsi="Times New Roman" w:cs="Times New Roman"/>
          <w:sz w:val="24"/>
          <w:szCs w:val="20"/>
        </w:rPr>
        <w:t xml:space="preserve"> gan kopējie valsts budžeta izdevumi ES fondu investīciju projektiem, gan kapitālie izdevumi 2019.gadā prak</w:t>
      </w:r>
      <w:r>
        <w:rPr>
          <w:rFonts w:ascii="Times New Roman" w:hAnsi="Times New Roman" w:cs="Times New Roman"/>
          <w:sz w:val="24"/>
          <w:szCs w:val="20"/>
        </w:rPr>
        <w:t xml:space="preserve">tiski </w:t>
      </w:r>
      <w:r w:rsidRPr="0098250F">
        <w:rPr>
          <w:rFonts w:ascii="Times New Roman" w:hAnsi="Times New Roman" w:cs="Times New Roman"/>
          <w:sz w:val="24"/>
          <w:szCs w:val="20"/>
        </w:rPr>
        <w:t>bija</w:t>
      </w:r>
      <w:r>
        <w:rPr>
          <w:rFonts w:ascii="Times New Roman" w:hAnsi="Times New Roman" w:cs="Times New Roman"/>
          <w:sz w:val="24"/>
          <w:szCs w:val="20"/>
        </w:rPr>
        <w:t xml:space="preserve"> iepriekšējā gada līmenī, tādējādi nera</w:t>
      </w:r>
      <w:r w:rsidRPr="0098250F">
        <w:rPr>
          <w:rFonts w:ascii="Times New Roman" w:hAnsi="Times New Roman" w:cs="Times New Roman"/>
          <w:sz w:val="24"/>
          <w:szCs w:val="20"/>
        </w:rPr>
        <w:t xml:space="preserve">dot papildus </w:t>
      </w:r>
      <w:r>
        <w:rPr>
          <w:rFonts w:ascii="Times New Roman" w:hAnsi="Times New Roman" w:cs="Times New Roman"/>
          <w:sz w:val="24"/>
          <w:szCs w:val="20"/>
        </w:rPr>
        <w:t>stimulu</w:t>
      </w:r>
      <w:r w:rsidRPr="0098250F">
        <w:rPr>
          <w:rFonts w:ascii="Times New Roman" w:hAnsi="Times New Roman" w:cs="Times New Roman"/>
          <w:sz w:val="24"/>
          <w:szCs w:val="20"/>
        </w:rPr>
        <w:t xml:space="preserve"> straujākam investīciju pieaugumam tau</w:t>
      </w:r>
      <w:r>
        <w:rPr>
          <w:rFonts w:ascii="Times New Roman" w:hAnsi="Times New Roman" w:cs="Times New Roman"/>
          <w:sz w:val="24"/>
          <w:szCs w:val="20"/>
        </w:rPr>
        <w:t>tsaimniecībā</w:t>
      </w:r>
      <w:r w:rsidRPr="0098250F">
        <w:rPr>
          <w:rFonts w:ascii="Times New Roman" w:hAnsi="Times New Roman" w:cs="Times New Roman"/>
          <w:sz w:val="24"/>
          <w:szCs w:val="20"/>
        </w:rPr>
        <w:t xml:space="preserve"> kopumā. </w:t>
      </w:r>
      <w:r>
        <w:rPr>
          <w:rFonts w:ascii="Times New Roman" w:hAnsi="Times New Roman" w:cs="Times New Roman"/>
          <w:sz w:val="24"/>
          <w:szCs w:val="20"/>
        </w:rPr>
        <w:t>Ņemot vērā pēdējās</w:t>
      </w:r>
      <w:r w:rsidRPr="0098250F">
        <w:rPr>
          <w:rFonts w:ascii="Times New Roman" w:hAnsi="Times New Roman" w:cs="Times New Roman"/>
          <w:sz w:val="24"/>
          <w:szCs w:val="20"/>
        </w:rPr>
        <w:t xml:space="preserve"> prognozes, sagaidāms, kā arī 2020.gadā valsts budžeta izdevumi ES fondu investīciju projektiem būs iepriekšējā gada līmenī. </w:t>
      </w:r>
    </w:p>
    <w:p w14:paraId="142DA59C" w14:textId="138FA0FD" w:rsidR="00DE30C4" w:rsidRDefault="00DE30C4" w:rsidP="00DE30C4">
      <w:pPr>
        <w:spacing w:after="240" w:line="24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Balstoties uz aktuālāko situāciju </w:t>
      </w:r>
      <w:r w:rsidR="00291A3B">
        <w:rPr>
          <w:rFonts w:ascii="Times New Roman" w:hAnsi="Times New Roman" w:cs="Times New Roman"/>
          <w:sz w:val="24"/>
          <w:szCs w:val="20"/>
        </w:rPr>
        <w:t>–</w:t>
      </w:r>
      <w:r>
        <w:rPr>
          <w:rFonts w:ascii="Times New Roman" w:hAnsi="Times New Roman" w:cs="Times New Roman"/>
          <w:sz w:val="24"/>
          <w:szCs w:val="20"/>
        </w:rPr>
        <w:t xml:space="preserve"> ārējā pieprasījuma kritums</w:t>
      </w:r>
      <w:r w:rsidRPr="0098250F">
        <w:rPr>
          <w:rFonts w:ascii="Times New Roman" w:hAnsi="Times New Roman" w:cs="Times New Roman"/>
          <w:sz w:val="24"/>
          <w:szCs w:val="20"/>
        </w:rPr>
        <w:t xml:space="preserve">, kas Latvijas eksporta datos sāka atspoguļoties </w:t>
      </w:r>
      <w:r>
        <w:rPr>
          <w:rFonts w:ascii="Times New Roman" w:hAnsi="Times New Roman" w:cs="Times New Roman"/>
          <w:sz w:val="24"/>
          <w:szCs w:val="20"/>
        </w:rPr>
        <w:t>pagājušā gada vidū, un jaunā korona</w:t>
      </w:r>
      <w:r w:rsidRPr="0098250F">
        <w:rPr>
          <w:rFonts w:ascii="Times New Roman" w:hAnsi="Times New Roman" w:cs="Times New Roman"/>
          <w:sz w:val="24"/>
          <w:szCs w:val="20"/>
        </w:rPr>
        <w:t xml:space="preserve">vīrusa </w:t>
      </w:r>
      <w:r>
        <w:rPr>
          <w:rFonts w:ascii="Times New Roman" w:hAnsi="Times New Roman" w:cs="Times New Roman"/>
          <w:sz w:val="24"/>
          <w:szCs w:val="20"/>
        </w:rPr>
        <w:t>izplatības izraisītā</w:t>
      </w:r>
      <w:r w:rsidRPr="0098250F">
        <w:rPr>
          <w:rFonts w:ascii="Times New Roman" w:hAnsi="Times New Roman" w:cs="Times New Roman"/>
          <w:sz w:val="24"/>
          <w:szCs w:val="20"/>
        </w:rPr>
        <w:t>s sekas</w:t>
      </w:r>
      <w:r>
        <w:rPr>
          <w:rFonts w:ascii="Times New Roman" w:hAnsi="Times New Roman" w:cs="Times New Roman"/>
          <w:sz w:val="24"/>
          <w:szCs w:val="20"/>
        </w:rPr>
        <w:t>,</w:t>
      </w:r>
      <w:r w:rsidRPr="0098250F">
        <w:rPr>
          <w:rFonts w:ascii="Times New Roman" w:hAnsi="Times New Roman" w:cs="Times New Roman"/>
          <w:sz w:val="24"/>
          <w:szCs w:val="20"/>
        </w:rPr>
        <w:t xml:space="preserve"> investīciju </w:t>
      </w:r>
      <w:r>
        <w:rPr>
          <w:rFonts w:ascii="Times New Roman" w:hAnsi="Times New Roman" w:cs="Times New Roman"/>
          <w:sz w:val="24"/>
          <w:szCs w:val="20"/>
        </w:rPr>
        <w:t xml:space="preserve">apjomus </w:t>
      </w:r>
      <w:r w:rsidRPr="0098250F">
        <w:rPr>
          <w:rFonts w:ascii="Times New Roman" w:hAnsi="Times New Roman" w:cs="Times New Roman"/>
          <w:sz w:val="24"/>
          <w:szCs w:val="20"/>
        </w:rPr>
        <w:t>2020.gadā</w:t>
      </w:r>
      <w:r>
        <w:rPr>
          <w:rFonts w:ascii="Times New Roman" w:hAnsi="Times New Roman" w:cs="Times New Roman"/>
          <w:sz w:val="24"/>
          <w:szCs w:val="20"/>
        </w:rPr>
        <w:t xml:space="preserve"> ietekmēs negatīvi. </w:t>
      </w:r>
      <w:r w:rsidRPr="0098250F">
        <w:rPr>
          <w:rFonts w:ascii="Times New Roman" w:hAnsi="Times New Roman" w:cs="Times New Roman"/>
          <w:sz w:val="24"/>
          <w:szCs w:val="20"/>
        </w:rPr>
        <w:t xml:space="preserve">Valsts robežu slēgšana, ārvalstu tūristu plūsmas kritums, kā arī </w:t>
      </w:r>
      <w:r>
        <w:rPr>
          <w:rFonts w:ascii="Times New Roman" w:hAnsi="Times New Roman" w:cs="Times New Roman"/>
          <w:sz w:val="24"/>
          <w:szCs w:val="20"/>
        </w:rPr>
        <w:t xml:space="preserve">pašizolācija un </w:t>
      </w:r>
      <w:r w:rsidRPr="0098250F">
        <w:rPr>
          <w:rFonts w:ascii="Times New Roman" w:hAnsi="Times New Roman" w:cs="Times New Roman"/>
          <w:sz w:val="24"/>
          <w:szCs w:val="20"/>
        </w:rPr>
        <w:t>karantīna</w:t>
      </w:r>
      <w:r>
        <w:rPr>
          <w:rFonts w:ascii="Times New Roman" w:hAnsi="Times New Roman" w:cs="Times New Roman"/>
          <w:sz w:val="24"/>
          <w:szCs w:val="20"/>
        </w:rPr>
        <w:t>s prasību</w:t>
      </w:r>
      <w:r w:rsidRPr="0098250F">
        <w:rPr>
          <w:rFonts w:ascii="Times New Roman" w:hAnsi="Times New Roman" w:cs="Times New Roman"/>
          <w:sz w:val="24"/>
          <w:szCs w:val="20"/>
        </w:rPr>
        <w:t xml:space="preserve"> ieviešana mazinās iedzīvotāju ekonomisko aktivitāti, kas tiešā veidā atspoguļosies </w:t>
      </w:r>
      <w:r>
        <w:rPr>
          <w:rFonts w:ascii="Times New Roman" w:hAnsi="Times New Roman" w:cs="Times New Roman"/>
          <w:sz w:val="24"/>
          <w:szCs w:val="20"/>
        </w:rPr>
        <w:t>zemākos</w:t>
      </w:r>
      <w:r w:rsidRPr="0098250F">
        <w:rPr>
          <w:rFonts w:ascii="Times New Roman" w:hAnsi="Times New Roman" w:cs="Times New Roman"/>
          <w:sz w:val="24"/>
          <w:szCs w:val="20"/>
        </w:rPr>
        <w:t xml:space="preserve"> uzņēmumu ieņēmumos. Papildus tam</w:t>
      </w:r>
      <w:r>
        <w:rPr>
          <w:rFonts w:ascii="Times New Roman" w:hAnsi="Times New Roman" w:cs="Times New Roman"/>
          <w:sz w:val="24"/>
          <w:szCs w:val="20"/>
        </w:rPr>
        <w:t xml:space="preserve"> pēkšņs piegādes ķēžu pārrāvums</w:t>
      </w:r>
      <w:r w:rsidRPr="0098250F">
        <w:rPr>
          <w:rFonts w:ascii="Times New Roman" w:hAnsi="Times New Roman" w:cs="Times New Roman"/>
          <w:sz w:val="24"/>
          <w:szCs w:val="20"/>
        </w:rPr>
        <w:t xml:space="preserve"> varētu negatīvi ietekmēt ražošanas piedāvājuma pusi, sadārdzinot</w:t>
      </w:r>
      <w:r>
        <w:rPr>
          <w:rFonts w:ascii="Times New Roman" w:hAnsi="Times New Roman" w:cs="Times New Roman"/>
          <w:sz w:val="24"/>
          <w:szCs w:val="20"/>
        </w:rPr>
        <w:t xml:space="preserve"> ražošanas izejvielas. Tādējādi uzņēmumi saskarsies ar būtisku ieņēmumu kritumu </w:t>
      </w:r>
      <w:r w:rsidRPr="0098250F">
        <w:rPr>
          <w:rFonts w:ascii="Times New Roman" w:hAnsi="Times New Roman" w:cs="Times New Roman"/>
          <w:sz w:val="24"/>
          <w:szCs w:val="20"/>
        </w:rPr>
        <w:t>un investīciju projektu realizā</w:t>
      </w:r>
      <w:r>
        <w:rPr>
          <w:rFonts w:ascii="Times New Roman" w:hAnsi="Times New Roman" w:cs="Times New Roman"/>
          <w:sz w:val="24"/>
          <w:szCs w:val="20"/>
        </w:rPr>
        <w:t>cija varētu tikt atlikta uz nenoteiktu laiku</w:t>
      </w:r>
      <w:r w:rsidRPr="0098250F">
        <w:rPr>
          <w:rFonts w:ascii="Times New Roman" w:hAnsi="Times New Roman" w:cs="Times New Roman"/>
          <w:sz w:val="24"/>
          <w:szCs w:val="20"/>
        </w:rPr>
        <w:t xml:space="preserve">. </w:t>
      </w:r>
    </w:p>
    <w:p w14:paraId="36370500" w14:textId="77777777" w:rsidR="00DE30C4" w:rsidRPr="006747BC" w:rsidRDefault="00DE30C4" w:rsidP="00DE30C4">
      <w:pPr>
        <w:spacing w:after="120" w:line="240" w:lineRule="auto"/>
        <w:ind w:firstLine="720"/>
        <w:jc w:val="both"/>
        <w:rPr>
          <w:rFonts w:ascii="Times New Roman" w:hAnsi="Times New Roman" w:cs="Times New Roman"/>
          <w:b/>
          <w:i/>
          <w:sz w:val="24"/>
          <w:szCs w:val="20"/>
        </w:rPr>
      </w:pPr>
      <w:r w:rsidRPr="006747BC">
        <w:rPr>
          <w:rFonts w:ascii="Times New Roman" w:hAnsi="Times New Roman" w:cs="Times New Roman"/>
          <w:b/>
          <w:i/>
          <w:sz w:val="24"/>
          <w:szCs w:val="20"/>
        </w:rPr>
        <w:t xml:space="preserve">Ārējā tirdzniecība </w:t>
      </w:r>
    </w:p>
    <w:p w14:paraId="77C794BB" w14:textId="2DCCF974" w:rsidR="00DE30C4"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Latvijas </w:t>
      </w:r>
      <w:r>
        <w:rPr>
          <w:rFonts w:ascii="Times New Roman" w:hAnsi="Times New Roman" w:cs="Times New Roman"/>
          <w:b/>
          <w:sz w:val="24"/>
          <w:szCs w:val="20"/>
        </w:rPr>
        <w:t>preču un pakalpojumu eksports</w:t>
      </w:r>
      <w:r w:rsidRPr="0098250F">
        <w:rPr>
          <w:rFonts w:ascii="Times New Roman" w:hAnsi="Times New Roman" w:cs="Times New Roman"/>
          <w:sz w:val="24"/>
          <w:szCs w:val="20"/>
        </w:rPr>
        <w:t xml:space="preserve"> </w:t>
      </w:r>
      <w:r>
        <w:rPr>
          <w:rFonts w:ascii="Times New Roman" w:hAnsi="Times New Roman" w:cs="Times New Roman"/>
          <w:sz w:val="24"/>
          <w:szCs w:val="20"/>
        </w:rPr>
        <w:t>salīdzinām</w:t>
      </w:r>
      <w:r w:rsidRPr="0098250F">
        <w:rPr>
          <w:rFonts w:ascii="Times New Roman" w:hAnsi="Times New Roman" w:cs="Times New Roman"/>
          <w:sz w:val="24"/>
          <w:szCs w:val="20"/>
        </w:rPr>
        <w:t xml:space="preserve">ās cenās 2019.gadā pieauga vien par 2,0%, kas ir vājākais </w:t>
      </w:r>
      <w:r>
        <w:rPr>
          <w:rFonts w:ascii="Times New Roman" w:hAnsi="Times New Roman" w:cs="Times New Roman"/>
          <w:sz w:val="24"/>
          <w:szCs w:val="20"/>
        </w:rPr>
        <w:t>kāpums</w:t>
      </w:r>
      <w:r w:rsidRPr="0098250F">
        <w:rPr>
          <w:rFonts w:ascii="Times New Roman" w:hAnsi="Times New Roman" w:cs="Times New Roman"/>
          <w:sz w:val="24"/>
          <w:szCs w:val="20"/>
        </w:rPr>
        <w:t xml:space="preserve"> kopš 2014.</w:t>
      </w:r>
      <w:r>
        <w:rPr>
          <w:rFonts w:ascii="Times New Roman" w:hAnsi="Times New Roman" w:cs="Times New Roman"/>
          <w:sz w:val="24"/>
          <w:szCs w:val="20"/>
        </w:rPr>
        <w:t>gada</w:t>
      </w:r>
      <w:r w:rsidRPr="0098250F">
        <w:rPr>
          <w:rFonts w:ascii="Times New Roman" w:hAnsi="Times New Roman" w:cs="Times New Roman"/>
          <w:sz w:val="24"/>
          <w:szCs w:val="20"/>
        </w:rPr>
        <w:t xml:space="preserve">. Ņemot vērā, ka </w:t>
      </w:r>
      <w:r>
        <w:rPr>
          <w:rFonts w:ascii="Times New Roman" w:hAnsi="Times New Roman" w:cs="Times New Roman"/>
          <w:sz w:val="24"/>
          <w:szCs w:val="20"/>
        </w:rPr>
        <w:t xml:space="preserve">arī </w:t>
      </w:r>
      <w:r w:rsidRPr="0098250F">
        <w:rPr>
          <w:rFonts w:ascii="Times New Roman" w:hAnsi="Times New Roman" w:cs="Times New Roman"/>
          <w:sz w:val="24"/>
          <w:szCs w:val="20"/>
        </w:rPr>
        <w:t xml:space="preserve">Latvijas </w:t>
      </w:r>
      <w:r>
        <w:rPr>
          <w:rFonts w:ascii="Times New Roman" w:hAnsi="Times New Roman" w:cs="Times New Roman"/>
          <w:sz w:val="24"/>
          <w:szCs w:val="20"/>
        </w:rPr>
        <w:t>reālā IKP pieauguma</w:t>
      </w:r>
      <w:r w:rsidRPr="0098250F">
        <w:rPr>
          <w:rFonts w:ascii="Times New Roman" w:hAnsi="Times New Roman" w:cs="Times New Roman"/>
          <w:sz w:val="24"/>
          <w:szCs w:val="20"/>
        </w:rPr>
        <w:t xml:space="preserve"> temps </w:t>
      </w:r>
      <w:r>
        <w:rPr>
          <w:rFonts w:ascii="Times New Roman" w:hAnsi="Times New Roman" w:cs="Times New Roman"/>
          <w:sz w:val="24"/>
          <w:szCs w:val="20"/>
        </w:rPr>
        <w:t>pērn</w:t>
      </w:r>
      <w:r w:rsidRPr="0098250F">
        <w:rPr>
          <w:rFonts w:ascii="Times New Roman" w:hAnsi="Times New Roman" w:cs="Times New Roman"/>
          <w:sz w:val="24"/>
          <w:szCs w:val="20"/>
        </w:rPr>
        <w:t xml:space="preserve"> </w:t>
      </w:r>
      <w:r>
        <w:rPr>
          <w:rFonts w:ascii="Times New Roman" w:hAnsi="Times New Roman" w:cs="Times New Roman"/>
          <w:sz w:val="24"/>
          <w:szCs w:val="20"/>
        </w:rPr>
        <w:t xml:space="preserve">sabremzējās, </w:t>
      </w:r>
      <w:r w:rsidRPr="0098250F">
        <w:rPr>
          <w:rFonts w:ascii="Times New Roman" w:hAnsi="Times New Roman" w:cs="Times New Roman"/>
          <w:sz w:val="24"/>
          <w:szCs w:val="20"/>
        </w:rPr>
        <w:t>veido</w:t>
      </w:r>
      <w:r>
        <w:rPr>
          <w:rFonts w:ascii="Times New Roman" w:hAnsi="Times New Roman" w:cs="Times New Roman"/>
          <w:sz w:val="24"/>
          <w:szCs w:val="20"/>
        </w:rPr>
        <w:t>jot</w:t>
      </w:r>
      <w:r w:rsidRPr="0098250F">
        <w:rPr>
          <w:rFonts w:ascii="Times New Roman" w:hAnsi="Times New Roman" w:cs="Times New Roman"/>
          <w:sz w:val="24"/>
          <w:szCs w:val="20"/>
        </w:rPr>
        <w:t xml:space="preserve"> 2,2%, eksporta īpatsvars IKP palika praktiski nemainīgs salīdzinājumā ar iepriekšējiem gadiem un bija 63,2%. Eksporta attīstību 2019.gadā vienlaicīgi negatīvi ietekmēja vairāku faktoru </w:t>
      </w:r>
      <w:r>
        <w:rPr>
          <w:rFonts w:ascii="Times New Roman" w:hAnsi="Times New Roman" w:cs="Times New Roman"/>
          <w:sz w:val="24"/>
          <w:szCs w:val="20"/>
        </w:rPr>
        <w:t>kopums</w:t>
      </w:r>
      <w:r w:rsidRPr="0098250F">
        <w:rPr>
          <w:rFonts w:ascii="Times New Roman" w:hAnsi="Times New Roman" w:cs="Times New Roman"/>
          <w:sz w:val="24"/>
          <w:szCs w:val="20"/>
        </w:rPr>
        <w:t xml:space="preserve">. Viens no galvenajiem faktoriem bija divu pasaules lielāko ekonomiku jeb ASV un Ķīnas tirdzniecības saspīlējums un savstarpējā importa tarifu ieviešana, kas </w:t>
      </w:r>
      <w:r>
        <w:rPr>
          <w:rFonts w:ascii="Times New Roman" w:hAnsi="Times New Roman" w:cs="Times New Roman"/>
          <w:sz w:val="24"/>
          <w:szCs w:val="20"/>
        </w:rPr>
        <w:t>radīja</w:t>
      </w:r>
      <w:r w:rsidRPr="0098250F">
        <w:rPr>
          <w:rFonts w:ascii="Times New Roman" w:hAnsi="Times New Roman" w:cs="Times New Roman"/>
          <w:sz w:val="24"/>
          <w:szCs w:val="20"/>
        </w:rPr>
        <w:t xml:space="preserve"> negatīvu efektu uz globālo tirdzniecību un </w:t>
      </w:r>
      <w:r>
        <w:rPr>
          <w:rFonts w:ascii="Times New Roman" w:hAnsi="Times New Roman" w:cs="Times New Roman"/>
          <w:sz w:val="24"/>
          <w:szCs w:val="20"/>
        </w:rPr>
        <w:t xml:space="preserve">pasaules </w:t>
      </w:r>
      <w:r w:rsidRPr="0098250F">
        <w:rPr>
          <w:rFonts w:ascii="Times New Roman" w:hAnsi="Times New Roman" w:cs="Times New Roman"/>
          <w:sz w:val="24"/>
          <w:szCs w:val="20"/>
        </w:rPr>
        <w:t>ekonomisko izaugsmi.</w:t>
      </w:r>
      <w:r>
        <w:rPr>
          <w:rFonts w:ascii="Times New Roman" w:hAnsi="Times New Roman" w:cs="Times New Roman"/>
          <w:sz w:val="24"/>
          <w:szCs w:val="20"/>
        </w:rPr>
        <w:t xml:space="preserve"> Tādējādi pasaules IKP pērn uzrādīja vājāko pieaugumu pēdējās desmitgades laikā, kamēr ES</w:t>
      </w:r>
      <w:r w:rsidRPr="0098250F">
        <w:rPr>
          <w:rFonts w:ascii="Times New Roman" w:hAnsi="Times New Roman" w:cs="Times New Roman"/>
          <w:sz w:val="24"/>
          <w:szCs w:val="20"/>
        </w:rPr>
        <w:t xml:space="preserve"> </w:t>
      </w:r>
      <w:r>
        <w:rPr>
          <w:rFonts w:ascii="Times New Roman" w:hAnsi="Times New Roman" w:cs="Times New Roman"/>
          <w:sz w:val="24"/>
          <w:szCs w:val="20"/>
        </w:rPr>
        <w:t xml:space="preserve">izaugsme </w:t>
      </w:r>
      <w:r w:rsidR="00B36A27">
        <w:rPr>
          <w:rFonts w:ascii="Times New Roman" w:hAnsi="Times New Roman" w:cs="Times New Roman"/>
          <w:sz w:val="24"/>
          <w:szCs w:val="20"/>
        </w:rPr>
        <w:t>bija zemākajā līmenī kopš 2014.</w:t>
      </w:r>
      <w:r>
        <w:rPr>
          <w:rFonts w:ascii="Times New Roman" w:hAnsi="Times New Roman" w:cs="Times New Roman"/>
          <w:sz w:val="24"/>
          <w:szCs w:val="20"/>
        </w:rPr>
        <w:t xml:space="preserve">gada. </w:t>
      </w:r>
    </w:p>
    <w:p w14:paraId="3EA1D1EE" w14:textId="13D5C6D9" w:rsidR="00DE30C4"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ES ir lielākais </w:t>
      </w:r>
      <w:r>
        <w:rPr>
          <w:rFonts w:ascii="Times New Roman" w:hAnsi="Times New Roman" w:cs="Times New Roman"/>
          <w:sz w:val="24"/>
          <w:szCs w:val="20"/>
        </w:rPr>
        <w:t>Latvijas preču un pakalpojumu eksporta tirgus</w:t>
      </w:r>
      <w:r w:rsidRPr="0098250F">
        <w:rPr>
          <w:rFonts w:ascii="Times New Roman" w:hAnsi="Times New Roman" w:cs="Times New Roman"/>
          <w:sz w:val="24"/>
          <w:szCs w:val="20"/>
        </w:rPr>
        <w:t xml:space="preserve">. 2019.gadā uz ES </w:t>
      </w:r>
      <w:r>
        <w:rPr>
          <w:rFonts w:ascii="Times New Roman" w:hAnsi="Times New Roman" w:cs="Times New Roman"/>
          <w:sz w:val="24"/>
          <w:szCs w:val="20"/>
        </w:rPr>
        <w:t>tika eksportēti</w:t>
      </w:r>
      <w:r w:rsidRPr="0098250F">
        <w:rPr>
          <w:rFonts w:ascii="Times New Roman" w:hAnsi="Times New Roman" w:cs="Times New Roman"/>
          <w:sz w:val="24"/>
          <w:szCs w:val="20"/>
        </w:rPr>
        <w:t xml:space="preserve"> 72,3% no Latvijas kopējā preču eksporta un 66,9% no kopējā pakalpojumu eksporta. Tādējādi, </w:t>
      </w:r>
      <w:r>
        <w:rPr>
          <w:rFonts w:ascii="Times New Roman" w:hAnsi="Times New Roman" w:cs="Times New Roman"/>
          <w:sz w:val="24"/>
          <w:szCs w:val="20"/>
        </w:rPr>
        <w:t>palēninoties</w:t>
      </w:r>
      <w:r w:rsidRPr="0098250F">
        <w:rPr>
          <w:rFonts w:ascii="Times New Roman" w:hAnsi="Times New Roman" w:cs="Times New Roman"/>
          <w:sz w:val="24"/>
          <w:szCs w:val="20"/>
        </w:rPr>
        <w:t xml:space="preserve"> </w:t>
      </w:r>
      <w:r>
        <w:rPr>
          <w:rFonts w:ascii="Times New Roman" w:hAnsi="Times New Roman" w:cs="Times New Roman"/>
          <w:sz w:val="24"/>
          <w:szCs w:val="20"/>
        </w:rPr>
        <w:t>ES iekšējam patēriņam</w:t>
      </w:r>
      <w:r w:rsidRPr="0098250F">
        <w:rPr>
          <w:rFonts w:ascii="Times New Roman" w:hAnsi="Times New Roman" w:cs="Times New Roman"/>
          <w:sz w:val="24"/>
          <w:szCs w:val="20"/>
        </w:rPr>
        <w:t>, Latvijas eksporta pieauguma tempi arī sāka mazināties. Piemēram, preču eksporta vērtība</w:t>
      </w:r>
      <w:r>
        <w:rPr>
          <w:rFonts w:ascii="Times New Roman" w:hAnsi="Times New Roman" w:cs="Times New Roman"/>
          <w:sz w:val="24"/>
          <w:szCs w:val="20"/>
        </w:rPr>
        <w:t xml:space="preserve"> </w:t>
      </w:r>
      <w:r w:rsidRPr="00885CED">
        <w:rPr>
          <w:rFonts w:ascii="Times New Roman" w:hAnsi="Times New Roman" w:cs="Times New Roman"/>
          <w:sz w:val="24"/>
          <w:szCs w:val="20"/>
        </w:rPr>
        <w:t>faktiskajās cenās</w:t>
      </w:r>
      <w:r w:rsidRPr="0098250F">
        <w:rPr>
          <w:rFonts w:ascii="Times New Roman" w:hAnsi="Times New Roman" w:cs="Times New Roman"/>
          <w:sz w:val="24"/>
          <w:szCs w:val="20"/>
        </w:rPr>
        <w:t xml:space="preserve"> 2019.gadā uz ES palielinājās par 1,8%, bet pakalpojumu </w:t>
      </w:r>
      <w:r>
        <w:rPr>
          <w:rFonts w:ascii="Times New Roman" w:hAnsi="Times New Roman" w:cs="Times New Roman"/>
          <w:sz w:val="24"/>
          <w:szCs w:val="20"/>
        </w:rPr>
        <w:t xml:space="preserve">eksporta vērtība </w:t>
      </w:r>
      <w:r w:rsidR="00DE3E1F">
        <w:rPr>
          <w:rFonts w:ascii="Times New Roman" w:hAnsi="Times New Roman" w:cs="Times New Roman"/>
          <w:sz w:val="24"/>
          <w:szCs w:val="20"/>
        </w:rPr>
        <w:t>–</w:t>
      </w:r>
      <w:r w:rsidRPr="0098250F">
        <w:rPr>
          <w:rFonts w:ascii="Times New Roman" w:hAnsi="Times New Roman" w:cs="Times New Roman"/>
          <w:sz w:val="24"/>
          <w:szCs w:val="20"/>
        </w:rPr>
        <w:t xml:space="preserve"> par 7,9%. </w:t>
      </w:r>
    </w:p>
    <w:p w14:paraId="60FF6503" w14:textId="7C037207"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Latvijas preču eksportētājiem</w:t>
      </w:r>
      <w:r>
        <w:rPr>
          <w:rFonts w:ascii="Times New Roman" w:hAnsi="Times New Roman" w:cs="Times New Roman"/>
          <w:sz w:val="24"/>
          <w:szCs w:val="20"/>
        </w:rPr>
        <w:t xml:space="preserve"> </w:t>
      </w:r>
      <w:r w:rsidRPr="0098250F">
        <w:rPr>
          <w:rFonts w:ascii="Times New Roman" w:hAnsi="Times New Roman" w:cs="Times New Roman"/>
          <w:sz w:val="24"/>
          <w:szCs w:val="20"/>
        </w:rPr>
        <w:t>2019.gads</w:t>
      </w:r>
      <w:r>
        <w:rPr>
          <w:rFonts w:ascii="Times New Roman" w:hAnsi="Times New Roman" w:cs="Times New Roman"/>
          <w:sz w:val="24"/>
          <w:szCs w:val="20"/>
        </w:rPr>
        <w:t xml:space="preserve"> bija izaicinājumiem</w:t>
      </w:r>
      <w:r w:rsidRPr="0098250F">
        <w:rPr>
          <w:rFonts w:ascii="Times New Roman" w:hAnsi="Times New Roman" w:cs="Times New Roman"/>
          <w:sz w:val="24"/>
          <w:szCs w:val="20"/>
        </w:rPr>
        <w:t xml:space="preserve"> pilns, jo ārējā pieprasījuma sašaurināšanās, nenoteiktība saistībā ar Lielbritānijas izstāšanos no ES, koksnes cenu kritums pasaules tirgos un reeksporta apjomu samazinājums ir bremzējuši Latvijas preču eksporta attīstību. Preču eksports balansēja uz krituma ro</w:t>
      </w:r>
      <w:r>
        <w:rPr>
          <w:rFonts w:ascii="Times New Roman" w:hAnsi="Times New Roman" w:cs="Times New Roman"/>
          <w:sz w:val="24"/>
          <w:szCs w:val="20"/>
        </w:rPr>
        <w:t>bežas visa 2019.</w:t>
      </w:r>
      <w:r w:rsidRPr="0098250F">
        <w:rPr>
          <w:rFonts w:ascii="Times New Roman" w:hAnsi="Times New Roman" w:cs="Times New Roman"/>
          <w:sz w:val="24"/>
          <w:szCs w:val="20"/>
        </w:rPr>
        <w:t xml:space="preserve">gada garumā, </w:t>
      </w:r>
      <w:r>
        <w:rPr>
          <w:rFonts w:ascii="Times New Roman" w:hAnsi="Times New Roman" w:cs="Times New Roman"/>
          <w:sz w:val="24"/>
          <w:szCs w:val="20"/>
        </w:rPr>
        <w:t>un gadā kopumā</w:t>
      </w:r>
      <w:r w:rsidRPr="0098250F">
        <w:rPr>
          <w:rFonts w:ascii="Times New Roman" w:hAnsi="Times New Roman" w:cs="Times New Roman"/>
          <w:sz w:val="24"/>
          <w:szCs w:val="20"/>
        </w:rPr>
        <w:t xml:space="preserve"> preču eksporta vērtība bija </w:t>
      </w:r>
      <w:r>
        <w:rPr>
          <w:rFonts w:ascii="Times New Roman" w:hAnsi="Times New Roman" w:cs="Times New Roman"/>
          <w:sz w:val="24"/>
          <w:szCs w:val="20"/>
        </w:rPr>
        <w:t xml:space="preserve">tikai par 0,2% lielāka nekā 2018. gadā, </w:t>
      </w:r>
      <w:r w:rsidRPr="0098250F">
        <w:rPr>
          <w:rFonts w:ascii="Times New Roman" w:hAnsi="Times New Roman" w:cs="Times New Roman"/>
          <w:sz w:val="24"/>
          <w:szCs w:val="20"/>
        </w:rPr>
        <w:t xml:space="preserve">tādējādi </w:t>
      </w:r>
      <w:r>
        <w:rPr>
          <w:rFonts w:ascii="Times New Roman" w:hAnsi="Times New Roman" w:cs="Times New Roman"/>
          <w:sz w:val="24"/>
          <w:szCs w:val="20"/>
        </w:rPr>
        <w:t xml:space="preserve">sasniedzot 12,8 miljardus </w:t>
      </w:r>
      <w:r w:rsidRPr="00A26F38">
        <w:rPr>
          <w:rFonts w:ascii="Times New Roman" w:hAnsi="Times New Roman" w:cs="Times New Roman"/>
          <w:i/>
          <w:sz w:val="24"/>
          <w:szCs w:val="20"/>
        </w:rPr>
        <w:t>euro</w:t>
      </w:r>
      <w:r>
        <w:rPr>
          <w:rFonts w:ascii="Times New Roman" w:hAnsi="Times New Roman" w:cs="Times New Roman"/>
          <w:sz w:val="24"/>
          <w:szCs w:val="20"/>
        </w:rPr>
        <w:t>.</w:t>
      </w:r>
    </w:p>
    <w:p w14:paraId="40D2FDDB" w14:textId="72FB5B34" w:rsidR="00DE30C4" w:rsidRPr="0098250F"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Preču eksporta vērtības izmaiņas</w:t>
      </w:r>
      <w:r w:rsidRPr="0098250F">
        <w:rPr>
          <w:rFonts w:ascii="Times New Roman" w:hAnsi="Times New Roman" w:cs="Times New Roman"/>
          <w:sz w:val="24"/>
          <w:szCs w:val="20"/>
        </w:rPr>
        <w:t xml:space="preserve"> 2019.gadā visbūtiskāk ietekmēja mehānismu un mehānisko ierīču eksporta samazinājums par 28,2%, kas ir saistīts</w:t>
      </w:r>
      <w:r>
        <w:rPr>
          <w:rFonts w:ascii="Times New Roman" w:hAnsi="Times New Roman" w:cs="Times New Roman"/>
          <w:sz w:val="24"/>
          <w:szCs w:val="20"/>
        </w:rPr>
        <w:t xml:space="preserve"> ar</w:t>
      </w:r>
      <w:r w:rsidRPr="0098250F">
        <w:rPr>
          <w:rFonts w:ascii="Times New Roman" w:hAnsi="Times New Roman" w:cs="Times New Roman"/>
          <w:sz w:val="24"/>
          <w:szCs w:val="20"/>
        </w:rPr>
        <w:t xml:space="preserve"> turboreaktīvo dzinēju reeksporta samazinājumu uz ASV par 343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Šo faktoru jāuztver kā izņēmumu, kurš neraksturo nedz ārējā pieprasījuma izmaiņas, nedz Latvijas eksportētāju konkurētspēju, jo to ietekmēja aviokompānijas </w:t>
      </w:r>
      <w:r w:rsidRPr="00C93AB4">
        <w:rPr>
          <w:rFonts w:ascii="Times New Roman" w:hAnsi="Times New Roman" w:cs="Times New Roman"/>
          <w:i/>
          <w:sz w:val="24"/>
          <w:szCs w:val="20"/>
        </w:rPr>
        <w:t>airBaltic</w:t>
      </w:r>
      <w:r w:rsidRPr="0098250F">
        <w:rPr>
          <w:rFonts w:ascii="Times New Roman" w:hAnsi="Times New Roman" w:cs="Times New Roman"/>
          <w:sz w:val="24"/>
          <w:szCs w:val="20"/>
        </w:rPr>
        <w:t xml:space="preserve"> lidmašīnu flotes atjaunošana un ar to saistīt</w:t>
      </w:r>
      <w:r>
        <w:rPr>
          <w:rFonts w:ascii="Times New Roman" w:hAnsi="Times New Roman" w:cs="Times New Roman"/>
          <w:sz w:val="24"/>
          <w:szCs w:val="20"/>
        </w:rPr>
        <w:t>ā</w:t>
      </w:r>
      <w:r w:rsidRPr="0098250F">
        <w:rPr>
          <w:rFonts w:ascii="Times New Roman" w:hAnsi="Times New Roman" w:cs="Times New Roman"/>
          <w:sz w:val="24"/>
          <w:szCs w:val="20"/>
        </w:rPr>
        <w:t xml:space="preserve"> lidmašīnu tehniskā apskate un remonts</w:t>
      </w:r>
      <w:r w:rsidR="00B36A27">
        <w:rPr>
          <w:rFonts w:ascii="Times New Roman" w:hAnsi="Times New Roman" w:cs="Times New Roman"/>
          <w:sz w:val="24"/>
          <w:szCs w:val="20"/>
        </w:rPr>
        <w:t xml:space="preserve"> 2018.</w:t>
      </w:r>
      <w:r>
        <w:rPr>
          <w:rFonts w:ascii="Times New Roman" w:hAnsi="Times New Roman" w:cs="Times New Roman"/>
          <w:sz w:val="24"/>
          <w:szCs w:val="20"/>
        </w:rPr>
        <w:t>gadā</w:t>
      </w:r>
      <w:r w:rsidRPr="0098250F">
        <w:rPr>
          <w:rFonts w:ascii="Times New Roman" w:hAnsi="Times New Roman" w:cs="Times New Roman"/>
          <w:sz w:val="24"/>
          <w:szCs w:val="20"/>
        </w:rPr>
        <w:t>. Ja no kopējā</w:t>
      </w:r>
      <w:r>
        <w:rPr>
          <w:rFonts w:ascii="Times New Roman" w:hAnsi="Times New Roman" w:cs="Times New Roman"/>
          <w:sz w:val="24"/>
          <w:szCs w:val="20"/>
        </w:rPr>
        <w:t>s</w:t>
      </w:r>
      <w:r w:rsidRPr="0098250F">
        <w:rPr>
          <w:rFonts w:ascii="Times New Roman" w:hAnsi="Times New Roman" w:cs="Times New Roman"/>
          <w:sz w:val="24"/>
          <w:szCs w:val="20"/>
        </w:rPr>
        <w:t xml:space="preserve"> preču eksporta vērtības izslēgtu </w:t>
      </w:r>
      <w:r>
        <w:rPr>
          <w:rFonts w:ascii="Times New Roman" w:hAnsi="Times New Roman" w:cs="Times New Roman"/>
          <w:sz w:val="24"/>
          <w:szCs w:val="20"/>
        </w:rPr>
        <w:t>turboreaktīvo dzinēju reeksportu</w:t>
      </w:r>
      <w:r w:rsidRPr="0098250F">
        <w:rPr>
          <w:rFonts w:ascii="Times New Roman" w:hAnsi="Times New Roman" w:cs="Times New Roman"/>
          <w:sz w:val="24"/>
          <w:szCs w:val="20"/>
        </w:rPr>
        <w:t xml:space="preserve">, tad preču eksporta pieaugums 2019.gadā būtu </w:t>
      </w:r>
      <w:r>
        <w:rPr>
          <w:rFonts w:ascii="Times New Roman" w:hAnsi="Times New Roman" w:cs="Times New Roman"/>
          <w:sz w:val="24"/>
          <w:szCs w:val="20"/>
        </w:rPr>
        <w:t xml:space="preserve">sasniedzis </w:t>
      </w:r>
      <w:r w:rsidRPr="0098250F">
        <w:rPr>
          <w:rFonts w:ascii="Times New Roman" w:hAnsi="Times New Roman" w:cs="Times New Roman"/>
          <w:sz w:val="24"/>
          <w:szCs w:val="20"/>
        </w:rPr>
        <w:t xml:space="preserve">2,8%, nevis 0,2%. </w:t>
      </w:r>
      <w:r>
        <w:rPr>
          <w:rFonts w:ascii="Times New Roman" w:hAnsi="Times New Roman" w:cs="Times New Roman"/>
          <w:sz w:val="24"/>
          <w:szCs w:val="20"/>
        </w:rPr>
        <w:t xml:space="preserve"> </w:t>
      </w:r>
    </w:p>
    <w:p w14:paraId="79618542" w14:textId="2BAB092F"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Vēl viens faktors, kas negatīvi ietekmēja preču eksporta v</w:t>
      </w:r>
      <w:r>
        <w:rPr>
          <w:rFonts w:ascii="Times New Roman" w:hAnsi="Times New Roman" w:cs="Times New Roman"/>
          <w:sz w:val="24"/>
          <w:szCs w:val="20"/>
        </w:rPr>
        <w:t xml:space="preserve">ērtību, </w:t>
      </w:r>
      <w:r w:rsidRPr="0098250F">
        <w:rPr>
          <w:rFonts w:ascii="Times New Roman" w:hAnsi="Times New Roman" w:cs="Times New Roman"/>
          <w:sz w:val="24"/>
          <w:szCs w:val="20"/>
        </w:rPr>
        <w:t>īpaši koksnes eksportu</w:t>
      </w:r>
      <w:r>
        <w:rPr>
          <w:rFonts w:ascii="Times New Roman" w:hAnsi="Times New Roman" w:cs="Times New Roman"/>
          <w:sz w:val="24"/>
          <w:szCs w:val="20"/>
        </w:rPr>
        <w:t>,</w:t>
      </w:r>
      <w:r w:rsidRPr="0098250F">
        <w:rPr>
          <w:rFonts w:ascii="Times New Roman" w:hAnsi="Times New Roman" w:cs="Times New Roman"/>
          <w:sz w:val="24"/>
          <w:szCs w:val="20"/>
        </w:rPr>
        <w:t xml:space="preserve"> </w:t>
      </w:r>
      <w:r>
        <w:rPr>
          <w:rFonts w:ascii="Times New Roman" w:hAnsi="Times New Roman" w:cs="Times New Roman"/>
          <w:sz w:val="24"/>
          <w:szCs w:val="20"/>
        </w:rPr>
        <w:t>2019.</w:t>
      </w:r>
      <w:r w:rsidRPr="0098250F">
        <w:rPr>
          <w:rFonts w:ascii="Times New Roman" w:hAnsi="Times New Roman" w:cs="Times New Roman"/>
          <w:sz w:val="24"/>
          <w:szCs w:val="20"/>
        </w:rPr>
        <w:t>gadā bija koksnes cenu kritums. Koksnes eksporta vērtības</w:t>
      </w:r>
      <w:r>
        <w:rPr>
          <w:rFonts w:ascii="Times New Roman" w:hAnsi="Times New Roman" w:cs="Times New Roman"/>
          <w:sz w:val="24"/>
          <w:szCs w:val="20"/>
        </w:rPr>
        <w:t xml:space="preserve"> kritumi</w:t>
      </w:r>
      <w:r w:rsidRPr="0098250F">
        <w:rPr>
          <w:rFonts w:ascii="Times New Roman" w:hAnsi="Times New Roman" w:cs="Times New Roman"/>
          <w:sz w:val="24"/>
          <w:szCs w:val="20"/>
        </w:rPr>
        <w:t xml:space="preserve"> 2019.gadā</w:t>
      </w:r>
      <w:r>
        <w:rPr>
          <w:rFonts w:ascii="Times New Roman" w:hAnsi="Times New Roman" w:cs="Times New Roman"/>
          <w:sz w:val="24"/>
          <w:szCs w:val="20"/>
        </w:rPr>
        <w:t xml:space="preserve"> tika fiksēti</w:t>
      </w:r>
      <w:r w:rsidRPr="0098250F">
        <w:rPr>
          <w:rFonts w:ascii="Times New Roman" w:hAnsi="Times New Roman" w:cs="Times New Roman"/>
          <w:sz w:val="24"/>
          <w:szCs w:val="20"/>
        </w:rPr>
        <w:t xml:space="preserve"> uz vairākām valstīm</w:t>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 L</w:t>
      </w:r>
      <w:r>
        <w:rPr>
          <w:rFonts w:ascii="Times New Roman" w:hAnsi="Times New Roman" w:cs="Times New Roman"/>
          <w:sz w:val="24"/>
          <w:szCs w:val="20"/>
        </w:rPr>
        <w:t>ielbritāniju, Vāciju, Zviedriju, kas ir nozīmīgākie</w:t>
      </w:r>
      <w:r w:rsidRPr="0098250F">
        <w:rPr>
          <w:rFonts w:ascii="Times New Roman" w:hAnsi="Times New Roman" w:cs="Times New Roman"/>
          <w:sz w:val="24"/>
          <w:szCs w:val="20"/>
        </w:rPr>
        <w:t xml:space="preserve"> koksnes eksporta </w:t>
      </w:r>
      <w:r>
        <w:rPr>
          <w:rFonts w:ascii="Times New Roman" w:hAnsi="Times New Roman" w:cs="Times New Roman"/>
          <w:sz w:val="24"/>
          <w:szCs w:val="20"/>
        </w:rPr>
        <w:t>tirgi</w:t>
      </w:r>
      <w:r w:rsidRPr="0098250F">
        <w:rPr>
          <w:rFonts w:ascii="Times New Roman" w:hAnsi="Times New Roman" w:cs="Times New Roman"/>
          <w:sz w:val="24"/>
          <w:szCs w:val="20"/>
        </w:rPr>
        <w:t xml:space="preserve">. </w:t>
      </w:r>
      <w:r>
        <w:rPr>
          <w:rFonts w:ascii="Times New Roman" w:hAnsi="Times New Roman" w:cs="Times New Roman"/>
          <w:sz w:val="24"/>
          <w:szCs w:val="20"/>
        </w:rPr>
        <w:t xml:space="preserve">Koksnes cenu kritumu pasaules tirgos </w:t>
      </w:r>
      <w:r w:rsidRPr="0098250F">
        <w:rPr>
          <w:rFonts w:ascii="Times New Roman" w:hAnsi="Times New Roman" w:cs="Times New Roman"/>
          <w:sz w:val="24"/>
          <w:szCs w:val="20"/>
        </w:rPr>
        <w:t>noteica piepras</w:t>
      </w:r>
      <w:r>
        <w:rPr>
          <w:rFonts w:ascii="Times New Roman" w:hAnsi="Times New Roman" w:cs="Times New Roman"/>
          <w:sz w:val="24"/>
          <w:szCs w:val="20"/>
        </w:rPr>
        <w:t>ījuma un piedāvājuma izmaiņas - no vienas puses</w:t>
      </w:r>
      <w:r w:rsidRPr="0098250F">
        <w:rPr>
          <w:rFonts w:ascii="Times New Roman" w:hAnsi="Times New Roman" w:cs="Times New Roman"/>
          <w:sz w:val="24"/>
          <w:szCs w:val="20"/>
        </w:rPr>
        <w:t xml:space="preserve"> pasaules ekonomikas attīstības tempu bremzēšanās mazināja koksnes pieprasījumu, bet no otras puses </w:t>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nelabvēlīgo laika apstākļu dēļ iepriekšējos gados vairākās Rietumeiropas valstīs </w:t>
      </w:r>
      <w:r>
        <w:rPr>
          <w:rFonts w:ascii="Times New Roman" w:hAnsi="Times New Roman" w:cs="Times New Roman"/>
          <w:sz w:val="24"/>
          <w:szCs w:val="20"/>
        </w:rPr>
        <w:t>tika veikti pastiprināti mežistrādes darbi</w:t>
      </w:r>
      <w:r w:rsidRPr="0098250F">
        <w:rPr>
          <w:rFonts w:ascii="Times New Roman" w:hAnsi="Times New Roman" w:cs="Times New Roman"/>
          <w:sz w:val="24"/>
          <w:szCs w:val="20"/>
        </w:rPr>
        <w:t>, tādējādi palielinot koksnes piedāvājumu. Papildus tam, koksnes eksporta svārstības noteica neskaidrība par Lielbritānijas izstāšanos no ES un ies</w:t>
      </w:r>
      <w:r>
        <w:rPr>
          <w:rFonts w:ascii="Times New Roman" w:hAnsi="Times New Roman" w:cs="Times New Roman"/>
          <w:sz w:val="24"/>
          <w:szCs w:val="20"/>
        </w:rPr>
        <w:t>pējamie tirdzniecības tarifi</w:t>
      </w:r>
      <w:r w:rsidRPr="0098250F">
        <w:rPr>
          <w:rFonts w:ascii="Times New Roman" w:hAnsi="Times New Roman" w:cs="Times New Roman"/>
          <w:sz w:val="24"/>
          <w:szCs w:val="20"/>
        </w:rPr>
        <w:t xml:space="preserve"> starp Lielbritāniju un ES. </w:t>
      </w:r>
      <w:r>
        <w:rPr>
          <w:rFonts w:ascii="Times New Roman" w:hAnsi="Times New Roman" w:cs="Times New Roman"/>
          <w:sz w:val="24"/>
          <w:szCs w:val="20"/>
        </w:rPr>
        <w:t xml:space="preserve">Vēl </w:t>
      </w:r>
      <w:r w:rsidRPr="0098250F">
        <w:rPr>
          <w:rFonts w:ascii="Times New Roman" w:hAnsi="Times New Roman" w:cs="Times New Roman"/>
          <w:sz w:val="24"/>
          <w:szCs w:val="20"/>
        </w:rPr>
        <w:t>2019.</w:t>
      </w:r>
      <w:r w:rsidR="003360AF">
        <w:rPr>
          <w:rFonts w:ascii="Times New Roman" w:hAnsi="Times New Roman" w:cs="Times New Roman"/>
          <w:sz w:val="24"/>
          <w:szCs w:val="20"/>
        </w:rPr>
        <w:t>g</w:t>
      </w:r>
      <w:r w:rsidRPr="0098250F">
        <w:rPr>
          <w:rFonts w:ascii="Times New Roman" w:hAnsi="Times New Roman" w:cs="Times New Roman"/>
          <w:sz w:val="24"/>
          <w:szCs w:val="20"/>
        </w:rPr>
        <w:t xml:space="preserve">ada sākumā šis faktors </w:t>
      </w:r>
      <w:r>
        <w:rPr>
          <w:rFonts w:ascii="Times New Roman" w:hAnsi="Times New Roman" w:cs="Times New Roman"/>
          <w:sz w:val="24"/>
          <w:szCs w:val="20"/>
        </w:rPr>
        <w:t>labvēlīgi ietekmēja kokrūpniecības preču</w:t>
      </w:r>
      <w:r w:rsidRPr="0098250F">
        <w:rPr>
          <w:rFonts w:ascii="Times New Roman" w:hAnsi="Times New Roman" w:cs="Times New Roman"/>
          <w:sz w:val="24"/>
          <w:szCs w:val="20"/>
        </w:rPr>
        <w:t xml:space="preserve"> eksportu, jo </w:t>
      </w:r>
      <w:r>
        <w:rPr>
          <w:rFonts w:ascii="Times New Roman" w:hAnsi="Times New Roman" w:cs="Times New Roman"/>
          <w:sz w:val="24"/>
          <w:szCs w:val="20"/>
        </w:rPr>
        <w:t>Lielbritānija veidoja šo preču</w:t>
      </w:r>
      <w:r w:rsidRPr="0098250F">
        <w:rPr>
          <w:rFonts w:ascii="Times New Roman" w:hAnsi="Times New Roman" w:cs="Times New Roman"/>
          <w:sz w:val="24"/>
          <w:szCs w:val="20"/>
        </w:rPr>
        <w:t xml:space="preserve"> </w:t>
      </w:r>
      <w:r>
        <w:rPr>
          <w:rFonts w:ascii="Times New Roman" w:hAnsi="Times New Roman" w:cs="Times New Roman"/>
          <w:sz w:val="24"/>
          <w:szCs w:val="20"/>
        </w:rPr>
        <w:t>krājumus, t</w:t>
      </w:r>
      <w:r w:rsidRPr="0098250F">
        <w:rPr>
          <w:rFonts w:ascii="Times New Roman" w:hAnsi="Times New Roman" w:cs="Times New Roman"/>
          <w:sz w:val="24"/>
          <w:szCs w:val="20"/>
        </w:rPr>
        <w:t>aču</w:t>
      </w:r>
      <w:r>
        <w:rPr>
          <w:rFonts w:ascii="Times New Roman" w:hAnsi="Times New Roman" w:cs="Times New Roman"/>
          <w:sz w:val="24"/>
          <w:szCs w:val="20"/>
        </w:rPr>
        <w:t>,</w:t>
      </w:r>
      <w:r w:rsidRPr="0098250F">
        <w:rPr>
          <w:rFonts w:ascii="Times New Roman" w:hAnsi="Times New Roman" w:cs="Times New Roman"/>
          <w:sz w:val="24"/>
          <w:szCs w:val="20"/>
        </w:rPr>
        <w:t xml:space="preserve"> sākot ar </w:t>
      </w:r>
      <w:r w:rsidR="003360AF">
        <w:rPr>
          <w:rFonts w:ascii="Times New Roman" w:hAnsi="Times New Roman" w:cs="Times New Roman"/>
          <w:sz w:val="24"/>
          <w:szCs w:val="20"/>
        </w:rPr>
        <w:t>2019.</w:t>
      </w:r>
      <w:r>
        <w:rPr>
          <w:rFonts w:ascii="Times New Roman" w:hAnsi="Times New Roman" w:cs="Times New Roman"/>
          <w:sz w:val="24"/>
          <w:szCs w:val="20"/>
        </w:rPr>
        <w:t xml:space="preserve">gada </w:t>
      </w:r>
      <w:r w:rsidRPr="0098250F">
        <w:rPr>
          <w:rFonts w:ascii="Times New Roman" w:hAnsi="Times New Roman" w:cs="Times New Roman"/>
          <w:sz w:val="24"/>
          <w:szCs w:val="20"/>
        </w:rPr>
        <w:t>otro ceturksni</w:t>
      </w:r>
      <w:r>
        <w:rPr>
          <w:rFonts w:ascii="Times New Roman" w:hAnsi="Times New Roman" w:cs="Times New Roman"/>
          <w:sz w:val="24"/>
          <w:szCs w:val="20"/>
        </w:rPr>
        <w:t>,</w:t>
      </w:r>
      <w:r w:rsidRPr="0098250F">
        <w:rPr>
          <w:rFonts w:ascii="Times New Roman" w:hAnsi="Times New Roman" w:cs="Times New Roman"/>
          <w:sz w:val="24"/>
          <w:szCs w:val="20"/>
        </w:rPr>
        <w:t xml:space="preserve"> koksnes eksports uz Lielbritāniju sāka samazināties. Ņemot vērā, ka Lie</w:t>
      </w:r>
      <w:r>
        <w:rPr>
          <w:rFonts w:ascii="Times New Roman" w:hAnsi="Times New Roman" w:cs="Times New Roman"/>
          <w:sz w:val="24"/>
          <w:szCs w:val="20"/>
        </w:rPr>
        <w:t>lbritānija ir lielākais Latvijā ražoto kokrūpniecības izstrādājumu</w:t>
      </w:r>
      <w:r w:rsidRPr="0098250F">
        <w:rPr>
          <w:rFonts w:ascii="Times New Roman" w:hAnsi="Times New Roman" w:cs="Times New Roman"/>
          <w:sz w:val="24"/>
          <w:szCs w:val="20"/>
        </w:rPr>
        <w:t xml:space="preserve"> noieta tirgus, tas negatīvi ietekmēja </w:t>
      </w:r>
      <w:r>
        <w:rPr>
          <w:rFonts w:ascii="Times New Roman" w:hAnsi="Times New Roman" w:cs="Times New Roman"/>
          <w:sz w:val="24"/>
          <w:szCs w:val="20"/>
        </w:rPr>
        <w:t xml:space="preserve">kopējo </w:t>
      </w:r>
      <w:r w:rsidRPr="0098250F">
        <w:rPr>
          <w:rFonts w:ascii="Times New Roman" w:hAnsi="Times New Roman" w:cs="Times New Roman"/>
          <w:sz w:val="24"/>
          <w:szCs w:val="20"/>
        </w:rPr>
        <w:t>koksnes eksporta dinamiku. Tādējādi</w:t>
      </w:r>
      <w:r>
        <w:rPr>
          <w:rFonts w:ascii="Times New Roman" w:hAnsi="Times New Roman" w:cs="Times New Roman"/>
          <w:sz w:val="24"/>
          <w:szCs w:val="20"/>
        </w:rPr>
        <w:t xml:space="preserve"> kopējā koksnes eksporta vērtība</w:t>
      </w:r>
      <w:r w:rsidRPr="0098250F">
        <w:rPr>
          <w:rFonts w:ascii="Times New Roman" w:hAnsi="Times New Roman" w:cs="Times New Roman"/>
          <w:sz w:val="24"/>
          <w:szCs w:val="20"/>
        </w:rPr>
        <w:t xml:space="preserve"> 2019.gadā bija par 3,1% zemāka nekā 2018.gadā.</w:t>
      </w:r>
    </w:p>
    <w:p w14:paraId="2D4238DA" w14:textId="14B9855D"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Minerālproduktu eksporta vērtība 2019.</w:t>
      </w:r>
      <w:r>
        <w:rPr>
          <w:rFonts w:ascii="Times New Roman" w:hAnsi="Times New Roman" w:cs="Times New Roman"/>
          <w:sz w:val="24"/>
          <w:szCs w:val="20"/>
        </w:rPr>
        <w:t>gadā</w:t>
      </w:r>
      <w:r w:rsidRPr="0098250F">
        <w:rPr>
          <w:rFonts w:ascii="Times New Roman" w:hAnsi="Times New Roman" w:cs="Times New Roman"/>
          <w:sz w:val="24"/>
          <w:szCs w:val="20"/>
        </w:rPr>
        <w:t xml:space="preserve"> samazinājās par 13</w:t>
      </w:r>
      <w:r>
        <w:rPr>
          <w:rFonts w:ascii="Times New Roman" w:hAnsi="Times New Roman" w:cs="Times New Roman"/>
          <w:sz w:val="24"/>
          <w:szCs w:val="20"/>
        </w:rPr>
        <w:t>,0%, būtiski sarūkot naftas eļļas</w:t>
      </w:r>
      <w:r w:rsidRPr="0098250F">
        <w:rPr>
          <w:rFonts w:ascii="Times New Roman" w:hAnsi="Times New Roman" w:cs="Times New Roman"/>
          <w:sz w:val="24"/>
          <w:szCs w:val="20"/>
        </w:rPr>
        <w:t xml:space="preserve"> un elektro</w:t>
      </w:r>
      <w:r>
        <w:rPr>
          <w:rFonts w:ascii="Times New Roman" w:hAnsi="Times New Roman" w:cs="Times New Roman"/>
          <w:sz w:val="24"/>
          <w:szCs w:val="20"/>
        </w:rPr>
        <w:t>enerģijas eksportam. Naftas eļļas</w:t>
      </w:r>
      <w:r w:rsidRPr="0098250F">
        <w:rPr>
          <w:rFonts w:ascii="Times New Roman" w:hAnsi="Times New Roman" w:cs="Times New Roman"/>
          <w:sz w:val="24"/>
          <w:szCs w:val="20"/>
        </w:rPr>
        <w:t xml:space="preserve"> eksporta kritumu ietekmēja naftas cenu kritums pasaules tirgos, bet elektroenerģijas eksporta samazinājums </w:t>
      </w:r>
      <w:r>
        <w:rPr>
          <w:rFonts w:ascii="Times New Roman" w:hAnsi="Times New Roman" w:cs="Times New Roman"/>
          <w:sz w:val="24"/>
          <w:szCs w:val="20"/>
        </w:rPr>
        <w:t>bija</w:t>
      </w:r>
      <w:r w:rsidRPr="0098250F">
        <w:rPr>
          <w:rFonts w:ascii="Times New Roman" w:hAnsi="Times New Roman" w:cs="Times New Roman"/>
          <w:sz w:val="24"/>
          <w:szCs w:val="20"/>
        </w:rPr>
        <w:t xml:space="preserve"> saistīts</w:t>
      </w:r>
      <w:r>
        <w:rPr>
          <w:rFonts w:ascii="Times New Roman" w:hAnsi="Times New Roman" w:cs="Times New Roman"/>
          <w:sz w:val="24"/>
          <w:szCs w:val="20"/>
        </w:rPr>
        <w:t xml:space="preserve"> ar</w:t>
      </w:r>
      <w:r w:rsidRPr="0098250F">
        <w:rPr>
          <w:rFonts w:ascii="Times New Roman" w:hAnsi="Times New Roman" w:cs="Times New Roman"/>
          <w:sz w:val="24"/>
          <w:szCs w:val="20"/>
        </w:rPr>
        <w:t xml:space="preserve"> elektroenerģijas cenas kritumu Eiropas elektroenerģijas biržā “</w:t>
      </w:r>
      <w:r w:rsidRPr="00403C25">
        <w:rPr>
          <w:rFonts w:ascii="Times New Roman" w:hAnsi="Times New Roman" w:cs="Times New Roman"/>
          <w:i/>
          <w:sz w:val="24"/>
          <w:szCs w:val="20"/>
        </w:rPr>
        <w:t>Nord Pool Spot AS</w:t>
      </w:r>
      <w:r w:rsidRPr="0098250F">
        <w:rPr>
          <w:rFonts w:ascii="Times New Roman" w:hAnsi="Times New Roman" w:cs="Times New Roman"/>
          <w:sz w:val="24"/>
          <w:szCs w:val="20"/>
        </w:rPr>
        <w:t xml:space="preserve">”. </w:t>
      </w:r>
    </w:p>
    <w:p w14:paraId="608BD10B" w14:textId="03456EE8"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Vienlaikus 2019.</w:t>
      </w:r>
      <w:r>
        <w:rPr>
          <w:rFonts w:ascii="Times New Roman" w:hAnsi="Times New Roman" w:cs="Times New Roman"/>
          <w:sz w:val="24"/>
          <w:szCs w:val="20"/>
        </w:rPr>
        <w:t>gada</w:t>
      </w:r>
      <w:r w:rsidRPr="0098250F">
        <w:rPr>
          <w:rFonts w:ascii="Times New Roman" w:hAnsi="Times New Roman" w:cs="Times New Roman"/>
          <w:sz w:val="24"/>
          <w:szCs w:val="20"/>
        </w:rPr>
        <w:t xml:space="preserve"> eksporta datos </w:t>
      </w:r>
      <w:r>
        <w:rPr>
          <w:rFonts w:ascii="Times New Roman" w:hAnsi="Times New Roman" w:cs="Times New Roman"/>
          <w:sz w:val="24"/>
          <w:szCs w:val="20"/>
        </w:rPr>
        <w:t>bija vērojamas arī vairākas pozitīvas</w:t>
      </w:r>
      <w:r w:rsidRPr="0098250F">
        <w:rPr>
          <w:rFonts w:ascii="Times New Roman" w:hAnsi="Times New Roman" w:cs="Times New Roman"/>
          <w:sz w:val="24"/>
          <w:szCs w:val="20"/>
        </w:rPr>
        <w:t xml:space="preserve"> </w:t>
      </w:r>
      <w:r>
        <w:rPr>
          <w:rFonts w:ascii="Times New Roman" w:hAnsi="Times New Roman" w:cs="Times New Roman"/>
          <w:sz w:val="24"/>
          <w:szCs w:val="20"/>
        </w:rPr>
        <w:t>iezīmes, kuras</w:t>
      </w:r>
      <w:r w:rsidRPr="0098250F">
        <w:rPr>
          <w:rFonts w:ascii="Times New Roman" w:hAnsi="Times New Roman" w:cs="Times New Roman"/>
          <w:sz w:val="24"/>
          <w:szCs w:val="20"/>
        </w:rPr>
        <w:t xml:space="preserve"> mazināja augstākminēto faktoru negatīvo ietekmi. Atzīstamus eksporta pieauguma tempus visā 2019.gada garumā uzrādīja graudaugu </w:t>
      </w:r>
      <w:r>
        <w:rPr>
          <w:rFonts w:ascii="Times New Roman" w:hAnsi="Times New Roman" w:cs="Times New Roman"/>
          <w:sz w:val="24"/>
          <w:szCs w:val="20"/>
        </w:rPr>
        <w:t>un eļļas augu sēklu</w:t>
      </w:r>
      <w:r w:rsidRPr="0098250F">
        <w:rPr>
          <w:rFonts w:ascii="Times New Roman" w:hAnsi="Times New Roman" w:cs="Times New Roman"/>
          <w:sz w:val="24"/>
          <w:szCs w:val="20"/>
        </w:rPr>
        <w:t xml:space="preserve"> eksports, pateicoties </w:t>
      </w:r>
      <w:r>
        <w:rPr>
          <w:rFonts w:ascii="Times New Roman" w:hAnsi="Times New Roman" w:cs="Times New Roman"/>
          <w:sz w:val="24"/>
          <w:szCs w:val="20"/>
        </w:rPr>
        <w:t>augstajai</w:t>
      </w:r>
      <w:r w:rsidRPr="0098250F">
        <w:rPr>
          <w:rFonts w:ascii="Times New Roman" w:hAnsi="Times New Roman" w:cs="Times New Roman"/>
          <w:sz w:val="24"/>
          <w:szCs w:val="20"/>
        </w:rPr>
        <w:t xml:space="preserve"> šo </w:t>
      </w:r>
      <w:r>
        <w:rPr>
          <w:rFonts w:ascii="Times New Roman" w:hAnsi="Times New Roman" w:cs="Times New Roman"/>
          <w:sz w:val="24"/>
          <w:szCs w:val="20"/>
        </w:rPr>
        <w:t>produktu</w:t>
      </w:r>
      <w:r w:rsidRPr="0098250F">
        <w:rPr>
          <w:rFonts w:ascii="Times New Roman" w:hAnsi="Times New Roman" w:cs="Times New Roman"/>
          <w:sz w:val="24"/>
          <w:szCs w:val="20"/>
        </w:rPr>
        <w:t xml:space="preserve"> ražai 2019.gadā. Tā, 2019.gadā graudaugu eksporta vērtība pieauga par 43,4% salīdzinājumā ar iepriek</w:t>
      </w:r>
      <w:r>
        <w:rPr>
          <w:rFonts w:ascii="Times New Roman" w:hAnsi="Times New Roman" w:cs="Times New Roman"/>
          <w:sz w:val="24"/>
          <w:szCs w:val="20"/>
        </w:rPr>
        <w:t>šējo gadu, bet eļļas augu sēklu</w:t>
      </w:r>
      <w:r w:rsidRPr="0098250F">
        <w:rPr>
          <w:rFonts w:ascii="Times New Roman" w:hAnsi="Times New Roman" w:cs="Times New Roman"/>
          <w:sz w:val="24"/>
          <w:szCs w:val="20"/>
        </w:rPr>
        <w:t xml:space="preserve"> eksports gandrīz d</w:t>
      </w:r>
      <w:r>
        <w:rPr>
          <w:rFonts w:ascii="Times New Roman" w:hAnsi="Times New Roman" w:cs="Times New Roman"/>
          <w:sz w:val="24"/>
          <w:szCs w:val="20"/>
        </w:rPr>
        <w:t>ubultojā</w:t>
      </w:r>
      <w:r w:rsidRPr="0098250F">
        <w:rPr>
          <w:rFonts w:ascii="Times New Roman" w:hAnsi="Times New Roman" w:cs="Times New Roman"/>
          <w:sz w:val="24"/>
          <w:szCs w:val="20"/>
        </w:rPr>
        <w:t xml:space="preserve">s. </w:t>
      </w:r>
      <w:r>
        <w:rPr>
          <w:rFonts w:ascii="Times New Roman" w:hAnsi="Times New Roman" w:cs="Times New Roman"/>
          <w:sz w:val="24"/>
          <w:szCs w:val="20"/>
        </w:rPr>
        <w:t>No pārtikas precēm eksporta pieaugumu uzrā</w:t>
      </w:r>
      <w:r w:rsidRPr="0098250F">
        <w:rPr>
          <w:rFonts w:ascii="Times New Roman" w:hAnsi="Times New Roman" w:cs="Times New Roman"/>
          <w:sz w:val="24"/>
          <w:szCs w:val="20"/>
        </w:rPr>
        <w:t>dīja arī piena produkti u</w:t>
      </w:r>
      <w:r>
        <w:rPr>
          <w:rFonts w:ascii="Times New Roman" w:hAnsi="Times New Roman" w:cs="Times New Roman"/>
          <w:sz w:val="24"/>
          <w:szCs w:val="20"/>
        </w:rPr>
        <w:t>n alkoholiskie dzērieni. Kopumā</w:t>
      </w:r>
      <w:r w:rsidRPr="0098250F">
        <w:rPr>
          <w:rFonts w:ascii="Times New Roman" w:hAnsi="Times New Roman" w:cs="Times New Roman"/>
          <w:sz w:val="24"/>
          <w:szCs w:val="20"/>
        </w:rPr>
        <w:t xml:space="preserve"> lauksaimniecības un pārtikas preču eksports 2019.</w:t>
      </w:r>
      <w:r>
        <w:rPr>
          <w:rFonts w:ascii="Times New Roman" w:hAnsi="Times New Roman" w:cs="Times New Roman"/>
          <w:sz w:val="24"/>
          <w:szCs w:val="20"/>
        </w:rPr>
        <w:t>gadā palielinājā</w:t>
      </w:r>
      <w:r w:rsidRPr="0098250F">
        <w:rPr>
          <w:rFonts w:ascii="Times New Roman" w:hAnsi="Times New Roman" w:cs="Times New Roman"/>
          <w:sz w:val="24"/>
          <w:szCs w:val="20"/>
        </w:rPr>
        <w:t xml:space="preserve">s par 14,8% jeb 350 milj. </w:t>
      </w:r>
      <w:r w:rsidRPr="00A26F38">
        <w:rPr>
          <w:rFonts w:ascii="Times New Roman" w:hAnsi="Times New Roman" w:cs="Times New Roman"/>
          <w:i/>
          <w:sz w:val="24"/>
          <w:szCs w:val="20"/>
        </w:rPr>
        <w:t>euro</w:t>
      </w:r>
      <w:r w:rsidRPr="0098250F">
        <w:rPr>
          <w:rFonts w:ascii="Times New Roman" w:hAnsi="Times New Roman" w:cs="Times New Roman"/>
          <w:sz w:val="24"/>
          <w:szCs w:val="20"/>
        </w:rPr>
        <w:t>.</w:t>
      </w:r>
    </w:p>
    <w:p w14:paraId="6EDF88A2" w14:textId="78E19487"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Samērā straujš eksporta kāpums </w:t>
      </w:r>
      <w:r>
        <w:rPr>
          <w:rFonts w:ascii="Times New Roman" w:hAnsi="Times New Roman" w:cs="Times New Roman"/>
          <w:sz w:val="24"/>
          <w:szCs w:val="20"/>
        </w:rPr>
        <w:t>bija</w:t>
      </w:r>
      <w:r w:rsidRPr="0098250F">
        <w:rPr>
          <w:rFonts w:ascii="Times New Roman" w:hAnsi="Times New Roman" w:cs="Times New Roman"/>
          <w:sz w:val="24"/>
          <w:szCs w:val="20"/>
        </w:rPr>
        <w:t xml:space="preserve"> fiksēts arī </w:t>
      </w:r>
      <w:r>
        <w:rPr>
          <w:rFonts w:ascii="Times New Roman" w:hAnsi="Times New Roman" w:cs="Times New Roman"/>
          <w:sz w:val="24"/>
          <w:szCs w:val="20"/>
        </w:rPr>
        <w:t>ķīmiskā</w:t>
      </w:r>
      <w:r w:rsidRPr="0098250F">
        <w:rPr>
          <w:rFonts w:ascii="Times New Roman" w:hAnsi="Times New Roman" w:cs="Times New Roman"/>
          <w:sz w:val="24"/>
          <w:szCs w:val="20"/>
        </w:rPr>
        <w:t>s rūpniecības ražojumiem. 2019.gadā šīs preču grupas eksports pieauga par 8,9%, ko pamatā nodrošināja farmaceitisko produktu eksporta kāpums uz Krieviju un Baltijas valstīm. Tajā pašā laikā jāatzīmē, ka pēdējos divos 2019.gada mēnešos farmaceitisko produktu eksports kritās, kas varētu liecināt par ārējā</w:t>
      </w:r>
      <w:r>
        <w:rPr>
          <w:rFonts w:ascii="Times New Roman" w:hAnsi="Times New Roman" w:cs="Times New Roman"/>
          <w:sz w:val="24"/>
          <w:szCs w:val="20"/>
        </w:rPr>
        <w:t xml:space="preserve"> pieprasījuma vājināšanos pēc šī</w:t>
      </w:r>
      <w:r w:rsidRPr="0098250F">
        <w:rPr>
          <w:rFonts w:ascii="Times New Roman" w:hAnsi="Times New Roman" w:cs="Times New Roman"/>
          <w:sz w:val="24"/>
          <w:szCs w:val="20"/>
        </w:rPr>
        <w:t xml:space="preserve">m precēm. </w:t>
      </w:r>
    </w:p>
    <w:p w14:paraId="10898F70" w14:textId="241D05D1"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Pretēji preču eksporta attīstībai, pakalpojumu eksports </w:t>
      </w:r>
      <w:r w:rsidR="003360AF">
        <w:rPr>
          <w:rFonts w:ascii="Times New Roman" w:hAnsi="Times New Roman" w:cs="Times New Roman"/>
          <w:sz w:val="24"/>
          <w:szCs w:val="20"/>
        </w:rPr>
        <w:t>2019.</w:t>
      </w:r>
      <w:r>
        <w:rPr>
          <w:rFonts w:ascii="Times New Roman" w:hAnsi="Times New Roman" w:cs="Times New Roman"/>
          <w:sz w:val="24"/>
          <w:szCs w:val="20"/>
        </w:rPr>
        <w:t xml:space="preserve">gadā </w:t>
      </w:r>
      <w:r w:rsidRPr="0098250F">
        <w:rPr>
          <w:rFonts w:ascii="Times New Roman" w:hAnsi="Times New Roman" w:cs="Times New Roman"/>
          <w:sz w:val="24"/>
          <w:szCs w:val="20"/>
        </w:rPr>
        <w:t>uzrād</w:t>
      </w:r>
      <w:r>
        <w:rPr>
          <w:rFonts w:ascii="Times New Roman" w:hAnsi="Times New Roman" w:cs="Times New Roman"/>
          <w:sz w:val="24"/>
          <w:szCs w:val="20"/>
        </w:rPr>
        <w:t>īj</w:t>
      </w:r>
      <w:r w:rsidRPr="0098250F">
        <w:rPr>
          <w:rFonts w:ascii="Times New Roman" w:hAnsi="Times New Roman" w:cs="Times New Roman"/>
          <w:sz w:val="24"/>
          <w:szCs w:val="20"/>
        </w:rPr>
        <w:t>a visai noturīgu pieaugumu</w:t>
      </w:r>
      <w:r>
        <w:rPr>
          <w:rFonts w:ascii="Times New Roman" w:hAnsi="Times New Roman" w:cs="Times New Roman"/>
          <w:sz w:val="24"/>
          <w:szCs w:val="20"/>
        </w:rPr>
        <w:t xml:space="preserve"> </w:t>
      </w:r>
      <w:r w:rsidR="003360AF">
        <w:rPr>
          <w:rFonts w:ascii="Times New Roman" w:hAnsi="Times New Roman" w:cs="Times New Roman"/>
          <w:sz w:val="24"/>
          <w:szCs w:val="20"/>
        </w:rPr>
        <w:softHyphen/>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par 6,8% jeb 358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tādējādi sasniedzot </w:t>
      </w:r>
      <w:r w:rsidRPr="003360AF">
        <w:rPr>
          <w:rFonts w:ascii="Times New Roman" w:hAnsi="Times New Roman" w:cs="Times New Roman"/>
          <w:sz w:val="24"/>
          <w:szCs w:val="20"/>
        </w:rPr>
        <w:t>5</w:t>
      </w:r>
      <w:r w:rsidR="003360AF" w:rsidRPr="003360AF">
        <w:rPr>
          <w:rFonts w:ascii="Times New Roman" w:hAnsi="Times New Roman" w:cs="Times New Roman"/>
          <w:sz w:val="24"/>
          <w:szCs w:val="20"/>
        </w:rPr>
        <w:t> </w:t>
      </w:r>
      <w:r w:rsidRPr="003360AF">
        <w:rPr>
          <w:rFonts w:ascii="Times New Roman" w:hAnsi="Times New Roman" w:cs="Times New Roman"/>
          <w:sz w:val="24"/>
          <w:szCs w:val="20"/>
        </w:rPr>
        <w:t>627</w:t>
      </w:r>
      <w:r w:rsidRPr="0098250F">
        <w:rPr>
          <w:rFonts w:ascii="Times New Roman" w:hAnsi="Times New Roman" w:cs="Times New Roman"/>
          <w:sz w:val="24"/>
          <w:szCs w:val="20"/>
        </w:rPr>
        <w:t xml:space="preserve">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w:t>
      </w:r>
      <w:r>
        <w:rPr>
          <w:rFonts w:ascii="Times New Roman" w:hAnsi="Times New Roman" w:cs="Times New Roman"/>
          <w:sz w:val="24"/>
          <w:szCs w:val="20"/>
        </w:rPr>
        <w:t>Tik</w:t>
      </w:r>
      <w:r w:rsidRPr="0098250F">
        <w:rPr>
          <w:rFonts w:ascii="Times New Roman" w:hAnsi="Times New Roman" w:cs="Times New Roman"/>
          <w:sz w:val="24"/>
          <w:szCs w:val="20"/>
        </w:rPr>
        <w:t xml:space="preserve"> spēcīgu </w:t>
      </w:r>
      <w:r>
        <w:rPr>
          <w:rFonts w:ascii="Times New Roman" w:hAnsi="Times New Roman" w:cs="Times New Roman"/>
          <w:sz w:val="24"/>
          <w:szCs w:val="20"/>
        </w:rPr>
        <w:t xml:space="preserve">pakalpojumu eksporta </w:t>
      </w:r>
      <w:r w:rsidRPr="0098250F">
        <w:rPr>
          <w:rFonts w:ascii="Times New Roman" w:hAnsi="Times New Roman" w:cs="Times New Roman"/>
          <w:sz w:val="24"/>
          <w:szCs w:val="20"/>
        </w:rPr>
        <w:t xml:space="preserve">pieaugumu izdevās sasniegt </w:t>
      </w:r>
      <w:r>
        <w:rPr>
          <w:rFonts w:ascii="Times New Roman" w:hAnsi="Times New Roman" w:cs="Times New Roman"/>
          <w:sz w:val="24"/>
          <w:szCs w:val="20"/>
        </w:rPr>
        <w:t>par spīti ievērojamam</w:t>
      </w:r>
      <w:r w:rsidRPr="0098250F">
        <w:rPr>
          <w:rFonts w:ascii="Times New Roman" w:hAnsi="Times New Roman" w:cs="Times New Roman"/>
          <w:sz w:val="24"/>
          <w:szCs w:val="20"/>
        </w:rPr>
        <w:t xml:space="preserve"> finanšu pa</w:t>
      </w:r>
      <w:r>
        <w:rPr>
          <w:rFonts w:ascii="Times New Roman" w:hAnsi="Times New Roman" w:cs="Times New Roman"/>
          <w:sz w:val="24"/>
          <w:szCs w:val="20"/>
        </w:rPr>
        <w:t>kalpojumu eksporta samazinājumam</w:t>
      </w:r>
      <w:r w:rsidRPr="0098250F">
        <w:rPr>
          <w:rFonts w:ascii="Times New Roman" w:hAnsi="Times New Roman" w:cs="Times New Roman"/>
          <w:sz w:val="24"/>
          <w:szCs w:val="20"/>
        </w:rPr>
        <w:t xml:space="preserve"> (-42,5%). Lielāko devumu </w:t>
      </w:r>
      <w:r>
        <w:rPr>
          <w:rFonts w:ascii="Times New Roman" w:hAnsi="Times New Roman" w:cs="Times New Roman"/>
          <w:sz w:val="24"/>
          <w:szCs w:val="20"/>
        </w:rPr>
        <w:t>kopējā pakalpojumu eksporta</w:t>
      </w:r>
      <w:r w:rsidRPr="0098250F">
        <w:rPr>
          <w:rFonts w:ascii="Times New Roman" w:hAnsi="Times New Roman" w:cs="Times New Roman"/>
          <w:sz w:val="24"/>
          <w:szCs w:val="20"/>
        </w:rPr>
        <w:t xml:space="preserve"> </w:t>
      </w:r>
      <w:r>
        <w:rPr>
          <w:rFonts w:ascii="Times New Roman" w:hAnsi="Times New Roman" w:cs="Times New Roman"/>
          <w:sz w:val="24"/>
          <w:szCs w:val="20"/>
        </w:rPr>
        <w:t>pieaugumā nodrošināja transporta pakalpojumi</w:t>
      </w:r>
      <w:r w:rsidRPr="0098250F">
        <w:rPr>
          <w:rFonts w:ascii="Times New Roman" w:hAnsi="Times New Roman" w:cs="Times New Roman"/>
          <w:sz w:val="24"/>
          <w:szCs w:val="20"/>
        </w:rPr>
        <w:t>,</w:t>
      </w:r>
      <w:r>
        <w:rPr>
          <w:rFonts w:ascii="Times New Roman" w:hAnsi="Times New Roman" w:cs="Times New Roman"/>
          <w:sz w:val="24"/>
          <w:szCs w:val="20"/>
        </w:rPr>
        <w:t xml:space="preserve"> to</w:t>
      </w:r>
      <w:r w:rsidRPr="0098250F">
        <w:rPr>
          <w:rFonts w:ascii="Times New Roman" w:hAnsi="Times New Roman" w:cs="Times New Roman"/>
          <w:sz w:val="24"/>
          <w:szCs w:val="20"/>
        </w:rPr>
        <w:t xml:space="preserve"> eksporta vērtībai </w:t>
      </w:r>
      <w:r>
        <w:rPr>
          <w:rFonts w:ascii="Times New Roman" w:hAnsi="Times New Roman" w:cs="Times New Roman"/>
          <w:sz w:val="24"/>
          <w:szCs w:val="20"/>
        </w:rPr>
        <w:t xml:space="preserve">faktiskās cenās </w:t>
      </w:r>
      <w:r w:rsidRPr="0098250F">
        <w:rPr>
          <w:rFonts w:ascii="Times New Roman" w:hAnsi="Times New Roman" w:cs="Times New Roman"/>
          <w:sz w:val="24"/>
          <w:szCs w:val="20"/>
        </w:rPr>
        <w:t xml:space="preserve">palielinoties par 3,7%. </w:t>
      </w:r>
      <w:r>
        <w:rPr>
          <w:rFonts w:ascii="Times New Roman" w:hAnsi="Times New Roman" w:cs="Times New Roman"/>
          <w:sz w:val="24"/>
          <w:szCs w:val="20"/>
        </w:rPr>
        <w:t>P</w:t>
      </w:r>
      <w:r w:rsidRPr="0098250F">
        <w:rPr>
          <w:rFonts w:ascii="Times New Roman" w:hAnsi="Times New Roman" w:cs="Times New Roman"/>
          <w:sz w:val="24"/>
          <w:szCs w:val="20"/>
        </w:rPr>
        <w:t>akalpojumu eksporta kāpumu izdevās sasniegt</w:t>
      </w:r>
      <w:r>
        <w:rPr>
          <w:rFonts w:ascii="Times New Roman" w:hAnsi="Times New Roman" w:cs="Times New Roman"/>
          <w:sz w:val="24"/>
          <w:szCs w:val="20"/>
        </w:rPr>
        <w:t>,</w:t>
      </w:r>
      <w:r w:rsidRPr="0098250F">
        <w:rPr>
          <w:rFonts w:ascii="Times New Roman" w:hAnsi="Times New Roman" w:cs="Times New Roman"/>
          <w:sz w:val="24"/>
          <w:szCs w:val="20"/>
        </w:rPr>
        <w:t xml:space="preserve"> pateicoties ieņēmumu pieaugumam no kravu pārvadāšanas pakalpojumiem ar autotransportu, kamēr ieņēmumu apjoms no jūras un dzelzceļa transporta pakalpo</w:t>
      </w:r>
      <w:r>
        <w:rPr>
          <w:rFonts w:ascii="Times New Roman" w:hAnsi="Times New Roman" w:cs="Times New Roman"/>
          <w:sz w:val="24"/>
          <w:szCs w:val="20"/>
        </w:rPr>
        <w:t>jumiem pērn samazinājā</w:t>
      </w:r>
      <w:r w:rsidRPr="0098250F">
        <w:rPr>
          <w:rFonts w:ascii="Times New Roman" w:hAnsi="Times New Roman" w:cs="Times New Roman"/>
          <w:sz w:val="24"/>
          <w:szCs w:val="20"/>
        </w:rPr>
        <w:t>s. Tran</w:t>
      </w:r>
      <w:r>
        <w:rPr>
          <w:rFonts w:ascii="Times New Roman" w:hAnsi="Times New Roman" w:cs="Times New Roman"/>
          <w:sz w:val="24"/>
          <w:szCs w:val="20"/>
        </w:rPr>
        <w:t xml:space="preserve">sporta pakalpojumi </w:t>
      </w:r>
      <w:r w:rsidRPr="0098250F">
        <w:rPr>
          <w:rFonts w:ascii="Times New Roman" w:hAnsi="Times New Roman" w:cs="Times New Roman"/>
          <w:sz w:val="24"/>
          <w:szCs w:val="20"/>
        </w:rPr>
        <w:t xml:space="preserve">ir lielākā pakalpojumu eksporta grupa ar 39,0% lielu īpatsvaru kopējā pakalpojumu eksportā 2019.gadā. </w:t>
      </w:r>
    </w:p>
    <w:p w14:paraId="08507469" w14:textId="326BC96F" w:rsidR="00DE30C4" w:rsidRPr="0098250F"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Salīdzinot</w:t>
      </w:r>
      <w:r w:rsidRPr="0098250F">
        <w:rPr>
          <w:rFonts w:ascii="Times New Roman" w:hAnsi="Times New Roman" w:cs="Times New Roman"/>
          <w:sz w:val="24"/>
          <w:szCs w:val="20"/>
        </w:rPr>
        <w:t xml:space="preserve"> ar iepriekšējiem gadiem</w:t>
      </w:r>
      <w:r w:rsidR="003360AF">
        <w:rPr>
          <w:rFonts w:ascii="Times New Roman" w:hAnsi="Times New Roman" w:cs="Times New Roman"/>
          <w:sz w:val="24"/>
          <w:szCs w:val="20"/>
        </w:rPr>
        <w:t>, 2019.</w:t>
      </w:r>
      <w:r>
        <w:rPr>
          <w:rFonts w:ascii="Times New Roman" w:hAnsi="Times New Roman" w:cs="Times New Roman"/>
          <w:sz w:val="24"/>
          <w:szCs w:val="20"/>
        </w:rPr>
        <w:t>gadā</w:t>
      </w:r>
      <w:r w:rsidRPr="0098250F">
        <w:rPr>
          <w:rFonts w:ascii="Times New Roman" w:hAnsi="Times New Roman" w:cs="Times New Roman"/>
          <w:sz w:val="24"/>
          <w:szCs w:val="20"/>
        </w:rPr>
        <w:t xml:space="preserve"> palēninājās ārvalstu tūristu izdevumu pieauguma temps, </w:t>
      </w:r>
      <w:r>
        <w:rPr>
          <w:rFonts w:ascii="Times New Roman" w:hAnsi="Times New Roman" w:cs="Times New Roman"/>
          <w:sz w:val="24"/>
          <w:szCs w:val="20"/>
        </w:rPr>
        <w:t>pērn</w:t>
      </w:r>
      <w:r w:rsidRPr="0098250F">
        <w:rPr>
          <w:rFonts w:ascii="Times New Roman" w:hAnsi="Times New Roman" w:cs="Times New Roman"/>
          <w:sz w:val="24"/>
          <w:szCs w:val="20"/>
        </w:rPr>
        <w:t xml:space="preserve"> </w:t>
      </w:r>
      <w:r>
        <w:rPr>
          <w:rFonts w:ascii="Times New Roman" w:hAnsi="Times New Roman" w:cs="Times New Roman"/>
          <w:sz w:val="24"/>
          <w:szCs w:val="20"/>
        </w:rPr>
        <w:t>kāpumam veidojot</w:t>
      </w:r>
      <w:r w:rsidRPr="0098250F">
        <w:rPr>
          <w:rFonts w:ascii="Times New Roman" w:hAnsi="Times New Roman" w:cs="Times New Roman"/>
          <w:sz w:val="24"/>
          <w:szCs w:val="20"/>
        </w:rPr>
        <w:t xml:space="preserve"> vien 1,2%. Ārvalst</w:t>
      </w:r>
      <w:r>
        <w:rPr>
          <w:rFonts w:ascii="Times New Roman" w:hAnsi="Times New Roman" w:cs="Times New Roman"/>
          <w:sz w:val="24"/>
          <w:szCs w:val="20"/>
        </w:rPr>
        <w:t xml:space="preserve">u tūristu izdevumu sabremzēšanās bija </w:t>
      </w:r>
      <w:r w:rsidRPr="0098250F">
        <w:rPr>
          <w:rFonts w:ascii="Times New Roman" w:hAnsi="Times New Roman" w:cs="Times New Roman"/>
          <w:sz w:val="24"/>
          <w:szCs w:val="20"/>
        </w:rPr>
        <w:t xml:space="preserve">saistīta ar ārvalstu tūristu </w:t>
      </w:r>
      <w:r>
        <w:rPr>
          <w:rFonts w:ascii="Times New Roman" w:hAnsi="Times New Roman" w:cs="Times New Roman"/>
          <w:sz w:val="24"/>
          <w:szCs w:val="20"/>
        </w:rPr>
        <w:t>plūsmas palēni</w:t>
      </w:r>
      <w:r w:rsidRPr="0098250F">
        <w:rPr>
          <w:rFonts w:ascii="Times New Roman" w:hAnsi="Times New Roman" w:cs="Times New Roman"/>
          <w:sz w:val="24"/>
          <w:szCs w:val="20"/>
        </w:rPr>
        <w:t xml:space="preserve">nājumu 2019.gadā. Apkalpoto ārvalstu viesu skaits </w:t>
      </w:r>
      <w:r>
        <w:rPr>
          <w:rFonts w:ascii="Times New Roman" w:hAnsi="Times New Roman" w:cs="Times New Roman"/>
          <w:sz w:val="24"/>
          <w:szCs w:val="20"/>
        </w:rPr>
        <w:t>un to pavadītai</w:t>
      </w:r>
      <w:r w:rsidRPr="0098250F">
        <w:rPr>
          <w:rFonts w:ascii="Times New Roman" w:hAnsi="Times New Roman" w:cs="Times New Roman"/>
          <w:sz w:val="24"/>
          <w:szCs w:val="20"/>
        </w:rPr>
        <w:t xml:space="preserve">s laiks Latvijas viesnīcās </w:t>
      </w:r>
      <w:r>
        <w:rPr>
          <w:rFonts w:ascii="Times New Roman" w:hAnsi="Times New Roman" w:cs="Times New Roman"/>
          <w:sz w:val="24"/>
          <w:szCs w:val="20"/>
        </w:rPr>
        <w:t xml:space="preserve">pērn </w:t>
      </w:r>
      <w:r w:rsidRPr="0098250F">
        <w:rPr>
          <w:rFonts w:ascii="Times New Roman" w:hAnsi="Times New Roman" w:cs="Times New Roman"/>
          <w:sz w:val="24"/>
          <w:szCs w:val="20"/>
        </w:rPr>
        <w:t>palielinā</w:t>
      </w:r>
      <w:r>
        <w:rPr>
          <w:rFonts w:ascii="Times New Roman" w:hAnsi="Times New Roman" w:cs="Times New Roman"/>
          <w:sz w:val="24"/>
          <w:szCs w:val="20"/>
        </w:rPr>
        <w:t>jā</w:t>
      </w:r>
      <w:r w:rsidRPr="0098250F">
        <w:rPr>
          <w:rFonts w:ascii="Times New Roman" w:hAnsi="Times New Roman" w:cs="Times New Roman"/>
          <w:sz w:val="24"/>
          <w:szCs w:val="20"/>
        </w:rPr>
        <w:t xml:space="preserve">s attiecīgi par 1,1% un 2,9%, kas ir ievērojami </w:t>
      </w:r>
      <w:r>
        <w:rPr>
          <w:rFonts w:ascii="Times New Roman" w:hAnsi="Times New Roman" w:cs="Times New Roman"/>
          <w:sz w:val="24"/>
          <w:szCs w:val="20"/>
        </w:rPr>
        <w:t>zemāks pieaugums</w:t>
      </w:r>
      <w:r w:rsidRPr="0098250F">
        <w:rPr>
          <w:rFonts w:ascii="Times New Roman" w:hAnsi="Times New Roman" w:cs="Times New Roman"/>
          <w:sz w:val="24"/>
          <w:szCs w:val="20"/>
        </w:rPr>
        <w:t xml:space="preserve"> nekā iepriekšējos gad</w:t>
      </w:r>
      <w:r>
        <w:rPr>
          <w:rFonts w:ascii="Times New Roman" w:hAnsi="Times New Roman" w:cs="Times New Roman"/>
          <w:sz w:val="24"/>
          <w:szCs w:val="20"/>
        </w:rPr>
        <w:t>os. Pakalpojumu eksportu turpināja</w:t>
      </w:r>
      <w:r w:rsidRPr="0098250F">
        <w:rPr>
          <w:rFonts w:ascii="Times New Roman" w:hAnsi="Times New Roman" w:cs="Times New Roman"/>
          <w:sz w:val="24"/>
          <w:szCs w:val="20"/>
        </w:rPr>
        <w:t xml:space="preserve"> veicināt informācijas un datorpakalpojumi, kas</w:t>
      </w:r>
      <w:r>
        <w:rPr>
          <w:rFonts w:ascii="Times New Roman" w:hAnsi="Times New Roman" w:cs="Times New Roman"/>
          <w:sz w:val="24"/>
          <w:szCs w:val="20"/>
        </w:rPr>
        <w:t>, līdzīgi kā iepriekšējos gados,</w:t>
      </w:r>
      <w:r w:rsidRPr="0098250F">
        <w:rPr>
          <w:rFonts w:ascii="Times New Roman" w:hAnsi="Times New Roman" w:cs="Times New Roman"/>
          <w:sz w:val="24"/>
          <w:szCs w:val="20"/>
        </w:rPr>
        <w:t xml:space="preserve"> </w:t>
      </w:r>
      <w:r>
        <w:rPr>
          <w:rFonts w:ascii="Times New Roman" w:hAnsi="Times New Roman" w:cs="Times New Roman"/>
          <w:sz w:val="24"/>
          <w:szCs w:val="20"/>
        </w:rPr>
        <w:t>arī 2019.</w:t>
      </w:r>
      <w:r w:rsidRPr="0098250F">
        <w:rPr>
          <w:rFonts w:ascii="Times New Roman" w:hAnsi="Times New Roman" w:cs="Times New Roman"/>
          <w:sz w:val="24"/>
          <w:szCs w:val="20"/>
        </w:rPr>
        <w:t>gadā pieaug</w:t>
      </w:r>
      <w:r>
        <w:rPr>
          <w:rFonts w:ascii="Times New Roman" w:hAnsi="Times New Roman" w:cs="Times New Roman"/>
          <w:sz w:val="24"/>
          <w:szCs w:val="20"/>
        </w:rPr>
        <w:t>ums mērāms ar divciparu skaitli</w:t>
      </w:r>
      <w:r w:rsidR="00DE3E1F">
        <w:rPr>
          <w:rFonts w:ascii="Times New Roman" w:hAnsi="Times New Roman" w:cs="Times New Roman"/>
          <w:sz w:val="24"/>
          <w:szCs w:val="20"/>
        </w:rPr>
        <w:t xml:space="preserve"> – </w:t>
      </w:r>
      <w:r w:rsidRPr="0098250F">
        <w:rPr>
          <w:rFonts w:ascii="Times New Roman" w:hAnsi="Times New Roman" w:cs="Times New Roman"/>
          <w:sz w:val="24"/>
          <w:szCs w:val="20"/>
        </w:rPr>
        <w:t>par 11,3</w:t>
      </w:r>
      <w:r>
        <w:rPr>
          <w:rFonts w:ascii="Times New Roman" w:hAnsi="Times New Roman" w:cs="Times New Roman"/>
          <w:sz w:val="24"/>
          <w:szCs w:val="20"/>
        </w:rPr>
        <w:t xml:space="preserve">%. </w:t>
      </w:r>
      <w:r w:rsidRPr="0098250F">
        <w:rPr>
          <w:rFonts w:ascii="Times New Roman" w:hAnsi="Times New Roman" w:cs="Times New Roman"/>
          <w:sz w:val="24"/>
          <w:szCs w:val="20"/>
        </w:rPr>
        <w:t xml:space="preserve">Straujāko eksporta kāpumu </w:t>
      </w:r>
      <w:r>
        <w:rPr>
          <w:rFonts w:ascii="Times New Roman" w:hAnsi="Times New Roman" w:cs="Times New Roman"/>
          <w:sz w:val="24"/>
          <w:szCs w:val="20"/>
        </w:rPr>
        <w:t>starp visām pakalpojumu grupām</w:t>
      </w:r>
      <w:r w:rsidRPr="0098250F">
        <w:rPr>
          <w:rFonts w:ascii="Times New Roman" w:hAnsi="Times New Roman" w:cs="Times New Roman"/>
          <w:sz w:val="24"/>
          <w:szCs w:val="20"/>
        </w:rPr>
        <w:t xml:space="preserve"> </w:t>
      </w:r>
      <w:r>
        <w:rPr>
          <w:rFonts w:ascii="Times New Roman" w:hAnsi="Times New Roman" w:cs="Times New Roman"/>
          <w:sz w:val="24"/>
          <w:szCs w:val="20"/>
        </w:rPr>
        <w:t>pērn uzrā</w:t>
      </w:r>
      <w:r w:rsidRPr="0098250F">
        <w:rPr>
          <w:rFonts w:ascii="Times New Roman" w:hAnsi="Times New Roman" w:cs="Times New Roman"/>
          <w:sz w:val="24"/>
          <w:szCs w:val="20"/>
        </w:rPr>
        <w:t xml:space="preserve">dīja būvniecības </w:t>
      </w:r>
      <w:r>
        <w:rPr>
          <w:rFonts w:ascii="Times New Roman" w:hAnsi="Times New Roman" w:cs="Times New Roman"/>
          <w:sz w:val="24"/>
          <w:szCs w:val="20"/>
        </w:rPr>
        <w:t xml:space="preserve">pakalpojumu </w:t>
      </w:r>
      <w:r w:rsidRPr="0098250F">
        <w:rPr>
          <w:rFonts w:ascii="Times New Roman" w:hAnsi="Times New Roman" w:cs="Times New Roman"/>
          <w:sz w:val="24"/>
          <w:szCs w:val="20"/>
        </w:rPr>
        <w:t xml:space="preserve">eksports, gada laikā palielinoties par 27,2%. </w:t>
      </w:r>
    </w:p>
    <w:p w14:paraId="118EA6E1" w14:textId="7E240FA9" w:rsidR="00DE30C4" w:rsidRPr="0098250F"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T</w:t>
      </w:r>
      <w:r w:rsidRPr="0098250F">
        <w:rPr>
          <w:rFonts w:ascii="Times New Roman" w:hAnsi="Times New Roman" w:cs="Times New Roman"/>
          <w:sz w:val="24"/>
          <w:szCs w:val="20"/>
        </w:rPr>
        <w:t xml:space="preserve">āpat kā eksports, arī </w:t>
      </w:r>
      <w:r w:rsidRPr="00A25E02">
        <w:rPr>
          <w:rFonts w:ascii="Times New Roman" w:hAnsi="Times New Roman" w:cs="Times New Roman"/>
          <w:b/>
          <w:sz w:val="24"/>
          <w:szCs w:val="20"/>
        </w:rPr>
        <w:t>preču un pakalpojumu importa</w:t>
      </w:r>
      <w:r w:rsidRPr="0098250F">
        <w:rPr>
          <w:rFonts w:ascii="Times New Roman" w:hAnsi="Times New Roman" w:cs="Times New Roman"/>
          <w:sz w:val="24"/>
          <w:szCs w:val="20"/>
        </w:rPr>
        <w:t xml:space="preserve"> izaugsme</w:t>
      </w:r>
      <w:r w:rsidR="003360AF">
        <w:rPr>
          <w:rFonts w:ascii="Times New Roman" w:hAnsi="Times New Roman" w:cs="Times New Roman"/>
          <w:sz w:val="24"/>
          <w:szCs w:val="20"/>
        </w:rPr>
        <w:t xml:space="preserve"> 2019.</w:t>
      </w:r>
      <w:r>
        <w:rPr>
          <w:rFonts w:ascii="Times New Roman" w:hAnsi="Times New Roman" w:cs="Times New Roman"/>
          <w:sz w:val="24"/>
          <w:szCs w:val="20"/>
        </w:rPr>
        <w:t>gadā bremzējusies</w:t>
      </w:r>
      <w:r w:rsidRPr="0098250F">
        <w:rPr>
          <w:rFonts w:ascii="Times New Roman" w:hAnsi="Times New Roman" w:cs="Times New Roman"/>
          <w:sz w:val="24"/>
          <w:szCs w:val="20"/>
        </w:rPr>
        <w:t>. Palēninoties Latvijas ekonomikas izaugsmei, mazinājies arī pieprasījums pēc importa p</w:t>
      </w:r>
      <w:r>
        <w:rPr>
          <w:rFonts w:ascii="Times New Roman" w:hAnsi="Times New Roman" w:cs="Times New Roman"/>
          <w:sz w:val="24"/>
          <w:szCs w:val="20"/>
        </w:rPr>
        <w:t>recēm, galvenokārt starppatēriņa</w:t>
      </w:r>
      <w:r w:rsidRPr="0098250F">
        <w:rPr>
          <w:rFonts w:ascii="Times New Roman" w:hAnsi="Times New Roman" w:cs="Times New Roman"/>
          <w:sz w:val="24"/>
          <w:szCs w:val="20"/>
        </w:rPr>
        <w:t xml:space="preserve"> precēm, kas tie</w:t>
      </w:r>
      <w:r>
        <w:rPr>
          <w:rFonts w:ascii="Times New Roman" w:hAnsi="Times New Roman" w:cs="Times New Roman"/>
          <w:sz w:val="24"/>
          <w:szCs w:val="20"/>
        </w:rPr>
        <w:t>k izmantotas ražošanas procesā. K</w:t>
      </w:r>
      <w:r w:rsidRPr="0098250F">
        <w:rPr>
          <w:rFonts w:ascii="Times New Roman" w:hAnsi="Times New Roman" w:cs="Times New Roman"/>
          <w:sz w:val="24"/>
          <w:szCs w:val="20"/>
        </w:rPr>
        <w:t>opējā</w:t>
      </w:r>
      <w:r>
        <w:rPr>
          <w:rFonts w:ascii="Times New Roman" w:hAnsi="Times New Roman" w:cs="Times New Roman"/>
          <w:sz w:val="24"/>
          <w:szCs w:val="20"/>
        </w:rPr>
        <w:t xml:space="preserve"> preču un pakalpojumu</w:t>
      </w:r>
      <w:r w:rsidRPr="0098250F">
        <w:rPr>
          <w:rFonts w:ascii="Times New Roman" w:hAnsi="Times New Roman" w:cs="Times New Roman"/>
          <w:sz w:val="24"/>
          <w:szCs w:val="20"/>
        </w:rPr>
        <w:t xml:space="preserve"> </w:t>
      </w:r>
      <w:r>
        <w:rPr>
          <w:rFonts w:ascii="Times New Roman" w:hAnsi="Times New Roman" w:cs="Times New Roman"/>
          <w:sz w:val="24"/>
          <w:szCs w:val="20"/>
        </w:rPr>
        <w:t>i</w:t>
      </w:r>
      <w:r w:rsidRPr="0098250F">
        <w:rPr>
          <w:rFonts w:ascii="Times New Roman" w:hAnsi="Times New Roman" w:cs="Times New Roman"/>
          <w:sz w:val="24"/>
          <w:szCs w:val="20"/>
        </w:rPr>
        <w:t xml:space="preserve">mporta </w:t>
      </w:r>
      <w:r>
        <w:rPr>
          <w:rFonts w:ascii="Times New Roman" w:hAnsi="Times New Roman" w:cs="Times New Roman"/>
          <w:sz w:val="24"/>
          <w:szCs w:val="20"/>
        </w:rPr>
        <w:t>vērtība salīdzinām</w:t>
      </w:r>
      <w:r w:rsidRPr="0098250F">
        <w:rPr>
          <w:rFonts w:ascii="Times New Roman" w:hAnsi="Times New Roman" w:cs="Times New Roman"/>
          <w:sz w:val="24"/>
          <w:szCs w:val="20"/>
        </w:rPr>
        <w:t xml:space="preserve">ās cenās </w:t>
      </w:r>
      <w:r w:rsidR="003360AF">
        <w:rPr>
          <w:rFonts w:ascii="Times New Roman" w:hAnsi="Times New Roman" w:cs="Times New Roman"/>
          <w:sz w:val="24"/>
          <w:szCs w:val="20"/>
        </w:rPr>
        <w:t>2019.</w:t>
      </w:r>
      <w:r>
        <w:rPr>
          <w:rFonts w:ascii="Times New Roman" w:hAnsi="Times New Roman" w:cs="Times New Roman"/>
          <w:sz w:val="24"/>
          <w:szCs w:val="20"/>
        </w:rPr>
        <w:t xml:space="preserve">gadā </w:t>
      </w:r>
      <w:r w:rsidRPr="0098250F">
        <w:rPr>
          <w:rFonts w:ascii="Times New Roman" w:hAnsi="Times New Roman" w:cs="Times New Roman"/>
          <w:sz w:val="24"/>
          <w:szCs w:val="20"/>
        </w:rPr>
        <w:t xml:space="preserve">pieauga par 2,3%, kas ir nedaudz </w:t>
      </w:r>
      <w:r>
        <w:rPr>
          <w:rFonts w:ascii="Times New Roman" w:hAnsi="Times New Roman" w:cs="Times New Roman"/>
          <w:sz w:val="24"/>
          <w:szCs w:val="20"/>
        </w:rPr>
        <w:t>straujāk</w:t>
      </w:r>
      <w:r w:rsidRPr="0098250F">
        <w:rPr>
          <w:rFonts w:ascii="Times New Roman" w:hAnsi="Times New Roman" w:cs="Times New Roman"/>
          <w:sz w:val="24"/>
          <w:szCs w:val="20"/>
        </w:rPr>
        <w:t xml:space="preserve"> nekā eksporta kāpums, tādējādi neto eksporta dev</w:t>
      </w:r>
      <w:r>
        <w:rPr>
          <w:rFonts w:ascii="Times New Roman" w:hAnsi="Times New Roman" w:cs="Times New Roman"/>
          <w:sz w:val="24"/>
          <w:szCs w:val="20"/>
        </w:rPr>
        <w:t xml:space="preserve">ums reālā IKP pieaugumā pērn </w:t>
      </w:r>
      <w:r w:rsidRPr="0098250F">
        <w:rPr>
          <w:rFonts w:ascii="Times New Roman" w:hAnsi="Times New Roman" w:cs="Times New Roman"/>
          <w:sz w:val="24"/>
          <w:szCs w:val="20"/>
        </w:rPr>
        <w:t>bija negatīvs, proti</w:t>
      </w:r>
      <w:r>
        <w:rPr>
          <w:rFonts w:ascii="Times New Roman" w:hAnsi="Times New Roman" w:cs="Times New Roman"/>
          <w:sz w:val="24"/>
          <w:szCs w:val="20"/>
        </w:rPr>
        <w:t>,</w:t>
      </w:r>
      <w:r w:rsidRPr="0098250F">
        <w:rPr>
          <w:rFonts w:ascii="Times New Roman" w:hAnsi="Times New Roman" w:cs="Times New Roman"/>
          <w:sz w:val="24"/>
          <w:szCs w:val="20"/>
        </w:rPr>
        <w:t xml:space="preserve"> -0,3 procentpunkti.</w:t>
      </w:r>
    </w:p>
    <w:p w14:paraId="28A4CB33" w14:textId="1CC53FB5" w:rsidR="00DE30C4" w:rsidRPr="0098250F"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Savukārt</w:t>
      </w:r>
      <w:r w:rsidRPr="0098250F">
        <w:rPr>
          <w:rFonts w:ascii="Times New Roman" w:hAnsi="Times New Roman" w:cs="Times New Roman"/>
          <w:sz w:val="24"/>
          <w:szCs w:val="20"/>
        </w:rPr>
        <w:t xml:space="preserve"> faktiskajās cenās kopējā importa vē</w:t>
      </w:r>
      <w:r>
        <w:rPr>
          <w:rFonts w:ascii="Times New Roman" w:hAnsi="Times New Roman" w:cs="Times New Roman"/>
          <w:sz w:val="24"/>
          <w:szCs w:val="20"/>
        </w:rPr>
        <w:t>rtība palielinājā</w:t>
      </w:r>
      <w:r w:rsidRPr="0098250F">
        <w:rPr>
          <w:rFonts w:ascii="Times New Roman" w:hAnsi="Times New Roman" w:cs="Times New Roman"/>
          <w:sz w:val="24"/>
          <w:szCs w:val="20"/>
        </w:rPr>
        <w:t xml:space="preserve">s par 1,7%, kas nozīme, ka preču un </w:t>
      </w:r>
      <w:r>
        <w:rPr>
          <w:rFonts w:ascii="Times New Roman" w:hAnsi="Times New Roman" w:cs="Times New Roman"/>
          <w:sz w:val="24"/>
          <w:szCs w:val="20"/>
        </w:rPr>
        <w:t xml:space="preserve">pakalpojumu importa cenas pērn </w:t>
      </w:r>
      <w:r w:rsidR="003360AF">
        <w:rPr>
          <w:rFonts w:ascii="Times New Roman" w:hAnsi="Times New Roman" w:cs="Times New Roman"/>
          <w:sz w:val="24"/>
          <w:szCs w:val="20"/>
        </w:rPr>
        <w:t>bija nedaudz zemākas nekā 2018.</w:t>
      </w:r>
      <w:r>
        <w:rPr>
          <w:rFonts w:ascii="Times New Roman" w:hAnsi="Times New Roman" w:cs="Times New Roman"/>
          <w:sz w:val="24"/>
          <w:szCs w:val="20"/>
        </w:rPr>
        <w:t>gadā</w:t>
      </w:r>
      <w:r w:rsidRPr="0098250F">
        <w:rPr>
          <w:rFonts w:ascii="Times New Roman" w:hAnsi="Times New Roman" w:cs="Times New Roman"/>
          <w:sz w:val="24"/>
          <w:szCs w:val="20"/>
        </w:rPr>
        <w:t xml:space="preserve">. Vērtējot kopējo ārējās tirdzniecības bilanci, 2019.gadā izveidojies pārpalikums 25 milj. </w:t>
      </w:r>
      <w:r w:rsidRPr="00A26F38">
        <w:rPr>
          <w:rFonts w:ascii="Times New Roman" w:hAnsi="Times New Roman" w:cs="Times New Roman"/>
          <w:i/>
          <w:sz w:val="24"/>
          <w:szCs w:val="20"/>
        </w:rPr>
        <w:t>euro</w:t>
      </w:r>
      <w:r>
        <w:rPr>
          <w:rFonts w:ascii="Times New Roman" w:hAnsi="Times New Roman" w:cs="Times New Roman"/>
          <w:sz w:val="24"/>
          <w:szCs w:val="20"/>
        </w:rPr>
        <w:t xml:space="preserve"> apmērā, pretstatā</w:t>
      </w:r>
      <w:r w:rsidRPr="0098250F">
        <w:rPr>
          <w:rFonts w:ascii="Times New Roman" w:hAnsi="Times New Roman" w:cs="Times New Roman"/>
          <w:sz w:val="24"/>
          <w:szCs w:val="20"/>
        </w:rPr>
        <w:t xml:space="preserve"> 54 milj. </w:t>
      </w:r>
      <w:r w:rsidRPr="00A26F38">
        <w:rPr>
          <w:rFonts w:ascii="Times New Roman" w:hAnsi="Times New Roman" w:cs="Times New Roman"/>
          <w:i/>
          <w:sz w:val="24"/>
          <w:szCs w:val="20"/>
        </w:rPr>
        <w:t>euro</w:t>
      </w:r>
      <w:r>
        <w:rPr>
          <w:rFonts w:ascii="Times New Roman" w:hAnsi="Times New Roman" w:cs="Times New Roman"/>
          <w:sz w:val="24"/>
          <w:szCs w:val="20"/>
        </w:rPr>
        <w:t xml:space="preserve"> deficītam</w:t>
      </w:r>
      <w:r w:rsidRPr="0098250F">
        <w:rPr>
          <w:rFonts w:ascii="Times New Roman" w:hAnsi="Times New Roman" w:cs="Times New Roman"/>
          <w:sz w:val="24"/>
          <w:szCs w:val="20"/>
        </w:rPr>
        <w:t xml:space="preserve"> 2018.</w:t>
      </w:r>
      <w:r w:rsidR="003360AF">
        <w:rPr>
          <w:rFonts w:ascii="Times New Roman" w:hAnsi="Times New Roman" w:cs="Times New Roman"/>
          <w:sz w:val="24"/>
          <w:szCs w:val="20"/>
        </w:rPr>
        <w:t>gadā.</w:t>
      </w:r>
    </w:p>
    <w:p w14:paraId="5514259D" w14:textId="327EB196" w:rsidR="00DE30C4" w:rsidRPr="0098250F"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2019.gadā salīdzinājumā ar iepriekšējo gadu preču importa vērtī</w:t>
      </w:r>
      <w:r>
        <w:rPr>
          <w:rFonts w:ascii="Times New Roman" w:hAnsi="Times New Roman" w:cs="Times New Roman"/>
          <w:sz w:val="24"/>
          <w:szCs w:val="20"/>
        </w:rPr>
        <w:t>ba faktiskajās cenās samazinājā</w:t>
      </w:r>
      <w:r w:rsidRPr="0098250F">
        <w:rPr>
          <w:rFonts w:ascii="Times New Roman" w:hAnsi="Times New Roman" w:cs="Times New Roman"/>
          <w:sz w:val="24"/>
          <w:szCs w:val="20"/>
        </w:rPr>
        <w:t>s par 0,3%. Preču importa kritumu lielā mērā noteica divas preču grupas, proti</w:t>
      </w:r>
      <w:r>
        <w:rPr>
          <w:rFonts w:ascii="Times New Roman" w:hAnsi="Times New Roman" w:cs="Times New Roman"/>
          <w:sz w:val="24"/>
          <w:szCs w:val="20"/>
        </w:rPr>
        <w:t>,</w:t>
      </w:r>
      <w:r w:rsidRPr="0098250F">
        <w:rPr>
          <w:rFonts w:ascii="Times New Roman" w:hAnsi="Times New Roman" w:cs="Times New Roman"/>
          <w:sz w:val="24"/>
          <w:szCs w:val="20"/>
        </w:rPr>
        <w:t xml:space="preserve"> mehānismi un mehāniskas</w:t>
      </w:r>
      <w:r>
        <w:rPr>
          <w:rFonts w:ascii="Times New Roman" w:hAnsi="Times New Roman" w:cs="Times New Roman"/>
          <w:sz w:val="24"/>
          <w:szCs w:val="20"/>
        </w:rPr>
        <w:t xml:space="preserve"> ierīces, kā arī minerālprodukti</w:t>
      </w:r>
      <w:r w:rsidRPr="0098250F">
        <w:rPr>
          <w:rFonts w:ascii="Times New Roman" w:hAnsi="Times New Roman" w:cs="Times New Roman"/>
          <w:sz w:val="24"/>
          <w:szCs w:val="20"/>
        </w:rPr>
        <w:t>,</w:t>
      </w:r>
      <w:r>
        <w:rPr>
          <w:rFonts w:ascii="Times New Roman" w:hAnsi="Times New Roman" w:cs="Times New Roman"/>
          <w:sz w:val="24"/>
          <w:szCs w:val="20"/>
        </w:rPr>
        <w:t xml:space="preserve"> kuru importa vērtība saruka</w:t>
      </w:r>
      <w:r w:rsidRPr="0098250F">
        <w:rPr>
          <w:rFonts w:ascii="Times New Roman" w:hAnsi="Times New Roman" w:cs="Times New Roman"/>
          <w:sz w:val="24"/>
          <w:szCs w:val="20"/>
        </w:rPr>
        <w:t xml:space="preserve"> attiecīgi par 17,6% un 15,1%. Mehānismu un mehānisko ierīču importa samazinājumu ietekmēja jau iepriekšminētā situācija saistīta ar turboreaktīvo dzinēju apkopi un remontu aviokompānijā</w:t>
      </w:r>
      <w:r>
        <w:rPr>
          <w:rFonts w:ascii="Times New Roman" w:hAnsi="Times New Roman" w:cs="Times New Roman"/>
          <w:sz w:val="24"/>
          <w:szCs w:val="20"/>
        </w:rPr>
        <w:t xml:space="preserve"> </w:t>
      </w:r>
      <w:r w:rsidRPr="00C93AB4">
        <w:rPr>
          <w:rFonts w:ascii="Times New Roman" w:hAnsi="Times New Roman" w:cs="Times New Roman"/>
          <w:i/>
          <w:sz w:val="24"/>
          <w:szCs w:val="20"/>
        </w:rPr>
        <w:t>airBaltic</w:t>
      </w:r>
      <w:r w:rsidRPr="0098250F">
        <w:rPr>
          <w:rFonts w:ascii="Times New Roman" w:hAnsi="Times New Roman" w:cs="Times New Roman"/>
          <w:sz w:val="24"/>
          <w:szCs w:val="20"/>
        </w:rPr>
        <w:t>. S</w:t>
      </w:r>
      <w:r>
        <w:rPr>
          <w:rFonts w:ascii="Times New Roman" w:hAnsi="Times New Roman" w:cs="Times New Roman"/>
          <w:sz w:val="24"/>
          <w:szCs w:val="20"/>
        </w:rPr>
        <w:t>avukārt</w:t>
      </w:r>
      <w:r w:rsidRPr="0098250F">
        <w:rPr>
          <w:rFonts w:ascii="Times New Roman" w:hAnsi="Times New Roman" w:cs="Times New Roman"/>
          <w:sz w:val="24"/>
          <w:szCs w:val="20"/>
        </w:rPr>
        <w:t xml:space="preserve"> minerālproduktu </w:t>
      </w:r>
      <w:r>
        <w:rPr>
          <w:rFonts w:ascii="Times New Roman" w:hAnsi="Times New Roman" w:cs="Times New Roman"/>
          <w:sz w:val="24"/>
          <w:szCs w:val="20"/>
        </w:rPr>
        <w:t xml:space="preserve">importu </w:t>
      </w:r>
      <w:r w:rsidRPr="0098250F">
        <w:rPr>
          <w:rFonts w:ascii="Times New Roman" w:hAnsi="Times New Roman" w:cs="Times New Roman"/>
          <w:sz w:val="24"/>
          <w:szCs w:val="20"/>
        </w:rPr>
        <w:t>ietekmēja naftas</w:t>
      </w:r>
      <w:r>
        <w:rPr>
          <w:rFonts w:ascii="Times New Roman" w:hAnsi="Times New Roman" w:cs="Times New Roman"/>
          <w:sz w:val="24"/>
          <w:szCs w:val="20"/>
        </w:rPr>
        <w:t>,</w:t>
      </w:r>
      <w:r w:rsidRPr="0098250F">
        <w:rPr>
          <w:rFonts w:ascii="Times New Roman" w:hAnsi="Times New Roman" w:cs="Times New Roman"/>
          <w:sz w:val="24"/>
          <w:szCs w:val="20"/>
        </w:rPr>
        <w:t xml:space="preserve"> gāzes un elektroenerģijas importa </w:t>
      </w:r>
      <w:r>
        <w:rPr>
          <w:rFonts w:ascii="Times New Roman" w:hAnsi="Times New Roman" w:cs="Times New Roman"/>
          <w:sz w:val="24"/>
          <w:szCs w:val="20"/>
        </w:rPr>
        <w:t>vērtības samazinājums saistībā</w:t>
      </w:r>
      <w:r w:rsidRPr="0098250F">
        <w:rPr>
          <w:rFonts w:ascii="Times New Roman" w:hAnsi="Times New Roman" w:cs="Times New Roman"/>
          <w:sz w:val="24"/>
          <w:szCs w:val="20"/>
        </w:rPr>
        <w:t xml:space="preserve"> ar šo energoresursu cenu samazinājumu. Importa kritums par 7,2% fiksēts arī metāliem un to izstrādājumiem. Tajā pašā laikā t</w:t>
      </w:r>
      <w:r>
        <w:rPr>
          <w:rFonts w:ascii="Times New Roman" w:hAnsi="Times New Roman" w:cs="Times New Roman"/>
          <w:sz w:val="24"/>
          <w:szCs w:val="20"/>
        </w:rPr>
        <w:t>ādā</w:t>
      </w:r>
      <w:r w:rsidRPr="0098250F">
        <w:rPr>
          <w:rFonts w:ascii="Times New Roman" w:hAnsi="Times New Roman" w:cs="Times New Roman"/>
          <w:sz w:val="24"/>
          <w:szCs w:val="20"/>
        </w:rPr>
        <w:t>m precēm kā pārtika</w:t>
      </w:r>
      <w:r>
        <w:rPr>
          <w:rFonts w:ascii="Times New Roman" w:hAnsi="Times New Roman" w:cs="Times New Roman"/>
          <w:sz w:val="24"/>
          <w:szCs w:val="20"/>
        </w:rPr>
        <w:t>, ķīmiskā</w:t>
      </w:r>
      <w:r w:rsidRPr="0098250F">
        <w:rPr>
          <w:rFonts w:ascii="Times New Roman" w:hAnsi="Times New Roman" w:cs="Times New Roman"/>
          <w:sz w:val="24"/>
          <w:szCs w:val="20"/>
        </w:rPr>
        <w:t xml:space="preserve">s rūpniecības preces un satiksmes līdzekļi 2019.gadā bija fiksēts samēra būtisks importa vērtības pieaugums, kas </w:t>
      </w:r>
      <w:r>
        <w:rPr>
          <w:rFonts w:ascii="Times New Roman" w:hAnsi="Times New Roman" w:cs="Times New Roman"/>
          <w:sz w:val="24"/>
          <w:szCs w:val="20"/>
        </w:rPr>
        <w:t>ļāva gandrīz pilnībā</w:t>
      </w:r>
      <w:r w:rsidRPr="0098250F">
        <w:rPr>
          <w:rFonts w:ascii="Times New Roman" w:hAnsi="Times New Roman" w:cs="Times New Roman"/>
          <w:sz w:val="24"/>
          <w:szCs w:val="20"/>
        </w:rPr>
        <w:t xml:space="preserve"> kompensēt mehānismu un miner</w:t>
      </w:r>
      <w:r>
        <w:rPr>
          <w:rFonts w:ascii="Times New Roman" w:hAnsi="Times New Roman" w:cs="Times New Roman"/>
          <w:sz w:val="24"/>
          <w:szCs w:val="20"/>
        </w:rPr>
        <w:t>ālproduktu importa samazinājuma negatīvo ietekmi.</w:t>
      </w:r>
    </w:p>
    <w:p w14:paraId="00F3D9D2" w14:textId="49BD08B5" w:rsidR="00DE30C4" w:rsidRPr="0098250F" w:rsidRDefault="00DE30C4" w:rsidP="00DE30C4">
      <w:pPr>
        <w:spacing w:after="24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Tāpat kā pakalpojumu eksportam, samēra spēcīgs kāpums 2019.gadā fiksēts arī pakalpojumu importam, kopumā par 5,2% salīdzinājumā ar iepriekšējo gadu. </w:t>
      </w:r>
      <w:r>
        <w:rPr>
          <w:rFonts w:ascii="Times New Roman" w:hAnsi="Times New Roman" w:cs="Times New Roman"/>
          <w:sz w:val="24"/>
          <w:szCs w:val="20"/>
        </w:rPr>
        <w:t>Pieaugums fiksēts visā</w:t>
      </w:r>
      <w:r w:rsidRPr="0098250F">
        <w:rPr>
          <w:rFonts w:ascii="Times New Roman" w:hAnsi="Times New Roman" w:cs="Times New Roman"/>
          <w:sz w:val="24"/>
          <w:szCs w:val="20"/>
        </w:rPr>
        <w:t>s pakalpojum</w:t>
      </w:r>
      <w:r>
        <w:rPr>
          <w:rFonts w:ascii="Times New Roman" w:hAnsi="Times New Roman" w:cs="Times New Roman"/>
          <w:sz w:val="24"/>
          <w:szCs w:val="20"/>
        </w:rPr>
        <w:t>u grupā</w:t>
      </w:r>
      <w:r w:rsidRPr="0098250F">
        <w:rPr>
          <w:rFonts w:ascii="Times New Roman" w:hAnsi="Times New Roman" w:cs="Times New Roman"/>
          <w:sz w:val="24"/>
          <w:szCs w:val="20"/>
        </w:rPr>
        <w:t>s, izņemot telesakaru un finanšu pakalpojumus, to importa vērtībai samazinoties attiecīgi par 17,5% un 11,5%. Lielākais importa kāpums bija fiksēts informācijas un datorpakalpojumiem, kopumā par 19,7%. Transporta pakalpojumu imports bija par 3,9% augstāks</w:t>
      </w:r>
      <w:r>
        <w:rPr>
          <w:rFonts w:ascii="Times New Roman" w:hAnsi="Times New Roman" w:cs="Times New Roman"/>
          <w:sz w:val="24"/>
          <w:szCs w:val="20"/>
        </w:rPr>
        <w:t xml:space="preserve"> nekā pirms gada</w:t>
      </w:r>
      <w:r w:rsidRPr="0098250F">
        <w:rPr>
          <w:rFonts w:ascii="Times New Roman" w:hAnsi="Times New Roman" w:cs="Times New Roman"/>
          <w:sz w:val="24"/>
          <w:szCs w:val="20"/>
        </w:rPr>
        <w:t>, bet La</w:t>
      </w:r>
      <w:r>
        <w:rPr>
          <w:rFonts w:ascii="Times New Roman" w:hAnsi="Times New Roman" w:cs="Times New Roman"/>
          <w:sz w:val="24"/>
          <w:szCs w:val="20"/>
        </w:rPr>
        <w:t>tvijas tūristu izdevumi ārvalstī</w:t>
      </w:r>
      <w:r w:rsidRPr="0098250F">
        <w:rPr>
          <w:rFonts w:ascii="Times New Roman" w:hAnsi="Times New Roman" w:cs="Times New Roman"/>
          <w:sz w:val="24"/>
          <w:szCs w:val="20"/>
        </w:rPr>
        <w:t>s palielinājās par 0,9%. Pakalpojumu imports ir cieši saistīts ar Latvijas eksporta attīstību un ekonomikas izaug</w:t>
      </w:r>
      <w:r>
        <w:rPr>
          <w:rFonts w:ascii="Times New Roman" w:hAnsi="Times New Roman" w:cs="Times New Roman"/>
          <w:sz w:val="24"/>
          <w:szCs w:val="20"/>
        </w:rPr>
        <w:t>smi kopumā. Mazinoties gan ārēja</w:t>
      </w:r>
      <w:r w:rsidRPr="0098250F">
        <w:rPr>
          <w:rFonts w:ascii="Times New Roman" w:hAnsi="Times New Roman" w:cs="Times New Roman"/>
          <w:sz w:val="24"/>
          <w:szCs w:val="20"/>
        </w:rPr>
        <w:t xml:space="preserve">m un iekšējam patēriņam, gan investīciju aktivitātei Latvijā, pieprasījums pēc ārvalstu jeb importa pakalpojumiem arī kļūst vājāks. Tādējādi, lai arī </w:t>
      </w:r>
      <w:r>
        <w:rPr>
          <w:rFonts w:ascii="Times New Roman" w:hAnsi="Times New Roman" w:cs="Times New Roman"/>
          <w:sz w:val="24"/>
          <w:szCs w:val="20"/>
        </w:rPr>
        <w:t>pakalpojumu imports pērn palielinājā</w:t>
      </w:r>
      <w:r w:rsidRPr="0098250F">
        <w:rPr>
          <w:rFonts w:ascii="Times New Roman" w:hAnsi="Times New Roman" w:cs="Times New Roman"/>
          <w:sz w:val="24"/>
          <w:szCs w:val="20"/>
        </w:rPr>
        <w:t>s, tas bija vājākais p</w:t>
      </w:r>
      <w:r>
        <w:rPr>
          <w:rFonts w:ascii="Times New Roman" w:hAnsi="Times New Roman" w:cs="Times New Roman"/>
          <w:sz w:val="24"/>
          <w:szCs w:val="20"/>
        </w:rPr>
        <w:t>ieaugums pēdējos piecos gados.</w:t>
      </w:r>
    </w:p>
    <w:p w14:paraId="44E94A76" w14:textId="77777777" w:rsidR="00FC6028" w:rsidRDefault="00FC6028" w:rsidP="00DE30C4">
      <w:pPr>
        <w:spacing w:after="120" w:line="240" w:lineRule="auto"/>
        <w:ind w:firstLine="720"/>
        <w:jc w:val="both"/>
        <w:rPr>
          <w:rFonts w:ascii="Times New Roman" w:hAnsi="Times New Roman" w:cs="Times New Roman"/>
          <w:b/>
          <w:i/>
          <w:sz w:val="24"/>
          <w:szCs w:val="20"/>
        </w:rPr>
      </w:pPr>
    </w:p>
    <w:p w14:paraId="25F80257" w14:textId="710E1930" w:rsidR="00DE30C4" w:rsidRPr="006747BC" w:rsidRDefault="00DE30C4" w:rsidP="00DE30C4">
      <w:pPr>
        <w:spacing w:after="120" w:line="240" w:lineRule="auto"/>
        <w:ind w:firstLine="720"/>
        <w:jc w:val="both"/>
        <w:rPr>
          <w:rFonts w:ascii="Times New Roman" w:hAnsi="Times New Roman" w:cs="Times New Roman"/>
          <w:b/>
          <w:i/>
          <w:sz w:val="24"/>
          <w:szCs w:val="20"/>
        </w:rPr>
      </w:pPr>
      <w:r w:rsidRPr="006747BC">
        <w:rPr>
          <w:rFonts w:ascii="Times New Roman" w:hAnsi="Times New Roman" w:cs="Times New Roman"/>
          <w:b/>
          <w:i/>
          <w:sz w:val="24"/>
          <w:szCs w:val="20"/>
        </w:rPr>
        <w:t>Tekošais konts</w:t>
      </w:r>
    </w:p>
    <w:p w14:paraId="367E8E29" w14:textId="142B124B" w:rsidR="00DE30C4" w:rsidRDefault="003360AF"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2019.</w:t>
      </w:r>
      <w:r w:rsidR="00DE30C4">
        <w:rPr>
          <w:rFonts w:ascii="Times New Roman" w:hAnsi="Times New Roman" w:cs="Times New Roman"/>
          <w:sz w:val="24"/>
          <w:szCs w:val="20"/>
        </w:rPr>
        <w:t xml:space="preserve">gadā Latvijas maksājumu bilances tekošajā kontā bija fiksēts deficīts 163 milj. </w:t>
      </w:r>
      <w:r w:rsidR="00DE30C4" w:rsidRPr="00A26F38">
        <w:rPr>
          <w:rFonts w:ascii="Times New Roman" w:hAnsi="Times New Roman" w:cs="Times New Roman"/>
          <w:i/>
          <w:sz w:val="24"/>
          <w:szCs w:val="20"/>
        </w:rPr>
        <w:t>euro</w:t>
      </w:r>
      <w:r w:rsidR="00DE30C4">
        <w:rPr>
          <w:rFonts w:ascii="Times New Roman" w:hAnsi="Times New Roman" w:cs="Times New Roman"/>
          <w:sz w:val="24"/>
          <w:szCs w:val="20"/>
        </w:rPr>
        <w:t xml:space="preserve"> apmērā, kas bija par 35 milj. </w:t>
      </w:r>
      <w:r w:rsidR="00DE30C4" w:rsidRPr="00A26F38">
        <w:rPr>
          <w:rFonts w:ascii="Times New Roman" w:hAnsi="Times New Roman" w:cs="Times New Roman"/>
          <w:i/>
          <w:sz w:val="24"/>
          <w:szCs w:val="20"/>
        </w:rPr>
        <w:t>euro</w:t>
      </w:r>
      <w:r>
        <w:rPr>
          <w:rFonts w:ascii="Times New Roman" w:hAnsi="Times New Roman" w:cs="Times New Roman"/>
          <w:sz w:val="24"/>
          <w:szCs w:val="20"/>
        </w:rPr>
        <w:t xml:space="preserve"> mazāks nekā 2018.</w:t>
      </w:r>
      <w:r w:rsidR="00DE30C4">
        <w:rPr>
          <w:rFonts w:ascii="Times New Roman" w:hAnsi="Times New Roman" w:cs="Times New Roman"/>
          <w:sz w:val="24"/>
          <w:szCs w:val="20"/>
        </w:rPr>
        <w:t xml:space="preserve">gadā. </w:t>
      </w:r>
      <w:r w:rsidR="00DE30C4" w:rsidRPr="0098250F">
        <w:rPr>
          <w:rFonts w:ascii="Times New Roman" w:hAnsi="Times New Roman" w:cs="Times New Roman"/>
          <w:sz w:val="24"/>
          <w:szCs w:val="20"/>
        </w:rPr>
        <w:t xml:space="preserve">Ārējā tirdzniecība ietekmēja tekošā konta </w:t>
      </w:r>
      <w:r w:rsidR="00DE30C4">
        <w:rPr>
          <w:rFonts w:ascii="Times New Roman" w:hAnsi="Times New Roman" w:cs="Times New Roman"/>
          <w:sz w:val="24"/>
          <w:szCs w:val="20"/>
        </w:rPr>
        <w:t>izmaiņas, tomēr noteicošā</w:t>
      </w:r>
      <w:r w:rsidR="00DE30C4" w:rsidRPr="0098250F">
        <w:rPr>
          <w:rFonts w:ascii="Times New Roman" w:hAnsi="Times New Roman" w:cs="Times New Roman"/>
          <w:sz w:val="24"/>
          <w:szCs w:val="20"/>
        </w:rPr>
        <w:t xml:space="preserve"> loma</w:t>
      </w:r>
      <w:r w:rsidR="00DE30C4">
        <w:rPr>
          <w:rFonts w:ascii="Times New Roman" w:hAnsi="Times New Roman" w:cs="Times New Roman"/>
          <w:sz w:val="24"/>
          <w:szCs w:val="20"/>
        </w:rPr>
        <w:t>, kāpēc</w:t>
      </w:r>
      <w:r w:rsidR="00DE30C4" w:rsidRPr="0098250F">
        <w:rPr>
          <w:rFonts w:ascii="Times New Roman" w:hAnsi="Times New Roman" w:cs="Times New Roman"/>
          <w:sz w:val="24"/>
          <w:szCs w:val="20"/>
        </w:rPr>
        <w:t xml:space="preserve"> tekoša</w:t>
      </w:r>
      <w:r w:rsidR="00DE30C4">
        <w:rPr>
          <w:rFonts w:ascii="Times New Roman" w:hAnsi="Times New Roman" w:cs="Times New Roman"/>
          <w:sz w:val="24"/>
          <w:szCs w:val="20"/>
        </w:rPr>
        <w:t>jā kontā</w:t>
      </w:r>
      <w:r w:rsidR="00DE30C4" w:rsidRPr="0098250F">
        <w:rPr>
          <w:rFonts w:ascii="Times New Roman" w:hAnsi="Times New Roman" w:cs="Times New Roman"/>
          <w:sz w:val="24"/>
          <w:szCs w:val="20"/>
        </w:rPr>
        <w:t xml:space="preserve"> </w:t>
      </w:r>
      <w:r w:rsidR="005059C2">
        <w:rPr>
          <w:rFonts w:ascii="Times New Roman" w:hAnsi="Times New Roman" w:cs="Times New Roman"/>
          <w:sz w:val="24"/>
          <w:szCs w:val="20"/>
        </w:rPr>
        <w:t>2019.</w:t>
      </w:r>
      <w:r w:rsidR="00DE30C4">
        <w:rPr>
          <w:rFonts w:ascii="Times New Roman" w:hAnsi="Times New Roman" w:cs="Times New Roman"/>
          <w:sz w:val="24"/>
          <w:szCs w:val="20"/>
        </w:rPr>
        <w:t>gadā veidojās deficīts, bija sākotnējo ienākumu</w:t>
      </w:r>
      <w:r w:rsidR="00DE30C4" w:rsidRPr="0098250F">
        <w:rPr>
          <w:rFonts w:ascii="Times New Roman" w:hAnsi="Times New Roman" w:cs="Times New Roman"/>
          <w:sz w:val="24"/>
          <w:szCs w:val="20"/>
        </w:rPr>
        <w:t xml:space="preserve"> kontam. Saglabājoties augstiem ārvalstu investoru gūtajiem ienākumiem par iepriekš veikta</w:t>
      </w:r>
      <w:r w:rsidR="00DE30C4">
        <w:rPr>
          <w:rFonts w:ascii="Times New Roman" w:hAnsi="Times New Roman" w:cs="Times New Roman"/>
          <w:sz w:val="24"/>
          <w:szCs w:val="20"/>
        </w:rPr>
        <w:t>jām investīcijām Latvijā, tekošā</w:t>
      </w:r>
      <w:r w:rsidR="00DE30C4" w:rsidRPr="0098250F">
        <w:rPr>
          <w:rFonts w:ascii="Times New Roman" w:hAnsi="Times New Roman" w:cs="Times New Roman"/>
          <w:sz w:val="24"/>
          <w:szCs w:val="20"/>
        </w:rPr>
        <w:t xml:space="preserve"> ko</w:t>
      </w:r>
      <w:r w:rsidR="00DE30C4">
        <w:rPr>
          <w:rFonts w:ascii="Times New Roman" w:hAnsi="Times New Roman" w:cs="Times New Roman"/>
          <w:sz w:val="24"/>
          <w:szCs w:val="20"/>
        </w:rPr>
        <w:t>nta bilancē veidojās deficīts</w:t>
      </w:r>
      <w:r w:rsidR="00DE30C4" w:rsidRPr="0098250F">
        <w:rPr>
          <w:rFonts w:ascii="Times New Roman" w:hAnsi="Times New Roman" w:cs="Times New Roman"/>
          <w:sz w:val="24"/>
          <w:szCs w:val="20"/>
        </w:rPr>
        <w:t xml:space="preserve"> 163 milj. </w:t>
      </w:r>
      <w:r w:rsidR="00DE30C4" w:rsidRPr="00A26F38">
        <w:rPr>
          <w:rFonts w:ascii="Times New Roman" w:hAnsi="Times New Roman" w:cs="Times New Roman"/>
          <w:i/>
          <w:sz w:val="24"/>
          <w:szCs w:val="20"/>
        </w:rPr>
        <w:t>euro</w:t>
      </w:r>
      <w:r w:rsidR="00DE30C4">
        <w:rPr>
          <w:rFonts w:ascii="Times New Roman" w:hAnsi="Times New Roman" w:cs="Times New Roman"/>
          <w:sz w:val="24"/>
          <w:szCs w:val="20"/>
        </w:rPr>
        <w:t xml:space="preserve"> apjomā</w:t>
      </w:r>
      <w:r w:rsidR="00DE30C4" w:rsidRPr="0098250F">
        <w:rPr>
          <w:rFonts w:ascii="Times New Roman" w:hAnsi="Times New Roman" w:cs="Times New Roman"/>
          <w:sz w:val="24"/>
          <w:szCs w:val="20"/>
        </w:rPr>
        <w:t>. Tā</w:t>
      </w:r>
      <w:r w:rsidR="00DE30C4">
        <w:rPr>
          <w:rFonts w:ascii="Times New Roman" w:hAnsi="Times New Roman" w:cs="Times New Roman"/>
          <w:sz w:val="24"/>
          <w:szCs w:val="20"/>
        </w:rPr>
        <w:t>dējādi tekošā konta</w:t>
      </w:r>
      <w:r w:rsidR="00DE30C4" w:rsidRPr="0098250F">
        <w:rPr>
          <w:rFonts w:ascii="Times New Roman" w:hAnsi="Times New Roman" w:cs="Times New Roman"/>
          <w:sz w:val="24"/>
          <w:szCs w:val="20"/>
        </w:rPr>
        <w:t xml:space="preserve"> bilance 2019.gadā veidoja tikai -0,5% no Latvijas nominālā IKP, kas ir par 0,2 procentpunktiem zemāk nekā iepriekšējā gadā, kad deficīta apmērs bija 198 milj. </w:t>
      </w:r>
      <w:r w:rsidR="00DE30C4" w:rsidRPr="00A26F38">
        <w:rPr>
          <w:rFonts w:ascii="Times New Roman" w:hAnsi="Times New Roman" w:cs="Times New Roman"/>
          <w:i/>
          <w:sz w:val="24"/>
          <w:szCs w:val="20"/>
        </w:rPr>
        <w:t>euro</w:t>
      </w:r>
      <w:r w:rsidR="00DE30C4" w:rsidRPr="0098250F">
        <w:rPr>
          <w:rFonts w:ascii="Times New Roman" w:hAnsi="Times New Roman" w:cs="Times New Roman"/>
          <w:sz w:val="24"/>
          <w:szCs w:val="20"/>
        </w:rPr>
        <w:t>. Lai arī tekošā konta bilance pēdējos divos gados bija negatīva, kopumā situācija vērtējama kā ilgtspējīga un nenorāda uz</w:t>
      </w:r>
      <w:r w:rsidR="00DE30C4">
        <w:rPr>
          <w:rFonts w:ascii="Times New Roman" w:hAnsi="Times New Roman" w:cs="Times New Roman"/>
          <w:sz w:val="24"/>
          <w:szCs w:val="20"/>
        </w:rPr>
        <w:t xml:space="preserve"> nesabalansētībām</w:t>
      </w:r>
      <w:r w:rsidR="00DE30C4" w:rsidRPr="0098250F">
        <w:rPr>
          <w:rFonts w:ascii="Times New Roman" w:hAnsi="Times New Roman" w:cs="Times New Roman"/>
          <w:sz w:val="24"/>
          <w:szCs w:val="20"/>
        </w:rPr>
        <w:t xml:space="preserve"> Latvijas tautsaimniecības</w:t>
      </w:r>
      <w:r w:rsidR="00DE30C4">
        <w:rPr>
          <w:rFonts w:ascii="Times New Roman" w:hAnsi="Times New Roman" w:cs="Times New Roman"/>
          <w:sz w:val="24"/>
          <w:szCs w:val="20"/>
        </w:rPr>
        <w:t xml:space="preserve"> attīstībā</w:t>
      </w:r>
      <w:r w:rsidR="00DE30C4" w:rsidRPr="0098250F">
        <w:rPr>
          <w:rFonts w:ascii="Times New Roman" w:hAnsi="Times New Roman" w:cs="Times New Roman"/>
          <w:sz w:val="24"/>
          <w:szCs w:val="20"/>
        </w:rPr>
        <w:t xml:space="preserve">. Latvijas maksājumu bilances tekošā konta dinamika sadalījumā pa komponētiem ir atspoguļota </w:t>
      </w:r>
      <w:r w:rsidR="00DE402C">
        <w:rPr>
          <w:rFonts w:ascii="Times New Roman" w:hAnsi="Times New Roman" w:cs="Times New Roman"/>
          <w:sz w:val="24"/>
          <w:szCs w:val="20"/>
        </w:rPr>
        <w:t>2.1.</w:t>
      </w:r>
      <w:r w:rsidR="00DE30C4" w:rsidRPr="006747BC">
        <w:rPr>
          <w:rFonts w:ascii="Times New Roman" w:hAnsi="Times New Roman" w:cs="Times New Roman"/>
          <w:sz w:val="24"/>
          <w:szCs w:val="20"/>
        </w:rPr>
        <w:t>attēlā.</w:t>
      </w:r>
      <w:r w:rsidR="00DE30C4" w:rsidRPr="0098250F">
        <w:rPr>
          <w:rFonts w:ascii="Times New Roman" w:hAnsi="Times New Roman" w:cs="Times New Roman"/>
          <w:sz w:val="24"/>
          <w:szCs w:val="20"/>
        </w:rPr>
        <w:t xml:space="preserve"> </w:t>
      </w:r>
    </w:p>
    <w:p w14:paraId="058C25B5" w14:textId="77777777" w:rsidR="00FC6028" w:rsidRPr="0098250F" w:rsidRDefault="00FC6028" w:rsidP="00DE30C4">
      <w:pPr>
        <w:spacing w:after="0" w:line="240" w:lineRule="auto"/>
        <w:ind w:firstLine="720"/>
        <w:jc w:val="both"/>
        <w:rPr>
          <w:rFonts w:ascii="Times New Roman" w:hAnsi="Times New Roman" w:cs="Times New Roman"/>
          <w:sz w:val="24"/>
          <w:szCs w:val="20"/>
        </w:rPr>
      </w:pPr>
    </w:p>
    <w:p w14:paraId="302095F9" w14:textId="77777777" w:rsidR="00DE30C4" w:rsidRPr="0098250F" w:rsidRDefault="00DE30C4" w:rsidP="00DE30C4">
      <w:pPr>
        <w:spacing w:after="0" w:line="240" w:lineRule="auto"/>
        <w:jc w:val="center"/>
        <w:rPr>
          <w:rFonts w:ascii="Times New Roman" w:hAnsi="Times New Roman" w:cs="Times New Roman"/>
          <w:sz w:val="24"/>
          <w:szCs w:val="20"/>
        </w:rPr>
      </w:pPr>
      <w:r w:rsidRPr="0098250F">
        <w:rPr>
          <w:rFonts w:ascii="Times New Roman" w:hAnsi="Times New Roman" w:cs="Times New Roman"/>
          <w:noProof/>
          <w:sz w:val="24"/>
          <w:szCs w:val="20"/>
          <w:lang w:eastAsia="lv-LV"/>
        </w:rPr>
        <w:drawing>
          <wp:inline distT="0" distB="0" distL="0" distR="0" wp14:anchorId="168DC8A5" wp14:editId="58572932">
            <wp:extent cx="5810250" cy="374523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262FCC" w14:textId="2F2B73D7" w:rsidR="00DE30C4" w:rsidRPr="006747BC" w:rsidRDefault="00DE30C4" w:rsidP="00DE30C4">
      <w:pPr>
        <w:spacing w:after="120" w:line="240" w:lineRule="auto"/>
        <w:ind w:firstLine="720"/>
        <w:jc w:val="center"/>
        <w:rPr>
          <w:rFonts w:ascii="Times New Roman" w:hAnsi="Times New Roman" w:cs="Times New Roman"/>
          <w:b/>
          <w:sz w:val="24"/>
          <w:szCs w:val="20"/>
          <w:vertAlign w:val="superscript"/>
        </w:rPr>
      </w:pPr>
      <w:r w:rsidRPr="006747BC">
        <w:rPr>
          <w:rFonts w:ascii="Times New Roman" w:hAnsi="Times New Roman" w:cs="Times New Roman"/>
          <w:b/>
          <w:sz w:val="24"/>
          <w:szCs w:val="20"/>
        </w:rPr>
        <w:t xml:space="preserve">2.1. attēls. Latvijas maksājumu bilances tekošā konta komponentes (milj. </w:t>
      </w:r>
      <w:r w:rsidR="003360AF" w:rsidRPr="003360AF">
        <w:rPr>
          <w:rFonts w:ascii="Times New Roman" w:hAnsi="Times New Roman" w:cs="Times New Roman"/>
          <w:b/>
          <w:i/>
          <w:sz w:val="24"/>
          <w:szCs w:val="20"/>
        </w:rPr>
        <w:t>euro</w:t>
      </w:r>
      <w:r w:rsidRPr="006747BC">
        <w:rPr>
          <w:rFonts w:ascii="Times New Roman" w:hAnsi="Times New Roman" w:cs="Times New Roman"/>
          <w:b/>
          <w:sz w:val="24"/>
          <w:szCs w:val="20"/>
        </w:rPr>
        <w:t>) un tekošais un kapitāla konti procentos no IKP</w:t>
      </w:r>
      <w:r w:rsidRPr="006747BC">
        <w:rPr>
          <w:b/>
          <w:szCs w:val="20"/>
          <w:vertAlign w:val="superscript"/>
        </w:rPr>
        <w:footnoteReference w:id="2"/>
      </w:r>
    </w:p>
    <w:p w14:paraId="69ABCABD" w14:textId="77777777" w:rsidR="00FC6028" w:rsidRDefault="00FC6028" w:rsidP="00DE30C4">
      <w:pPr>
        <w:spacing w:after="0" w:line="240" w:lineRule="auto"/>
        <w:ind w:firstLine="720"/>
        <w:jc w:val="both"/>
        <w:rPr>
          <w:rFonts w:ascii="Times New Roman" w:hAnsi="Times New Roman" w:cs="Times New Roman"/>
          <w:sz w:val="24"/>
          <w:szCs w:val="20"/>
        </w:rPr>
      </w:pPr>
    </w:p>
    <w:p w14:paraId="6D0483BE" w14:textId="0A869FC4" w:rsidR="00DE30C4" w:rsidRDefault="00DE30C4" w:rsidP="00DE30C4">
      <w:pPr>
        <w:spacing w:after="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Preču importam palielinoties </w:t>
      </w:r>
      <w:r>
        <w:rPr>
          <w:rFonts w:ascii="Times New Roman" w:hAnsi="Times New Roman" w:cs="Times New Roman"/>
          <w:sz w:val="24"/>
          <w:szCs w:val="20"/>
        </w:rPr>
        <w:t>straujāk par preču eksportu</w:t>
      </w:r>
      <w:r w:rsidRPr="0098250F">
        <w:rPr>
          <w:rFonts w:ascii="Times New Roman" w:hAnsi="Times New Roman" w:cs="Times New Roman"/>
          <w:sz w:val="24"/>
          <w:szCs w:val="20"/>
        </w:rPr>
        <w:t xml:space="preserve">, preču konta deficīts pieauga par 130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līdz 2 481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Taču pak</w:t>
      </w:r>
      <w:r>
        <w:rPr>
          <w:rFonts w:ascii="Times New Roman" w:hAnsi="Times New Roman" w:cs="Times New Roman"/>
          <w:sz w:val="24"/>
          <w:szCs w:val="20"/>
        </w:rPr>
        <w:t>alpojumu konta pārpalikums pilnā apmērā</w:t>
      </w:r>
      <w:r w:rsidRPr="0098250F">
        <w:rPr>
          <w:rFonts w:ascii="Times New Roman" w:hAnsi="Times New Roman" w:cs="Times New Roman"/>
          <w:sz w:val="24"/>
          <w:szCs w:val="20"/>
        </w:rPr>
        <w:t xml:space="preserve"> nosedza preču konta deficītu, tādējādi līdzsvarojot tirdzniecības kontu bilanci. Pakalpojumu konta pārpalikums 2019.</w:t>
      </w:r>
      <w:r>
        <w:rPr>
          <w:rFonts w:ascii="Times New Roman" w:hAnsi="Times New Roman" w:cs="Times New Roman"/>
          <w:sz w:val="24"/>
          <w:szCs w:val="20"/>
        </w:rPr>
        <w:t xml:space="preserve"> </w:t>
      </w:r>
      <w:r w:rsidRPr="0098250F">
        <w:rPr>
          <w:rFonts w:ascii="Times New Roman" w:hAnsi="Times New Roman" w:cs="Times New Roman"/>
          <w:sz w:val="24"/>
          <w:szCs w:val="20"/>
        </w:rPr>
        <w:t>gadā bija 2</w:t>
      </w:r>
      <w:r w:rsidR="00DE3E1F" w:rsidRPr="0098250F">
        <w:rPr>
          <w:rFonts w:ascii="Times New Roman" w:hAnsi="Times New Roman" w:cs="Times New Roman"/>
          <w:sz w:val="24"/>
          <w:szCs w:val="20"/>
        </w:rPr>
        <w:t> </w:t>
      </w:r>
      <w:r w:rsidRPr="0098250F">
        <w:rPr>
          <w:rFonts w:ascii="Times New Roman" w:hAnsi="Times New Roman" w:cs="Times New Roman"/>
          <w:sz w:val="24"/>
          <w:szCs w:val="20"/>
        </w:rPr>
        <w:t xml:space="preserve">499 milj. </w:t>
      </w:r>
      <w:r w:rsidRPr="00A26F38">
        <w:rPr>
          <w:rFonts w:ascii="Times New Roman" w:hAnsi="Times New Roman" w:cs="Times New Roman"/>
          <w:i/>
          <w:sz w:val="24"/>
          <w:szCs w:val="20"/>
        </w:rPr>
        <w:t>euro</w:t>
      </w:r>
      <w:r>
        <w:rPr>
          <w:rFonts w:ascii="Times New Roman" w:hAnsi="Times New Roman" w:cs="Times New Roman"/>
          <w:sz w:val="24"/>
          <w:szCs w:val="20"/>
        </w:rPr>
        <w:t>, gada laikā</w:t>
      </w:r>
      <w:r w:rsidRPr="0098250F">
        <w:rPr>
          <w:rFonts w:ascii="Times New Roman" w:hAnsi="Times New Roman" w:cs="Times New Roman"/>
          <w:sz w:val="24"/>
          <w:szCs w:val="20"/>
        </w:rPr>
        <w:t xml:space="preserve"> palielinoties par 202 milj. </w:t>
      </w:r>
      <w:r w:rsidRPr="00A26F38">
        <w:rPr>
          <w:rFonts w:ascii="Times New Roman" w:hAnsi="Times New Roman" w:cs="Times New Roman"/>
          <w:i/>
          <w:sz w:val="24"/>
          <w:szCs w:val="20"/>
        </w:rPr>
        <w:t>euro</w:t>
      </w:r>
      <w:r w:rsidR="00DE3E1F">
        <w:rPr>
          <w:rFonts w:ascii="Times New Roman" w:hAnsi="Times New Roman" w:cs="Times New Roman"/>
          <w:sz w:val="24"/>
          <w:szCs w:val="20"/>
        </w:rPr>
        <w:t xml:space="preserve">. </w:t>
      </w:r>
    </w:p>
    <w:p w14:paraId="613EF9BF" w14:textId="21198432" w:rsidR="00DE30C4" w:rsidRDefault="00DE30C4" w:rsidP="00DE30C4">
      <w:pPr>
        <w:spacing w:after="240" w:line="240" w:lineRule="auto"/>
        <w:ind w:firstLine="720"/>
        <w:jc w:val="both"/>
        <w:rPr>
          <w:rFonts w:ascii="Times New Roman" w:hAnsi="Times New Roman" w:cs="Times New Roman"/>
          <w:sz w:val="24"/>
          <w:szCs w:val="20"/>
        </w:rPr>
      </w:pPr>
      <w:r w:rsidRPr="0098250F">
        <w:rPr>
          <w:rFonts w:ascii="Times New Roman" w:hAnsi="Times New Roman" w:cs="Times New Roman"/>
          <w:sz w:val="24"/>
          <w:szCs w:val="20"/>
        </w:rPr>
        <w:t xml:space="preserve">Sākotnējo ienākumu kontā deficīts </w:t>
      </w:r>
      <w:r>
        <w:rPr>
          <w:rFonts w:ascii="Times New Roman" w:hAnsi="Times New Roman" w:cs="Times New Roman"/>
          <w:sz w:val="24"/>
          <w:szCs w:val="20"/>
        </w:rPr>
        <w:t>samazinājā</w:t>
      </w:r>
      <w:r w:rsidRPr="0098250F">
        <w:rPr>
          <w:rFonts w:ascii="Times New Roman" w:hAnsi="Times New Roman" w:cs="Times New Roman"/>
          <w:sz w:val="24"/>
          <w:szCs w:val="20"/>
        </w:rPr>
        <w:t xml:space="preserve">s no 502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2018.gadā līdz 414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2019.</w:t>
      </w:r>
      <w:r>
        <w:rPr>
          <w:rFonts w:ascii="Times New Roman" w:hAnsi="Times New Roman" w:cs="Times New Roman"/>
          <w:sz w:val="24"/>
          <w:szCs w:val="20"/>
        </w:rPr>
        <w:t>gadā</w:t>
      </w:r>
      <w:r w:rsidRPr="0098250F">
        <w:rPr>
          <w:rFonts w:ascii="Times New Roman" w:hAnsi="Times New Roman" w:cs="Times New Roman"/>
          <w:sz w:val="24"/>
          <w:szCs w:val="20"/>
        </w:rPr>
        <w:t xml:space="preserve">. Deficīta samazinājumu labvēlīgi ietekmēja augstāki Latvijas rezidentu </w:t>
      </w:r>
      <w:r>
        <w:rPr>
          <w:rFonts w:ascii="Times New Roman" w:hAnsi="Times New Roman" w:cs="Times New Roman"/>
          <w:sz w:val="24"/>
          <w:szCs w:val="20"/>
        </w:rPr>
        <w:t>ienākumi ārvalstī</w:t>
      </w:r>
      <w:r w:rsidRPr="0098250F">
        <w:rPr>
          <w:rFonts w:ascii="Times New Roman" w:hAnsi="Times New Roman" w:cs="Times New Roman"/>
          <w:sz w:val="24"/>
          <w:szCs w:val="20"/>
        </w:rPr>
        <w:t xml:space="preserve">s, kā arī </w:t>
      </w:r>
      <w:r>
        <w:rPr>
          <w:rFonts w:ascii="Times New Roman" w:hAnsi="Times New Roman" w:cs="Times New Roman"/>
          <w:sz w:val="24"/>
          <w:szCs w:val="20"/>
        </w:rPr>
        <w:t>zemāki</w:t>
      </w:r>
      <w:r w:rsidRPr="0098250F">
        <w:rPr>
          <w:rFonts w:ascii="Times New Roman" w:hAnsi="Times New Roman" w:cs="Times New Roman"/>
          <w:sz w:val="24"/>
          <w:szCs w:val="20"/>
        </w:rPr>
        <w:t xml:space="preserve"> ārvalstu investoru </w:t>
      </w:r>
      <w:r>
        <w:rPr>
          <w:rFonts w:ascii="Times New Roman" w:hAnsi="Times New Roman" w:cs="Times New Roman"/>
          <w:sz w:val="24"/>
          <w:szCs w:val="20"/>
        </w:rPr>
        <w:t xml:space="preserve">gūtie </w:t>
      </w:r>
      <w:r w:rsidRPr="0098250F">
        <w:rPr>
          <w:rFonts w:ascii="Times New Roman" w:hAnsi="Times New Roman" w:cs="Times New Roman"/>
          <w:sz w:val="24"/>
          <w:szCs w:val="20"/>
        </w:rPr>
        <w:t xml:space="preserve">ienākumi par iepriekš veiktajām investīcijām Latvijā. Tomēr jāatzīmē, ka </w:t>
      </w:r>
      <w:r>
        <w:rPr>
          <w:rFonts w:ascii="Times New Roman" w:hAnsi="Times New Roman" w:cs="Times New Roman"/>
          <w:sz w:val="24"/>
          <w:szCs w:val="20"/>
        </w:rPr>
        <w:t xml:space="preserve">tieši </w:t>
      </w:r>
      <w:r w:rsidRPr="0098250F">
        <w:rPr>
          <w:rFonts w:ascii="Times New Roman" w:hAnsi="Times New Roman" w:cs="Times New Roman"/>
          <w:sz w:val="24"/>
          <w:szCs w:val="20"/>
        </w:rPr>
        <w:t xml:space="preserve">ārvalstu investoru ienākumi uztur samēra augsto deficītu šajā kontā. </w:t>
      </w:r>
      <w:r>
        <w:rPr>
          <w:rFonts w:ascii="Times New Roman" w:hAnsi="Times New Roman" w:cs="Times New Roman"/>
          <w:sz w:val="24"/>
          <w:szCs w:val="20"/>
        </w:rPr>
        <w:t>Otrreizējo ienākumu</w:t>
      </w:r>
      <w:r w:rsidRPr="0098250F">
        <w:rPr>
          <w:rFonts w:ascii="Times New Roman" w:hAnsi="Times New Roman" w:cs="Times New Roman"/>
          <w:sz w:val="24"/>
          <w:szCs w:val="20"/>
        </w:rPr>
        <w:t xml:space="preserve"> kontā 2019.</w:t>
      </w:r>
      <w:r>
        <w:rPr>
          <w:rFonts w:ascii="Times New Roman" w:hAnsi="Times New Roman" w:cs="Times New Roman"/>
          <w:sz w:val="24"/>
          <w:szCs w:val="20"/>
        </w:rPr>
        <w:t>gadā saglabājā</w:t>
      </w:r>
      <w:r w:rsidRPr="0098250F">
        <w:rPr>
          <w:rFonts w:ascii="Times New Roman" w:hAnsi="Times New Roman" w:cs="Times New Roman"/>
          <w:sz w:val="24"/>
          <w:szCs w:val="20"/>
        </w:rPr>
        <w:t xml:space="preserve">s pārpalikums, tomēr tas bija par 124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mazāks nekā iepriekšējā gadā, ko ietekmēja augstākas Latvijas iemaksas ES budžetā un mazāki Latvijas mājsaimniecību un uzņēmumu naudas pārvedumi no ārvalstīm.</w:t>
      </w:r>
      <w:r>
        <w:rPr>
          <w:rFonts w:ascii="Times New Roman" w:hAnsi="Times New Roman" w:cs="Times New Roman"/>
          <w:sz w:val="24"/>
          <w:szCs w:val="20"/>
        </w:rPr>
        <w:t xml:space="preserve"> Kopumā otrreizējo ienākumu</w:t>
      </w:r>
      <w:r w:rsidRPr="0098250F">
        <w:rPr>
          <w:rFonts w:ascii="Times New Roman" w:hAnsi="Times New Roman" w:cs="Times New Roman"/>
          <w:sz w:val="24"/>
          <w:szCs w:val="20"/>
        </w:rPr>
        <w:t xml:space="preserve"> konta pārpalikums bija 234 milj. </w:t>
      </w:r>
      <w:r w:rsidRPr="00A26F38">
        <w:rPr>
          <w:rFonts w:ascii="Times New Roman" w:hAnsi="Times New Roman" w:cs="Times New Roman"/>
          <w:i/>
          <w:sz w:val="24"/>
          <w:szCs w:val="20"/>
        </w:rPr>
        <w:t>euro</w:t>
      </w:r>
      <w:r w:rsidRPr="0098250F">
        <w:rPr>
          <w:rFonts w:ascii="Times New Roman" w:hAnsi="Times New Roman" w:cs="Times New Roman"/>
          <w:sz w:val="24"/>
          <w:szCs w:val="20"/>
        </w:rPr>
        <w:t xml:space="preserve">. </w:t>
      </w:r>
    </w:p>
    <w:p w14:paraId="47FFF99D" w14:textId="77777777" w:rsidR="00DE30C4" w:rsidRPr="009179D1" w:rsidRDefault="00DE30C4" w:rsidP="00DE30C4">
      <w:pPr>
        <w:spacing w:after="120" w:line="240" w:lineRule="auto"/>
        <w:ind w:firstLine="720"/>
        <w:jc w:val="both"/>
        <w:rPr>
          <w:rFonts w:ascii="Times New Roman" w:hAnsi="Times New Roman" w:cs="Times New Roman"/>
          <w:b/>
          <w:sz w:val="24"/>
          <w:szCs w:val="20"/>
        </w:rPr>
      </w:pPr>
      <w:r w:rsidRPr="003D2AD6">
        <w:rPr>
          <w:rFonts w:ascii="Times New Roman" w:hAnsi="Times New Roman" w:cs="Times New Roman"/>
          <w:b/>
          <w:i/>
          <w:sz w:val="24"/>
          <w:szCs w:val="20"/>
        </w:rPr>
        <w:t>Inflācija</w:t>
      </w:r>
    </w:p>
    <w:p w14:paraId="4217E516" w14:textId="5BBFB574" w:rsidR="00DE30C4"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2019.gadā salīdzinājumā ar iepriekšējo gadu</w:t>
      </w:r>
      <w:r w:rsidRPr="005A119B">
        <w:rPr>
          <w:rFonts w:ascii="Times New Roman" w:hAnsi="Times New Roman" w:cs="Times New Roman"/>
          <w:b/>
          <w:sz w:val="24"/>
          <w:szCs w:val="20"/>
        </w:rPr>
        <w:t xml:space="preserve"> patēriņa cenas</w:t>
      </w:r>
      <w:r w:rsidRPr="006C711B">
        <w:rPr>
          <w:rFonts w:ascii="Times New Roman" w:hAnsi="Times New Roman" w:cs="Times New Roman"/>
          <w:sz w:val="24"/>
          <w:szCs w:val="20"/>
        </w:rPr>
        <w:t xml:space="preserve"> Latvijā pieauga par 2,8%, palielinoties gan preču, gan pakalpojumu cenām attiecīgi par 2,7% un 3,0%. Sasniegtais patēriņa cenu kāpums precīzi atbilst F</w:t>
      </w:r>
      <w:r w:rsidR="00F033D3">
        <w:rPr>
          <w:rFonts w:ascii="Times New Roman" w:hAnsi="Times New Roman" w:cs="Times New Roman"/>
          <w:sz w:val="24"/>
          <w:szCs w:val="20"/>
        </w:rPr>
        <w:t xml:space="preserve">M </w:t>
      </w:r>
      <w:r w:rsidRPr="006C711B">
        <w:rPr>
          <w:rFonts w:ascii="Times New Roman" w:hAnsi="Times New Roman" w:cs="Times New Roman"/>
          <w:sz w:val="24"/>
          <w:szCs w:val="20"/>
        </w:rPr>
        <w:t>prognozēm, kuras bija izstrādātas 2019.</w:t>
      </w:r>
      <w:r>
        <w:rPr>
          <w:rFonts w:ascii="Times New Roman" w:hAnsi="Times New Roman" w:cs="Times New Roman"/>
          <w:sz w:val="24"/>
          <w:szCs w:val="20"/>
        </w:rPr>
        <w:t>gada jūnijā.</w:t>
      </w:r>
    </w:p>
    <w:p w14:paraId="29BC49CC" w14:textId="6E58A8B9" w:rsidR="00DE30C4"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 xml:space="preserve">Patēriņa cenu pieauguma diapazons 2019.gadā pa mēnešiem bija samērā plašs, ko galvenokārt noteica bāzes efekti, atsevišķos mēnešos akcīzes nodokļa un administratīvi regulējamo pakalpojumu tarifu pieaugums, kā arī samērā svārstīgās pārtikas cenas. Ja vēl pērnā gada pirmajā pusē inflācija bija tuvu 3%, tad </w:t>
      </w:r>
      <w:r>
        <w:rPr>
          <w:rFonts w:ascii="Times New Roman" w:hAnsi="Times New Roman" w:cs="Times New Roman"/>
          <w:sz w:val="24"/>
          <w:szCs w:val="20"/>
        </w:rPr>
        <w:t>gada</w:t>
      </w:r>
      <w:r w:rsidRPr="006C711B">
        <w:rPr>
          <w:rFonts w:ascii="Times New Roman" w:hAnsi="Times New Roman" w:cs="Times New Roman"/>
          <w:sz w:val="24"/>
          <w:szCs w:val="20"/>
        </w:rPr>
        <w:t xml:space="preserve"> otrajā pusē </w:t>
      </w:r>
      <w:r>
        <w:rPr>
          <w:rFonts w:ascii="Times New Roman" w:hAnsi="Times New Roman" w:cs="Times New Roman"/>
          <w:sz w:val="24"/>
          <w:szCs w:val="20"/>
        </w:rPr>
        <w:t xml:space="preserve">bija vērojams </w:t>
      </w:r>
      <w:r w:rsidRPr="006C711B">
        <w:rPr>
          <w:rFonts w:ascii="Times New Roman" w:hAnsi="Times New Roman" w:cs="Times New Roman"/>
          <w:sz w:val="24"/>
          <w:szCs w:val="20"/>
        </w:rPr>
        <w:t xml:space="preserve">cenu pieauguma palēninājums. Patēriņa cenu izmaiņas pa mēnešiem </w:t>
      </w:r>
      <w:r>
        <w:rPr>
          <w:rFonts w:ascii="Times New Roman" w:hAnsi="Times New Roman" w:cs="Times New Roman"/>
          <w:sz w:val="24"/>
          <w:szCs w:val="20"/>
        </w:rPr>
        <w:t>ir atspoguļotas</w:t>
      </w:r>
      <w:r w:rsidRPr="006C711B">
        <w:rPr>
          <w:rFonts w:ascii="Times New Roman" w:hAnsi="Times New Roman" w:cs="Times New Roman"/>
          <w:sz w:val="24"/>
          <w:szCs w:val="20"/>
        </w:rPr>
        <w:t xml:space="preserve"> </w:t>
      </w:r>
      <w:r w:rsidRPr="006747BC">
        <w:rPr>
          <w:rFonts w:ascii="Times New Roman" w:hAnsi="Times New Roman" w:cs="Times New Roman"/>
          <w:sz w:val="24"/>
          <w:szCs w:val="20"/>
        </w:rPr>
        <w:t>2.2. attēlā.</w:t>
      </w:r>
      <w:r w:rsidRPr="006C711B">
        <w:rPr>
          <w:rFonts w:ascii="Times New Roman" w:hAnsi="Times New Roman" w:cs="Times New Roman"/>
          <w:sz w:val="24"/>
          <w:szCs w:val="20"/>
        </w:rPr>
        <w:t xml:space="preserve"> </w:t>
      </w:r>
    </w:p>
    <w:p w14:paraId="5A4DC514" w14:textId="77777777" w:rsidR="00FC6028" w:rsidRPr="006C711B" w:rsidRDefault="00FC6028" w:rsidP="00DE30C4">
      <w:pPr>
        <w:spacing w:after="0" w:line="240" w:lineRule="auto"/>
        <w:ind w:firstLine="720"/>
        <w:jc w:val="both"/>
        <w:rPr>
          <w:rFonts w:ascii="Times New Roman" w:hAnsi="Times New Roman" w:cs="Times New Roman"/>
          <w:sz w:val="24"/>
          <w:szCs w:val="20"/>
        </w:rPr>
      </w:pPr>
    </w:p>
    <w:p w14:paraId="3767D18E" w14:textId="77777777" w:rsidR="00DE30C4" w:rsidRPr="006C711B" w:rsidRDefault="00DE30C4" w:rsidP="00DE30C4">
      <w:pPr>
        <w:spacing w:after="0" w:line="240" w:lineRule="auto"/>
        <w:jc w:val="center"/>
        <w:rPr>
          <w:rFonts w:ascii="Times New Roman" w:hAnsi="Times New Roman" w:cs="Times New Roman"/>
          <w:sz w:val="24"/>
          <w:szCs w:val="20"/>
        </w:rPr>
      </w:pPr>
      <w:r w:rsidRPr="006C711B">
        <w:rPr>
          <w:rFonts w:ascii="Times New Roman" w:hAnsi="Times New Roman" w:cs="Times New Roman"/>
          <w:noProof/>
          <w:sz w:val="24"/>
          <w:szCs w:val="20"/>
          <w:lang w:eastAsia="lv-LV"/>
        </w:rPr>
        <w:drawing>
          <wp:inline distT="0" distB="0" distL="0" distR="0" wp14:anchorId="22D45967" wp14:editId="47769005">
            <wp:extent cx="5591175" cy="32575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F0224" w14:textId="77777777" w:rsidR="00DE30C4" w:rsidRPr="006747BC" w:rsidRDefault="00DE30C4" w:rsidP="00DE30C4">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2.2</w:t>
      </w:r>
      <w:r w:rsidRPr="006747BC">
        <w:rPr>
          <w:rFonts w:ascii="Times New Roman" w:hAnsi="Times New Roman" w:cs="Times New Roman"/>
          <w:b/>
          <w:sz w:val="24"/>
          <w:szCs w:val="20"/>
        </w:rPr>
        <w:t>. attēls. Gada inflācija pēc izcelsmes avota</w:t>
      </w:r>
      <w:r w:rsidRPr="006747BC">
        <w:rPr>
          <w:rFonts w:ascii="Times New Roman" w:hAnsi="Times New Roman" w:cs="Times New Roman"/>
          <w:b/>
          <w:sz w:val="24"/>
          <w:szCs w:val="20"/>
          <w:vertAlign w:val="superscript"/>
        </w:rPr>
        <w:footnoteReference w:id="3"/>
      </w:r>
    </w:p>
    <w:p w14:paraId="27FEC6AB" w14:textId="77777777" w:rsidR="00FC6028" w:rsidRDefault="00FC6028" w:rsidP="00DE30C4">
      <w:pPr>
        <w:spacing w:after="0" w:line="240" w:lineRule="auto"/>
        <w:ind w:firstLine="720"/>
        <w:jc w:val="both"/>
        <w:rPr>
          <w:rFonts w:ascii="Times New Roman" w:hAnsi="Times New Roman" w:cs="Times New Roman"/>
          <w:sz w:val="24"/>
          <w:szCs w:val="20"/>
        </w:rPr>
      </w:pPr>
    </w:p>
    <w:p w14:paraId="1A61D27B" w14:textId="20C1058D" w:rsidR="00DE30C4" w:rsidRPr="006C711B"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Lielāko devumu patēriņa cenu kāpumā 2019.gadā nodro</w:t>
      </w:r>
      <w:r>
        <w:rPr>
          <w:rFonts w:ascii="Times New Roman" w:hAnsi="Times New Roman" w:cs="Times New Roman"/>
          <w:sz w:val="24"/>
          <w:szCs w:val="20"/>
        </w:rPr>
        <w:t xml:space="preserve">šināja pārtikas cenu pieaugums </w:t>
      </w:r>
      <w:r w:rsidRPr="006C711B">
        <w:rPr>
          <w:rFonts w:ascii="Times New Roman" w:hAnsi="Times New Roman" w:cs="Times New Roman"/>
          <w:sz w:val="24"/>
          <w:szCs w:val="20"/>
        </w:rPr>
        <w:t xml:space="preserve">par 3,3%. Pārtikas </w:t>
      </w:r>
      <w:r>
        <w:rPr>
          <w:rFonts w:ascii="Times New Roman" w:hAnsi="Times New Roman" w:cs="Times New Roman"/>
          <w:sz w:val="24"/>
          <w:szCs w:val="20"/>
        </w:rPr>
        <w:t>cenu pieaugumu</w:t>
      </w:r>
      <w:r w:rsidRPr="006C711B">
        <w:rPr>
          <w:rFonts w:ascii="Times New Roman" w:hAnsi="Times New Roman" w:cs="Times New Roman"/>
          <w:sz w:val="24"/>
          <w:szCs w:val="20"/>
        </w:rPr>
        <w:t xml:space="preserve"> ietekmēja dārgāka maize un graudaugi, dārzeņi un cūkgaļa. Šo preču cenas 2019.gadā vidēji bija attiecīgi par 6,1%, 11,8% un 7,8% augstākas nekā 2018.ga</w:t>
      </w:r>
      <w:r>
        <w:rPr>
          <w:rFonts w:ascii="Times New Roman" w:hAnsi="Times New Roman" w:cs="Times New Roman"/>
          <w:sz w:val="24"/>
          <w:szCs w:val="20"/>
        </w:rPr>
        <w:t>dā. Ja graudaugu un dārzeņu cenas</w:t>
      </w:r>
      <w:r w:rsidRPr="006C711B">
        <w:rPr>
          <w:rFonts w:ascii="Times New Roman" w:hAnsi="Times New Roman" w:cs="Times New Roman"/>
          <w:sz w:val="24"/>
          <w:szCs w:val="20"/>
        </w:rPr>
        <w:t xml:space="preserve"> ietekmēja sausie laika apstākļi gan 2018.gadā, gan pērnā gada vasarā vairākās Eiropas valstīs, tad cūkgaļas cenu ietekmēja cūkgaļas deficīts Ķīnā saistībā ar Āfrikas cūku mēra izplatīšanos šajā valstī. Ņemot vērā, ka Ķīna ir lielākais cūkgaļas ražotājs, kā arī patērētājs pasaulē, cūkgaļas piedāvājuma samazinājums Ķīnā būtiski ietekmēja tās cenas pasaulē. </w:t>
      </w:r>
    </w:p>
    <w:p w14:paraId="35D48363" w14:textId="044C48F3" w:rsidR="00DE30C4" w:rsidRPr="006C711B"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Būtisku paaugs</w:t>
      </w:r>
      <w:r>
        <w:rPr>
          <w:rFonts w:ascii="Times New Roman" w:hAnsi="Times New Roman" w:cs="Times New Roman"/>
          <w:sz w:val="24"/>
          <w:szCs w:val="20"/>
        </w:rPr>
        <w:t xml:space="preserve">tinošu ietekmi uz patēriņa cenām </w:t>
      </w:r>
      <w:r w:rsidRPr="006C711B">
        <w:rPr>
          <w:rFonts w:ascii="Times New Roman" w:hAnsi="Times New Roman" w:cs="Times New Roman"/>
          <w:sz w:val="24"/>
          <w:szCs w:val="20"/>
        </w:rPr>
        <w:t xml:space="preserve">2019.gadā </w:t>
      </w:r>
      <w:r>
        <w:rPr>
          <w:rFonts w:ascii="Times New Roman" w:hAnsi="Times New Roman" w:cs="Times New Roman"/>
          <w:sz w:val="24"/>
          <w:szCs w:val="20"/>
        </w:rPr>
        <w:t>radīja</w:t>
      </w:r>
      <w:r w:rsidRPr="006C711B">
        <w:rPr>
          <w:rFonts w:ascii="Times New Roman" w:hAnsi="Times New Roman" w:cs="Times New Roman"/>
          <w:sz w:val="24"/>
          <w:szCs w:val="20"/>
        </w:rPr>
        <w:t xml:space="preserve"> komunālo pakalpojumu cenu kāpums. </w:t>
      </w:r>
      <w:r>
        <w:rPr>
          <w:rFonts w:ascii="Times New Roman" w:hAnsi="Times New Roman" w:cs="Times New Roman"/>
          <w:sz w:val="24"/>
          <w:szCs w:val="20"/>
        </w:rPr>
        <w:t>Piemēram</w:t>
      </w:r>
      <w:r w:rsidRPr="006C711B">
        <w:rPr>
          <w:rFonts w:ascii="Times New Roman" w:hAnsi="Times New Roman" w:cs="Times New Roman"/>
          <w:sz w:val="24"/>
          <w:szCs w:val="20"/>
        </w:rPr>
        <w:t xml:space="preserve">, elektroenerģija bija par 9,0% dārgāka nekā iepriekšējā gadā. Tik strauju cenu pieaugumu noteica būtisks elektroenerģijas cenu pieaugums 2018.gadā </w:t>
      </w:r>
      <w:r w:rsidRPr="00403C25">
        <w:rPr>
          <w:rFonts w:ascii="Times New Roman" w:hAnsi="Times New Roman" w:cs="Times New Roman"/>
          <w:i/>
          <w:sz w:val="24"/>
          <w:szCs w:val="20"/>
        </w:rPr>
        <w:t>Nord Pool Spot</w:t>
      </w:r>
      <w:r w:rsidRPr="006C711B">
        <w:rPr>
          <w:rFonts w:ascii="Times New Roman" w:hAnsi="Times New Roman" w:cs="Times New Roman"/>
          <w:sz w:val="24"/>
          <w:szCs w:val="20"/>
        </w:rPr>
        <w:t xml:space="preserve"> biržā (+44% pret iepriekšējo gadu). Jāatzīmē, ka 2018.gada nogalē lielākai daļai mājsaimniecību tika noslēgti jauni līgumi par elektroenerģijas piegādi 2019.gadam, kuros bija ņemts vērā straujais elektroenerģijas cenu kāpums biržā. </w:t>
      </w:r>
    </w:p>
    <w:p w14:paraId="34C14A7A" w14:textId="1F2ED767" w:rsidR="00DE30C4" w:rsidRPr="006C711B" w:rsidRDefault="00DE30C4" w:rsidP="00DE30C4">
      <w:pPr>
        <w:spacing w:after="0" w:line="24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Gāze </w:t>
      </w:r>
      <w:r w:rsidRPr="006C711B">
        <w:rPr>
          <w:rFonts w:ascii="Times New Roman" w:hAnsi="Times New Roman" w:cs="Times New Roman"/>
          <w:sz w:val="24"/>
          <w:szCs w:val="20"/>
        </w:rPr>
        <w:t>2019.g</w:t>
      </w:r>
      <w:r>
        <w:rPr>
          <w:rFonts w:ascii="Times New Roman" w:hAnsi="Times New Roman" w:cs="Times New Roman"/>
          <w:sz w:val="24"/>
          <w:szCs w:val="20"/>
        </w:rPr>
        <w:t>adā sadārdzinājās par 5,7%</w:t>
      </w:r>
      <w:r w:rsidRPr="006C711B">
        <w:rPr>
          <w:rFonts w:ascii="Times New Roman" w:hAnsi="Times New Roman" w:cs="Times New Roman"/>
          <w:sz w:val="24"/>
          <w:szCs w:val="20"/>
        </w:rPr>
        <w:t>. Taču, ja gada pirmajā pusē gāze</w:t>
      </w:r>
      <w:r>
        <w:rPr>
          <w:rFonts w:ascii="Times New Roman" w:hAnsi="Times New Roman" w:cs="Times New Roman"/>
          <w:sz w:val="24"/>
          <w:szCs w:val="20"/>
        </w:rPr>
        <w:t>s cenu pieaugums bija sasniedzis gandrīz 20</w:t>
      </w:r>
      <w:r w:rsidRPr="006C711B">
        <w:rPr>
          <w:rFonts w:ascii="Times New Roman" w:hAnsi="Times New Roman" w:cs="Times New Roman"/>
          <w:sz w:val="24"/>
          <w:szCs w:val="20"/>
        </w:rPr>
        <w:t>%, tad gada otrajā pusē gāzes cena kritās par 7,0% salīdzinājumā ar iepriekšējā gada attiecīgo periodu. Straujo gāzes cenu pieaugumu 2019.gada pirmajā pusē noteica divi faktori. Pirmkārt, 2019.</w:t>
      </w:r>
      <w:r w:rsidR="00DE3E1F">
        <w:rPr>
          <w:rFonts w:ascii="Times New Roman" w:hAnsi="Times New Roman" w:cs="Times New Roman"/>
          <w:sz w:val="24"/>
          <w:szCs w:val="20"/>
        </w:rPr>
        <w:t>gada 1.</w:t>
      </w:r>
      <w:r w:rsidRPr="006C711B">
        <w:rPr>
          <w:rFonts w:ascii="Times New Roman" w:hAnsi="Times New Roman" w:cs="Times New Roman"/>
          <w:sz w:val="24"/>
          <w:szCs w:val="20"/>
        </w:rPr>
        <w:t xml:space="preserve">janvārī stājās spēkā jaunie divpakāpju dabasgāzes sadales sistēmas pakalpojuma tarifi, ieviešot fiksētu maksu par pieslēgumu atbilstoši pieslēguma atļautajai slodzei neatkarīgi no dabasgāzes patēriņa apjoma. Otrkārt, gāzes cenu ietekmēja arī 2018.gada straujais naftas cenu pieaugums pasaulē. Taču, ņemot vērā, ka naftas cenas pasaules biržās 2019.gada pirmajā pusē bija zemākas nekā pirms gada, pārskatot gāzes tarifus 2019.gada otrajam pusgadam, gāzes cena mājsaimniecībām pazeminājās.  </w:t>
      </w:r>
    </w:p>
    <w:p w14:paraId="7652F82B" w14:textId="5CB1E238" w:rsidR="00DE30C4" w:rsidRPr="006C711B"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Jūtami sadā</w:t>
      </w:r>
      <w:r>
        <w:rPr>
          <w:rFonts w:ascii="Times New Roman" w:hAnsi="Times New Roman" w:cs="Times New Roman"/>
          <w:sz w:val="24"/>
          <w:szCs w:val="20"/>
        </w:rPr>
        <w:t>rdzinājās arī pārējie ar mājokļa uzturēšanu</w:t>
      </w:r>
      <w:r w:rsidRPr="006C711B">
        <w:rPr>
          <w:rFonts w:ascii="Times New Roman" w:hAnsi="Times New Roman" w:cs="Times New Roman"/>
          <w:sz w:val="24"/>
          <w:szCs w:val="20"/>
        </w:rPr>
        <w:t xml:space="preserve"> saistītie pakalpojumi. Piemēram, atkritumu savākšana 2019.gadā bija par 17,0% dārgāka nekā iepriekšējā gadā, ko ietekmēja palielinātās nodokļa likmes par atkritumu apglabāšanu, sākot ar 2019.gada 1.janvāri. Savukārt ūdensapgādes pakalpojumu cenu kāpumu par 6,0% ietekmēja jaunie SIA “Rīgas ūdens” ūdenssaimniecības pakalpojumu tarifi, kuri stājās spēkā vēl 2018.gada 1.</w:t>
      </w:r>
      <w:r>
        <w:rPr>
          <w:rFonts w:ascii="Times New Roman" w:hAnsi="Times New Roman" w:cs="Times New Roman"/>
          <w:sz w:val="24"/>
          <w:szCs w:val="20"/>
        </w:rPr>
        <w:t>jūnijā. Tādējādi paaugstinošā</w:t>
      </w:r>
      <w:r w:rsidRPr="006C711B">
        <w:rPr>
          <w:rFonts w:ascii="Times New Roman" w:hAnsi="Times New Roman" w:cs="Times New Roman"/>
          <w:sz w:val="24"/>
          <w:szCs w:val="20"/>
        </w:rPr>
        <w:t xml:space="preserve"> ietekme bija fiksēta tikai līdz 2019.gada vidum. </w:t>
      </w:r>
    </w:p>
    <w:p w14:paraId="68077F42" w14:textId="149C5724" w:rsidR="00DE30C4" w:rsidRPr="006C711B" w:rsidRDefault="00DE30C4" w:rsidP="00DE30C4">
      <w:pPr>
        <w:spacing w:after="0" w:line="240" w:lineRule="auto"/>
        <w:ind w:firstLine="720"/>
        <w:jc w:val="both"/>
        <w:rPr>
          <w:rFonts w:ascii="Times New Roman" w:hAnsi="Times New Roman" w:cs="Times New Roman"/>
          <w:sz w:val="24"/>
          <w:szCs w:val="20"/>
        </w:rPr>
      </w:pPr>
      <w:r w:rsidRPr="009179D1">
        <w:rPr>
          <w:rFonts w:ascii="Times New Roman" w:hAnsi="Times New Roman" w:cs="Times New Roman"/>
          <w:sz w:val="24"/>
          <w:szCs w:val="20"/>
        </w:rPr>
        <w:t xml:space="preserve">Paaugstinošu </w:t>
      </w:r>
      <w:r w:rsidR="00DE3E1F">
        <w:rPr>
          <w:rFonts w:ascii="Times New Roman" w:hAnsi="Times New Roman" w:cs="Times New Roman"/>
          <w:sz w:val="24"/>
          <w:szCs w:val="20"/>
        </w:rPr>
        <w:t>ietekmi uz patēriņa cenām 2019.</w:t>
      </w:r>
      <w:r w:rsidRPr="009179D1">
        <w:rPr>
          <w:rFonts w:ascii="Times New Roman" w:hAnsi="Times New Roman" w:cs="Times New Roman"/>
          <w:sz w:val="24"/>
          <w:szCs w:val="20"/>
        </w:rPr>
        <w:t>gadā radīja arī alkoholisko dzērienu un tabakas</w:t>
      </w:r>
      <w:r w:rsidRPr="006C711B">
        <w:rPr>
          <w:rFonts w:ascii="Times New Roman" w:hAnsi="Times New Roman" w:cs="Times New Roman"/>
          <w:sz w:val="24"/>
          <w:szCs w:val="20"/>
        </w:rPr>
        <w:t xml:space="preserve"> izstrādājumu cenu pieaugums attiecīgi par 4,9% un 6,7%. Šo preču cenu pieaugumu galvenokārt ietekmēja akcīzes nodokļa likmju paaugstināšana alkoholam pērnā gada martā un cigaretēm jūlijā.</w:t>
      </w:r>
    </w:p>
    <w:p w14:paraId="02A9E7B7" w14:textId="2F72F26A" w:rsidR="00DE30C4" w:rsidRPr="006C711B" w:rsidRDefault="00DE30C4" w:rsidP="00DE30C4">
      <w:pPr>
        <w:spacing w:after="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Not</w:t>
      </w:r>
      <w:r>
        <w:rPr>
          <w:rFonts w:ascii="Times New Roman" w:hAnsi="Times New Roman" w:cs="Times New Roman"/>
          <w:sz w:val="24"/>
          <w:szCs w:val="20"/>
        </w:rPr>
        <w:t>urīgais darba samaksas kāpums visā</w:t>
      </w:r>
      <w:r w:rsidRPr="006C711B">
        <w:rPr>
          <w:rFonts w:ascii="Times New Roman" w:hAnsi="Times New Roman" w:cs="Times New Roman"/>
          <w:sz w:val="24"/>
          <w:szCs w:val="20"/>
        </w:rPr>
        <w:t>s tautsaimniecības nozarēs, kā arī komunālo pakalpoju</w:t>
      </w:r>
      <w:r>
        <w:rPr>
          <w:rFonts w:ascii="Times New Roman" w:hAnsi="Times New Roman" w:cs="Times New Roman"/>
          <w:sz w:val="24"/>
          <w:szCs w:val="20"/>
        </w:rPr>
        <w:t>mu sadārdzinājums, kas palielināja</w:t>
      </w:r>
      <w:r w:rsidRPr="006C711B">
        <w:rPr>
          <w:rFonts w:ascii="Times New Roman" w:hAnsi="Times New Roman" w:cs="Times New Roman"/>
          <w:sz w:val="24"/>
          <w:szCs w:val="20"/>
        </w:rPr>
        <w:t xml:space="preserve"> uzņēmējdarbības izmaksas, tiešā veidā ietekmēja arī citu pakalpojumu cenas, it īpaši atpūtas un kultūras, vese</w:t>
      </w:r>
      <w:r>
        <w:rPr>
          <w:rFonts w:ascii="Times New Roman" w:hAnsi="Times New Roman" w:cs="Times New Roman"/>
          <w:sz w:val="24"/>
          <w:szCs w:val="20"/>
        </w:rPr>
        <w:t>lības, kā arī ēdināšanas pakalpojumu</w:t>
      </w:r>
      <w:r w:rsidRPr="006C711B">
        <w:rPr>
          <w:rFonts w:ascii="Times New Roman" w:hAnsi="Times New Roman" w:cs="Times New Roman"/>
          <w:sz w:val="24"/>
          <w:szCs w:val="20"/>
        </w:rPr>
        <w:t xml:space="preserve">. Šo pakalpojumu cenas 2019.gadā bija attiecīgi par 3,1%, 2,1% un 4,1% augstākas nekā iepriekšējā gadā. </w:t>
      </w:r>
    </w:p>
    <w:p w14:paraId="4B2AF7B3" w14:textId="28E373E0" w:rsidR="00DE30C4" w:rsidRDefault="00DE30C4" w:rsidP="00DE30C4">
      <w:pPr>
        <w:spacing w:after="240" w:line="240" w:lineRule="auto"/>
        <w:ind w:firstLine="720"/>
        <w:jc w:val="both"/>
        <w:rPr>
          <w:rFonts w:ascii="Times New Roman" w:hAnsi="Times New Roman" w:cs="Times New Roman"/>
          <w:sz w:val="24"/>
          <w:szCs w:val="20"/>
        </w:rPr>
      </w:pPr>
      <w:r w:rsidRPr="006C711B">
        <w:rPr>
          <w:rFonts w:ascii="Times New Roman" w:hAnsi="Times New Roman" w:cs="Times New Roman"/>
          <w:sz w:val="24"/>
          <w:szCs w:val="20"/>
        </w:rPr>
        <w:t>Kopumā jāsecina, ka patēriņa cenu kāpumu 2019.g</w:t>
      </w:r>
      <w:r>
        <w:rPr>
          <w:rFonts w:ascii="Times New Roman" w:hAnsi="Times New Roman" w:cs="Times New Roman"/>
          <w:sz w:val="24"/>
          <w:szCs w:val="20"/>
        </w:rPr>
        <w:t>adā uzturēja iekšējie ekonomiskie</w:t>
      </w:r>
      <w:r w:rsidRPr="006C711B">
        <w:rPr>
          <w:rFonts w:ascii="Times New Roman" w:hAnsi="Times New Roman" w:cs="Times New Roman"/>
          <w:sz w:val="24"/>
          <w:szCs w:val="20"/>
        </w:rPr>
        <w:t xml:space="preserve"> procesi, ko apliecina </w:t>
      </w:r>
      <w:r>
        <w:rPr>
          <w:rFonts w:ascii="Times New Roman" w:hAnsi="Times New Roman" w:cs="Times New Roman"/>
          <w:sz w:val="24"/>
          <w:szCs w:val="20"/>
        </w:rPr>
        <w:t>dati par pamatinflāciju</w:t>
      </w:r>
      <w:r w:rsidRPr="006C711B">
        <w:rPr>
          <w:rFonts w:ascii="Times New Roman" w:hAnsi="Times New Roman" w:cs="Times New Roman"/>
          <w:sz w:val="24"/>
          <w:szCs w:val="20"/>
        </w:rPr>
        <w:t>. Pagājuš</w:t>
      </w:r>
      <w:r>
        <w:rPr>
          <w:rFonts w:ascii="Times New Roman" w:hAnsi="Times New Roman" w:cs="Times New Roman"/>
          <w:sz w:val="24"/>
          <w:szCs w:val="20"/>
        </w:rPr>
        <w:t>aj</w:t>
      </w:r>
      <w:r w:rsidRPr="006C711B">
        <w:rPr>
          <w:rFonts w:ascii="Times New Roman" w:hAnsi="Times New Roman" w:cs="Times New Roman"/>
          <w:sz w:val="24"/>
          <w:szCs w:val="20"/>
        </w:rPr>
        <w:t xml:space="preserve">ā gadā pamatinflācijas devums vidējā patēriņa cenu kāpumā bija 1,7 procentpunkti, tādējādi nodrošinot vairāk nekā pusi no </w:t>
      </w:r>
      <w:r w:rsidR="00DE3E1F">
        <w:rPr>
          <w:rFonts w:ascii="Times New Roman" w:hAnsi="Times New Roman" w:cs="Times New Roman"/>
          <w:sz w:val="24"/>
          <w:szCs w:val="20"/>
        </w:rPr>
        <w:t xml:space="preserve">patēriņa cenu </w:t>
      </w:r>
      <w:r>
        <w:rPr>
          <w:rFonts w:ascii="Times New Roman" w:hAnsi="Times New Roman" w:cs="Times New Roman"/>
          <w:sz w:val="24"/>
          <w:szCs w:val="20"/>
        </w:rPr>
        <w:t>pieauguma</w:t>
      </w:r>
      <w:r w:rsidRPr="006C711B">
        <w:rPr>
          <w:rFonts w:ascii="Times New Roman" w:hAnsi="Times New Roman" w:cs="Times New Roman"/>
          <w:sz w:val="24"/>
          <w:szCs w:val="20"/>
        </w:rPr>
        <w:t>. Ārējo faktoru ietekme jeb devums cenu pieaugumā, kas galvenokārt at</w:t>
      </w:r>
      <w:r>
        <w:rPr>
          <w:rFonts w:ascii="Times New Roman" w:hAnsi="Times New Roman" w:cs="Times New Roman"/>
          <w:sz w:val="24"/>
          <w:szCs w:val="20"/>
        </w:rPr>
        <w:t>spoguļojā</w:t>
      </w:r>
      <w:r w:rsidRPr="006C711B">
        <w:rPr>
          <w:rFonts w:ascii="Times New Roman" w:hAnsi="Times New Roman" w:cs="Times New Roman"/>
          <w:sz w:val="24"/>
          <w:szCs w:val="20"/>
        </w:rPr>
        <w:t>s caur augstāk</w:t>
      </w:r>
      <w:r>
        <w:rPr>
          <w:rFonts w:ascii="Times New Roman" w:hAnsi="Times New Roman" w:cs="Times New Roman"/>
          <w:sz w:val="24"/>
          <w:szCs w:val="20"/>
        </w:rPr>
        <w:t>ā</w:t>
      </w:r>
      <w:r w:rsidRPr="006C711B">
        <w:rPr>
          <w:rFonts w:ascii="Times New Roman" w:hAnsi="Times New Roman" w:cs="Times New Roman"/>
          <w:sz w:val="24"/>
          <w:szCs w:val="20"/>
        </w:rPr>
        <w:t xml:space="preserve">m gāzes un siltumenerģijas, kā arī pārtikas cenām, bija </w:t>
      </w:r>
      <w:r w:rsidR="00DE402C">
        <w:rPr>
          <w:rFonts w:ascii="Times New Roman" w:hAnsi="Times New Roman" w:cs="Times New Roman"/>
          <w:sz w:val="24"/>
          <w:szCs w:val="20"/>
        </w:rPr>
        <w:br/>
      </w:r>
      <w:r w:rsidRPr="006C711B">
        <w:rPr>
          <w:rFonts w:ascii="Times New Roman" w:hAnsi="Times New Roman" w:cs="Times New Roman"/>
          <w:sz w:val="24"/>
          <w:szCs w:val="20"/>
        </w:rPr>
        <w:t xml:space="preserve">0,9 procentpunkti. Savukārt nodokļu likmju izmaiņu dēļ inflācijas līmenis 2019.gadā pieauga par 0,3 procentpunktiem. </w:t>
      </w:r>
    </w:p>
    <w:p w14:paraId="4A6D6BEA" w14:textId="77777777" w:rsidR="00DE30C4" w:rsidRPr="003D2AD6" w:rsidRDefault="00DE30C4" w:rsidP="00DE30C4">
      <w:pPr>
        <w:pStyle w:val="H4"/>
        <w:spacing w:before="0"/>
        <w:ind w:left="0" w:firstLine="720"/>
        <w:jc w:val="both"/>
        <w:rPr>
          <w:rFonts w:ascii="Times New Roman" w:hAnsi="Times New Roman"/>
          <w:i/>
          <w:sz w:val="24"/>
          <w:szCs w:val="24"/>
        </w:rPr>
      </w:pPr>
      <w:r w:rsidRPr="003D2AD6">
        <w:rPr>
          <w:rFonts w:ascii="Times New Roman" w:hAnsi="Times New Roman"/>
          <w:i/>
          <w:sz w:val="24"/>
          <w:szCs w:val="24"/>
        </w:rPr>
        <w:t>Darba tirgus</w:t>
      </w:r>
    </w:p>
    <w:p w14:paraId="62D1D156" w14:textId="2F4F6255" w:rsidR="00DE30C4" w:rsidRPr="00834006"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Ekonomikas izaugsmei 2019.gadā palēninoties, nodarbinātības piea</w:t>
      </w:r>
      <w:r>
        <w:rPr>
          <w:rFonts w:ascii="Times New Roman" w:hAnsi="Times New Roman" w:cs="Times New Roman"/>
          <w:sz w:val="24"/>
          <w:szCs w:val="20"/>
        </w:rPr>
        <w:t>ugums Latvijā praktiski apstājā</w:t>
      </w:r>
      <w:r w:rsidRPr="00834006">
        <w:rPr>
          <w:rFonts w:ascii="Times New Roman" w:hAnsi="Times New Roman" w:cs="Times New Roman"/>
          <w:sz w:val="24"/>
          <w:szCs w:val="20"/>
        </w:rPr>
        <w:t xml:space="preserve">s, tajā pašā laikā bezdarba līmenis turpināja strauji samazināties, ko noteica darbspējas vecuma iedzīvotāju skaita samazināšanās. Tautsaimniecībā nodarbināto iedzīvotāju skaits 2019.gadā salīdzinājumā ar iepriekšējo gadu </w:t>
      </w:r>
      <w:r>
        <w:rPr>
          <w:rFonts w:ascii="Times New Roman" w:hAnsi="Times New Roman" w:cs="Times New Roman"/>
          <w:sz w:val="24"/>
          <w:szCs w:val="20"/>
        </w:rPr>
        <w:t>bija</w:t>
      </w:r>
      <w:r w:rsidRPr="00834006">
        <w:rPr>
          <w:rFonts w:ascii="Times New Roman" w:hAnsi="Times New Roman" w:cs="Times New Roman"/>
          <w:sz w:val="24"/>
          <w:szCs w:val="20"/>
        </w:rPr>
        <w:t xml:space="preserve"> pieaudzis par 0,1%, un bijis 910,0</w:t>
      </w:r>
      <w:r>
        <w:rPr>
          <w:rFonts w:ascii="Times New Roman" w:hAnsi="Times New Roman" w:cs="Times New Roman"/>
          <w:sz w:val="24"/>
          <w:szCs w:val="20"/>
        </w:rPr>
        <w:t xml:space="preserve"> tūkstoši.</w:t>
      </w:r>
      <w:r w:rsidRPr="00834006">
        <w:rPr>
          <w:rFonts w:ascii="Times New Roman" w:hAnsi="Times New Roman" w:cs="Times New Roman"/>
          <w:sz w:val="24"/>
          <w:szCs w:val="20"/>
        </w:rPr>
        <w:t xml:space="preserve"> Savukārt bezdarba </w:t>
      </w:r>
      <w:r>
        <w:rPr>
          <w:rFonts w:ascii="Times New Roman" w:hAnsi="Times New Roman" w:cs="Times New Roman"/>
          <w:sz w:val="24"/>
          <w:szCs w:val="20"/>
        </w:rPr>
        <w:t>līmenis samazinājā</w:t>
      </w:r>
      <w:r w:rsidRPr="00834006">
        <w:rPr>
          <w:rFonts w:ascii="Times New Roman" w:hAnsi="Times New Roman" w:cs="Times New Roman"/>
          <w:sz w:val="24"/>
          <w:szCs w:val="20"/>
        </w:rPr>
        <w:t>s līdz 6,3% un bijis par 1,1 procentpunktu zemāks nekā pirms gada.</w:t>
      </w:r>
    </w:p>
    <w:p w14:paraId="2658CE93" w14:textId="77777777" w:rsidR="00DE30C4" w:rsidRPr="00834006" w:rsidRDefault="00DE30C4" w:rsidP="00DE30C4">
      <w:pPr>
        <w:spacing w:after="0" w:line="240" w:lineRule="auto"/>
        <w:jc w:val="center"/>
        <w:rPr>
          <w:rFonts w:ascii="Times New Roman" w:hAnsi="Times New Roman" w:cs="Times New Roman"/>
          <w:sz w:val="24"/>
          <w:szCs w:val="20"/>
        </w:rPr>
      </w:pPr>
      <w:r w:rsidRPr="00834006">
        <w:rPr>
          <w:rFonts w:ascii="Times New Roman" w:hAnsi="Times New Roman" w:cs="Times New Roman"/>
          <w:noProof/>
          <w:sz w:val="24"/>
          <w:szCs w:val="20"/>
          <w:lang w:eastAsia="lv-LV"/>
        </w:rPr>
        <w:drawing>
          <wp:inline distT="0" distB="0" distL="0" distR="0" wp14:anchorId="2A7FF439" wp14:editId="439E033C">
            <wp:extent cx="5106060" cy="2809037"/>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F99A52" w14:textId="59BA58ED" w:rsidR="00DE30C4" w:rsidRPr="006747BC" w:rsidRDefault="00DE30C4" w:rsidP="00DE30C4">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2.3</w:t>
      </w:r>
      <w:r w:rsidRPr="006747BC">
        <w:rPr>
          <w:rFonts w:ascii="Times New Roman" w:hAnsi="Times New Roman" w:cs="Times New Roman"/>
          <w:b/>
          <w:sz w:val="24"/>
          <w:szCs w:val="20"/>
        </w:rPr>
        <w:t>.attēls. Nodarbinātība un bezdarbs 2008.–2019</w:t>
      </w:r>
      <w:r w:rsidR="00DE3E1F">
        <w:rPr>
          <w:rFonts w:ascii="Times New Roman" w:hAnsi="Times New Roman" w:cs="Times New Roman"/>
          <w:b/>
          <w:sz w:val="24"/>
          <w:szCs w:val="20"/>
        </w:rPr>
        <w:t>.</w:t>
      </w:r>
      <w:r>
        <w:rPr>
          <w:rFonts w:ascii="Times New Roman" w:hAnsi="Times New Roman" w:cs="Times New Roman"/>
          <w:b/>
          <w:sz w:val="24"/>
          <w:szCs w:val="20"/>
        </w:rPr>
        <w:t>gad</w:t>
      </w:r>
      <w:r w:rsidRPr="006747BC">
        <w:rPr>
          <w:rFonts w:ascii="Times New Roman" w:hAnsi="Times New Roman" w:cs="Times New Roman"/>
          <w:b/>
          <w:sz w:val="24"/>
          <w:szCs w:val="20"/>
        </w:rPr>
        <w:t>ā</w:t>
      </w:r>
    </w:p>
    <w:p w14:paraId="7DA2091D" w14:textId="50B8C5E9" w:rsidR="00DE30C4" w:rsidRPr="00834006"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Dati par aizņemtajām darba vietām rāda, ka 2019.gadā darba vietu</w:t>
      </w:r>
      <w:r>
        <w:rPr>
          <w:rFonts w:ascii="Times New Roman" w:hAnsi="Times New Roman" w:cs="Times New Roman"/>
          <w:sz w:val="24"/>
          <w:szCs w:val="20"/>
        </w:rPr>
        <w:t xml:space="preserve"> skaits visbūtiskāk palielinājā</w:t>
      </w:r>
      <w:r w:rsidRPr="00834006">
        <w:rPr>
          <w:rFonts w:ascii="Times New Roman" w:hAnsi="Times New Roman" w:cs="Times New Roman"/>
          <w:sz w:val="24"/>
          <w:szCs w:val="20"/>
        </w:rPr>
        <w:t>s administratīvo pakalpojumu nozarē – par 4,7%, izmitināšanas un ēdināšanas nozarē – par 3,9%, veselības un sociālās aprūpes nozarē – par 3,3% un būvniecības nozarē – par 2,4%. Savukār</w:t>
      </w:r>
      <w:r>
        <w:rPr>
          <w:rFonts w:ascii="Times New Roman" w:hAnsi="Times New Roman" w:cs="Times New Roman"/>
          <w:sz w:val="24"/>
          <w:szCs w:val="20"/>
        </w:rPr>
        <w:t>t darba vietu skaits samazinājā</w:t>
      </w:r>
      <w:r w:rsidRPr="00834006">
        <w:rPr>
          <w:rFonts w:ascii="Times New Roman" w:hAnsi="Times New Roman" w:cs="Times New Roman"/>
          <w:sz w:val="24"/>
          <w:szCs w:val="20"/>
        </w:rPr>
        <w:t>s elektroenerģijas un gāzes apgādes nozarē – par 3,1%, valsts pārvaldes nozarē – par 1,7%, kā arī apstrādes rūpniecības un finanšu pakalpojumu nozarēs – abās par 0,1%.</w:t>
      </w:r>
    </w:p>
    <w:p w14:paraId="4C4488C2" w14:textId="254C6AC9" w:rsidR="00DE30C4" w:rsidRDefault="00DE3E1F" w:rsidP="00DE30C4">
      <w:pPr>
        <w:spacing w:after="0"/>
        <w:ind w:firstLine="720"/>
        <w:jc w:val="both"/>
        <w:rPr>
          <w:rFonts w:ascii="Times New Roman" w:hAnsi="Times New Roman" w:cs="Times New Roman"/>
          <w:sz w:val="24"/>
          <w:szCs w:val="20"/>
        </w:rPr>
      </w:pPr>
      <w:r>
        <w:rPr>
          <w:rFonts w:ascii="Times New Roman" w:hAnsi="Times New Roman" w:cs="Times New Roman"/>
          <w:sz w:val="24"/>
          <w:szCs w:val="20"/>
        </w:rPr>
        <w:t>2020.</w:t>
      </w:r>
      <w:r w:rsidR="00DE30C4" w:rsidRPr="008D6972">
        <w:rPr>
          <w:rFonts w:ascii="Times New Roman" w:hAnsi="Times New Roman" w:cs="Times New Roman"/>
          <w:sz w:val="24"/>
          <w:szCs w:val="20"/>
        </w:rPr>
        <w:t xml:space="preserve">gada pirmajos mēnešos turpinājās pagājušā gada tendence, bezdarba līmenim </w:t>
      </w:r>
      <w:r>
        <w:rPr>
          <w:rFonts w:ascii="Times New Roman" w:hAnsi="Times New Roman" w:cs="Times New Roman"/>
          <w:sz w:val="24"/>
          <w:szCs w:val="20"/>
        </w:rPr>
        <w:t>turpinot samazināties. Ja 2019.</w:t>
      </w:r>
      <w:r w:rsidR="00DE30C4" w:rsidRPr="008D6972">
        <w:rPr>
          <w:rFonts w:ascii="Times New Roman" w:hAnsi="Times New Roman" w:cs="Times New Roman"/>
          <w:sz w:val="24"/>
          <w:szCs w:val="20"/>
        </w:rPr>
        <w:t xml:space="preserve">gada laikā reģistrētā bezdarba līmenis bija pazeminājies par </w:t>
      </w:r>
      <w:r w:rsidR="00DE402C">
        <w:rPr>
          <w:rFonts w:ascii="Times New Roman" w:hAnsi="Times New Roman" w:cs="Times New Roman"/>
          <w:sz w:val="24"/>
          <w:szCs w:val="20"/>
        </w:rPr>
        <w:br/>
      </w:r>
      <w:r w:rsidR="00DE30C4" w:rsidRPr="008D6972">
        <w:rPr>
          <w:rFonts w:ascii="Times New Roman" w:hAnsi="Times New Roman" w:cs="Times New Roman"/>
          <w:sz w:val="24"/>
          <w:szCs w:val="20"/>
        </w:rPr>
        <w:t>0,4 p</w:t>
      </w:r>
      <w:r>
        <w:rPr>
          <w:rFonts w:ascii="Times New Roman" w:hAnsi="Times New Roman" w:cs="Times New Roman"/>
          <w:sz w:val="24"/>
          <w:szCs w:val="20"/>
        </w:rPr>
        <w:t>rocentpunktiem līdz 6,1%, 2020.</w:t>
      </w:r>
      <w:r w:rsidR="00DE30C4" w:rsidRPr="008D6972">
        <w:rPr>
          <w:rFonts w:ascii="Times New Roman" w:hAnsi="Times New Roman" w:cs="Times New Roman"/>
          <w:sz w:val="24"/>
          <w:szCs w:val="20"/>
        </w:rPr>
        <w:t xml:space="preserve">gada februāra beigās tas bija 6,3% un tāpat bija par </w:t>
      </w:r>
      <w:r w:rsidR="00DE402C">
        <w:rPr>
          <w:rFonts w:ascii="Times New Roman" w:hAnsi="Times New Roman" w:cs="Times New Roman"/>
          <w:sz w:val="24"/>
          <w:szCs w:val="20"/>
        </w:rPr>
        <w:br/>
      </w:r>
      <w:r w:rsidR="00DE30C4" w:rsidRPr="008D6972">
        <w:rPr>
          <w:rFonts w:ascii="Times New Roman" w:hAnsi="Times New Roman" w:cs="Times New Roman"/>
          <w:sz w:val="24"/>
          <w:szCs w:val="20"/>
        </w:rPr>
        <w:t xml:space="preserve">0,4 procentpunktiem zemāks nekā pirms gada. Taču pēc Covid-19 vīrusa izraisītās krīzes pasaulē un krasā ekonomiskās aktivitātes krituma martā bezdarba līmenis ir sācis paaugstināties, </w:t>
      </w:r>
      <w:r w:rsidR="00DE30C4">
        <w:rPr>
          <w:rFonts w:ascii="Times New Roman" w:hAnsi="Times New Roman" w:cs="Times New Roman"/>
          <w:sz w:val="24"/>
          <w:szCs w:val="20"/>
        </w:rPr>
        <w:t xml:space="preserve">mēneša laikā </w:t>
      </w:r>
      <w:r w:rsidR="00DE30C4" w:rsidRPr="008D6972">
        <w:rPr>
          <w:rFonts w:ascii="Times New Roman" w:hAnsi="Times New Roman" w:cs="Times New Roman"/>
          <w:sz w:val="24"/>
          <w:szCs w:val="20"/>
        </w:rPr>
        <w:t xml:space="preserve">līdz </w:t>
      </w:r>
      <w:r w:rsidR="00DE30C4">
        <w:rPr>
          <w:rFonts w:ascii="Times New Roman" w:hAnsi="Times New Roman" w:cs="Times New Roman"/>
          <w:sz w:val="24"/>
          <w:szCs w:val="20"/>
        </w:rPr>
        <w:t>1. aprīlim</w:t>
      </w:r>
      <w:r w:rsidR="00DE30C4" w:rsidRPr="008D6972">
        <w:rPr>
          <w:rFonts w:ascii="Times New Roman" w:hAnsi="Times New Roman" w:cs="Times New Roman"/>
          <w:sz w:val="24"/>
          <w:szCs w:val="20"/>
        </w:rPr>
        <w:t xml:space="preserve"> reģistrēto bezdarbnieku skaitam palielinoties par </w:t>
      </w:r>
      <w:r w:rsidR="00DE30C4">
        <w:rPr>
          <w:rFonts w:ascii="Times New Roman" w:eastAsia="Times New Roman" w:hAnsi="Times New Roman" w:cs="Times New Roman"/>
          <w:color w:val="000000"/>
          <w:sz w:val="24"/>
          <w:szCs w:val="24"/>
          <w:lang w:eastAsia="lv-LV"/>
        </w:rPr>
        <w:t>3</w:t>
      </w:r>
      <w:r w:rsidR="00DE402C" w:rsidRPr="0098250F">
        <w:rPr>
          <w:rFonts w:ascii="Times New Roman" w:hAnsi="Times New Roman" w:cs="Times New Roman"/>
          <w:sz w:val="24"/>
          <w:szCs w:val="20"/>
        </w:rPr>
        <w:t> </w:t>
      </w:r>
      <w:r w:rsidR="00DE30C4">
        <w:rPr>
          <w:rFonts w:ascii="Times New Roman" w:eastAsia="Times New Roman" w:hAnsi="Times New Roman" w:cs="Times New Roman"/>
          <w:color w:val="000000"/>
          <w:sz w:val="24"/>
          <w:szCs w:val="24"/>
          <w:lang w:eastAsia="lv-LV"/>
        </w:rPr>
        <w:t xml:space="preserve">280 jeb 5,6% </w:t>
      </w:r>
      <w:r w:rsidR="00DE30C4" w:rsidRPr="008D6972">
        <w:rPr>
          <w:rFonts w:ascii="Times New Roman" w:hAnsi="Times New Roman" w:cs="Times New Roman"/>
          <w:sz w:val="24"/>
          <w:szCs w:val="20"/>
        </w:rPr>
        <w:t xml:space="preserve">un reģistrētā bezdarba līmenim paaugstinoties līdz </w:t>
      </w:r>
      <w:r w:rsidR="00DE30C4">
        <w:rPr>
          <w:rFonts w:ascii="Times New Roman" w:hAnsi="Times New Roman" w:cs="Times New Roman"/>
          <w:sz w:val="24"/>
          <w:szCs w:val="20"/>
        </w:rPr>
        <w:t xml:space="preserve">6,7%. </w:t>
      </w:r>
      <w:r w:rsidR="00DE30C4" w:rsidRPr="008D6972">
        <w:rPr>
          <w:rFonts w:ascii="Times New Roman" w:hAnsi="Times New Roman" w:cs="Times New Roman"/>
          <w:sz w:val="24"/>
          <w:szCs w:val="20"/>
        </w:rPr>
        <w:t>Brīv</w:t>
      </w:r>
      <w:r>
        <w:rPr>
          <w:rFonts w:ascii="Times New Roman" w:hAnsi="Times New Roman" w:cs="Times New Roman"/>
          <w:sz w:val="24"/>
          <w:szCs w:val="20"/>
        </w:rPr>
        <w:t>o darba vietu skaits, kas 2019.</w:t>
      </w:r>
      <w:r w:rsidR="00DE30C4" w:rsidRPr="008D6972">
        <w:rPr>
          <w:rFonts w:ascii="Times New Roman" w:hAnsi="Times New Roman" w:cs="Times New Roman"/>
          <w:sz w:val="24"/>
          <w:szCs w:val="20"/>
        </w:rPr>
        <w:t>gada laikā b</w:t>
      </w:r>
      <w:r w:rsidR="00DE30C4">
        <w:rPr>
          <w:rFonts w:ascii="Times New Roman" w:hAnsi="Times New Roman" w:cs="Times New Roman"/>
          <w:sz w:val="24"/>
          <w:szCs w:val="20"/>
        </w:rPr>
        <w:t>ija uzrādījis strauju kāpumu,</w:t>
      </w:r>
      <w:r w:rsidR="00DE30C4" w:rsidRPr="008D6972">
        <w:rPr>
          <w:rFonts w:ascii="Times New Roman" w:hAnsi="Times New Roman" w:cs="Times New Roman"/>
          <w:sz w:val="24"/>
          <w:szCs w:val="20"/>
        </w:rPr>
        <w:t xml:space="preserve"> </w:t>
      </w:r>
      <w:r w:rsidR="00DE30C4">
        <w:rPr>
          <w:rFonts w:ascii="Times New Roman" w:hAnsi="Times New Roman" w:cs="Times New Roman"/>
          <w:sz w:val="24"/>
          <w:szCs w:val="20"/>
        </w:rPr>
        <w:t>Covid-19 krīzes ietekmē ir sācis strauji kristies</w:t>
      </w:r>
      <w:r w:rsidR="00DE30C4" w:rsidRPr="008D6972">
        <w:rPr>
          <w:rFonts w:ascii="Times New Roman" w:hAnsi="Times New Roman" w:cs="Times New Roman"/>
          <w:sz w:val="24"/>
          <w:szCs w:val="20"/>
        </w:rPr>
        <w:t xml:space="preserve">, darba sludinājumu skaitam personāla atlases kompānijas </w:t>
      </w:r>
      <w:r w:rsidR="00DE30C4" w:rsidRPr="00D67626">
        <w:rPr>
          <w:rFonts w:ascii="Times New Roman" w:hAnsi="Times New Roman" w:cs="Times New Roman"/>
          <w:i/>
          <w:sz w:val="24"/>
          <w:szCs w:val="20"/>
        </w:rPr>
        <w:t>CV Online</w:t>
      </w:r>
      <w:r w:rsidR="00DE30C4" w:rsidRPr="008D6972">
        <w:rPr>
          <w:rFonts w:ascii="Times New Roman" w:hAnsi="Times New Roman" w:cs="Times New Roman"/>
          <w:sz w:val="24"/>
          <w:szCs w:val="20"/>
        </w:rPr>
        <w:t xml:space="preserve"> portālā </w:t>
      </w:r>
      <w:r w:rsidR="00DE30C4">
        <w:rPr>
          <w:rFonts w:ascii="Times New Roman" w:hAnsi="Times New Roman" w:cs="Times New Roman"/>
          <w:sz w:val="24"/>
          <w:szCs w:val="20"/>
        </w:rPr>
        <w:t xml:space="preserve">mēneša </w:t>
      </w:r>
      <w:r w:rsidR="00DE30C4" w:rsidRPr="008D6972">
        <w:rPr>
          <w:rFonts w:ascii="Times New Roman" w:hAnsi="Times New Roman" w:cs="Times New Roman"/>
          <w:sz w:val="24"/>
          <w:szCs w:val="20"/>
        </w:rPr>
        <w:t xml:space="preserve">laikā līdz </w:t>
      </w:r>
      <w:r w:rsidR="00DE30C4">
        <w:rPr>
          <w:rFonts w:ascii="Times New Roman" w:hAnsi="Times New Roman" w:cs="Times New Roman"/>
          <w:sz w:val="24"/>
          <w:szCs w:val="20"/>
        </w:rPr>
        <w:t>1.aprīlim</w:t>
      </w:r>
      <w:r w:rsidR="00DE30C4" w:rsidRPr="008D6972">
        <w:rPr>
          <w:rFonts w:ascii="Times New Roman" w:hAnsi="Times New Roman" w:cs="Times New Roman"/>
          <w:sz w:val="24"/>
          <w:szCs w:val="20"/>
        </w:rPr>
        <w:t xml:space="preserve"> samazinoties </w:t>
      </w:r>
      <w:r w:rsidR="00DE30C4">
        <w:rPr>
          <w:rFonts w:ascii="Times New Roman" w:hAnsi="Times New Roman" w:cs="Times New Roman"/>
          <w:sz w:val="24"/>
          <w:szCs w:val="20"/>
        </w:rPr>
        <w:t>gandrīz par 5</w:t>
      </w:r>
      <w:r w:rsidR="00DE30C4" w:rsidRPr="008D6972">
        <w:rPr>
          <w:rFonts w:ascii="Times New Roman" w:hAnsi="Times New Roman" w:cs="Times New Roman"/>
          <w:sz w:val="24"/>
          <w:szCs w:val="20"/>
        </w:rPr>
        <w:t>0%.</w:t>
      </w:r>
      <w:r w:rsidR="00DE30C4">
        <w:rPr>
          <w:rFonts w:ascii="Times New Roman" w:hAnsi="Times New Roman" w:cs="Times New Roman"/>
          <w:sz w:val="24"/>
          <w:szCs w:val="20"/>
        </w:rPr>
        <w:t xml:space="preserve"> </w:t>
      </w:r>
    </w:p>
    <w:p w14:paraId="7C3F519D" w14:textId="111436C3" w:rsidR="00DE30C4" w:rsidRPr="00834006"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Mēneša vidējā bruto darba samaksa 2019.gadā, salīdzinot ar iepriekšējo gadu, palielinājās par 7,2% līdz 1</w:t>
      </w:r>
      <w:r w:rsidR="00DE3E1F" w:rsidRPr="0098250F">
        <w:rPr>
          <w:rFonts w:ascii="Times New Roman" w:hAnsi="Times New Roman" w:cs="Times New Roman"/>
          <w:sz w:val="24"/>
          <w:szCs w:val="20"/>
        </w:rPr>
        <w:t> </w:t>
      </w:r>
      <w:r w:rsidRPr="00834006">
        <w:rPr>
          <w:rFonts w:ascii="Times New Roman" w:hAnsi="Times New Roman" w:cs="Times New Roman"/>
          <w:sz w:val="24"/>
          <w:szCs w:val="20"/>
        </w:rPr>
        <w:t xml:space="preserve">076 </w:t>
      </w:r>
      <w:r w:rsidRPr="00A26F38">
        <w:rPr>
          <w:rFonts w:ascii="Times New Roman" w:hAnsi="Times New Roman" w:cs="Times New Roman"/>
          <w:i/>
          <w:sz w:val="24"/>
          <w:szCs w:val="20"/>
        </w:rPr>
        <w:t>euro</w:t>
      </w:r>
      <w:r w:rsidRPr="00834006">
        <w:rPr>
          <w:rFonts w:ascii="Times New Roman" w:hAnsi="Times New Roman" w:cs="Times New Roman"/>
          <w:sz w:val="24"/>
          <w:szCs w:val="20"/>
        </w:rPr>
        <w:t>. Tas ir nedaudz lēnāks pieaugums nekā iepriekšējos divos gados, kad darba samaksa bija augusi attiecīgi par 7,9% 2017</w:t>
      </w:r>
      <w:r w:rsidR="00DE3E1F">
        <w:rPr>
          <w:rFonts w:ascii="Times New Roman" w:hAnsi="Times New Roman" w:cs="Times New Roman"/>
          <w:sz w:val="24"/>
          <w:szCs w:val="20"/>
        </w:rPr>
        <w:t>.</w:t>
      </w:r>
      <w:r>
        <w:rPr>
          <w:rFonts w:ascii="Times New Roman" w:hAnsi="Times New Roman" w:cs="Times New Roman"/>
          <w:sz w:val="24"/>
          <w:szCs w:val="20"/>
        </w:rPr>
        <w:t>gad</w:t>
      </w:r>
      <w:r w:rsidRPr="00834006">
        <w:rPr>
          <w:rFonts w:ascii="Times New Roman" w:hAnsi="Times New Roman" w:cs="Times New Roman"/>
          <w:sz w:val="24"/>
          <w:szCs w:val="20"/>
        </w:rPr>
        <w:t xml:space="preserve">ā un 8,4% 2018.gadā. Darba samaksas pieauguma tempi 2019.gada laikā pakāpeniski samazinājās, ceturtajā ceturksnī noslīdot līdz 6,9%. </w:t>
      </w:r>
    </w:p>
    <w:p w14:paraId="242AFDC1" w14:textId="12EC1BB0" w:rsidR="00DE30C4" w:rsidRPr="00834006"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Pagājušajā gadā kopumā straujāks darba samaksas pieaugums bija privātajā sektorā, kur mēneša vidējā bruto darba samaksa palielinājās par 7,6%, kamēr sabiedriskajā sektorā tā auga par 6,8%. Tomēr vēl joprojām augstāks darba samaksas līmenis saglabājās sabiedriskajā sektorā, kur vidējā alga 2019.</w:t>
      </w:r>
      <w:r>
        <w:rPr>
          <w:rFonts w:ascii="Times New Roman" w:hAnsi="Times New Roman" w:cs="Times New Roman"/>
          <w:sz w:val="24"/>
          <w:szCs w:val="20"/>
        </w:rPr>
        <w:t>gadā bija 1</w:t>
      </w:r>
      <w:r w:rsidR="00DE3E1F" w:rsidRPr="0098250F">
        <w:rPr>
          <w:rFonts w:ascii="Times New Roman" w:hAnsi="Times New Roman" w:cs="Times New Roman"/>
          <w:sz w:val="24"/>
          <w:szCs w:val="20"/>
        </w:rPr>
        <w:t> </w:t>
      </w:r>
      <w:r>
        <w:rPr>
          <w:rFonts w:ascii="Times New Roman" w:hAnsi="Times New Roman" w:cs="Times New Roman"/>
          <w:sz w:val="24"/>
          <w:szCs w:val="20"/>
        </w:rPr>
        <w:t xml:space="preserve">103 </w:t>
      </w:r>
      <w:r w:rsidRPr="00A26F38">
        <w:rPr>
          <w:rFonts w:ascii="Times New Roman" w:hAnsi="Times New Roman" w:cs="Times New Roman"/>
          <w:i/>
          <w:sz w:val="24"/>
          <w:szCs w:val="20"/>
        </w:rPr>
        <w:t>euro</w:t>
      </w:r>
      <w:r w:rsidRPr="00834006">
        <w:rPr>
          <w:rFonts w:ascii="Times New Roman" w:hAnsi="Times New Roman" w:cs="Times New Roman"/>
          <w:sz w:val="24"/>
          <w:szCs w:val="20"/>
        </w:rPr>
        <w:t>, kamēr priv</w:t>
      </w:r>
      <w:r>
        <w:rPr>
          <w:rFonts w:ascii="Times New Roman" w:hAnsi="Times New Roman" w:cs="Times New Roman"/>
          <w:sz w:val="24"/>
          <w:szCs w:val="20"/>
        </w:rPr>
        <w:t>ātajā sektorā tā veidoja 1</w:t>
      </w:r>
      <w:r w:rsidR="00DE3E1F" w:rsidRPr="0098250F">
        <w:rPr>
          <w:rFonts w:ascii="Times New Roman" w:hAnsi="Times New Roman" w:cs="Times New Roman"/>
          <w:sz w:val="24"/>
          <w:szCs w:val="20"/>
        </w:rPr>
        <w:t> </w:t>
      </w:r>
      <w:r>
        <w:rPr>
          <w:rFonts w:ascii="Times New Roman" w:hAnsi="Times New Roman" w:cs="Times New Roman"/>
          <w:sz w:val="24"/>
          <w:szCs w:val="20"/>
        </w:rPr>
        <w:t xml:space="preserve">067 </w:t>
      </w:r>
      <w:r w:rsidRPr="00A26F38">
        <w:rPr>
          <w:rFonts w:ascii="Times New Roman" w:hAnsi="Times New Roman" w:cs="Times New Roman"/>
          <w:i/>
          <w:sz w:val="24"/>
          <w:szCs w:val="20"/>
        </w:rPr>
        <w:t>euro</w:t>
      </w:r>
      <w:r w:rsidRPr="00834006">
        <w:rPr>
          <w:rFonts w:ascii="Times New Roman" w:hAnsi="Times New Roman" w:cs="Times New Roman"/>
          <w:sz w:val="24"/>
          <w:szCs w:val="20"/>
        </w:rPr>
        <w:t>. Reālā neto darba samaksa 2019.gadā, salīdzinot ar iepriekšējo gadu, palielinājās par 3,9%, kas ir lēnāks pieaugums nekā 2018.gadā, kad tās pieaugumu par 7,2% papildus veicināja iedzīvotāju ienākuma nodokļa samazinājums no 2018.gada 1.janvāra.</w:t>
      </w:r>
    </w:p>
    <w:p w14:paraId="2055A98F" w14:textId="0D89CD8D" w:rsidR="00DE30C4"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No nozarēm straujākais algu pieaugums bija veselības aprūpes nozarē – par 13,2%, administratīvo pakalpojumu nozarē – par 10,9% un būvniecībā – par 10,3%. Augstākā mēneša bruto darba samaksa bija fina</w:t>
      </w:r>
      <w:r>
        <w:rPr>
          <w:rFonts w:ascii="Times New Roman" w:hAnsi="Times New Roman" w:cs="Times New Roman"/>
          <w:sz w:val="24"/>
          <w:szCs w:val="20"/>
        </w:rPr>
        <w:t>nšu pakalpojumu nozarē – 2</w:t>
      </w:r>
      <w:r w:rsidR="00DE3E1F" w:rsidRPr="0098250F">
        <w:rPr>
          <w:rFonts w:ascii="Times New Roman" w:hAnsi="Times New Roman" w:cs="Times New Roman"/>
          <w:sz w:val="24"/>
          <w:szCs w:val="20"/>
        </w:rPr>
        <w:t> </w:t>
      </w:r>
      <w:r>
        <w:rPr>
          <w:rFonts w:ascii="Times New Roman" w:hAnsi="Times New Roman" w:cs="Times New Roman"/>
          <w:sz w:val="24"/>
          <w:szCs w:val="20"/>
        </w:rPr>
        <w:t xml:space="preserve">083 </w:t>
      </w:r>
      <w:r w:rsidRPr="00A26F38">
        <w:rPr>
          <w:rFonts w:ascii="Times New Roman" w:hAnsi="Times New Roman" w:cs="Times New Roman"/>
          <w:i/>
          <w:sz w:val="24"/>
          <w:szCs w:val="20"/>
        </w:rPr>
        <w:t>euro</w:t>
      </w:r>
      <w:r w:rsidRPr="00834006">
        <w:rPr>
          <w:rFonts w:ascii="Times New Roman" w:hAnsi="Times New Roman" w:cs="Times New Roman"/>
          <w:sz w:val="24"/>
          <w:szCs w:val="20"/>
        </w:rPr>
        <w:t xml:space="preserve"> un informācijas un komunikāci</w:t>
      </w:r>
      <w:r>
        <w:rPr>
          <w:rFonts w:ascii="Times New Roman" w:hAnsi="Times New Roman" w:cs="Times New Roman"/>
          <w:sz w:val="24"/>
          <w:szCs w:val="20"/>
        </w:rPr>
        <w:t>jas pakalpojumu nozarē – 1</w:t>
      </w:r>
      <w:r w:rsidR="00DE3E1F" w:rsidRPr="0098250F">
        <w:rPr>
          <w:rFonts w:ascii="Times New Roman" w:hAnsi="Times New Roman" w:cs="Times New Roman"/>
          <w:sz w:val="24"/>
          <w:szCs w:val="20"/>
        </w:rPr>
        <w:t> </w:t>
      </w:r>
      <w:r>
        <w:rPr>
          <w:rFonts w:ascii="Times New Roman" w:hAnsi="Times New Roman" w:cs="Times New Roman"/>
          <w:sz w:val="24"/>
          <w:szCs w:val="20"/>
        </w:rPr>
        <w:t xml:space="preserve">731 </w:t>
      </w:r>
      <w:r w:rsidRPr="00A26F38">
        <w:rPr>
          <w:rFonts w:ascii="Times New Roman" w:hAnsi="Times New Roman" w:cs="Times New Roman"/>
          <w:i/>
          <w:sz w:val="24"/>
          <w:szCs w:val="20"/>
        </w:rPr>
        <w:t>euro</w:t>
      </w:r>
      <w:r w:rsidRPr="00834006">
        <w:rPr>
          <w:rFonts w:ascii="Times New Roman" w:hAnsi="Times New Roman" w:cs="Times New Roman"/>
          <w:sz w:val="24"/>
          <w:szCs w:val="20"/>
        </w:rPr>
        <w:t>. Savukārt zemākā alga bija izmitināšan</w:t>
      </w:r>
      <w:r>
        <w:rPr>
          <w:rFonts w:ascii="Times New Roman" w:hAnsi="Times New Roman" w:cs="Times New Roman"/>
          <w:sz w:val="24"/>
          <w:szCs w:val="20"/>
        </w:rPr>
        <w:t xml:space="preserve">as un ēdināšanas nozarē – 767 </w:t>
      </w:r>
      <w:r w:rsidRPr="00A26F38">
        <w:rPr>
          <w:rFonts w:ascii="Times New Roman" w:hAnsi="Times New Roman" w:cs="Times New Roman"/>
          <w:i/>
          <w:sz w:val="24"/>
          <w:szCs w:val="20"/>
        </w:rPr>
        <w:t>euro</w:t>
      </w:r>
      <w:r w:rsidRPr="00834006">
        <w:rPr>
          <w:rFonts w:ascii="Times New Roman" w:hAnsi="Times New Roman" w:cs="Times New Roman"/>
          <w:sz w:val="24"/>
          <w:szCs w:val="20"/>
        </w:rPr>
        <w:t>.</w:t>
      </w:r>
    </w:p>
    <w:p w14:paraId="7A9F4767" w14:textId="77777777" w:rsidR="00FC6028" w:rsidRPr="00834006" w:rsidRDefault="00FC6028" w:rsidP="00DE30C4">
      <w:pPr>
        <w:spacing w:after="0" w:line="240" w:lineRule="auto"/>
        <w:ind w:firstLine="720"/>
        <w:jc w:val="both"/>
        <w:rPr>
          <w:rFonts w:ascii="Times New Roman" w:hAnsi="Times New Roman" w:cs="Times New Roman"/>
          <w:sz w:val="24"/>
          <w:szCs w:val="20"/>
        </w:rPr>
      </w:pPr>
    </w:p>
    <w:p w14:paraId="1156A1A1" w14:textId="77777777" w:rsidR="00DE30C4" w:rsidRPr="00834006" w:rsidRDefault="00DE30C4" w:rsidP="00DE30C4">
      <w:pPr>
        <w:spacing w:after="0" w:line="240" w:lineRule="auto"/>
        <w:jc w:val="center"/>
        <w:rPr>
          <w:rFonts w:ascii="Times New Roman" w:hAnsi="Times New Roman" w:cs="Times New Roman"/>
          <w:sz w:val="24"/>
          <w:szCs w:val="20"/>
        </w:rPr>
      </w:pPr>
      <w:r w:rsidRPr="00834006">
        <w:rPr>
          <w:rFonts w:ascii="Times New Roman" w:hAnsi="Times New Roman" w:cs="Times New Roman"/>
          <w:noProof/>
          <w:sz w:val="24"/>
          <w:szCs w:val="20"/>
          <w:lang w:eastAsia="lv-LV"/>
        </w:rPr>
        <w:drawing>
          <wp:inline distT="0" distB="0" distL="0" distR="0" wp14:anchorId="7CE45C5C" wp14:editId="3C1DC48F">
            <wp:extent cx="5098745" cy="2377440"/>
            <wp:effectExtent l="0" t="0" r="698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834653" w14:textId="77777777" w:rsidR="00DE30C4" w:rsidRPr="003D2AD6" w:rsidRDefault="00DE30C4" w:rsidP="00DE30C4">
      <w:pPr>
        <w:spacing w:after="120" w:line="240" w:lineRule="auto"/>
        <w:ind w:firstLine="720"/>
        <w:jc w:val="center"/>
        <w:rPr>
          <w:rFonts w:ascii="Times New Roman" w:hAnsi="Times New Roman" w:cs="Times New Roman"/>
          <w:b/>
          <w:sz w:val="24"/>
          <w:szCs w:val="20"/>
        </w:rPr>
      </w:pPr>
      <w:r w:rsidRPr="003D2AD6">
        <w:rPr>
          <w:rFonts w:ascii="Times New Roman" w:hAnsi="Times New Roman" w:cs="Times New Roman"/>
          <w:b/>
          <w:sz w:val="24"/>
          <w:szCs w:val="20"/>
        </w:rPr>
        <w:t>2.4. attēls. Produktivitātes un reālās darba samaksas izmaiņas, % pret iepriekšējo periodu</w:t>
      </w:r>
    </w:p>
    <w:p w14:paraId="72AF1EAB" w14:textId="77777777" w:rsidR="00FC6028" w:rsidRDefault="00FC6028" w:rsidP="00DE30C4">
      <w:pPr>
        <w:spacing w:after="0" w:line="240" w:lineRule="auto"/>
        <w:ind w:firstLine="720"/>
        <w:jc w:val="both"/>
        <w:rPr>
          <w:rFonts w:ascii="Times New Roman" w:hAnsi="Times New Roman" w:cs="Times New Roman"/>
          <w:sz w:val="24"/>
          <w:szCs w:val="20"/>
        </w:rPr>
      </w:pPr>
    </w:p>
    <w:p w14:paraId="1E2DB7C5" w14:textId="306375E8" w:rsidR="00DE30C4" w:rsidRDefault="00DE30C4" w:rsidP="00DE30C4">
      <w:pPr>
        <w:spacing w:after="0" w:line="240" w:lineRule="auto"/>
        <w:ind w:firstLine="720"/>
        <w:jc w:val="both"/>
        <w:rPr>
          <w:rFonts w:ascii="Times New Roman" w:hAnsi="Times New Roman" w:cs="Times New Roman"/>
          <w:sz w:val="24"/>
          <w:szCs w:val="20"/>
        </w:rPr>
      </w:pPr>
      <w:r w:rsidRPr="00834006">
        <w:rPr>
          <w:rFonts w:ascii="Times New Roman" w:hAnsi="Times New Roman" w:cs="Times New Roman"/>
          <w:sz w:val="24"/>
          <w:szCs w:val="20"/>
        </w:rPr>
        <w:t xml:space="preserve">Darba samaksas pieaugums jau kopš 2013.gada ir pārsniedzis produktivitātes pieaugumu, radot bažas, ka pārāk straujš </w:t>
      </w:r>
      <w:r w:rsidRPr="006747BC">
        <w:rPr>
          <w:rFonts w:ascii="Times New Roman" w:hAnsi="Times New Roman" w:cs="Times New Roman"/>
          <w:sz w:val="24"/>
          <w:szCs w:val="20"/>
        </w:rPr>
        <w:t>izmaksu</w:t>
      </w:r>
      <w:r w:rsidRPr="00834006">
        <w:rPr>
          <w:rFonts w:ascii="Times New Roman" w:hAnsi="Times New Roman" w:cs="Times New Roman"/>
          <w:sz w:val="24"/>
          <w:szCs w:val="20"/>
        </w:rPr>
        <w:t xml:space="preserve"> pieaugums var vājināt Latvijas uzņēmumu ārējo konkurētspēju un ierobežot eksp</w:t>
      </w:r>
      <w:r>
        <w:rPr>
          <w:rFonts w:ascii="Times New Roman" w:hAnsi="Times New Roman" w:cs="Times New Roman"/>
          <w:sz w:val="24"/>
          <w:szCs w:val="20"/>
        </w:rPr>
        <w:t>ortu, tomēr iepriekšējos gados t</w:t>
      </w:r>
      <w:r w:rsidRPr="00834006">
        <w:rPr>
          <w:rFonts w:ascii="Times New Roman" w:hAnsi="Times New Roman" w:cs="Times New Roman"/>
          <w:sz w:val="24"/>
          <w:szCs w:val="20"/>
        </w:rPr>
        <w:t>āda negatīva ietekme uz eksporta tirgus daļu mazināšanos vēl nebija vērojama.</w:t>
      </w:r>
      <w:r>
        <w:rPr>
          <w:rFonts w:ascii="Times New Roman" w:hAnsi="Times New Roman" w:cs="Times New Roman"/>
          <w:sz w:val="24"/>
          <w:szCs w:val="20"/>
        </w:rPr>
        <w:t xml:space="preserve"> Jāpiemin, ka iepriekšējos gados darba samaksas pieaugumu ietekmēja arī vairāki vienreizēji faktori, tajā skaitā straujš</w:t>
      </w:r>
      <w:r w:rsidRPr="00A93906">
        <w:rPr>
          <w:rFonts w:ascii="Times New Roman" w:hAnsi="Times New Roman" w:cs="Times New Roman"/>
          <w:sz w:val="24"/>
          <w:szCs w:val="20"/>
        </w:rPr>
        <w:t xml:space="preserve"> minimālās algas paaugstinājums</w:t>
      </w:r>
      <w:r>
        <w:rPr>
          <w:rFonts w:ascii="Times New Roman" w:hAnsi="Times New Roman" w:cs="Times New Roman"/>
          <w:sz w:val="24"/>
          <w:szCs w:val="20"/>
        </w:rPr>
        <w:t xml:space="preserve"> un ienākumu legalizācija, mazinoties ēnu ekonomikas apjomam, un uzņēmēju reālo izmaksu kāpums nebija tik straujš, kā to parāda vidējās darba samaksas pieauguma dati. Tāpat darbaspēka izma</w:t>
      </w:r>
      <w:r w:rsidR="00DE3E1F">
        <w:rPr>
          <w:rFonts w:ascii="Times New Roman" w:hAnsi="Times New Roman" w:cs="Times New Roman"/>
          <w:sz w:val="24"/>
          <w:szCs w:val="20"/>
        </w:rPr>
        <w:t>ksu pieaugumu vājināja no 2018.</w:t>
      </w:r>
      <w:r>
        <w:rPr>
          <w:rFonts w:ascii="Times New Roman" w:hAnsi="Times New Roman" w:cs="Times New Roman"/>
          <w:sz w:val="24"/>
          <w:szCs w:val="20"/>
        </w:rPr>
        <w:t>gada realizētā nodokļu reforma un tajā ietvertais iedzīvotāju ienākuma nodokļa pazeminājums.</w:t>
      </w:r>
    </w:p>
    <w:p w14:paraId="4FC6629D" w14:textId="77777777" w:rsidR="00B20076" w:rsidRDefault="00B20076" w:rsidP="00DE30C4">
      <w:pPr>
        <w:pStyle w:val="Heading2"/>
        <w:numPr>
          <w:ilvl w:val="0"/>
          <w:numId w:val="0"/>
        </w:numPr>
        <w:spacing w:before="0" w:after="240" w:line="240" w:lineRule="auto"/>
        <w:rPr>
          <w:rFonts w:ascii="Times New Roman" w:eastAsia="Times New Roman" w:hAnsi="Times New Roman" w:cs="Times New Roman"/>
          <w:i/>
          <w:color w:val="000000"/>
          <w:sz w:val="24"/>
          <w:szCs w:val="23"/>
          <w:lang w:eastAsia="lv-LV"/>
        </w:rPr>
      </w:pPr>
    </w:p>
    <w:p w14:paraId="4B8E8EE3" w14:textId="4C1FB8BD" w:rsidR="00B20076" w:rsidRPr="008E0B7C" w:rsidRDefault="00B20076" w:rsidP="008E0B7C">
      <w:pPr>
        <w:pStyle w:val="Heading2"/>
        <w:numPr>
          <w:ilvl w:val="1"/>
          <w:numId w:val="12"/>
        </w:numPr>
        <w:ind w:left="993" w:hanging="426"/>
        <w:rPr>
          <w:rFonts w:ascii="Times New Roman" w:hAnsi="Times New Roman" w:cs="Times New Roman"/>
          <w:sz w:val="24"/>
          <w:szCs w:val="24"/>
        </w:rPr>
      </w:pPr>
      <w:bookmarkStart w:id="14" w:name="_Toc5196196"/>
      <w:bookmarkStart w:id="15" w:name="_Toc38887966"/>
      <w:r w:rsidRPr="008E0B7C">
        <w:rPr>
          <w:rFonts w:ascii="Times New Roman" w:hAnsi="Times New Roman" w:cs="Times New Roman"/>
          <w:sz w:val="24"/>
          <w:szCs w:val="24"/>
        </w:rPr>
        <w:t>Makroekonomiskās attīstības scenārijs</w:t>
      </w:r>
      <w:bookmarkEnd w:id="14"/>
      <w:bookmarkEnd w:id="15"/>
    </w:p>
    <w:p w14:paraId="370C6578" w14:textId="0BF46725" w:rsidR="00B20076" w:rsidRPr="00656D26" w:rsidRDefault="00B20076" w:rsidP="00656D26">
      <w:pPr>
        <w:pStyle w:val="Heading3"/>
        <w:numPr>
          <w:ilvl w:val="2"/>
          <w:numId w:val="12"/>
        </w:numPr>
        <w:spacing w:after="240"/>
        <w:ind w:hanging="153"/>
        <w:rPr>
          <w:rFonts w:ascii="Times New Roman" w:hAnsi="Times New Roman" w:cs="Times New Roman"/>
          <w:sz w:val="24"/>
          <w:szCs w:val="24"/>
        </w:rPr>
      </w:pPr>
      <w:bookmarkStart w:id="16" w:name="_Toc38887967"/>
      <w:r w:rsidRPr="00656D26">
        <w:rPr>
          <w:rFonts w:ascii="Times New Roman" w:eastAsia="Times New Roman" w:hAnsi="Times New Roman" w:cs="Times New Roman"/>
          <w:sz w:val="24"/>
          <w:szCs w:val="24"/>
          <w:lang w:eastAsia="lv-LV"/>
        </w:rPr>
        <w:t>Bāzes scenārijs</w:t>
      </w:r>
      <w:bookmarkEnd w:id="16"/>
    </w:p>
    <w:p w14:paraId="638C30F5" w14:textId="1A114977" w:rsidR="00DE30C4" w:rsidRPr="00B5460E" w:rsidRDefault="00DE30C4" w:rsidP="0044525D">
      <w:pPr>
        <w:spacing w:after="0" w:line="240" w:lineRule="auto"/>
        <w:ind w:firstLine="567"/>
        <w:jc w:val="both"/>
        <w:rPr>
          <w:rFonts w:ascii="Times New Roman" w:hAnsi="Times New Roman" w:cs="Times New Roman"/>
          <w:sz w:val="24"/>
          <w:szCs w:val="24"/>
        </w:rPr>
      </w:pPr>
      <w:r w:rsidRPr="00B5460E">
        <w:rPr>
          <w:rFonts w:ascii="Times New Roman" w:hAnsi="Times New Roman" w:cs="Times New Roman"/>
          <w:sz w:val="24"/>
          <w:szCs w:val="24"/>
        </w:rPr>
        <w:t>Sākotnējais makroekonomiskās attīstības bāzes scenārijs vidējam termiņam</w:t>
      </w:r>
      <w:r w:rsidR="00812B51">
        <w:rPr>
          <w:rFonts w:ascii="Times New Roman" w:hAnsi="Times New Roman" w:cs="Times New Roman"/>
          <w:sz w:val="24"/>
          <w:szCs w:val="20"/>
        </w:rPr>
        <w:t xml:space="preserve"> – </w:t>
      </w:r>
      <w:r w:rsidRPr="00B5460E">
        <w:rPr>
          <w:rFonts w:ascii="Times New Roman" w:hAnsi="Times New Roman" w:cs="Times New Roman"/>
          <w:sz w:val="24"/>
          <w:szCs w:val="24"/>
        </w:rPr>
        <w:t>2020.</w:t>
      </w:r>
      <w:r w:rsidR="00812B51">
        <w:rPr>
          <w:rFonts w:ascii="Times New Roman" w:hAnsi="Times New Roman" w:cs="Times New Roman"/>
          <w:sz w:val="24"/>
          <w:szCs w:val="20"/>
        </w:rPr>
        <w:t>–</w:t>
      </w:r>
      <w:r w:rsidRPr="00B5460E">
        <w:rPr>
          <w:rFonts w:ascii="Times New Roman" w:hAnsi="Times New Roman" w:cs="Times New Roman"/>
          <w:sz w:val="24"/>
          <w:szCs w:val="24"/>
        </w:rPr>
        <w:t>2023.gadam</w:t>
      </w:r>
      <w:r w:rsidR="00656D26">
        <w:rPr>
          <w:rFonts w:ascii="Times New Roman" w:hAnsi="Times New Roman" w:cs="Times New Roman"/>
          <w:sz w:val="24"/>
          <w:szCs w:val="20"/>
        </w:rPr>
        <w:t xml:space="preserve">, </w:t>
      </w:r>
      <w:r>
        <w:rPr>
          <w:rFonts w:ascii="Times New Roman" w:hAnsi="Times New Roman" w:cs="Times New Roman"/>
          <w:sz w:val="24"/>
          <w:szCs w:val="24"/>
        </w:rPr>
        <w:t>tika</w:t>
      </w:r>
      <w:r w:rsidRPr="00B5460E">
        <w:rPr>
          <w:rFonts w:ascii="Times New Roman" w:hAnsi="Times New Roman" w:cs="Times New Roman"/>
          <w:sz w:val="24"/>
          <w:szCs w:val="24"/>
        </w:rPr>
        <w:t xml:space="preserve"> izstrādāts 2020.gada februārī, kad vēl nebija </w:t>
      </w:r>
      <w:r>
        <w:rPr>
          <w:rFonts w:ascii="Times New Roman" w:hAnsi="Times New Roman" w:cs="Times New Roman"/>
          <w:sz w:val="24"/>
          <w:szCs w:val="24"/>
        </w:rPr>
        <w:t>sākusies</w:t>
      </w:r>
      <w:r w:rsidRPr="00B5460E">
        <w:rPr>
          <w:rFonts w:ascii="Times New Roman" w:hAnsi="Times New Roman" w:cs="Times New Roman"/>
          <w:sz w:val="24"/>
          <w:szCs w:val="24"/>
        </w:rPr>
        <w:t xml:space="preserve"> Covid-19 pandēmija. Šīs prognozes </w:t>
      </w:r>
      <w:r>
        <w:rPr>
          <w:rFonts w:ascii="Times New Roman" w:hAnsi="Times New Roman" w:cs="Times New Roman"/>
          <w:sz w:val="24"/>
          <w:szCs w:val="24"/>
        </w:rPr>
        <w:t xml:space="preserve">tika </w:t>
      </w:r>
      <w:r w:rsidRPr="00B5460E">
        <w:rPr>
          <w:rFonts w:ascii="Times New Roman" w:hAnsi="Times New Roman" w:cs="Times New Roman"/>
          <w:sz w:val="24"/>
          <w:szCs w:val="24"/>
        </w:rPr>
        <w:t>izstrādātas</w:t>
      </w:r>
      <w:r>
        <w:rPr>
          <w:rFonts w:ascii="Times New Roman" w:hAnsi="Times New Roman" w:cs="Times New Roman"/>
          <w:sz w:val="24"/>
          <w:szCs w:val="24"/>
        </w:rPr>
        <w:t>,</w:t>
      </w:r>
      <w:r w:rsidRPr="00B5460E">
        <w:rPr>
          <w:rFonts w:ascii="Times New Roman" w:hAnsi="Times New Roman" w:cs="Times New Roman"/>
          <w:sz w:val="24"/>
          <w:szCs w:val="24"/>
        </w:rPr>
        <w:t xml:space="preserve"> konsultēj</w:t>
      </w:r>
      <w:r>
        <w:rPr>
          <w:rFonts w:ascii="Times New Roman" w:hAnsi="Times New Roman" w:cs="Times New Roman"/>
          <w:sz w:val="24"/>
          <w:szCs w:val="24"/>
        </w:rPr>
        <w:t>oties</w:t>
      </w:r>
      <w:r w:rsidRPr="00B5460E">
        <w:rPr>
          <w:rFonts w:ascii="Times New Roman" w:hAnsi="Times New Roman" w:cs="Times New Roman"/>
          <w:sz w:val="24"/>
          <w:szCs w:val="24"/>
        </w:rPr>
        <w:t xml:space="preserve"> ar </w:t>
      </w:r>
      <w:r w:rsidRPr="008E0B7C">
        <w:rPr>
          <w:rFonts w:ascii="Times New Roman" w:hAnsi="Times New Roman" w:cs="Times New Roman"/>
          <w:sz w:val="24"/>
          <w:szCs w:val="24"/>
        </w:rPr>
        <w:t>Latvijas Bankas un Ekonomikas ministrijas</w:t>
      </w:r>
      <w:r w:rsidR="008E0B7C">
        <w:rPr>
          <w:rFonts w:ascii="Times New Roman" w:hAnsi="Times New Roman" w:cs="Times New Roman"/>
          <w:sz w:val="24"/>
          <w:szCs w:val="24"/>
        </w:rPr>
        <w:t>, kā arī EK</w:t>
      </w:r>
      <w:r w:rsidRPr="00B5460E">
        <w:rPr>
          <w:rFonts w:ascii="Times New Roman" w:hAnsi="Times New Roman" w:cs="Times New Roman"/>
          <w:sz w:val="24"/>
          <w:szCs w:val="24"/>
        </w:rPr>
        <w:t xml:space="preserve"> un SV</w:t>
      </w:r>
      <w:r w:rsidR="00DE3E1F">
        <w:rPr>
          <w:rFonts w:ascii="Times New Roman" w:hAnsi="Times New Roman" w:cs="Times New Roman"/>
          <w:sz w:val="24"/>
          <w:szCs w:val="24"/>
        </w:rPr>
        <w:t>F</w:t>
      </w:r>
      <w:r w:rsidRPr="00B5460E">
        <w:rPr>
          <w:rFonts w:ascii="Times New Roman" w:hAnsi="Times New Roman" w:cs="Times New Roman"/>
          <w:sz w:val="24"/>
          <w:szCs w:val="24"/>
        </w:rPr>
        <w:t xml:space="preserve"> ekspertiem. Makroekonomisko rādītāju prognozes </w:t>
      </w:r>
      <w:r>
        <w:rPr>
          <w:rFonts w:ascii="Times New Roman" w:hAnsi="Times New Roman" w:cs="Times New Roman"/>
          <w:sz w:val="24"/>
          <w:szCs w:val="24"/>
        </w:rPr>
        <w:t>apstiprināja</w:t>
      </w:r>
      <w:r w:rsidRPr="00B5460E">
        <w:rPr>
          <w:rFonts w:ascii="Times New Roman" w:hAnsi="Times New Roman" w:cs="Times New Roman"/>
          <w:sz w:val="24"/>
          <w:szCs w:val="24"/>
        </w:rPr>
        <w:t xml:space="preserve"> Fiskālās disciplīnas padome, 2020.gada 17.</w:t>
      </w:r>
      <w:r w:rsidR="00FC6028">
        <w:rPr>
          <w:rFonts w:ascii="Times New Roman" w:hAnsi="Times New Roman" w:cs="Times New Roman"/>
          <w:sz w:val="24"/>
          <w:szCs w:val="24"/>
        </w:rPr>
        <w:t>f</w:t>
      </w:r>
      <w:r w:rsidRPr="00B5460E">
        <w:rPr>
          <w:rFonts w:ascii="Times New Roman" w:hAnsi="Times New Roman" w:cs="Times New Roman"/>
          <w:sz w:val="24"/>
          <w:szCs w:val="24"/>
        </w:rPr>
        <w:t xml:space="preserve">ebruārī publicējot savu atzinumu. </w:t>
      </w:r>
      <w:r>
        <w:rPr>
          <w:rFonts w:ascii="Times New Roman" w:hAnsi="Times New Roman" w:cs="Times New Roman"/>
          <w:sz w:val="24"/>
          <w:szCs w:val="24"/>
        </w:rPr>
        <w:t>Par pamatu ārējās vides pieņēmumiem un situācijas attīstībai Latvijas galvenajās ārējās tirdzniecības partnervalstīs</w:t>
      </w:r>
      <w:r w:rsidRPr="00B5460E">
        <w:rPr>
          <w:rFonts w:ascii="Times New Roman" w:hAnsi="Times New Roman" w:cs="Times New Roman"/>
          <w:sz w:val="24"/>
          <w:szCs w:val="24"/>
        </w:rPr>
        <w:t xml:space="preserve">, </w:t>
      </w:r>
      <w:r>
        <w:rPr>
          <w:rFonts w:ascii="Times New Roman" w:hAnsi="Times New Roman" w:cs="Times New Roman"/>
          <w:sz w:val="24"/>
          <w:szCs w:val="24"/>
        </w:rPr>
        <w:t>uz kā balstās</w:t>
      </w:r>
      <w:r w:rsidRPr="00B5460E">
        <w:rPr>
          <w:rFonts w:ascii="Times New Roman" w:hAnsi="Times New Roman" w:cs="Times New Roman"/>
          <w:sz w:val="24"/>
          <w:szCs w:val="24"/>
        </w:rPr>
        <w:t xml:space="preserve"> </w:t>
      </w:r>
      <w:r>
        <w:rPr>
          <w:rFonts w:ascii="Times New Roman" w:hAnsi="Times New Roman" w:cs="Times New Roman"/>
          <w:sz w:val="24"/>
          <w:szCs w:val="24"/>
        </w:rPr>
        <w:t>Latvijas eksporta prognozes</w:t>
      </w:r>
      <w:r w:rsidRPr="00B5460E">
        <w:rPr>
          <w:rFonts w:ascii="Times New Roman" w:hAnsi="Times New Roman" w:cs="Times New Roman"/>
          <w:sz w:val="24"/>
          <w:szCs w:val="24"/>
        </w:rPr>
        <w:t xml:space="preserve">, </w:t>
      </w:r>
      <w:r>
        <w:rPr>
          <w:rFonts w:ascii="Times New Roman" w:hAnsi="Times New Roman" w:cs="Times New Roman"/>
          <w:sz w:val="24"/>
          <w:szCs w:val="24"/>
        </w:rPr>
        <w:t xml:space="preserve">tika </w:t>
      </w:r>
      <w:r w:rsidRPr="00B5460E">
        <w:rPr>
          <w:rFonts w:ascii="Times New Roman" w:hAnsi="Times New Roman" w:cs="Times New Roman"/>
          <w:sz w:val="24"/>
          <w:szCs w:val="24"/>
        </w:rPr>
        <w:t xml:space="preserve">izmantotas EK un SVF </w:t>
      </w:r>
      <w:r>
        <w:rPr>
          <w:rFonts w:ascii="Times New Roman" w:hAnsi="Times New Roman" w:cs="Times New Roman"/>
          <w:sz w:val="24"/>
          <w:szCs w:val="24"/>
        </w:rPr>
        <w:t xml:space="preserve">tā brīža </w:t>
      </w:r>
      <w:r w:rsidRPr="00B5460E">
        <w:rPr>
          <w:rFonts w:ascii="Times New Roman" w:hAnsi="Times New Roman" w:cs="Times New Roman"/>
          <w:sz w:val="24"/>
          <w:szCs w:val="24"/>
        </w:rPr>
        <w:t>jaunākās</w:t>
      </w:r>
      <w:r w:rsidR="00DE402C">
        <w:rPr>
          <w:rFonts w:ascii="Times New Roman" w:hAnsi="Times New Roman" w:cs="Times New Roman"/>
          <w:sz w:val="24"/>
          <w:szCs w:val="24"/>
        </w:rPr>
        <w:t>,</w:t>
      </w:r>
      <w:r>
        <w:rPr>
          <w:rFonts w:ascii="Times New Roman" w:hAnsi="Times New Roman" w:cs="Times New Roman"/>
          <w:sz w:val="24"/>
          <w:szCs w:val="24"/>
        </w:rPr>
        <w:t xml:space="preserve"> </w:t>
      </w:r>
      <w:r w:rsidRPr="00B5460E">
        <w:rPr>
          <w:rFonts w:ascii="Times New Roman" w:hAnsi="Times New Roman" w:cs="Times New Roman"/>
          <w:sz w:val="24"/>
          <w:szCs w:val="24"/>
        </w:rPr>
        <w:t>2020</w:t>
      </w:r>
      <w:r w:rsidR="00DE402C">
        <w:rPr>
          <w:rFonts w:ascii="Times New Roman" w:hAnsi="Times New Roman" w:cs="Times New Roman"/>
          <w:sz w:val="24"/>
          <w:szCs w:val="24"/>
        </w:rPr>
        <w:t>.</w:t>
      </w:r>
      <w:r>
        <w:rPr>
          <w:rFonts w:ascii="Times New Roman" w:hAnsi="Times New Roman" w:cs="Times New Roman"/>
          <w:sz w:val="24"/>
          <w:szCs w:val="24"/>
        </w:rPr>
        <w:t>gad</w:t>
      </w:r>
      <w:r w:rsidRPr="00B5460E">
        <w:rPr>
          <w:rFonts w:ascii="Times New Roman" w:hAnsi="Times New Roman" w:cs="Times New Roman"/>
          <w:sz w:val="24"/>
          <w:szCs w:val="24"/>
        </w:rPr>
        <w:t xml:space="preserve">a ziemas prognozes. </w:t>
      </w:r>
    </w:p>
    <w:p w14:paraId="143F0A70" w14:textId="63B59D88" w:rsidR="00DE30C4" w:rsidRDefault="00DE30C4" w:rsidP="0044525D">
      <w:pPr>
        <w:spacing w:after="0" w:line="240" w:lineRule="auto"/>
        <w:ind w:firstLine="567"/>
        <w:jc w:val="both"/>
        <w:rPr>
          <w:rFonts w:ascii="Times New Roman" w:hAnsi="Times New Roman" w:cs="Times New Roman"/>
          <w:sz w:val="24"/>
          <w:szCs w:val="24"/>
        </w:rPr>
      </w:pPr>
      <w:r w:rsidRPr="00B5460E">
        <w:rPr>
          <w:rFonts w:ascii="Times New Roman" w:hAnsi="Times New Roman" w:cs="Times New Roman"/>
          <w:sz w:val="24"/>
          <w:szCs w:val="24"/>
        </w:rPr>
        <w:t xml:space="preserve">Šajā scenārijā tika ņemts vērā, ka Latvijas ekonomika </w:t>
      </w:r>
      <w:r>
        <w:rPr>
          <w:rFonts w:ascii="Times New Roman" w:hAnsi="Times New Roman" w:cs="Times New Roman"/>
          <w:sz w:val="24"/>
          <w:szCs w:val="24"/>
        </w:rPr>
        <w:t xml:space="preserve">ir iegājusi </w:t>
      </w:r>
      <w:r w:rsidRPr="00B5460E">
        <w:rPr>
          <w:rFonts w:ascii="Times New Roman" w:hAnsi="Times New Roman" w:cs="Times New Roman"/>
          <w:sz w:val="24"/>
          <w:szCs w:val="24"/>
        </w:rPr>
        <w:t>cikliskā</w:t>
      </w:r>
      <w:r>
        <w:rPr>
          <w:rFonts w:ascii="Times New Roman" w:hAnsi="Times New Roman" w:cs="Times New Roman"/>
          <w:sz w:val="24"/>
          <w:szCs w:val="24"/>
        </w:rPr>
        <w:t>s</w:t>
      </w:r>
      <w:r w:rsidRPr="00B5460E">
        <w:rPr>
          <w:rFonts w:ascii="Times New Roman" w:hAnsi="Times New Roman" w:cs="Times New Roman"/>
          <w:sz w:val="24"/>
          <w:szCs w:val="24"/>
        </w:rPr>
        <w:t xml:space="preserve"> brem</w:t>
      </w:r>
      <w:r>
        <w:rPr>
          <w:rFonts w:ascii="Times New Roman" w:hAnsi="Times New Roman" w:cs="Times New Roman"/>
          <w:sz w:val="24"/>
          <w:szCs w:val="24"/>
        </w:rPr>
        <w:t>zēšanās fāzē, par ko liecina</w:t>
      </w:r>
      <w:r w:rsidRPr="00B5460E">
        <w:rPr>
          <w:rFonts w:ascii="Times New Roman" w:hAnsi="Times New Roman" w:cs="Times New Roman"/>
          <w:sz w:val="24"/>
          <w:szCs w:val="24"/>
        </w:rPr>
        <w:t xml:space="preserve"> tas, ka pagājušajā gadā Latvijas ekonomikas izaugsme</w:t>
      </w:r>
      <w:r>
        <w:rPr>
          <w:rFonts w:ascii="Times New Roman" w:hAnsi="Times New Roman" w:cs="Times New Roman"/>
          <w:sz w:val="24"/>
          <w:szCs w:val="24"/>
        </w:rPr>
        <w:t>s tempi</w:t>
      </w:r>
      <w:r w:rsidRPr="00B5460E">
        <w:rPr>
          <w:rFonts w:ascii="Times New Roman" w:hAnsi="Times New Roman" w:cs="Times New Roman"/>
          <w:sz w:val="24"/>
          <w:szCs w:val="24"/>
        </w:rPr>
        <w:t xml:space="preserve"> palēninājās līdz 2,2%. </w:t>
      </w:r>
      <w:r>
        <w:rPr>
          <w:rFonts w:ascii="Times New Roman" w:hAnsi="Times New Roman" w:cs="Times New Roman"/>
          <w:sz w:val="24"/>
          <w:szCs w:val="24"/>
        </w:rPr>
        <w:t xml:space="preserve">Bāzes scenārijs paredzēja, ka IKP </w:t>
      </w:r>
      <w:r w:rsidRPr="00B5460E">
        <w:rPr>
          <w:rFonts w:ascii="Times New Roman" w:hAnsi="Times New Roman" w:cs="Times New Roman"/>
          <w:sz w:val="24"/>
          <w:szCs w:val="24"/>
        </w:rPr>
        <w:t>2020.gad</w:t>
      </w:r>
      <w:r>
        <w:rPr>
          <w:rFonts w:ascii="Times New Roman" w:hAnsi="Times New Roman" w:cs="Times New Roman"/>
          <w:sz w:val="24"/>
          <w:szCs w:val="24"/>
        </w:rPr>
        <w:t>ā</w:t>
      </w:r>
      <w:r w:rsidRPr="00B5460E">
        <w:rPr>
          <w:rFonts w:ascii="Times New Roman" w:hAnsi="Times New Roman" w:cs="Times New Roman"/>
          <w:sz w:val="24"/>
          <w:szCs w:val="24"/>
        </w:rPr>
        <w:t xml:space="preserve"> </w:t>
      </w:r>
      <w:r>
        <w:rPr>
          <w:rFonts w:ascii="Times New Roman" w:hAnsi="Times New Roman" w:cs="Times New Roman"/>
          <w:sz w:val="24"/>
          <w:szCs w:val="24"/>
        </w:rPr>
        <w:t xml:space="preserve">pieaugs par </w:t>
      </w:r>
      <w:r w:rsidRPr="00B5460E">
        <w:rPr>
          <w:rFonts w:ascii="Times New Roman" w:hAnsi="Times New Roman" w:cs="Times New Roman"/>
          <w:sz w:val="24"/>
          <w:szCs w:val="24"/>
        </w:rPr>
        <w:t xml:space="preserve">2,2% jeb </w:t>
      </w:r>
      <w:r>
        <w:rPr>
          <w:rFonts w:ascii="Times New Roman" w:hAnsi="Times New Roman" w:cs="Times New Roman"/>
          <w:sz w:val="24"/>
          <w:szCs w:val="24"/>
        </w:rPr>
        <w:t xml:space="preserve">būs </w:t>
      </w:r>
      <w:r w:rsidRPr="00B5460E">
        <w:rPr>
          <w:rFonts w:ascii="Times New Roman" w:hAnsi="Times New Roman" w:cs="Times New Roman"/>
          <w:sz w:val="24"/>
          <w:szCs w:val="24"/>
        </w:rPr>
        <w:t>par 0,6</w:t>
      </w:r>
      <w:r w:rsidR="00DE402C" w:rsidRPr="0098250F">
        <w:rPr>
          <w:rFonts w:ascii="Times New Roman" w:hAnsi="Times New Roman" w:cs="Times New Roman"/>
          <w:sz w:val="24"/>
          <w:szCs w:val="20"/>
        </w:rPr>
        <w:t> </w:t>
      </w:r>
      <w:r w:rsidRPr="00B5460E">
        <w:rPr>
          <w:rFonts w:ascii="Times New Roman" w:hAnsi="Times New Roman" w:cs="Times New Roman"/>
          <w:sz w:val="24"/>
          <w:szCs w:val="24"/>
        </w:rPr>
        <w:t>procentpu</w:t>
      </w:r>
      <w:r>
        <w:rPr>
          <w:rFonts w:ascii="Times New Roman" w:hAnsi="Times New Roman" w:cs="Times New Roman"/>
          <w:sz w:val="24"/>
          <w:szCs w:val="24"/>
        </w:rPr>
        <w:t>n</w:t>
      </w:r>
      <w:r w:rsidRPr="00B5460E">
        <w:rPr>
          <w:rFonts w:ascii="Times New Roman" w:hAnsi="Times New Roman" w:cs="Times New Roman"/>
          <w:sz w:val="24"/>
          <w:szCs w:val="24"/>
        </w:rPr>
        <w:t xml:space="preserve">ktiem </w:t>
      </w:r>
      <w:r>
        <w:rPr>
          <w:rFonts w:ascii="Times New Roman" w:hAnsi="Times New Roman" w:cs="Times New Roman"/>
          <w:sz w:val="24"/>
          <w:szCs w:val="24"/>
        </w:rPr>
        <w:t>zemāka</w:t>
      </w:r>
      <w:r w:rsidRPr="00B5460E">
        <w:rPr>
          <w:rFonts w:ascii="Times New Roman" w:hAnsi="Times New Roman" w:cs="Times New Roman"/>
          <w:sz w:val="24"/>
          <w:szCs w:val="24"/>
        </w:rPr>
        <w:t xml:space="preserve"> salī</w:t>
      </w:r>
      <w:r w:rsidR="00DE3E1F">
        <w:rPr>
          <w:rFonts w:ascii="Times New Roman" w:hAnsi="Times New Roman" w:cs="Times New Roman"/>
          <w:sz w:val="24"/>
          <w:szCs w:val="24"/>
        </w:rPr>
        <w:t>dzinājumā ar iepriekšējām, 2019.</w:t>
      </w:r>
      <w:r w:rsidRPr="00B5460E">
        <w:rPr>
          <w:rFonts w:ascii="Times New Roman" w:hAnsi="Times New Roman" w:cs="Times New Roman"/>
          <w:sz w:val="24"/>
          <w:szCs w:val="24"/>
        </w:rPr>
        <w:t xml:space="preserve">gada jūnijā izstrādātajām prognozēm. 2020.gada prognozes samazinājumu noteikusi nelabvēlīgāka situācija ārējos tirgos, kā arī mazāk labvēlīga attīstība vairākās Latvijai nozīmīgās ekonomikas nozarēs, tostarp transportā un būvniecībā. Savukārt IKP pieauguma prognoze 2021. un 2022.gadam </w:t>
      </w:r>
      <w:r>
        <w:rPr>
          <w:rFonts w:ascii="Times New Roman" w:hAnsi="Times New Roman" w:cs="Times New Roman"/>
          <w:sz w:val="24"/>
          <w:szCs w:val="24"/>
        </w:rPr>
        <w:t>netika</w:t>
      </w:r>
      <w:r w:rsidRPr="00B5460E">
        <w:rPr>
          <w:rFonts w:ascii="Times New Roman" w:hAnsi="Times New Roman" w:cs="Times New Roman"/>
          <w:sz w:val="24"/>
          <w:szCs w:val="24"/>
        </w:rPr>
        <w:t xml:space="preserve"> mainīta, pieņemot, ka pasaules tirdzniecība atkopsies pēc vairāku gadu bremzēšanās, kā to </w:t>
      </w:r>
      <w:r>
        <w:rPr>
          <w:rFonts w:ascii="Times New Roman" w:hAnsi="Times New Roman" w:cs="Times New Roman"/>
          <w:sz w:val="24"/>
          <w:szCs w:val="24"/>
        </w:rPr>
        <w:t>savās prognozēs paredzēja arī EK un SVF</w:t>
      </w:r>
      <w:r w:rsidRPr="00B5460E">
        <w:rPr>
          <w:rFonts w:ascii="Times New Roman" w:hAnsi="Times New Roman" w:cs="Times New Roman"/>
          <w:sz w:val="24"/>
          <w:szCs w:val="24"/>
        </w:rPr>
        <w:t>.</w:t>
      </w:r>
    </w:p>
    <w:p w14:paraId="2BA851D7" w14:textId="19086915" w:rsidR="0044525D" w:rsidRPr="00B5460E" w:rsidRDefault="0044525D" w:rsidP="0044525D">
      <w:pPr>
        <w:spacing w:after="0" w:line="240" w:lineRule="auto"/>
        <w:ind w:firstLine="567"/>
        <w:jc w:val="both"/>
        <w:rPr>
          <w:rFonts w:ascii="Times New Roman" w:hAnsi="Times New Roman" w:cs="Times New Roman"/>
          <w:sz w:val="24"/>
          <w:szCs w:val="24"/>
        </w:rPr>
      </w:pPr>
      <w:r w:rsidRPr="00B5460E">
        <w:rPr>
          <w:rFonts w:ascii="Times New Roman" w:hAnsi="Times New Roman" w:cs="Times New Roman"/>
          <w:sz w:val="24"/>
          <w:szCs w:val="24"/>
        </w:rPr>
        <w:t>Scenārijs paredz</w:t>
      </w:r>
      <w:r>
        <w:rPr>
          <w:rFonts w:ascii="Times New Roman" w:hAnsi="Times New Roman" w:cs="Times New Roman"/>
          <w:sz w:val="24"/>
          <w:szCs w:val="24"/>
        </w:rPr>
        <w:t>ēja</w:t>
      </w:r>
      <w:r w:rsidRPr="00B5460E">
        <w:rPr>
          <w:rFonts w:ascii="Times New Roman" w:hAnsi="Times New Roman" w:cs="Times New Roman"/>
          <w:sz w:val="24"/>
          <w:szCs w:val="24"/>
        </w:rPr>
        <w:t>, ka saglabāsies spēcīgs iedzīvotāju ienākumu pieaugums un zems bezdarba līmenis. Galvenais ekonomiskās izaugsmes nodrošinātājs 2020.gadā būs privātais patēriņš, kas palielināsies par 3,3%. Investīciju pieaugums būs lēnāks kā iepriekšējos gados un eksporta pieauguma tempi saglabāsies visai mērenā 2,5% līmenī, ko noteiks ierobežotais pieprasījums ārējos tirgos un tranzīta pakalpojumu eksporta samazināšanās. Nākamajos gados, situācijai ārējos tirgos uzlabojoties, Latvijas ekonomikas izaugsme stabilizēsies 2,8% līmen</w:t>
      </w:r>
      <w:r>
        <w:rPr>
          <w:rFonts w:ascii="Times New Roman" w:hAnsi="Times New Roman" w:cs="Times New Roman"/>
          <w:sz w:val="24"/>
          <w:szCs w:val="24"/>
        </w:rPr>
        <w:t>ī</w:t>
      </w:r>
      <w:r w:rsidRPr="00B5460E">
        <w:rPr>
          <w:rFonts w:ascii="Times New Roman" w:hAnsi="Times New Roman" w:cs="Times New Roman"/>
          <w:sz w:val="24"/>
          <w:szCs w:val="24"/>
        </w:rPr>
        <w:t>, kas ir tuvu ekonomikas potenciālās izaugsmes tempam.</w:t>
      </w:r>
    </w:p>
    <w:p w14:paraId="1DFEE9CE" w14:textId="2278A7E3" w:rsidR="0044525D" w:rsidRDefault="0044525D" w:rsidP="0044525D">
      <w:pPr>
        <w:spacing w:after="0" w:line="240" w:lineRule="auto"/>
        <w:ind w:firstLine="567"/>
        <w:jc w:val="both"/>
        <w:rPr>
          <w:rFonts w:ascii="Times New Roman" w:hAnsi="Times New Roman" w:cs="Times New Roman"/>
          <w:sz w:val="24"/>
          <w:szCs w:val="24"/>
        </w:rPr>
      </w:pPr>
      <w:r w:rsidRPr="0021278B">
        <w:rPr>
          <w:rFonts w:ascii="Times New Roman" w:hAnsi="Times New Roman" w:cs="Times New Roman"/>
          <w:sz w:val="24"/>
          <w:szCs w:val="24"/>
        </w:rPr>
        <w:t>Gada vidējā inflācija 2020</w:t>
      </w:r>
      <w:r>
        <w:rPr>
          <w:rFonts w:ascii="Times New Roman" w:hAnsi="Times New Roman" w:cs="Times New Roman"/>
          <w:sz w:val="24"/>
          <w:szCs w:val="24"/>
        </w:rPr>
        <w:t>.gad</w:t>
      </w:r>
      <w:r w:rsidRPr="0021278B">
        <w:rPr>
          <w:rFonts w:ascii="Times New Roman" w:hAnsi="Times New Roman" w:cs="Times New Roman"/>
          <w:sz w:val="24"/>
          <w:szCs w:val="24"/>
        </w:rPr>
        <w:t>ā prognozēta 2,3% līmenī, tai samazinoties no 2,8% pagājušajā gadā. Arī turpmākajos gados inflācijas līmenis turpinās pazemināties un līdz 2023</w:t>
      </w:r>
      <w:r w:rsidR="00FC6028">
        <w:rPr>
          <w:rFonts w:ascii="Times New Roman" w:hAnsi="Times New Roman" w:cs="Times New Roman"/>
          <w:sz w:val="24"/>
          <w:szCs w:val="24"/>
        </w:rPr>
        <w:t>.</w:t>
      </w:r>
      <w:r>
        <w:rPr>
          <w:rFonts w:ascii="Times New Roman" w:hAnsi="Times New Roman" w:cs="Times New Roman"/>
          <w:sz w:val="24"/>
          <w:szCs w:val="24"/>
        </w:rPr>
        <w:t>gad</w:t>
      </w:r>
      <w:r w:rsidRPr="0021278B">
        <w:rPr>
          <w:rFonts w:ascii="Times New Roman" w:hAnsi="Times New Roman" w:cs="Times New Roman"/>
          <w:sz w:val="24"/>
          <w:szCs w:val="24"/>
        </w:rPr>
        <w:t xml:space="preserve">am noslīdēs līdz 2,0%. Zemāku patēriņa cenu pieaugumu </w:t>
      </w:r>
      <w:r>
        <w:rPr>
          <w:rFonts w:ascii="Times New Roman" w:hAnsi="Times New Roman" w:cs="Times New Roman"/>
          <w:sz w:val="24"/>
          <w:szCs w:val="24"/>
        </w:rPr>
        <w:t>2020.gadā</w:t>
      </w:r>
      <w:r w:rsidRPr="0021278B">
        <w:rPr>
          <w:rFonts w:ascii="Times New Roman" w:hAnsi="Times New Roman" w:cs="Times New Roman"/>
          <w:sz w:val="24"/>
          <w:szCs w:val="24"/>
        </w:rPr>
        <w:t xml:space="preserve"> noteiks lēnāka pasaules ekonomikas izaugsme, vājinot naftas un pārtikas cenu pieaugumu pasaules tirgos, kamēr iekšējie faktori, tostarp stabilais algu pieaugums, turpinās noteikt pakalpojumu cenu kāpumu.</w:t>
      </w:r>
    </w:p>
    <w:p w14:paraId="575C44CC" w14:textId="77777777" w:rsidR="0044525D" w:rsidRPr="0021278B" w:rsidRDefault="0044525D" w:rsidP="0044525D">
      <w:pPr>
        <w:spacing w:after="0" w:line="240" w:lineRule="auto"/>
        <w:ind w:firstLine="567"/>
        <w:jc w:val="both"/>
        <w:rPr>
          <w:rFonts w:ascii="Times New Roman" w:hAnsi="Times New Roman" w:cs="Times New Roman"/>
          <w:sz w:val="24"/>
          <w:szCs w:val="24"/>
        </w:rPr>
      </w:pPr>
      <w:r w:rsidRPr="0021278B">
        <w:rPr>
          <w:rFonts w:ascii="Times New Roman" w:hAnsi="Times New Roman" w:cs="Times New Roman"/>
          <w:sz w:val="24"/>
          <w:szCs w:val="24"/>
        </w:rPr>
        <w:t>Patēriņa cenas paaugstinošā virzienā ietekmēs pārtikas, alkoholisko dzērienu un tabakas izstrādājumu sadārdzinājums, kā arī veselības aprūpe</w:t>
      </w:r>
      <w:r>
        <w:rPr>
          <w:rFonts w:ascii="Times New Roman" w:hAnsi="Times New Roman" w:cs="Times New Roman"/>
          <w:sz w:val="24"/>
          <w:szCs w:val="24"/>
        </w:rPr>
        <w:t>s</w:t>
      </w:r>
      <w:r w:rsidRPr="0021278B">
        <w:rPr>
          <w:rFonts w:ascii="Times New Roman" w:hAnsi="Times New Roman" w:cs="Times New Roman"/>
          <w:sz w:val="24"/>
          <w:szCs w:val="24"/>
        </w:rPr>
        <w:t>, ēdināšana</w:t>
      </w:r>
      <w:r>
        <w:rPr>
          <w:rFonts w:ascii="Times New Roman" w:hAnsi="Times New Roman" w:cs="Times New Roman"/>
          <w:sz w:val="24"/>
          <w:szCs w:val="24"/>
        </w:rPr>
        <w:t>s</w:t>
      </w:r>
      <w:r w:rsidRPr="0021278B">
        <w:rPr>
          <w:rFonts w:ascii="Times New Roman" w:hAnsi="Times New Roman" w:cs="Times New Roman"/>
          <w:sz w:val="24"/>
          <w:szCs w:val="24"/>
        </w:rPr>
        <w:t>, kultūra</w:t>
      </w:r>
      <w:r>
        <w:rPr>
          <w:rFonts w:ascii="Times New Roman" w:hAnsi="Times New Roman" w:cs="Times New Roman"/>
          <w:sz w:val="24"/>
          <w:szCs w:val="24"/>
        </w:rPr>
        <w:t>s</w:t>
      </w:r>
      <w:r w:rsidRPr="0021278B">
        <w:rPr>
          <w:rFonts w:ascii="Times New Roman" w:hAnsi="Times New Roman" w:cs="Times New Roman"/>
          <w:sz w:val="24"/>
          <w:szCs w:val="24"/>
        </w:rPr>
        <w:t xml:space="preserve"> un atpūta</w:t>
      </w:r>
      <w:r>
        <w:rPr>
          <w:rFonts w:ascii="Times New Roman" w:hAnsi="Times New Roman" w:cs="Times New Roman"/>
          <w:sz w:val="24"/>
          <w:szCs w:val="24"/>
        </w:rPr>
        <w:t>s pakalpojumu cenu pieaugums</w:t>
      </w:r>
      <w:r w:rsidRPr="0021278B">
        <w:rPr>
          <w:rFonts w:ascii="Times New Roman" w:hAnsi="Times New Roman" w:cs="Times New Roman"/>
          <w:sz w:val="24"/>
          <w:szCs w:val="24"/>
        </w:rPr>
        <w:t>. Atšķirībā no pērnā gada inflāciju ietekmējošiem faktoriem</w:t>
      </w:r>
      <w:r>
        <w:rPr>
          <w:rFonts w:ascii="Times New Roman" w:hAnsi="Times New Roman" w:cs="Times New Roman"/>
          <w:sz w:val="24"/>
          <w:szCs w:val="24"/>
        </w:rPr>
        <w:t>,</w:t>
      </w:r>
      <w:r w:rsidRPr="0021278B">
        <w:rPr>
          <w:rFonts w:ascii="Times New Roman" w:hAnsi="Times New Roman" w:cs="Times New Roman"/>
          <w:sz w:val="24"/>
          <w:szCs w:val="24"/>
        </w:rPr>
        <w:t xml:space="preserve"> š.g. sākumā korekcijas patēriņa cenu dinamikā ieviesa atsevišķu komunālo pakalpojumu cenu kritums no vienas puses un degvielas cenu kāpums no otras puses. 2020</w:t>
      </w:r>
      <w:r>
        <w:rPr>
          <w:rFonts w:ascii="Times New Roman" w:hAnsi="Times New Roman" w:cs="Times New Roman"/>
          <w:sz w:val="24"/>
          <w:szCs w:val="24"/>
        </w:rPr>
        <w:t>.gada</w:t>
      </w:r>
      <w:r w:rsidRPr="0021278B">
        <w:rPr>
          <w:rFonts w:ascii="Times New Roman" w:hAnsi="Times New Roman" w:cs="Times New Roman"/>
          <w:sz w:val="24"/>
          <w:szCs w:val="24"/>
        </w:rPr>
        <w:t xml:space="preserve"> pirmajos divos mēnešos </w:t>
      </w:r>
      <w:r>
        <w:rPr>
          <w:rFonts w:ascii="Times New Roman" w:hAnsi="Times New Roman" w:cs="Times New Roman"/>
          <w:sz w:val="24"/>
          <w:szCs w:val="24"/>
        </w:rPr>
        <w:t xml:space="preserve">vidējais </w:t>
      </w:r>
      <w:r w:rsidRPr="0021278B">
        <w:rPr>
          <w:rFonts w:ascii="Times New Roman" w:hAnsi="Times New Roman" w:cs="Times New Roman"/>
          <w:sz w:val="24"/>
          <w:szCs w:val="24"/>
        </w:rPr>
        <w:t xml:space="preserve">cenu kāpums </w:t>
      </w:r>
      <w:r>
        <w:rPr>
          <w:rFonts w:ascii="Times New Roman" w:hAnsi="Times New Roman" w:cs="Times New Roman"/>
          <w:sz w:val="24"/>
          <w:szCs w:val="24"/>
        </w:rPr>
        <w:t xml:space="preserve">precēm </w:t>
      </w:r>
      <w:r w:rsidRPr="0021278B">
        <w:rPr>
          <w:rFonts w:ascii="Times New Roman" w:hAnsi="Times New Roman" w:cs="Times New Roman"/>
          <w:sz w:val="24"/>
          <w:szCs w:val="24"/>
        </w:rPr>
        <w:t>bija 1,9% gadā, kamēr pakalpojumu cenas vidēji pieauga par 2,9%.</w:t>
      </w:r>
    </w:p>
    <w:p w14:paraId="51801F96" w14:textId="6870E608" w:rsidR="00DE30C4" w:rsidRDefault="00DE30C4" w:rsidP="00DE30C4">
      <w:pPr>
        <w:spacing w:after="0"/>
        <w:ind w:firstLine="567"/>
        <w:jc w:val="right"/>
        <w:rPr>
          <w:rFonts w:ascii="Times New Roman" w:eastAsia="Times New Roman" w:hAnsi="Times New Roman" w:cs="Times New Roman"/>
          <w:b/>
          <w:color w:val="000000"/>
          <w:sz w:val="24"/>
          <w:szCs w:val="24"/>
          <w:lang w:eastAsia="lv-LV"/>
        </w:rPr>
      </w:pPr>
      <w:r w:rsidRPr="00B5460E">
        <w:rPr>
          <w:rFonts w:ascii="Times New Roman" w:hAnsi="Times New Roman" w:cs="Times New Roman"/>
          <w:b/>
          <w:sz w:val="24"/>
          <w:szCs w:val="24"/>
        </w:rPr>
        <w:t>2</w:t>
      </w:r>
      <w:r w:rsidRPr="00B5460E">
        <w:rPr>
          <w:rFonts w:ascii="Times New Roman" w:eastAsia="Times New Roman" w:hAnsi="Times New Roman" w:cs="Times New Roman"/>
          <w:b/>
          <w:color w:val="000000"/>
          <w:sz w:val="24"/>
          <w:szCs w:val="24"/>
          <w:lang w:eastAsia="lv-LV"/>
        </w:rPr>
        <w:t>.1.tabula. Izaugsme un ar to saistītie faktori</w:t>
      </w:r>
    </w:p>
    <w:p w14:paraId="3B48A079" w14:textId="21DA0647" w:rsidR="00DE30C4" w:rsidRPr="005659E6" w:rsidRDefault="00DE30C4" w:rsidP="00DE30C4">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lv-LV"/>
        </w:rPr>
      </w:pPr>
      <w:r w:rsidRPr="005659E6">
        <w:rPr>
          <w:rFonts w:ascii="Times New Roman" w:eastAsia="Times New Roman" w:hAnsi="Times New Roman" w:cs="Times New Roman"/>
          <w:color w:val="000000"/>
          <w:szCs w:val="24"/>
          <w:lang w:eastAsia="lv-LV"/>
        </w:rPr>
        <w:t>(2020</w:t>
      </w:r>
      <w:r w:rsidR="004E6720">
        <w:rPr>
          <w:rFonts w:ascii="Times New Roman" w:eastAsia="Times New Roman" w:hAnsi="Times New Roman" w:cs="Times New Roman"/>
          <w:color w:val="000000"/>
          <w:szCs w:val="24"/>
          <w:lang w:eastAsia="lv-LV"/>
        </w:rPr>
        <w:t>.</w:t>
      </w:r>
      <w:r>
        <w:rPr>
          <w:rFonts w:ascii="Times New Roman" w:eastAsia="Times New Roman" w:hAnsi="Times New Roman" w:cs="Times New Roman"/>
          <w:color w:val="000000"/>
          <w:szCs w:val="24"/>
          <w:lang w:eastAsia="lv-LV"/>
        </w:rPr>
        <w:t>gad</w:t>
      </w:r>
      <w:r w:rsidRPr="005659E6">
        <w:rPr>
          <w:rFonts w:ascii="Times New Roman" w:eastAsia="Times New Roman" w:hAnsi="Times New Roman" w:cs="Times New Roman"/>
          <w:color w:val="000000"/>
          <w:szCs w:val="24"/>
          <w:lang w:eastAsia="lv-LV"/>
        </w:rPr>
        <w:t>a februāra bāzes scenārijs)</w:t>
      </w:r>
    </w:p>
    <w:tbl>
      <w:tblPr>
        <w:tblStyle w:val="GridTable6Colorful-Accent1"/>
        <w:tblW w:w="0" w:type="auto"/>
        <w:jc w:val="center"/>
        <w:tblLook w:val="04A0" w:firstRow="1" w:lastRow="0" w:firstColumn="1" w:lastColumn="0" w:noHBand="0" w:noVBand="1"/>
      </w:tblPr>
      <w:tblGrid>
        <w:gridCol w:w="3865"/>
        <w:gridCol w:w="1111"/>
        <w:gridCol w:w="1005"/>
        <w:gridCol w:w="616"/>
        <w:gridCol w:w="616"/>
        <w:gridCol w:w="616"/>
        <w:gridCol w:w="616"/>
        <w:gridCol w:w="616"/>
      </w:tblGrid>
      <w:tr w:rsidR="00DE30C4" w:rsidRPr="004E6720" w14:paraId="387D2C0A" w14:textId="77777777" w:rsidTr="00FC6028">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C4119C5" w14:textId="77777777" w:rsidR="00DE30C4" w:rsidRPr="004E6720" w:rsidRDefault="00DE30C4" w:rsidP="007130E8">
            <w:pPr>
              <w:spacing w:beforeLines="20" w:before="48" w:afterLines="20" w:after="48"/>
              <w:jc w:val="center"/>
              <w:rPr>
                <w:rFonts w:ascii="Times New Roman" w:hAnsi="Times New Roman" w:cs="Times New Roman"/>
                <w:b w:val="0"/>
                <w:bCs w:val="0"/>
                <w:color w:val="auto"/>
                <w:sz w:val="20"/>
                <w:szCs w:val="20"/>
              </w:rPr>
            </w:pPr>
          </w:p>
        </w:tc>
        <w:tc>
          <w:tcPr>
            <w:tcW w:w="0" w:type="auto"/>
            <w:vMerge w:val="restart"/>
            <w:noWrap/>
            <w:vAlign w:val="center"/>
            <w:hideMark/>
          </w:tcPr>
          <w:p w14:paraId="18869647"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E6720">
              <w:rPr>
                <w:rFonts w:ascii="Times New Roman" w:hAnsi="Times New Roman" w:cs="Times New Roman"/>
                <w:color w:val="auto"/>
                <w:sz w:val="20"/>
                <w:szCs w:val="20"/>
              </w:rPr>
              <w:t>EKS Kods</w:t>
            </w:r>
          </w:p>
        </w:tc>
        <w:tc>
          <w:tcPr>
            <w:tcW w:w="0" w:type="auto"/>
            <w:noWrap/>
            <w:vAlign w:val="center"/>
            <w:hideMark/>
          </w:tcPr>
          <w:p w14:paraId="7E3FD112"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E6720">
              <w:rPr>
                <w:rFonts w:ascii="Times New Roman" w:hAnsi="Times New Roman" w:cs="Times New Roman"/>
                <w:color w:val="auto"/>
                <w:sz w:val="20"/>
                <w:szCs w:val="20"/>
              </w:rPr>
              <w:t>2019</w:t>
            </w:r>
          </w:p>
        </w:tc>
        <w:tc>
          <w:tcPr>
            <w:tcW w:w="0" w:type="auto"/>
            <w:noWrap/>
            <w:vAlign w:val="center"/>
          </w:tcPr>
          <w:p w14:paraId="714490FA"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E6720">
              <w:rPr>
                <w:rFonts w:ascii="Times New Roman" w:hAnsi="Times New Roman" w:cs="Times New Roman"/>
                <w:color w:val="auto"/>
                <w:sz w:val="20"/>
                <w:szCs w:val="20"/>
              </w:rPr>
              <w:t>2019</w:t>
            </w:r>
          </w:p>
        </w:tc>
        <w:tc>
          <w:tcPr>
            <w:tcW w:w="0" w:type="auto"/>
            <w:noWrap/>
            <w:vAlign w:val="center"/>
          </w:tcPr>
          <w:p w14:paraId="6E7AC752"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E6720">
              <w:rPr>
                <w:rFonts w:ascii="Times New Roman" w:hAnsi="Times New Roman" w:cs="Times New Roman"/>
                <w:color w:val="auto"/>
                <w:sz w:val="20"/>
                <w:szCs w:val="20"/>
              </w:rPr>
              <w:t>2020</w:t>
            </w:r>
          </w:p>
        </w:tc>
        <w:tc>
          <w:tcPr>
            <w:tcW w:w="0" w:type="auto"/>
            <w:noWrap/>
            <w:vAlign w:val="center"/>
          </w:tcPr>
          <w:p w14:paraId="773D8268"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E6720">
              <w:rPr>
                <w:rFonts w:ascii="Times New Roman" w:hAnsi="Times New Roman" w:cs="Times New Roman"/>
                <w:color w:val="auto"/>
                <w:sz w:val="20"/>
                <w:szCs w:val="20"/>
              </w:rPr>
              <w:t>2021</w:t>
            </w:r>
          </w:p>
        </w:tc>
        <w:tc>
          <w:tcPr>
            <w:tcW w:w="0" w:type="auto"/>
            <w:noWrap/>
            <w:vAlign w:val="center"/>
          </w:tcPr>
          <w:p w14:paraId="0DC0C619"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2022</w:t>
            </w:r>
          </w:p>
        </w:tc>
        <w:tc>
          <w:tcPr>
            <w:tcW w:w="0" w:type="auto"/>
            <w:noWrap/>
            <w:vAlign w:val="center"/>
          </w:tcPr>
          <w:p w14:paraId="377C595E" w14:textId="77777777" w:rsidR="00DE30C4" w:rsidRPr="004E6720"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2023</w:t>
            </w:r>
          </w:p>
        </w:tc>
      </w:tr>
      <w:tr w:rsidR="00DE30C4" w:rsidRPr="004E6720" w14:paraId="1BEF9763" w14:textId="77777777" w:rsidTr="00FC6028">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50F3AA6" w14:textId="77777777" w:rsidR="00DE30C4" w:rsidRPr="004E6720" w:rsidRDefault="00DE30C4" w:rsidP="007130E8">
            <w:pPr>
              <w:spacing w:beforeLines="20" w:before="48" w:afterLines="20" w:after="48"/>
              <w:rPr>
                <w:rFonts w:ascii="Times New Roman" w:hAnsi="Times New Roman" w:cs="Times New Roman"/>
                <w:b w:val="0"/>
                <w:bCs w:val="0"/>
                <w:color w:val="auto"/>
                <w:sz w:val="20"/>
                <w:szCs w:val="20"/>
              </w:rPr>
            </w:pPr>
          </w:p>
        </w:tc>
        <w:tc>
          <w:tcPr>
            <w:tcW w:w="0" w:type="auto"/>
            <w:vMerge/>
            <w:hideMark/>
          </w:tcPr>
          <w:p w14:paraId="2449C2EE" w14:textId="77777777" w:rsidR="00DE30C4" w:rsidRPr="004E6720" w:rsidRDefault="00DE30C4" w:rsidP="007130E8">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p>
        </w:tc>
        <w:tc>
          <w:tcPr>
            <w:tcW w:w="0" w:type="auto"/>
            <w:noWrap/>
            <w:hideMark/>
          </w:tcPr>
          <w:p w14:paraId="3CC7E905"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 xml:space="preserve">milj. </w:t>
            </w:r>
            <w:r w:rsidRPr="004E6720">
              <w:rPr>
                <w:rFonts w:ascii="Times New Roman" w:hAnsi="Times New Roman" w:cs="Times New Roman"/>
                <w:i/>
                <w:iCs/>
                <w:color w:val="auto"/>
                <w:sz w:val="20"/>
                <w:szCs w:val="20"/>
              </w:rPr>
              <w:t>euro</w:t>
            </w:r>
          </w:p>
        </w:tc>
        <w:tc>
          <w:tcPr>
            <w:tcW w:w="0" w:type="auto"/>
            <w:gridSpan w:val="5"/>
            <w:noWrap/>
            <w:vAlign w:val="center"/>
            <w:hideMark/>
          </w:tcPr>
          <w:p w14:paraId="5C43465F"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Pieaugums %</w:t>
            </w:r>
          </w:p>
        </w:tc>
      </w:tr>
      <w:tr w:rsidR="00DE30C4" w:rsidRPr="004E6720" w14:paraId="1A1A4561" w14:textId="77777777" w:rsidTr="00FC6028">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8F6185"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1. IKP faktiskajās cenās</w:t>
            </w:r>
          </w:p>
        </w:tc>
        <w:tc>
          <w:tcPr>
            <w:tcW w:w="0" w:type="auto"/>
            <w:noWrap/>
            <w:vAlign w:val="center"/>
            <w:hideMark/>
          </w:tcPr>
          <w:p w14:paraId="049CF9C5"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B1*g</w:t>
            </w:r>
          </w:p>
        </w:tc>
        <w:tc>
          <w:tcPr>
            <w:tcW w:w="0" w:type="auto"/>
            <w:noWrap/>
            <w:vAlign w:val="center"/>
            <w:hideMark/>
          </w:tcPr>
          <w:p w14:paraId="1526B4DD" w14:textId="0A24F6BF"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476</w:t>
            </w:r>
          </w:p>
        </w:tc>
        <w:tc>
          <w:tcPr>
            <w:tcW w:w="0" w:type="auto"/>
            <w:noWrap/>
            <w:vAlign w:val="bottom"/>
            <w:hideMark/>
          </w:tcPr>
          <w:p w14:paraId="08F541E7"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4,9</w:t>
            </w:r>
          </w:p>
        </w:tc>
        <w:tc>
          <w:tcPr>
            <w:tcW w:w="0" w:type="auto"/>
            <w:noWrap/>
            <w:vAlign w:val="bottom"/>
            <w:hideMark/>
          </w:tcPr>
          <w:p w14:paraId="43EDF690"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5,0</w:t>
            </w:r>
          </w:p>
        </w:tc>
        <w:tc>
          <w:tcPr>
            <w:tcW w:w="0" w:type="auto"/>
            <w:noWrap/>
            <w:vAlign w:val="bottom"/>
            <w:hideMark/>
          </w:tcPr>
          <w:p w14:paraId="1B18BC45"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5,3</w:t>
            </w:r>
          </w:p>
        </w:tc>
        <w:tc>
          <w:tcPr>
            <w:tcW w:w="0" w:type="auto"/>
            <w:noWrap/>
            <w:vAlign w:val="bottom"/>
            <w:hideMark/>
          </w:tcPr>
          <w:p w14:paraId="1EFB6142"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5,1</w:t>
            </w:r>
          </w:p>
        </w:tc>
        <w:tc>
          <w:tcPr>
            <w:tcW w:w="0" w:type="auto"/>
            <w:noWrap/>
            <w:vAlign w:val="bottom"/>
            <w:hideMark/>
          </w:tcPr>
          <w:p w14:paraId="2CCEF1AD"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4,6</w:t>
            </w:r>
          </w:p>
        </w:tc>
      </w:tr>
      <w:tr w:rsidR="00DE30C4" w:rsidRPr="004E6720" w14:paraId="5065A31E" w14:textId="77777777" w:rsidTr="00FC602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E4514F"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2. IKP 2010. gada cenās</w:t>
            </w:r>
          </w:p>
        </w:tc>
        <w:tc>
          <w:tcPr>
            <w:tcW w:w="0" w:type="auto"/>
            <w:noWrap/>
            <w:vAlign w:val="center"/>
            <w:hideMark/>
          </w:tcPr>
          <w:p w14:paraId="5E1030F1"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B1*g</w:t>
            </w:r>
          </w:p>
        </w:tc>
        <w:tc>
          <w:tcPr>
            <w:tcW w:w="0" w:type="auto"/>
            <w:noWrap/>
            <w:vAlign w:val="center"/>
            <w:hideMark/>
          </w:tcPr>
          <w:p w14:paraId="2E328776" w14:textId="66D802D5"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27</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497</w:t>
            </w:r>
          </w:p>
        </w:tc>
        <w:tc>
          <w:tcPr>
            <w:tcW w:w="0" w:type="auto"/>
            <w:noWrap/>
            <w:vAlign w:val="bottom"/>
            <w:hideMark/>
          </w:tcPr>
          <w:p w14:paraId="638381A6"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2,2</w:t>
            </w:r>
          </w:p>
        </w:tc>
        <w:tc>
          <w:tcPr>
            <w:tcW w:w="0" w:type="auto"/>
            <w:noWrap/>
            <w:vAlign w:val="bottom"/>
            <w:hideMark/>
          </w:tcPr>
          <w:p w14:paraId="47119798"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2,2</w:t>
            </w:r>
          </w:p>
        </w:tc>
        <w:tc>
          <w:tcPr>
            <w:tcW w:w="0" w:type="auto"/>
            <w:noWrap/>
            <w:vAlign w:val="bottom"/>
            <w:hideMark/>
          </w:tcPr>
          <w:p w14:paraId="08F17757"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2,8</w:t>
            </w:r>
          </w:p>
        </w:tc>
        <w:tc>
          <w:tcPr>
            <w:tcW w:w="0" w:type="auto"/>
            <w:noWrap/>
            <w:vAlign w:val="bottom"/>
            <w:hideMark/>
          </w:tcPr>
          <w:p w14:paraId="327C0545"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2,8</w:t>
            </w:r>
          </w:p>
        </w:tc>
        <w:tc>
          <w:tcPr>
            <w:tcW w:w="0" w:type="auto"/>
            <w:noWrap/>
            <w:vAlign w:val="bottom"/>
            <w:hideMark/>
          </w:tcPr>
          <w:p w14:paraId="5AE2F88A"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2,4</w:t>
            </w:r>
          </w:p>
        </w:tc>
      </w:tr>
      <w:tr w:rsidR="00DE30C4" w:rsidRPr="004E6720" w14:paraId="4C0E5BC9" w14:textId="77777777" w:rsidTr="00FC6028">
        <w:trPr>
          <w:trHeight w:val="118"/>
          <w:jc w:val="center"/>
        </w:trPr>
        <w:tc>
          <w:tcPr>
            <w:cnfStyle w:val="001000000000" w:firstRow="0" w:lastRow="0" w:firstColumn="1" w:lastColumn="0" w:oddVBand="0" w:evenVBand="0" w:oddHBand="0" w:evenHBand="0" w:firstRowFirstColumn="0" w:firstRowLastColumn="0" w:lastRowFirstColumn="0" w:lastRowLastColumn="0"/>
            <w:tcW w:w="0" w:type="auto"/>
            <w:gridSpan w:val="8"/>
            <w:noWrap/>
            <w:hideMark/>
          </w:tcPr>
          <w:p w14:paraId="662F9FB2" w14:textId="77777777" w:rsidR="00DE30C4" w:rsidRPr="000258AF" w:rsidRDefault="00DE30C4" w:rsidP="007130E8">
            <w:pPr>
              <w:autoSpaceDE w:val="0"/>
              <w:autoSpaceDN w:val="0"/>
              <w:adjustRightInd w:val="0"/>
              <w:spacing w:beforeLines="20" w:before="48" w:afterLines="20" w:after="48"/>
              <w:jc w:val="center"/>
              <w:rPr>
                <w:rFonts w:ascii="Times New Roman" w:eastAsia="Times New Roman" w:hAnsi="Times New Roman" w:cs="Times New Roman"/>
                <w:color w:val="000000"/>
                <w:sz w:val="20"/>
                <w:szCs w:val="20"/>
                <w:lang w:eastAsia="lv-LV"/>
              </w:rPr>
            </w:pPr>
            <w:r w:rsidRPr="000258AF">
              <w:rPr>
                <w:rFonts w:ascii="Times New Roman" w:eastAsia="Times New Roman" w:hAnsi="Times New Roman" w:cs="Times New Roman"/>
                <w:color w:val="000000"/>
                <w:sz w:val="20"/>
                <w:szCs w:val="20"/>
                <w:lang w:eastAsia="lv-LV"/>
              </w:rPr>
              <w:t>IKP pēc izlietojuma 2010. gada cenās</w:t>
            </w:r>
          </w:p>
        </w:tc>
      </w:tr>
      <w:tr w:rsidR="00DE30C4" w:rsidRPr="004E6720" w14:paraId="6ACD2A17" w14:textId="77777777" w:rsidTr="00FC602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E40BFA"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3. Privātais patēriņš</w:t>
            </w:r>
          </w:p>
        </w:tc>
        <w:tc>
          <w:tcPr>
            <w:tcW w:w="0" w:type="auto"/>
            <w:noWrap/>
            <w:vAlign w:val="center"/>
            <w:hideMark/>
          </w:tcPr>
          <w:p w14:paraId="10AC6D7C"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P3</w:t>
            </w:r>
          </w:p>
        </w:tc>
        <w:tc>
          <w:tcPr>
            <w:tcW w:w="0" w:type="auto"/>
            <w:noWrap/>
            <w:vAlign w:val="bottom"/>
            <w:hideMark/>
          </w:tcPr>
          <w:p w14:paraId="41F0E498" w14:textId="2636FEBA"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16</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515</w:t>
            </w:r>
          </w:p>
        </w:tc>
        <w:tc>
          <w:tcPr>
            <w:tcW w:w="0" w:type="auto"/>
            <w:noWrap/>
            <w:vAlign w:val="bottom"/>
            <w:hideMark/>
          </w:tcPr>
          <w:p w14:paraId="517E7E0C"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2,9</w:t>
            </w:r>
          </w:p>
        </w:tc>
        <w:tc>
          <w:tcPr>
            <w:tcW w:w="0" w:type="auto"/>
            <w:noWrap/>
            <w:vAlign w:val="bottom"/>
            <w:hideMark/>
          </w:tcPr>
          <w:p w14:paraId="7CB68299"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3,3</w:t>
            </w:r>
          </w:p>
        </w:tc>
        <w:tc>
          <w:tcPr>
            <w:tcW w:w="0" w:type="auto"/>
            <w:noWrap/>
            <w:vAlign w:val="bottom"/>
            <w:hideMark/>
          </w:tcPr>
          <w:p w14:paraId="00BD2B89"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3,2</w:t>
            </w:r>
          </w:p>
        </w:tc>
        <w:tc>
          <w:tcPr>
            <w:tcW w:w="0" w:type="auto"/>
            <w:noWrap/>
            <w:vAlign w:val="bottom"/>
            <w:hideMark/>
          </w:tcPr>
          <w:p w14:paraId="743BD54C"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3,2</w:t>
            </w:r>
          </w:p>
        </w:tc>
        <w:tc>
          <w:tcPr>
            <w:tcW w:w="0" w:type="auto"/>
            <w:noWrap/>
            <w:vAlign w:val="bottom"/>
            <w:hideMark/>
          </w:tcPr>
          <w:p w14:paraId="3672BD19"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p>
        </w:tc>
      </w:tr>
      <w:tr w:rsidR="00DE30C4" w:rsidRPr="004E6720" w14:paraId="7A97A5CD" w14:textId="77777777" w:rsidTr="00FC6028">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D4B588"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4. Sabiedriskais patēriņš</w:t>
            </w:r>
          </w:p>
        </w:tc>
        <w:tc>
          <w:tcPr>
            <w:tcW w:w="0" w:type="auto"/>
            <w:noWrap/>
            <w:vAlign w:val="center"/>
            <w:hideMark/>
          </w:tcPr>
          <w:p w14:paraId="0A4501F2"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P3</w:t>
            </w:r>
          </w:p>
        </w:tc>
        <w:tc>
          <w:tcPr>
            <w:tcW w:w="0" w:type="auto"/>
            <w:noWrap/>
            <w:vAlign w:val="bottom"/>
            <w:hideMark/>
          </w:tcPr>
          <w:p w14:paraId="146844BC" w14:textId="1932AE54"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5</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005</w:t>
            </w:r>
          </w:p>
        </w:tc>
        <w:tc>
          <w:tcPr>
            <w:tcW w:w="0" w:type="auto"/>
            <w:noWrap/>
            <w:vAlign w:val="bottom"/>
            <w:hideMark/>
          </w:tcPr>
          <w:p w14:paraId="7F218D07"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2,6</w:t>
            </w:r>
          </w:p>
        </w:tc>
        <w:tc>
          <w:tcPr>
            <w:tcW w:w="0" w:type="auto"/>
            <w:noWrap/>
            <w:vAlign w:val="bottom"/>
            <w:hideMark/>
          </w:tcPr>
          <w:p w14:paraId="452C303E"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2,2</w:t>
            </w:r>
          </w:p>
        </w:tc>
        <w:tc>
          <w:tcPr>
            <w:tcW w:w="0" w:type="auto"/>
            <w:noWrap/>
            <w:vAlign w:val="bottom"/>
            <w:hideMark/>
          </w:tcPr>
          <w:p w14:paraId="4B43872D"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2,8</w:t>
            </w:r>
          </w:p>
        </w:tc>
        <w:tc>
          <w:tcPr>
            <w:tcW w:w="0" w:type="auto"/>
            <w:noWrap/>
            <w:vAlign w:val="bottom"/>
            <w:hideMark/>
          </w:tcPr>
          <w:p w14:paraId="78A59C37"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2,6</w:t>
            </w:r>
          </w:p>
        </w:tc>
        <w:tc>
          <w:tcPr>
            <w:tcW w:w="0" w:type="auto"/>
            <w:noWrap/>
            <w:vAlign w:val="bottom"/>
            <w:hideMark/>
          </w:tcPr>
          <w:p w14:paraId="0466E624"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2,9</w:t>
            </w:r>
          </w:p>
        </w:tc>
      </w:tr>
      <w:tr w:rsidR="00DE30C4" w:rsidRPr="004E6720" w14:paraId="53972982" w14:textId="77777777" w:rsidTr="00FC602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C0A88E"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5. Kopējā pamatkapitāla veidošana</w:t>
            </w:r>
          </w:p>
        </w:tc>
        <w:tc>
          <w:tcPr>
            <w:tcW w:w="0" w:type="auto"/>
            <w:noWrap/>
            <w:vAlign w:val="center"/>
            <w:hideMark/>
          </w:tcPr>
          <w:p w14:paraId="480F0576"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P51</w:t>
            </w:r>
          </w:p>
        </w:tc>
        <w:tc>
          <w:tcPr>
            <w:tcW w:w="0" w:type="auto"/>
            <w:noWrap/>
            <w:vAlign w:val="bottom"/>
            <w:hideMark/>
          </w:tcPr>
          <w:p w14:paraId="03514A5A" w14:textId="4173C87B"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6</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550</w:t>
            </w:r>
          </w:p>
        </w:tc>
        <w:tc>
          <w:tcPr>
            <w:tcW w:w="0" w:type="auto"/>
            <w:noWrap/>
            <w:vAlign w:val="bottom"/>
            <w:hideMark/>
          </w:tcPr>
          <w:p w14:paraId="609E00F0"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3,1</w:t>
            </w:r>
          </w:p>
        </w:tc>
        <w:tc>
          <w:tcPr>
            <w:tcW w:w="0" w:type="auto"/>
            <w:noWrap/>
            <w:vAlign w:val="bottom"/>
            <w:hideMark/>
          </w:tcPr>
          <w:p w14:paraId="2896D168"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p>
        </w:tc>
        <w:tc>
          <w:tcPr>
            <w:tcW w:w="0" w:type="auto"/>
            <w:noWrap/>
            <w:vAlign w:val="bottom"/>
            <w:hideMark/>
          </w:tcPr>
          <w:p w14:paraId="3CEC4192"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4,5</w:t>
            </w:r>
          </w:p>
        </w:tc>
        <w:tc>
          <w:tcPr>
            <w:tcW w:w="0" w:type="auto"/>
            <w:noWrap/>
            <w:vAlign w:val="bottom"/>
            <w:hideMark/>
          </w:tcPr>
          <w:p w14:paraId="4E9C601F"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p>
        </w:tc>
        <w:tc>
          <w:tcPr>
            <w:tcW w:w="0" w:type="auto"/>
            <w:noWrap/>
            <w:vAlign w:val="bottom"/>
            <w:hideMark/>
          </w:tcPr>
          <w:p w14:paraId="6020562F"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1,8</w:t>
            </w:r>
          </w:p>
        </w:tc>
      </w:tr>
      <w:tr w:rsidR="00DE30C4" w:rsidRPr="004E6720" w14:paraId="5F627223" w14:textId="77777777" w:rsidTr="00FC6028">
        <w:trPr>
          <w:trHeight w:val="24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20314C"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6. Krājumu pārmaiņas un vērtslietu iegāde</w:t>
            </w:r>
          </w:p>
        </w:tc>
        <w:tc>
          <w:tcPr>
            <w:tcW w:w="0" w:type="auto"/>
            <w:noWrap/>
            <w:vAlign w:val="center"/>
            <w:hideMark/>
          </w:tcPr>
          <w:p w14:paraId="13101EFB"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P52+P53</w:t>
            </w:r>
          </w:p>
        </w:tc>
        <w:tc>
          <w:tcPr>
            <w:tcW w:w="0" w:type="auto"/>
            <w:noWrap/>
            <w:vAlign w:val="bottom"/>
            <w:hideMark/>
          </w:tcPr>
          <w:p w14:paraId="6C814C03"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467</w:t>
            </w:r>
          </w:p>
        </w:tc>
        <w:tc>
          <w:tcPr>
            <w:tcW w:w="0" w:type="auto"/>
            <w:noWrap/>
            <w:vAlign w:val="center"/>
          </w:tcPr>
          <w:p w14:paraId="374DFE36"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w:t>
            </w:r>
          </w:p>
        </w:tc>
        <w:tc>
          <w:tcPr>
            <w:tcW w:w="0" w:type="auto"/>
            <w:noWrap/>
            <w:vAlign w:val="center"/>
          </w:tcPr>
          <w:p w14:paraId="461E1F7B"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w:t>
            </w:r>
          </w:p>
        </w:tc>
        <w:tc>
          <w:tcPr>
            <w:tcW w:w="0" w:type="auto"/>
            <w:noWrap/>
            <w:vAlign w:val="center"/>
          </w:tcPr>
          <w:p w14:paraId="0CAA7E90"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w:t>
            </w:r>
          </w:p>
        </w:tc>
        <w:tc>
          <w:tcPr>
            <w:tcW w:w="0" w:type="auto"/>
            <w:noWrap/>
            <w:vAlign w:val="center"/>
          </w:tcPr>
          <w:p w14:paraId="03C61BBB"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w:t>
            </w:r>
          </w:p>
        </w:tc>
        <w:tc>
          <w:tcPr>
            <w:tcW w:w="0" w:type="auto"/>
            <w:noWrap/>
            <w:vAlign w:val="center"/>
          </w:tcPr>
          <w:p w14:paraId="62227800"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w:t>
            </w:r>
          </w:p>
        </w:tc>
      </w:tr>
      <w:tr w:rsidR="00DE30C4" w:rsidRPr="004E6720" w14:paraId="68B3C48E" w14:textId="77777777" w:rsidTr="00FC602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C19642"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7. Eksports</w:t>
            </w:r>
          </w:p>
        </w:tc>
        <w:tc>
          <w:tcPr>
            <w:tcW w:w="0" w:type="auto"/>
            <w:noWrap/>
            <w:vAlign w:val="center"/>
            <w:hideMark/>
          </w:tcPr>
          <w:p w14:paraId="43AE513F"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P6</w:t>
            </w:r>
          </w:p>
        </w:tc>
        <w:tc>
          <w:tcPr>
            <w:tcW w:w="0" w:type="auto"/>
            <w:noWrap/>
            <w:vAlign w:val="bottom"/>
            <w:hideMark/>
          </w:tcPr>
          <w:p w14:paraId="116FAD9D" w14:textId="3373A6D1"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17</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387</w:t>
            </w:r>
          </w:p>
        </w:tc>
        <w:tc>
          <w:tcPr>
            <w:tcW w:w="0" w:type="auto"/>
            <w:noWrap/>
            <w:vAlign w:val="bottom"/>
            <w:hideMark/>
          </w:tcPr>
          <w:p w14:paraId="04641DB5"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2,0</w:t>
            </w:r>
          </w:p>
        </w:tc>
        <w:tc>
          <w:tcPr>
            <w:tcW w:w="0" w:type="auto"/>
            <w:noWrap/>
            <w:vAlign w:val="bottom"/>
            <w:hideMark/>
          </w:tcPr>
          <w:p w14:paraId="0FD448AD"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2,5</w:t>
            </w:r>
          </w:p>
        </w:tc>
        <w:tc>
          <w:tcPr>
            <w:tcW w:w="0" w:type="auto"/>
            <w:noWrap/>
            <w:vAlign w:val="bottom"/>
            <w:hideMark/>
          </w:tcPr>
          <w:p w14:paraId="5DF4D6DC"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3,5</w:t>
            </w:r>
          </w:p>
        </w:tc>
        <w:tc>
          <w:tcPr>
            <w:tcW w:w="0" w:type="auto"/>
            <w:noWrap/>
            <w:vAlign w:val="bottom"/>
            <w:hideMark/>
          </w:tcPr>
          <w:p w14:paraId="14E390BD"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3,4</w:t>
            </w:r>
          </w:p>
        </w:tc>
        <w:tc>
          <w:tcPr>
            <w:tcW w:w="0" w:type="auto"/>
            <w:noWrap/>
            <w:vAlign w:val="bottom"/>
            <w:hideMark/>
          </w:tcPr>
          <w:p w14:paraId="79345BD4"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2,6</w:t>
            </w:r>
          </w:p>
        </w:tc>
      </w:tr>
      <w:tr w:rsidR="00DE30C4" w:rsidRPr="004E6720" w14:paraId="41F02033" w14:textId="77777777" w:rsidTr="00FC6028">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887532"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8. Imports</w:t>
            </w:r>
          </w:p>
        </w:tc>
        <w:tc>
          <w:tcPr>
            <w:tcW w:w="0" w:type="auto"/>
            <w:noWrap/>
            <w:vAlign w:val="center"/>
            <w:hideMark/>
          </w:tcPr>
          <w:p w14:paraId="3504D170"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P7</w:t>
            </w:r>
          </w:p>
        </w:tc>
        <w:tc>
          <w:tcPr>
            <w:tcW w:w="0" w:type="auto"/>
            <w:noWrap/>
            <w:vAlign w:val="bottom"/>
            <w:hideMark/>
          </w:tcPr>
          <w:p w14:paraId="14E37A1A" w14:textId="7E143EAA"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18</w:t>
            </w:r>
            <w:r w:rsidR="004E6720" w:rsidRPr="0098250F">
              <w:rPr>
                <w:rFonts w:ascii="Times New Roman" w:hAnsi="Times New Roman" w:cs="Times New Roman"/>
                <w:sz w:val="24"/>
                <w:szCs w:val="20"/>
              </w:rPr>
              <w:t> </w:t>
            </w:r>
            <w:r w:rsidRPr="004E6720">
              <w:rPr>
                <w:rFonts w:ascii="Times New Roman" w:eastAsia="Times New Roman" w:hAnsi="Times New Roman" w:cs="Times New Roman"/>
                <w:color w:val="000000"/>
                <w:sz w:val="20"/>
                <w:szCs w:val="20"/>
                <w:lang w:eastAsia="lv-LV"/>
              </w:rPr>
              <w:t>426</w:t>
            </w:r>
          </w:p>
        </w:tc>
        <w:tc>
          <w:tcPr>
            <w:tcW w:w="0" w:type="auto"/>
            <w:noWrap/>
            <w:vAlign w:val="bottom"/>
            <w:hideMark/>
          </w:tcPr>
          <w:p w14:paraId="75CFE4B3"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2,3</w:t>
            </w:r>
          </w:p>
        </w:tc>
        <w:tc>
          <w:tcPr>
            <w:tcW w:w="0" w:type="auto"/>
            <w:noWrap/>
            <w:vAlign w:val="bottom"/>
            <w:hideMark/>
          </w:tcPr>
          <w:p w14:paraId="43859C24"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p>
        </w:tc>
        <w:tc>
          <w:tcPr>
            <w:tcW w:w="0" w:type="auto"/>
            <w:noWrap/>
            <w:vAlign w:val="bottom"/>
            <w:hideMark/>
          </w:tcPr>
          <w:p w14:paraId="77C3E751"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4,4</w:t>
            </w:r>
          </w:p>
        </w:tc>
        <w:tc>
          <w:tcPr>
            <w:tcW w:w="0" w:type="auto"/>
            <w:noWrap/>
            <w:vAlign w:val="bottom"/>
            <w:hideMark/>
          </w:tcPr>
          <w:p w14:paraId="318E1140"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3,7</w:t>
            </w:r>
          </w:p>
        </w:tc>
        <w:tc>
          <w:tcPr>
            <w:tcW w:w="0" w:type="auto"/>
            <w:noWrap/>
            <w:vAlign w:val="bottom"/>
            <w:hideMark/>
          </w:tcPr>
          <w:p w14:paraId="3238A3C9"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3,0</w:t>
            </w:r>
          </w:p>
        </w:tc>
      </w:tr>
      <w:tr w:rsidR="00DE30C4" w:rsidRPr="004E6720" w14:paraId="68671975" w14:textId="77777777" w:rsidTr="00FC602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0" w:type="auto"/>
            <w:gridSpan w:val="8"/>
            <w:noWrap/>
            <w:hideMark/>
          </w:tcPr>
          <w:p w14:paraId="341017A0" w14:textId="77777777" w:rsidR="00DE30C4" w:rsidRPr="000258AF" w:rsidRDefault="00DE30C4" w:rsidP="007130E8">
            <w:pPr>
              <w:autoSpaceDE w:val="0"/>
              <w:autoSpaceDN w:val="0"/>
              <w:adjustRightInd w:val="0"/>
              <w:spacing w:beforeLines="20" w:before="48" w:afterLines="20" w:after="48"/>
              <w:jc w:val="center"/>
              <w:rPr>
                <w:rFonts w:ascii="Times New Roman" w:eastAsia="Times New Roman" w:hAnsi="Times New Roman" w:cs="Times New Roman"/>
                <w:color w:val="000000"/>
                <w:sz w:val="20"/>
                <w:szCs w:val="20"/>
                <w:lang w:eastAsia="lv-LV"/>
              </w:rPr>
            </w:pPr>
            <w:r w:rsidRPr="000258AF">
              <w:rPr>
                <w:rFonts w:ascii="Times New Roman" w:eastAsia="Times New Roman" w:hAnsi="Times New Roman" w:cs="Times New Roman"/>
                <w:color w:val="000000"/>
                <w:sz w:val="20"/>
                <w:szCs w:val="20"/>
                <w:lang w:eastAsia="lv-LV"/>
              </w:rPr>
              <w:t>Ieguldījums IKP izaugsmē</w:t>
            </w:r>
          </w:p>
        </w:tc>
      </w:tr>
      <w:tr w:rsidR="00DE30C4" w:rsidRPr="004E6720" w14:paraId="7927BEC8" w14:textId="77777777" w:rsidTr="00FC6028">
        <w:trPr>
          <w:trHeight w:val="14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489085"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9. Kopējais iekšzemes pieprasījums</w:t>
            </w:r>
          </w:p>
        </w:tc>
        <w:tc>
          <w:tcPr>
            <w:tcW w:w="0" w:type="auto"/>
            <w:noWrap/>
            <w:vAlign w:val="center"/>
            <w:hideMark/>
          </w:tcPr>
          <w:p w14:paraId="38DD1130"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P3+P51</w:t>
            </w:r>
          </w:p>
        </w:tc>
        <w:tc>
          <w:tcPr>
            <w:tcW w:w="0" w:type="auto"/>
            <w:noWrap/>
            <w:hideMark/>
          </w:tcPr>
          <w:p w14:paraId="13E9343C"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 </w:t>
            </w:r>
          </w:p>
        </w:tc>
        <w:tc>
          <w:tcPr>
            <w:tcW w:w="0" w:type="auto"/>
            <w:noWrap/>
            <w:vAlign w:val="bottom"/>
            <w:hideMark/>
          </w:tcPr>
          <w:p w14:paraId="74859472"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2,9</w:t>
            </w:r>
          </w:p>
        </w:tc>
        <w:tc>
          <w:tcPr>
            <w:tcW w:w="0" w:type="auto"/>
            <w:noWrap/>
            <w:vAlign w:val="bottom"/>
            <w:hideMark/>
          </w:tcPr>
          <w:p w14:paraId="439CD186"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3,1</w:t>
            </w:r>
          </w:p>
        </w:tc>
        <w:tc>
          <w:tcPr>
            <w:tcW w:w="0" w:type="auto"/>
            <w:noWrap/>
            <w:vAlign w:val="bottom"/>
            <w:hideMark/>
          </w:tcPr>
          <w:p w14:paraId="721EE21C"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3,6</w:t>
            </w:r>
          </w:p>
        </w:tc>
        <w:tc>
          <w:tcPr>
            <w:tcW w:w="0" w:type="auto"/>
            <w:noWrap/>
            <w:vAlign w:val="bottom"/>
            <w:hideMark/>
          </w:tcPr>
          <w:p w14:paraId="25D5439C"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3,2</w:t>
            </w:r>
          </w:p>
        </w:tc>
        <w:tc>
          <w:tcPr>
            <w:tcW w:w="0" w:type="auto"/>
            <w:noWrap/>
            <w:vAlign w:val="bottom"/>
            <w:hideMark/>
          </w:tcPr>
          <w:p w14:paraId="018F7FD5"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2,8</w:t>
            </w:r>
          </w:p>
        </w:tc>
      </w:tr>
      <w:tr w:rsidR="00DE30C4" w:rsidRPr="004E6720" w14:paraId="0FDB6218" w14:textId="77777777" w:rsidTr="00FC602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CEE58A"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 xml:space="preserve">10. Krājumu pārmaiņas un vērtslietu iegāde </w:t>
            </w:r>
          </w:p>
        </w:tc>
        <w:tc>
          <w:tcPr>
            <w:tcW w:w="0" w:type="auto"/>
            <w:noWrap/>
            <w:vAlign w:val="center"/>
            <w:hideMark/>
          </w:tcPr>
          <w:p w14:paraId="104886EC" w14:textId="77777777" w:rsidR="00DE30C4" w:rsidRPr="004E6720"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P52+P53</w:t>
            </w:r>
          </w:p>
        </w:tc>
        <w:tc>
          <w:tcPr>
            <w:tcW w:w="0" w:type="auto"/>
            <w:noWrap/>
            <w:hideMark/>
          </w:tcPr>
          <w:p w14:paraId="496CD085"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 </w:t>
            </w:r>
          </w:p>
        </w:tc>
        <w:tc>
          <w:tcPr>
            <w:tcW w:w="0" w:type="auto"/>
            <w:noWrap/>
            <w:hideMark/>
          </w:tcPr>
          <w:p w14:paraId="6E884E6A"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-0,5</w:t>
            </w:r>
          </w:p>
        </w:tc>
        <w:tc>
          <w:tcPr>
            <w:tcW w:w="0" w:type="auto"/>
            <w:noWrap/>
            <w:hideMark/>
          </w:tcPr>
          <w:p w14:paraId="7E351903"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-0,4</w:t>
            </w:r>
          </w:p>
        </w:tc>
        <w:tc>
          <w:tcPr>
            <w:tcW w:w="0" w:type="auto"/>
            <w:noWrap/>
            <w:hideMark/>
          </w:tcPr>
          <w:p w14:paraId="560D867E"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0,0</w:t>
            </w:r>
          </w:p>
        </w:tc>
        <w:tc>
          <w:tcPr>
            <w:tcW w:w="0" w:type="auto"/>
            <w:noWrap/>
            <w:hideMark/>
          </w:tcPr>
          <w:p w14:paraId="5FED7A18"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0,0</w:t>
            </w:r>
          </w:p>
        </w:tc>
        <w:tc>
          <w:tcPr>
            <w:tcW w:w="0" w:type="auto"/>
            <w:noWrap/>
            <w:hideMark/>
          </w:tcPr>
          <w:p w14:paraId="3471E142" w14:textId="77777777" w:rsidR="00DE30C4" w:rsidRPr="004E6720"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0,0</w:t>
            </w:r>
          </w:p>
        </w:tc>
      </w:tr>
      <w:tr w:rsidR="00DE30C4" w:rsidRPr="004E6720" w14:paraId="6BAF8FFE" w14:textId="77777777" w:rsidTr="00FC6028">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4EE046" w14:textId="77777777" w:rsidR="00DE30C4" w:rsidRPr="000258AF" w:rsidRDefault="00DE30C4" w:rsidP="007130E8">
            <w:pPr>
              <w:spacing w:beforeLines="20" w:before="48" w:afterLines="20" w:after="48"/>
              <w:rPr>
                <w:rFonts w:ascii="Times New Roman" w:hAnsi="Times New Roman" w:cs="Times New Roman"/>
                <w:bCs w:val="0"/>
                <w:color w:val="auto"/>
                <w:sz w:val="20"/>
                <w:szCs w:val="20"/>
              </w:rPr>
            </w:pPr>
            <w:r w:rsidRPr="000258AF">
              <w:rPr>
                <w:rFonts w:ascii="Times New Roman" w:hAnsi="Times New Roman" w:cs="Times New Roman"/>
                <w:bCs w:val="0"/>
                <w:color w:val="auto"/>
                <w:sz w:val="20"/>
                <w:szCs w:val="20"/>
              </w:rPr>
              <w:t>11. Eksporta-importa bilance</w:t>
            </w:r>
          </w:p>
        </w:tc>
        <w:tc>
          <w:tcPr>
            <w:tcW w:w="0" w:type="auto"/>
            <w:noWrap/>
            <w:vAlign w:val="center"/>
            <w:hideMark/>
          </w:tcPr>
          <w:p w14:paraId="62FEC80D" w14:textId="77777777" w:rsidR="00DE30C4" w:rsidRPr="004E6720"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E6720">
              <w:rPr>
                <w:rFonts w:ascii="Times New Roman" w:hAnsi="Times New Roman" w:cs="Times New Roman"/>
                <w:color w:val="auto"/>
                <w:sz w:val="20"/>
                <w:szCs w:val="20"/>
              </w:rPr>
              <w:t>B11</w:t>
            </w:r>
          </w:p>
        </w:tc>
        <w:tc>
          <w:tcPr>
            <w:tcW w:w="0" w:type="auto"/>
            <w:noWrap/>
            <w:hideMark/>
          </w:tcPr>
          <w:p w14:paraId="634D86D8"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 </w:t>
            </w:r>
          </w:p>
        </w:tc>
        <w:tc>
          <w:tcPr>
            <w:tcW w:w="0" w:type="auto"/>
            <w:noWrap/>
            <w:vAlign w:val="bottom"/>
            <w:hideMark/>
          </w:tcPr>
          <w:p w14:paraId="303AEA6E"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-0,3</w:t>
            </w:r>
          </w:p>
        </w:tc>
        <w:tc>
          <w:tcPr>
            <w:tcW w:w="0" w:type="auto"/>
            <w:noWrap/>
            <w:vAlign w:val="bottom"/>
            <w:hideMark/>
          </w:tcPr>
          <w:p w14:paraId="5F404F42"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-0,4</w:t>
            </w:r>
          </w:p>
        </w:tc>
        <w:tc>
          <w:tcPr>
            <w:tcW w:w="0" w:type="auto"/>
            <w:noWrap/>
            <w:vAlign w:val="bottom"/>
            <w:hideMark/>
          </w:tcPr>
          <w:p w14:paraId="412D73E3"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-0,8</w:t>
            </w:r>
          </w:p>
        </w:tc>
        <w:tc>
          <w:tcPr>
            <w:tcW w:w="0" w:type="auto"/>
            <w:noWrap/>
            <w:vAlign w:val="bottom"/>
            <w:hideMark/>
          </w:tcPr>
          <w:p w14:paraId="07C3AE4D"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-0,4</w:t>
            </w:r>
          </w:p>
        </w:tc>
        <w:tc>
          <w:tcPr>
            <w:tcW w:w="0" w:type="auto"/>
            <w:noWrap/>
            <w:vAlign w:val="bottom"/>
            <w:hideMark/>
          </w:tcPr>
          <w:p w14:paraId="7902637C" w14:textId="77777777" w:rsidR="00DE30C4" w:rsidRPr="004E6720"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E6720">
              <w:rPr>
                <w:rFonts w:ascii="Times New Roman" w:eastAsia="Times New Roman" w:hAnsi="Times New Roman" w:cs="Times New Roman"/>
                <w:color w:val="000000"/>
                <w:sz w:val="20"/>
                <w:szCs w:val="20"/>
                <w:lang w:eastAsia="lv-LV"/>
              </w:rPr>
              <w:t>-0,4</w:t>
            </w:r>
          </w:p>
        </w:tc>
      </w:tr>
    </w:tbl>
    <w:p w14:paraId="7066D4D6" w14:textId="77777777" w:rsidR="008D3062" w:rsidRPr="0021278B" w:rsidRDefault="008D3062" w:rsidP="008D3062">
      <w:pPr>
        <w:spacing w:after="0" w:line="240" w:lineRule="auto"/>
        <w:ind w:firstLine="567"/>
        <w:jc w:val="both"/>
        <w:rPr>
          <w:rFonts w:ascii="Times New Roman" w:hAnsi="Times New Roman" w:cs="Times New Roman"/>
          <w:sz w:val="24"/>
          <w:szCs w:val="24"/>
        </w:rPr>
      </w:pPr>
      <w:r w:rsidRPr="0021278B">
        <w:rPr>
          <w:rFonts w:ascii="Times New Roman" w:hAnsi="Times New Roman" w:cs="Times New Roman"/>
          <w:sz w:val="24"/>
          <w:szCs w:val="24"/>
        </w:rPr>
        <w:t>Lielāko devumu patēriņa cenu kāpumā š</w:t>
      </w:r>
      <w:r>
        <w:rPr>
          <w:rFonts w:ascii="Times New Roman" w:hAnsi="Times New Roman" w:cs="Times New Roman"/>
          <w:sz w:val="24"/>
          <w:szCs w:val="24"/>
        </w:rPr>
        <w:t>ā gada</w:t>
      </w:r>
      <w:r w:rsidRPr="0021278B">
        <w:rPr>
          <w:rFonts w:ascii="Times New Roman" w:hAnsi="Times New Roman" w:cs="Times New Roman"/>
          <w:sz w:val="24"/>
          <w:szCs w:val="24"/>
        </w:rPr>
        <w:t xml:space="preserve"> pirmajos divos mēnešos nodrošināja pārtik</w:t>
      </w:r>
      <w:r>
        <w:rPr>
          <w:rFonts w:ascii="Times New Roman" w:hAnsi="Times New Roman" w:cs="Times New Roman"/>
          <w:sz w:val="24"/>
          <w:szCs w:val="24"/>
        </w:rPr>
        <w:t>as cenu pieaugums par 3,9%, kas izskaidro</w:t>
      </w:r>
      <w:r w:rsidRPr="0021278B">
        <w:rPr>
          <w:rFonts w:ascii="Times New Roman" w:hAnsi="Times New Roman" w:cs="Times New Roman"/>
          <w:sz w:val="24"/>
          <w:szCs w:val="24"/>
        </w:rPr>
        <w:t xml:space="preserve"> vairāk kā trešdaļu no kopējā patēriņa cenu pieauguma</w:t>
      </w:r>
      <w:r>
        <w:rPr>
          <w:rFonts w:ascii="Times New Roman" w:hAnsi="Times New Roman" w:cs="Times New Roman"/>
          <w:sz w:val="24"/>
          <w:szCs w:val="24"/>
        </w:rPr>
        <w:t>.</w:t>
      </w:r>
      <w:r w:rsidRPr="0021278B">
        <w:rPr>
          <w:rFonts w:ascii="Times New Roman" w:hAnsi="Times New Roman" w:cs="Times New Roman"/>
          <w:sz w:val="24"/>
          <w:szCs w:val="24"/>
        </w:rPr>
        <w:t xml:space="preserve"> Izteikti augsts cenu kāpums </w:t>
      </w:r>
      <w:r>
        <w:rPr>
          <w:rFonts w:ascii="Times New Roman" w:hAnsi="Times New Roman" w:cs="Times New Roman"/>
          <w:sz w:val="24"/>
          <w:szCs w:val="24"/>
        </w:rPr>
        <w:t>bija</w:t>
      </w:r>
      <w:r w:rsidRPr="0021278B">
        <w:rPr>
          <w:rFonts w:ascii="Times New Roman" w:hAnsi="Times New Roman" w:cs="Times New Roman"/>
          <w:sz w:val="24"/>
          <w:szCs w:val="24"/>
        </w:rPr>
        <w:t xml:space="preserve"> svaigiem augļiem, gaļai un gaļas izstrādājumiem, rīsiem, ko noteica galvenokārt ārējie faktori (t.sk. pieprasījums Ķīnā).</w:t>
      </w:r>
    </w:p>
    <w:p w14:paraId="34000D1B" w14:textId="77777777" w:rsidR="008D3062" w:rsidRDefault="008D3062" w:rsidP="008D30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Savukārt inflācijas spiedienu</w:t>
      </w:r>
      <w:r w:rsidRPr="0021278B">
        <w:rPr>
          <w:rFonts w:ascii="Times New Roman" w:hAnsi="Times New Roman" w:cs="Times New Roman"/>
          <w:sz w:val="24"/>
          <w:szCs w:val="24"/>
        </w:rPr>
        <w:t xml:space="preserve"> mazinās energoresursu cenu kritums. Scenārijs paredz, ka 2020</w:t>
      </w:r>
      <w:r>
        <w:rPr>
          <w:rFonts w:ascii="Times New Roman" w:hAnsi="Times New Roman" w:cs="Times New Roman"/>
          <w:sz w:val="24"/>
          <w:szCs w:val="24"/>
        </w:rPr>
        <w:t>.gad</w:t>
      </w:r>
      <w:r w:rsidRPr="0021278B">
        <w:rPr>
          <w:rFonts w:ascii="Times New Roman" w:hAnsi="Times New Roman" w:cs="Times New Roman"/>
          <w:sz w:val="24"/>
          <w:szCs w:val="24"/>
        </w:rPr>
        <w:t>ā mazināsies gāzes, elektroenerģijas un ciet</w:t>
      </w:r>
      <w:r>
        <w:rPr>
          <w:rFonts w:ascii="Times New Roman" w:hAnsi="Times New Roman" w:cs="Times New Roman"/>
          <w:sz w:val="24"/>
          <w:szCs w:val="24"/>
        </w:rPr>
        <w:t>ā</w:t>
      </w:r>
      <w:r w:rsidRPr="0021278B">
        <w:rPr>
          <w:rFonts w:ascii="Times New Roman" w:hAnsi="Times New Roman" w:cs="Times New Roman"/>
          <w:sz w:val="24"/>
          <w:szCs w:val="24"/>
        </w:rPr>
        <w:t xml:space="preserve"> kurinām</w:t>
      </w:r>
      <w:r>
        <w:rPr>
          <w:rFonts w:ascii="Times New Roman" w:hAnsi="Times New Roman" w:cs="Times New Roman"/>
          <w:sz w:val="24"/>
          <w:szCs w:val="24"/>
        </w:rPr>
        <w:t>ā cenas. Attiecīgi z</w:t>
      </w:r>
      <w:r w:rsidRPr="0021278B">
        <w:rPr>
          <w:rFonts w:ascii="Times New Roman" w:hAnsi="Times New Roman" w:cs="Times New Roman"/>
          <w:sz w:val="24"/>
          <w:szCs w:val="24"/>
        </w:rPr>
        <w:t xml:space="preserve">emākas komunālo pakalpojumu cenas mazinās cenu spiedienu </w:t>
      </w:r>
      <w:r>
        <w:rPr>
          <w:rFonts w:ascii="Times New Roman" w:hAnsi="Times New Roman" w:cs="Times New Roman"/>
          <w:sz w:val="24"/>
          <w:szCs w:val="24"/>
        </w:rPr>
        <w:t xml:space="preserve">arī </w:t>
      </w:r>
      <w:r w:rsidRPr="0021278B">
        <w:rPr>
          <w:rFonts w:ascii="Times New Roman" w:hAnsi="Times New Roman" w:cs="Times New Roman"/>
          <w:sz w:val="24"/>
          <w:szCs w:val="24"/>
        </w:rPr>
        <w:t>uz tādiem pa</w:t>
      </w:r>
      <w:r>
        <w:rPr>
          <w:rFonts w:ascii="Times New Roman" w:hAnsi="Times New Roman" w:cs="Times New Roman"/>
          <w:sz w:val="24"/>
          <w:szCs w:val="24"/>
        </w:rPr>
        <w:t>kalpojumiem kā veselības aprūpe,</w:t>
      </w:r>
      <w:r w:rsidRPr="0021278B">
        <w:rPr>
          <w:rFonts w:ascii="Times New Roman" w:hAnsi="Times New Roman" w:cs="Times New Roman"/>
          <w:sz w:val="24"/>
          <w:szCs w:val="24"/>
        </w:rPr>
        <w:t xml:space="preserve"> ēdināšanas un izmitināšanas pakalpojumi.</w:t>
      </w:r>
    </w:p>
    <w:p w14:paraId="010385ED" w14:textId="77777777" w:rsidR="008D3062" w:rsidRPr="0021278B" w:rsidRDefault="008D3062" w:rsidP="008D30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w:t>
      </w:r>
      <w:r w:rsidRPr="0021278B">
        <w:rPr>
          <w:rFonts w:ascii="Times New Roman" w:hAnsi="Times New Roman" w:cs="Times New Roman"/>
          <w:sz w:val="24"/>
          <w:szCs w:val="24"/>
        </w:rPr>
        <w:t>au gada sākumā</w:t>
      </w:r>
      <w:r>
        <w:rPr>
          <w:rFonts w:ascii="Times New Roman" w:hAnsi="Times New Roman" w:cs="Times New Roman"/>
          <w:sz w:val="24"/>
          <w:szCs w:val="24"/>
        </w:rPr>
        <w:t xml:space="preserve"> bija sagaidāms, ka janvārī pieaugs degvielas cena</w:t>
      </w:r>
      <w:r w:rsidRPr="002127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278B">
        <w:rPr>
          <w:rFonts w:ascii="Times New Roman" w:hAnsi="Times New Roman" w:cs="Times New Roman"/>
          <w:sz w:val="24"/>
          <w:szCs w:val="24"/>
        </w:rPr>
        <w:t>salīdzinājumā ar pērnā gada attiecīgo mēnesi degviela sadārdzinājās par 8,8%. Savukārt februārī degvielas cenu kāpums gada gr</w:t>
      </w:r>
      <w:r>
        <w:rPr>
          <w:rFonts w:ascii="Times New Roman" w:hAnsi="Times New Roman" w:cs="Times New Roman"/>
          <w:sz w:val="24"/>
          <w:szCs w:val="24"/>
        </w:rPr>
        <w:t xml:space="preserve">iezumā bija </w:t>
      </w:r>
      <w:r w:rsidRPr="0021278B">
        <w:rPr>
          <w:rFonts w:ascii="Times New Roman" w:hAnsi="Times New Roman" w:cs="Times New Roman"/>
          <w:sz w:val="24"/>
          <w:szCs w:val="24"/>
        </w:rPr>
        <w:t>mazāks jeb 4,8%. Tādējādi degvielas cenu pieauguma spiediens uz inflāciju mazinās un turpinās mazināties vismaz līdz š</w:t>
      </w:r>
      <w:r>
        <w:rPr>
          <w:rFonts w:ascii="Times New Roman" w:hAnsi="Times New Roman" w:cs="Times New Roman"/>
          <w:sz w:val="24"/>
          <w:szCs w:val="24"/>
        </w:rPr>
        <w:t>ā gada</w:t>
      </w:r>
      <w:r w:rsidRPr="0021278B">
        <w:rPr>
          <w:rFonts w:ascii="Times New Roman" w:hAnsi="Times New Roman" w:cs="Times New Roman"/>
          <w:sz w:val="24"/>
          <w:szCs w:val="24"/>
        </w:rPr>
        <w:t xml:space="preserve"> vidum. Degvielas cenu kāpumu š</w:t>
      </w:r>
      <w:r>
        <w:rPr>
          <w:rFonts w:ascii="Times New Roman" w:hAnsi="Times New Roman" w:cs="Times New Roman"/>
          <w:sz w:val="24"/>
          <w:szCs w:val="24"/>
        </w:rPr>
        <w:t>ā gada</w:t>
      </w:r>
      <w:r w:rsidRPr="0021278B">
        <w:rPr>
          <w:rFonts w:ascii="Times New Roman" w:hAnsi="Times New Roman" w:cs="Times New Roman"/>
          <w:sz w:val="24"/>
          <w:szCs w:val="24"/>
        </w:rPr>
        <w:t xml:space="preserve"> s</w:t>
      </w:r>
      <w:r>
        <w:rPr>
          <w:rFonts w:ascii="Times New Roman" w:hAnsi="Times New Roman" w:cs="Times New Roman"/>
          <w:sz w:val="24"/>
          <w:szCs w:val="24"/>
        </w:rPr>
        <w:t>ā</w:t>
      </w:r>
      <w:r w:rsidRPr="0021278B">
        <w:rPr>
          <w:rFonts w:ascii="Times New Roman" w:hAnsi="Times New Roman" w:cs="Times New Roman"/>
          <w:sz w:val="24"/>
          <w:szCs w:val="24"/>
        </w:rPr>
        <w:t>kumā noteica divi faktori</w:t>
      </w:r>
      <w:r>
        <w:rPr>
          <w:rFonts w:ascii="Times New Roman" w:hAnsi="Times New Roman" w:cs="Times New Roman"/>
          <w:sz w:val="24"/>
          <w:szCs w:val="24"/>
        </w:rPr>
        <w:t xml:space="preserve"> - </w:t>
      </w:r>
      <w:r w:rsidRPr="0021278B">
        <w:rPr>
          <w:rFonts w:ascii="Times New Roman" w:hAnsi="Times New Roman" w:cs="Times New Roman"/>
          <w:sz w:val="24"/>
          <w:szCs w:val="24"/>
        </w:rPr>
        <w:t>pirmkārt, š</w:t>
      </w:r>
      <w:r>
        <w:rPr>
          <w:rFonts w:ascii="Times New Roman" w:hAnsi="Times New Roman" w:cs="Times New Roman"/>
          <w:sz w:val="24"/>
          <w:szCs w:val="24"/>
        </w:rPr>
        <w:t>ā gada</w:t>
      </w:r>
      <w:r w:rsidRPr="0021278B">
        <w:rPr>
          <w:rFonts w:ascii="Times New Roman" w:hAnsi="Times New Roman" w:cs="Times New Roman"/>
          <w:sz w:val="24"/>
          <w:szCs w:val="24"/>
        </w:rPr>
        <w:t xml:space="preserve"> 1.janvārī </w:t>
      </w:r>
      <w:r>
        <w:rPr>
          <w:rFonts w:ascii="Times New Roman" w:hAnsi="Times New Roman" w:cs="Times New Roman"/>
          <w:sz w:val="24"/>
          <w:szCs w:val="24"/>
        </w:rPr>
        <w:t>tika</w:t>
      </w:r>
      <w:r w:rsidRPr="0021278B">
        <w:rPr>
          <w:rFonts w:ascii="Times New Roman" w:hAnsi="Times New Roman" w:cs="Times New Roman"/>
          <w:sz w:val="24"/>
          <w:szCs w:val="24"/>
        </w:rPr>
        <w:t xml:space="preserve"> palielināta akcīzes nodokļu likme naftas produktiem</w:t>
      </w:r>
      <w:r>
        <w:rPr>
          <w:rFonts w:ascii="Times New Roman" w:hAnsi="Times New Roman" w:cs="Times New Roman"/>
          <w:sz w:val="24"/>
          <w:szCs w:val="24"/>
        </w:rPr>
        <w:t>,</w:t>
      </w:r>
      <w:r w:rsidRPr="0021278B">
        <w:rPr>
          <w:rFonts w:ascii="Times New Roman" w:hAnsi="Times New Roman" w:cs="Times New Roman"/>
          <w:sz w:val="24"/>
          <w:szCs w:val="24"/>
        </w:rPr>
        <w:t xml:space="preserve"> otrkārt, augstāka</w:t>
      </w:r>
      <w:r>
        <w:rPr>
          <w:rFonts w:ascii="Times New Roman" w:hAnsi="Times New Roman" w:cs="Times New Roman"/>
          <w:sz w:val="24"/>
          <w:szCs w:val="24"/>
        </w:rPr>
        <w:t xml:space="preserve"> naftas cena pasaules tirgos. Taču kopš gada sākuma</w:t>
      </w:r>
      <w:r w:rsidRPr="0021278B">
        <w:rPr>
          <w:rFonts w:ascii="Times New Roman" w:hAnsi="Times New Roman" w:cs="Times New Roman"/>
          <w:sz w:val="24"/>
          <w:szCs w:val="24"/>
        </w:rPr>
        <w:t xml:space="preserve"> naftas cena uzrāda lejupejoš</w:t>
      </w:r>
      <w:r>
        <w:rPr>
          <w:rFonts w:ascii="Times New Roman" w:hAnsi="Times New Roman" w:cs="Times New Roman"/>
          <w:sz w:val="24"/>
          <w:szCs w:val="24"/>
        </w:rPr>
        <w:t>u dinamiku, ko lielā mērā nosaka</w:t>
      </w:r>
      <w:r w:rsidRPr="0021278B">
        <w:rPr>
          <w:rFonts w:ascii="Times New Roman" w:hAnsi="Times New Roman" w:cs="Times New Roman"/>
          <w:sz w:val="24"/>
          <w:szCs w:val="24"/>
        </w:rPr>
        <w:t xml:space="preserve"> energoresursu patēriņa samazinājums pasaulē. Scenārijs paredz, ka naftas cena </w:t>
      </w:r>
      <w:r>
        <w:rPr>
          <w:rFonts w:ascii="Times New Roman" w:hAnsi="Times New Roman" w:cs="Times New Roman"/>
          <w:sz w:val="24"/>
          <w:szCs w:val="24"/>
        </w:rPr>
        <w:t>pirmajā pusgadā mazināsies, bet otrajā pusgadā stabilizēsies</w:t>
      </w:r>
      <w:r w:rsidRPr="0021278B">
        <w:rPr>
          <w:rFonts w:ascii="Times New Roman" w:hAnsi="Times New Roman" w:cs="Times New Roman"/>
          <w:sz w:val="24"/>
          <w:szCs w:val="24"/>
        </w:rPr>
        <w:t xml:space="preserve">, tādējādi </w:t>
      </w:r>
      <w:r>
        <w:rPr>
          <w:rFonts w:ascii="Times New Roman" w:hAnsi="Times New Roman" w:cs="Times New Roman"/>
          <w:sz w:val="24"/>
          <w:szCs w:val="24"/>
        </w:rPr>
        <w:t xml:space="preserve">naftas </w:t>
      </w:r>
      <w:r w:rsidRPr="0021278B">
        <w:rPr>
          <w:rFonts w:ascii="Times New Roman" w:hAnsi="Times New Roman" w:cs="Times New Roman"/>
          <w:sz w:val="24"/>
          <w:szCs w:val="24"/>
        </w:rPr>
        <w:t>vidējā cena 2020</w:t>
      </w:r>
      <w:r>
        <w:rPr>
          <w:rFonts w:ascii="Times New Roman" w:hAnsi="Times New Roman" w:cs="Times New Roman"/>
          <w:sz w:val="24"/>
          <w:szCs w:val="24"/>
        </w:rPr>
        <w:t>.gad</w:t>
      </w:r>
      <w:r w:rsidRPr="0021278B">
        <w:rPr>
          <w:rFonts w:ascii="Times New Roman" w:hAnsi="Times New Roman" w:cs="Times New Roman"/>
          <w:sz w:val="24"/>
          <w:szCs w:val="24"/>
        </w:rPr>
        <w:t xml:space="preserve">ā varētu būt </w:t>
      </w:r>
      <w:r>
        <w:rPr>
          <w:rFonts w:ascii="Times New Roman" w:hAnsi="Times New Roman" w:cs="Times New Roman"/>
          <w:sz w:val="24"/>
          <w:szCs w:val="24"/>
        </w:rPr>
        <w:t xml:space="preserve">tuvu </w:t>
      </w:r>
      <w:r w:rsidRPr="0021278B">
        <w:rPr>
          <w:rFonts w:ascii="Times New Roman" w:hAnsi="Times New Roman" w:cs="Times New Roman"/>
          <w:sz w:val="24"/>
          <w:szCs w:val="24"/>
        </w:rPr>
        <w:t>2019</w:t>
      </w:r>
      <w:r>
        <w:rPr>
          <w:rFonts w:ascii="Times New Roman" w:hAnsi="Times New Roman" w:cs="Times New Roman"/>
          <w:sz w:val="24"/>
          <w:szCs w:val="24"/>
        </w:rPr>
        <w:t>.gada līmenim</w:t>
      </w:r>
      <w:r w:rsidRPr="0021278B">
        <w:rPr>
          <w:rFonts w:ascii="Times New Roman" w:hAnsi="Times New Roman" w:cs="Times New Roman"/>
          <w:sz w:val="24"/>
          <w:szCs w:val="24"/>
        </w:rPr>
        <w:t xml:space="preserve">. </w:t>
      </w:r>
    </w:p>
    <w:p w14:paraId="7F3582A7" w14:textId="77777777" w:rsidR="008D3062" w:rsidRDefault="008D3062" w:rsidP="008D3062">
      <w:pPr>
        <w:spacing w:after="0" w:line="240" w:lineRule="auto"/>
        <w:ind w:firstLine="567"/>
        <w:jc w:val="both"/>
        <w:rPr>
          <w:rFonts w:ascii="Times New Roman" w:hAnsi="Times New Roman" w:cs="Times New Roman"/>
          <w:sz w:val="24"/>
          <w:szCs w:val="24"/>
        </w:rPr>
      </w:pPr>
      <w:r w:rsidRPr="0021278B">
        <w:rPr>
          <w:rFonts w:ascii="Times New Roman" w:hAnsi="Times New Roman" w:cs="Times New Roman"/>
          <w:sz w:val="24"/>
          <w:szCs w:val="24"/>
        </w:rPr>
        <w:t>Nodokļu paaugstinošo ietekmi uz patēriņa cenām nodrošinās akcīzes nodokļa likmju palielināšana alkoholiskajiem dzērieniem no š</w:t>
      </w:r>
      <w:r>
        <w:rPr>
          <w:rFonts w:ascii="Times New Roman" w:hAnsi="Times New Roman" w:cs="Times New Roman"/>
          <w:sz w:val="24"/>
          <w:szCs w:val="24"/>
        </w:rPr>
        <w:t>ā gada</w:t>
      </w:r>
      <w:r w:rsidRPr="0021278B">
        <w:rPr>
          <w:rFonts w:ascii="Times New Roman" w:hAnsi="Times New Roman" w:cs="Times New Roman"/>
          <w:sz w:val="24"/>
          <w:szCs w:val="24"/>
        </w:rPr>
        <w:t xml:space="preserve"> marta. Akcīzes nodokļa likme tabakas izstrādājumiem šogad </w:t>
      </w:r>
      <w:r>
        <w:rPr>
          <w:rFonts w:ascii="Times New Roman" w:hAnsi="Times New Roman" w:cs="Times New Roman"/>
          <w:sz w:val="24"/>
          <w:szCs w:val="24"/>
        </w:rPr>
        <w:t xml:space="preserve">saglabājas </w:t>
      </w:r>
      <w:r w:rsidRPr="0021278B">
        <w:rPr>
          <w:rFonts w:ascii="Times New Roman" w:hAnsi="Times New Roman" w:cs="Times New Roman"/>
          <w:sz w:val="24"/>
          <w:szCs w:val="24"/>
        </w:rPr>
        <w:t>nemainīga, taču tabakas</w:t>
      </w:r>
      <w:r>
        <w:rPr>
          <w:rFonts w:ascii="Times New Roman" w:hAnsi="Times New Roman" w:cs="Times New Roman"/>
          <w:sz w:val="24"/>
          <w:szCs w:val="24"/>
        </w:rPr>
        <w:t xml:space="preserve"> izstrādājumu</w:t>
      </w:r>
      <w:r w:rsidRPr="0021278B">
        <w:rPr>
          <w:rFonts w:ascii="Times New Roman" w:hAnsi="Times New Roman" w:cs="Times New Roman"/>
          <w:sz w:val="24"/>
          <w:szCs w:val="24"/>
        </w:rPr>
        <w:t xml:space="preserve"> cen</w:t>
      </w:r>
      <w:r>
        <w:rPr>
          <w:rFonts w:ascii="Times New Roman" w:hAnsi="Times New Roman" w:cs="Times New Roman"/>
          <w:sz w:val="24"/>
          <w:szCs w:val="24"/>
        </w:rPr>
        <w:t>as šā gada pirmajā pusgadā ietekmēs</w:t>
      </w:r>
      <w:r w:rsidRPr="0021278B">
        <w:rPr>
          <w:rFonts w:ascii="Times New Roman" w:hAnsi="Times New Roman" w:cs="Times New Roman"/>
          <w:sz w:val="24"/>
          <w:szCs w:val="24"/>
        </w:rPr>
        <w:t xml:space="preserve"> vēl pērnā gada jūlijā palielināt</w:t>
      </w:r>
      <w:r>
        <w:rPr>
          <w:rFonts w:ascii="Times New Roman" w:hAnsi="Times New Roman" w:cs="Times New Roman"/>
          <w:sz w:val="24"/>
          <w:szCs w:val="24"/>
        </w:rPr>
        <w:t>ā</w:t>
      </w:r>
      <w:r w:rsidRPr="0021278B">
        <w:rPr>
          <w:rFonts w:ascii="Times New Roman" w:hAnsi="Times New Roman" w:cs="Times New Roman"/>
          <w:sz w:val="24"/>
          <w:szCs w:val="24"/>
        </w:rPr>
        <w:t xml:space="preserve"> akcīzes nodokļa likme.</w:t>
      </w:r>
    </w:p>
    <w:p w14:paraId="42E22B4B" w14:textId="77777777" w:rsidR="008D3062" w:rsidRDefault="008D3062" w:rsidP="008D3062">
      <w:pPr>
        <w:spacing w:after="60" w:line="240" w:lineRule="auto"/>
        <w:ind w:firstLine="567"/>
        <w:jc w:val="both"/>
        <w:rPr>
          <w:rFonts w:ascii="Times New Roman" w:hAnsi="Times New Roman" w:cs="Times New Roman"/>
          <w:sz w:val="24"/>
          <w:szCs w:val="24"/>
        </w:rPr>
      </w:pPr>
      <w:r w:rsidRPr="00B5460E">
        <w:rPr>
          <w:rFonts w:ascii="Times New Roman" w:hAnsi="Times New Roman" w:cs="Times New Roman"/>
          <w:sz w:val="24"/>
          <w:szCs w:val="24"/>
        </w:rPr>
        <w:t>Atbilstoši bāzes scenārijam, darba samaksas pieaugums 2020</w:t>
      </w:r>
      <w:r>
        <w:rPr>
          <w:rFonts w:ascii="Times New Roman" w:hAnsi="Times New Roman" w:cs="Times New Roman"/>
          <w:sz w:val="24"/>
          <w:szCs w:val="24"/>
        </w:rPr>
        <w:t>.gad</w:t>
      </w:r>
      <w:r w:rsidRPr="00B5460E">
        <w:rPr>
          <w:rFonts w:ascii="Times New Roman" w:hAnsi="Times New Roman" w:cs="Times New Roman"/>
          <w:sz w:val="24"/>
          <w:szCs w:val="24"/>
        </w:rPr>
        <w:t>ā būs nedaudz zemāks kā iepriekšējos gados, ko noteiks lēnāka ekonomikas izaugsme, tomēr bāzes efektu un darbaspēka piedāvājuma sarukuma ietekmē saglabāsies salīdzinoši spēcīgs. Mēneša vidējā bruto darba samaksa 2020</w:t>
      </w:r>
      <w:r>
        <w:rPr>
          <w:rFonts w:ascii="Times New Roman" w:hAnsi="Times New Roman" w:cs="Times New Roman"/>
          <w:sz w:val="24"/>
          <w:szCs w:val="24"/>
        </w:rPr>
        <w:t>.gad</w:t>
      </w:r>
      <w:r w:rsidRPr="00B5460E">
        <w:rPr>
          <w:rFonts w:ascii="Times New Roman" w:hAnsi="Times New Roman" w:cs="Times New Roman"/>
          <w:sz w:val="24"/>
          <w:szCs w:val="24"/>
        </w:rPr>
        <w:t>ā palielinās</w:t>
      </w:r>
      <w:r>
        <w:rPr>
          <w:rFonts w:ascii="Times New Roman" w:hAnsi="Times New Roman" w:cs="Times New Roman"/>
          <w:sz w:val="24"/>
          <w:szCs w:val="24"/>
        </w:rPr>
        <w:t>ies par 6,0% un sasniegs 1</w:t>
      </w:r>
      <w:r w:rsidRPr="0098250F">
        <w:rPr>
          <w:rFonts w:ascii="Times New Roman" w:hAnsi="Times New Roman" w:cs="Times New Roman"/>
          <w:sz w:val="24"/>
          <w:szCs w:val="20"/>
        </w:rPr>
        <w:t> </w:t>
      </w:r>
      <w:r>
        <w:rPr>
          <w:rFonts w:ascii="Times New Roman" w:hAnsi="Times New Roman" w:cs="Times New Roman"/>
          <w:sz w:val="24"/>
          <w:szCs w:val="24"/>
        </w:rPr>
        <w:t xml:space="preserve">147 </w:t>
      </w:r>
      <w:r w:rsidRPr="00AB5D98">
        <w:rPr>
          <w:rFonts w:ascii="Times New Roman" w:hAnsi="Times New Roman" w:cs="Times New Roman"/>
          <w:i/>
          <w:sz w:val="24"/>
          <w:szCs w:val="24"/>
        </w:rPr>
        <w:t>euro</w:t>
      </w:r>
      <w:r w:rsidRPr="00B5460E">
        <w:rPr>
          <w:rFonts w:ascii="Times New Roman" w:hAnsi="Times New Roman" w:cs="Times New Roman"/>
          <w:sz w:val="24"/>
          <w:szCs w:val="24"/>
        </w:rPr>
        <w:t>. Nākamajos gados algu pieauguma tempi pakāpeniski palēnināsies, 2021</w:t>
      </w:r>
      <w:r>
        <w:rPr>
          <w:rFonts w:ascii="Times New Roman" w:hAnsi="Times New Roman" w:cs="Times New Roman"/>
          <w:sz w:val="24"/>
          <w:szCs w:val="24"/>
        </w:rPr>
        <w:t>.gad</w:t>
      </w:r>
      <w:r w:rsidRPr="00B5460E">
        <w:rPr>
          <w:rFonts w:ascii="Times New Roman" w:hAnsi="Times New Roman" w:cs="Times New Roman"/>
          <w:sz w:val="24"/>
          <w:szCs w:val="24"/>
        </w:rPr>
        <w:t xml:space="preserve">ā pieaugumu vēl pozitīvi ietekmēs plānotais minimālās </w:t>
      </w:r>
      <w:r>
        <w:rPr>
          <w:rFonts w:ascii="Times New Roman" w:hAnsi="Times New Roman" w:cs="Times New Roman"/>
          <w:sz w:val="24"/>
          <w:szCs w:val="24"/>
        </w:rPr>
        <w:t xml:space="preserve">algas paaugstinājums līdz 500 </w:t>
      </w:r>
      <w:r w:rsidRPr="00AB5D98">
        <w:rPr>
          <w:rFonts w:ascii="Times New Roman" w:hAnsi="Times New Roman" w:cs="Times New Roman"/>
          <w:i/>
          <w:sz w:val="24"/>
          <w:szCs w:val="24"/>
        </w:rPr>
        <w:t>euro</w:t>
      </w:r>
      <w:r w:rsidRPr="00B5460E">
        <w:rPr>
          <w:rFonts w:ascii="Times New Roman" w:hAnsi="Times New Roman" w:cs="Times New Roman"/>
          <w:sz w:val="24"/>
          <w:szCs w:val="24"/>
        </w:rPr>
        <w:t>, un vidējās algas pieaugums veidos 5,5%, bet pēc tam stabilizēsies 5% līmeni, kas būs tuvu produktivitātes pieaugumam tautsaimniecībā.</w:t>
      </w:r>
    </w:p>
    <w:p w14:paraId="1404A5AB" w14:textId="07BA3BBE" w:rsidR="00DE30C4" w:rsidRPr="0044525D" w:rsidRDefault="00DE30C4" w:rsidP="00B20076">
      <w:pPr>
        <w:pStyle w:val="Heading3"/>
        <w:numPr>
          <w:ilvl w:val="2"/>
          <w:numId w:val="12"/>
        </w:numPr>
        <w:ind w:hanging="153"/>
        <w:rPr>
          <w:rFonts w:ascii="Times New Roman" w:eastAsia="Times New Roman" w:hAnsi="Times New Roman" w:cs="Times New Roman"/>
          <w:sz w:val="24"/>
          <w:szCs w:val="24"/>
          <w:lang w:eastAsia="lv-LV"/>
        </w:rPr>
      </w:pPr>
      <w:bookmarkStart w:id="17" w:name="_Toc38887968"/>
      <w:r w:rsidRPr="0044525D">
        <w:rPr>
          <w:rFonts w:ascii="Times New Roman" w:eastAsia="Times New Roman" w:hAnsi="Times New Roman" w:cs="Times New Roman"/>
          <w:sz w:val="24"/>
          <w:szCs w:val="24"/>
          <w:lang w:eastAsia="lv-LV"/>
        </w:rPr>
        <w:t>Covid-19 ietekmes scenārijs</w:t>
      </w:r>
      <w:bookmarkEnd w:id="17"/>
      <w:r w:rsidRPr="0044525D">
        <w:rPr>
          <w:rFonts w:ascii="Times New Roman" w:eastAsia="Times New Roman" w:hAnsi="Times New Roman" w:cs="Times New Roman"/>
          <w:sz w:val="24"/>
          <w:szCs w:val="24"/>
          <w:lang w:eastAsia="lv-LV"/>
        </w:rPr>
        <w:t xml:space="preserve"> </w:t>
      </w:r>
    </w:p>
    <w:p w14:paraId="11545FF3" w14:textId="60BCA200" w:rsidR="00DE30C4" w:rsidRPr="00194093" w:rsidRDefault="00DE30C4" w:rsidP="000258AF">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Ņemot vērā, ka koronavīrusa straujā izplatība pasaulē un Eiropā</w:t>
      </w:r>
      <w:r>
        <w:rPr>
          <w:rFonts w:ascii="Times New Roman" w:hAnsi="Times New Roman" w:cs="Times New Roman"/>
          <w:sz w:val="24"/>
          <w:szCs w:val="24"/>
        </w:rPr>
        <w:t>,</w:t>
      </w:r>
      <w:r w:rsidRPr="00194093">
        <w:rPr>
          <w:rFonts w:ascii="Times New Roman" w:hAnsi="Times New Roman" w:cs="Times New Roman"/>
          <w:sz w:val="24"/>
          <w:szCs w:val="24"/>
        </w:rPr>
        <w:t xml:space="preserve"> </w:t>
      </w:r>
      <w:r>
        <w:rPr>
          <w:rFonts w:ascii="Times New Roman" w:hAnsi="Times New Roman" w:cs="Times New Roman"/>
          <w:sz w:val="24"/>
          <w:szCs w:val="24"/>
        </w:rPr>
        <w:t>kā arī</w:t>
      </w:r>
      <w:r w:rsidRPr="00194093">
        <w:rPr>
          <w:rFonts w:ascii="Times New Roman" w:hAnsi="Times New Roman" w:cs="Times New Roman"/>
          <w:sz w:val="24"/>
          <w:szCs w:val="24"/>
        </w:rPr>
        <w:t xml:space="preserve"> ieviestie pa</w:t>
      </w:r>
      <w:r w:rsidR="00E973F7">
        <w:rPr>
          <w:rFonts w:ascii="Times New Roman" w:hAnsi="Times New Roman" w:cs="Times New Roman"/>
          <w:sz w:val="24"/>
          <w:szCs w:val="24"/>
        </w:rPr>
        <w:t>sākumi pandēmijas ierobežošanai</w:t>
      </w:r>
      <w:r w:rsidRPr="00194093">
        <w:rPr>
          <w:rFonts w:ascii="Times New Roman" w:hAnsi="Times New Roman" w:cs="Times New Roman"/>
          <w:sz w:val="24"/>
          <w:szCs w:val="24"/>
        </w:rPr>
        <w:t xml:space="preserve"> ir nopietni ietekmējuši pasaules valstu ekono</w:t>
      </w:r>
      <w:r w:rsidR="00E973F7">
        <w:rPr>
          <w:rFonts w:ascii="Times New Roman" w:hAnsi="Times New Roman" w:cs="Times New Roman"/>
          <w:sz w:val="24"/>
          <w:szCs w:val="24"/>
        </w:rPr>
        <w:t>mikas attīstību, FM š.g. aprīlī</w:t>
      </w:r>
      <w:r w:rsidRPr="00194093">
        <w:rPr>
          <w:rFonts w:ascii="Times New Roman" w:hAnsi="Times New Roman" w:cs="Times New Roman"/>
          <w:sz w:val="24"/>
          <w:szCs w:val="24"/>
        </w:rPr>
        <w:t xml:space="preserve"> ir izstrādājusi jaunu vidēja termiņa makroe</w:t>
      </w:r>
      <w:r>
        <w:rPr>
          <w:rFonts w:ascii="Times New Roman" w:hAnsi="Times New Roman" w:cs="Times New Roman"/>
          <w:sz w:val="24"/>
          <w:szCs w:val="24"/>
        </w:rPr>
        <w:t>konomiskās attīstības scenāriju.</w:t>
      </w:r>
      <w:r w:rsidRPr="00194093">
        <w:rPr>
          <w:rFonts w:ascii="Times New Roman" w:hAnsi="Times New Roman" w:cs="Times New Roman"/>
          <w:sz w:val="24"/>
          <w:szCs w:val="24"/>
        </w:rPr>
        <w:t xml:space="preserve"> </w:t>
      </w:r>
      <w:r>
        <w:rPr>
          <w:rFonts w:ascii="Times New Roman" w:hAnsi="Times New Roman" w:cs="Times New Roman"/>
          <w:sz w:val="24"/>
          <w:szCs w:val="24"/>
        </w:rPr>
        <w:t>Šis scenārijs</w:t>
      </w:r>
      <w:r w:rsidRPr="00194093">
        <w:rPr>
          <w:rFonts w:ascii="Times New Roman" w:hAnsi="Times New Roman" w:cs="Times New Roman"/>
          <w:sz w:val="24"/>
          <w:szCs w:val="24"/>
        </w:rPr>
        <w:t xml:space="preserve"> ņem vērā </w:t>
      </w:r>
      <w:r>
        <w:rPr>
          <w:rFonts w:ascii="Times New Roman" w:hAnsi="Times New Roman" w:cs="Times New Roman"/>
          <w:sz w:val="24"/>
          <w:szCs w:val="24"/>
        </w:rPr>
        <w:t xml:space="preserve">gan </w:t>
      </w:r>
      <w:r w:rsidRPr="00194093">
        <w:rPr>
          <w:rFonts w:ascii="Times New Roman" w:hAnsi="Times New Roman" w:cs="Times New Roman"/>
          <w:sz w:val="24"/>
          <w:szCs w:val="24"/>
        </w:rPr>
        <w:t>Covid-19 negatīvo ietekmi uz Latvijas ekonomisko izaugsmi</w:t>
      </w:r>
      <w:r>
        <w:rPr>
          <w:rFonts w:ascii="Times New Roman" w:hAnsi="Times New Roman" w:cs="Times New Roman"/>
          <w:sz w:val="24"/>
          <w:szCs w:val="24"/>
        </w:rPr>
        <w:t>, gan arī Latvijas valdības atbalsta pasākumus krīzes ietekmes mazināšanai, tādejādi prognozējot</w:t>
      </w:r>
      <w:r w:rsidRPr="00194093">
        <w:rPr>
          <w:rFonts w:ascii="Times New Roman" w:hAnsi="Times New Roman" w:cs="Times New Roman"/>
          <w:sz w:val="24"/>
          <w:szCs w:val="24"/>
        </w:rPr>
        <w:t xml:space="preserve"> Latvijas IKP kritu</w:t>
      </w:r>
      <w:r w:rsidR="004E6720">
        <w:rPr>
          <w:rFonts w:ascii="Times New Roman" w:hAnsi="Times New Roman" w:cs="Times New Roman"/>
          <w:sz w:val="24"/>
          <w:szCs w:val="24"/>
        </w:rPr>
        <w:t>mu 2020.</w:t>
      </w:r>
      <w:r w:rsidRPr="00194093">
        <w:rPr>
          <w:rFonts w:ascii="Times New Roman" w:hAnsi="Times New Roman" w:cs="Times New Roman"/>
          <w:sz w:val="24"/>
          <w:szCs w:val="24"/>
        </w:rPr>
        <w:t>gadā par 7%.</w:t>
      </w:r>
      <w:r>
        <w:rPr>
          <w:rFonts w:ascii="Times New Roman" w:hAnsi="Times New Roman" w:cs="Times New Roman"/>
          <w:sz w:val="24"/>
          <w:szCs w:val="24"/>
        </w:rPr>
        <w:t xml:space="preserve"> </w:t>
      </w:r>
      <w:r w:rsidRPr="00194093">
        <w:rPr>
          <w:rFonts w:ascii="Times New Roman" w:hAnsi="Times New Roman" w:cs="Times New Roman"/>
          <w:sz w:val="24"/>
          <w:szCs w:val="24"/>
        </w:rPr>
        <w:t xml:space="preserve">Makroekonomiskās attīstības scenārijs </w:t>
      </w:r>
      <w:r w:rsidR="004E6720">
        <w:rPr>
          <w:rFonts w:ascii="Times New Roman" w:hAnsi="Times New Roman" w:cs="Times New Roman"/>
          <w:sz w:val="24"/>
          <w:szCs w:val="24"/>
        </w:rPr>
        <w:t>veidots, balstoties uz EK 2020.</w:t>
      </w:r>
      <w:r w:rsidRPr="00194093">
        <w:rPr>
          <w:rFonts w:ascii="Times New Roman" w:hAnsi="Times New Roman" w:cs="Times New Roman"/>
          <w:sz w:val="24"/>
          <w:szCs w:val="24"/>
        </w:rPr>
        <w:t xml:space="preserve">gada pavasara prognožu tehniskajiem pieņēmumiem, kas </w:t>
      </w:r>
      <w:r>
        <w:rPr>
          <w:rFonts w:ascii="Times New Roman" w:hAnsi="Times New Roman" w:cs="Times New Roman"/>
          <w:sz w:val="24"/>
          <w:szCs w:val="24"/>
        </w:rPr>
        <w:t xml:space="preserve">tika </w:t>
      </w:r>
      <w:r w:rsidRPr="00194093">
        <w:rPr>
          <w:rFonts w:ascii="Times New Roman" w:hAnsi="Times New Roman" w:cs="Times New Roman"/>
          <w:sz w:val="24"/>
          <w:szCs w:val="24"/>
        </w:rPr>
        <w:t>publiskoti 25.martā, tajā skaitā</w:t>
      </w:r>
      <w:r>
        <w:rPr>
          <w:rFonts w:ascii="Times New Roman" w:hAnsi="Times New Roman" w:cs="Times New Roman"/>
          <w:sz w:val="24"/>
          <w:szCs w:val="24"/>
        </w:rPr>
        <w:t xml:space="preserve"> prognozēm </w:t>
      </w:r>
      <w:r w:rsidRPr="00194093">
        <w:rPr>
          <w:rFonts w:ascii="Times New Roman" w:hAnsi="Times New Roman" w:cs="Times New Roman"/>
          <w:sz w:val="24"/>
          <w:szCs w:val="24"/>
        </w:rPr>
        <w:t xml:space="preserve">par ekonomikas izaugsmi pasaulē. </w:t>
      </w:r>
      <w:r>
        <w:rPr>
          <w:rFonts w:ascii="Times New Roman" w:hAnsi="Times New Roman" w:cs="Times New Roman"/>
          <w:sz w:val="24"/>
          <w:szCs w:val="24"/>
        </w:rPr>
        <w:t>FM p</w:t>
      </w:r>
      <w:r w:rsidRPr="00194093">
        <w:rPr>
          <w:rFonts w:ascii="Times New Roman" w:hAnsi="Times New Roman" w:cs="Times New Roman"/>
          <w:sz w:val="24"/>
          <w:szCs w:val="24"/>
        </w:rPr>
        <w:t xml:space="preserve">rognozēs arī pieņemts, ka </w:t>
      </w:r>
      <w:r w:rsidR="004E6720">
        <w:rPr>
          <w:rFonts w:ascii="Times New Roman" w:hAnsi="Times New Roman" w:cs="Times New Roman"/>
          <w:sz w:val="24"/>
          <w:szCs w:val="24"/>
        </w:rPr>
        <w:t>vidējā naftas cena 2020.</w:t>
      </w:r>
      <w:r w:rsidRPr="00194093">
        <w:rPr>
          <w:rFonts w:ascii="Times New Roman" w:hAnsi="Times New Roman" w:cs="Times New Roman"/>
          <w:sz w:val="24"/>
          <w:szCs w:val="24"/>
        </w:rPr>
        <w:t xml:space="preserve">gadā būs 38 </w:t>
      </w:r>
      <w:r>
        <w:rPr>
          <w:rFonts w:ascii="Times New Roman" w:hAnsi="Times New Roman" w:cs="Times New Roman"/>
          <w:sz w:val="24"/>
          <w:szCs w:val="24"/>
        </w:rPr>
        <w:t>ASV dolāri par barelu</w:t>
      </w:r>
      <w:r w:rsidRPr="00194093">
        <w:rPr>
          <w:rFonts w:ascii="Times New Roman" w:hAnsi="Times New Roman" w:cs="Times New Roman"/>
          <w:sz w:val="24"/>
          <w:szCs w:val="24"/>
        </w:rPr>
        <w:t xml:space="preserve">, kas ir </w:t>
      </w:r>
      <w:r w:rsidR="004E6720">
        <w:rPr>
          <w:rFonts w:ascii="Times New Roman" w:hAnsi="Times New Roman" w:cs="Times New Roman"/>
          <w:sz w:val="24"/>
          <w:szCs w:val="24"/>
        </w:rPr>
        <w:t>par 41% mazāk nekā vidēji 2019.</w:t>
      </w:r>
      <w:r w:rsidRPr="00194093">
        <w:rPr>
          <w:rFonts w:ascii="Times New Roman" w:hAnsi="Times New Roman" w:cs="Times New Roman"/>
          <w:sz w:val="24"/>
          <w:szCs w:val="24"/>
        </w:rPr>
        <w:t>gadā.</w:t>
      </w:r>
    </w:p>
    <w:p w14:paraId="6CF1A40C" w14:textId="27951901" w:rsidR="00DE30C4" w:rsidRPr="00194093" w:rsidRDefault="00DE30C4" w:rsidP="000258AF">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 xml:space="preserve">Makroekonomiskās attīstības scenārijs balstās uz pieņēmumu, ka vīrusa </w:t>
      </w:r>
      <w:r w:rsidR="00E973F7">
        <w:rPr>
          <w:rFonts w:ascii="Times New Roman" w:hAnsi="Times New Roman" w:cs="Times New Roman"/>
          <w:sz w:val="24"/>
          <w:szCs w:val="24"/>
        </w:rPr>
        <w:t>pandēmija tiek ierobežota 2020.</w:t>
      </w:r>
      <w:r w:rsidRPr="00194093">
        <w:rPr>
          <w:rFonts w:ascii="Times New Roman" w:hAnsi="Times New Roman" w:cs="Times New Roman"/>
          <w:sz w:val="24"/>
          <w:szCs w:val="24"/>
        </w:rPr>
        <w:t>gada pirmajā pusē un pēc tam ekonomiskā aktivitāte pakāpeniski atjaunojas. Šāds pieņēmums ir pamatā visu starptautisko institūciju makroekonomiskajām prognozēm, kas balstās uz Covid-19 izplatības dinamikas pēdējiem datiem un rezultātiem Ķīnā u</w:t>
      </w:r>
      <w:r>
        <w:rPr>
          <w:rFonts w:ascii="Times New Roman" w:hAnsi="Times New Roman" w:cs="Times New Roman"/>
          <w:sz w:val="24"/>
          <w:szCs w:val="24"/>
        </w:rPr>
        <w:t>n situācijas uzlabojumu Itālijā.</w:t>
      </w:r>
    </w:p>
    <w:p w14:paraId="0D2F5819" w14:textId="546338E9" w:rsidR="00DE30C4" w:rsidRDefault="00DE30C4" w:rsidP="000258AF">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Scenārijs paredz, ka IKP pirmajā ceturksnī uzrādīs 1% līdz 1,5% kritumu gada griezumā. Vislielākai</w:t>
      </w:r>
      <w:r w:rsidR="00E973F7">
        <w:rPr>
          <w:rFonts w:ascii="Times New Roman" w:hAnsi="Times New Roman" w:cs="Times New Roman"/>
          <w:sz w:val="24"/>
          <w:szCs w:val="24"/>
        </w:rPr>
        <w:t>s ekonomikas kritums gaidāms 2.</w:t>
      </w:r>
      <w:r w:rsidRPr="00194093">
        <w:rPr>
          <w:rFonts w:ascii="Times New Roman" w:hAnsi="Times New Roman" w:cs="Times New Roman"/>
          <w:sz w:val="24"/>
          <w:szCs w:val="24"/>
        </w:rPr>
        <w:t xml:space="preserve">ceturksnī, atsevišķu nozaru pievienotajai vērtībai samazinoties vairāk </w:t>
      </w:r>
      <w:r w:rsidR="000258AF">
        <w:rPr>
          <w:rFonts w:ascii="Times New Roman" w:hAnsi="Times New Roman" w:cs="Times New Roman"/>
          <w:sz w:val="24"/>
          <w:szCs w:val="24"/>
        </w:rPr>
        <w:t>nekā par 50%. Savukārt 3. un 4.</w:t>
      </w:r>
      <w:r w:rsidRPr="00194093">
        <w:rPr>
          <w:rFonts w:ascii="Times New Roman" w:hAnsi="Times New Roman" w:cs="Times New Roman"/>
          <w:sz w:val="24"/>
          <w:szCs w:val="24"/>
        </w:rPr>
        <w:t xml:space="preserve">ceturksnī samazinājumi gada griezumā būs </w:t>
      </w:r>
      <w:r w:rsidR="00E973F7">
        <w:rPr>
          <w:rFonts w:ascii="Times New Roman" w:hAnsi="Times New Roman" w:cs="Times New Roman"/>
          <w:sz w:val="24"/>
          <w:szCs w:val="24"/>
        </w:rPr>
        <w:t>aptuveni uz pusi mazāki nekā 2.</w:t>
      </w:r>
      <w:r w:rsidRPr="00194093">
        <w:rPr>
          <w:rFonts w:ascii="Times New Roman" w:hAnsi="Times New Roman" w:cs="Times New Roman"/>
          <w:sz w:val="24"/>
          <w:szCs w:val="24"/>
        </w:rPr>
        <w:t xml:space="preserve">ceturksnī. </w:t>
      </w:r>
      <w:r w:rsidR="004E6720">
        <w:rPr>
          <w:rFonts w:ascii="Times New Roman" w:hAnsi="Times New Roman" w:cs="Times New Roman"/>
          <w:sz w:val="24"/>
          <w:szCs w:val="24"/>
        </w:rPr>
        <w:t>Krīzes vairāk skartajās nozarēs:</w:t>
      </w:r>
      <w:r>
        <w:rPr>
          <w:rFonts w:ascii="Times New Roman" w:hAnsi="Times New Roman" w:cs="Times New Roman"/>
          <w:sz w:val="24"/>
          <w:szCs w:val="24"/>
        </w:rPr>
        <w:t xml:space="preserve"> </w:t>
      </w:r>
      <w:r w:rsidRPr="00194093">
        <w:rPr>
          <w:rFonts w:ascii="Times New Roman" w:hAnsi="Times New Roman" w:cs="Times New Roman"/>
          <w:sz w:val="24"/>
          <w:szCs w:val="24"/>
        </w:rPr>
        <w:t>transportā, izmitināšanā un ēdināšanā, mākslas, izklaides un atpūtas nozarē, profesionālo pakalpojumu nozarē</w:t>
      </w:r>
      <w:r>
        <w:rPr>
          <w:rFonts w:ascii="Times New Roman" w:hAnsi="Times New Roman" w:cs="Times New Roman"/>
          <w:sz w:val="24"/>
          <w:szCs w:val="24"/>
        </w:rPr>
        <w:t>,</w:t>
      </w:r>
      <w:r w:rsidR="004E6720">
        <w:rPr>
          <w:rFonts w:ascii="Times New Roman" w:hAnsi="Times New Roman" w:cs="Times New Roman"/>
          <w:sz w:val="24"/>
          <w:szCs w:val="24"/>
        </w:rPr>
        <w:t xml:space="preserve"> izlaides apjomi līdz 2020.</w:t>
      </w:r>
      <w:r w:rsidRPr="00194093">
        <w:rPr>
          <w:rFonts w:ascii="Times New Roman" w:hAnsi="Times New Roman" w:cs="Times New Roman"/>
          <w:sz w:val="24"/>
          <w:szCs w:val="24"/>
        </w:rPr>
        <w:t>gada beigā</w:t>
      </w:r>
      <w:r w:rsidR="004E6720">
        <w:rPr>
          <w:rFonts w:ascii="Times New Roman" w:hAnsi="Times New Roman" w:cs="Times New Roman"/>
          <w:sz w:val="24"/>
          <w:szCs w:val="24"/>
        </w:rPr>
        <w:t>m neatgriežas 2019.</w:t>
      </w:r>
      <w:r>
        <w:rPr>
          <w:rFonts w:ascii="Times New Roman" w:hAnsi="Times New Roman" w:cs="Times New Roman"/>
          <w:sz w:val="24"/>
          <w:szCs w:val="24"/>
        </w:rPr>
        <w:t>gada līmenī.</w:t>
      </w:r>
    </w:p>
    <w:p w14:paraId="493CB996" w14:textId="77777777" w:rsidR="00A04B76" w:rsidRPr="00194093" w:rsidRDefault="00A04B76" w:rsidP="00A04B76">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No izlietojum</w:t>
      </w:r>
      <w:r>
        <w:rPr>
          <w:rFonts w:ascii="Times New Roman" w:hAnsi="Times New Roman" w:cs="Times New Roman"/>
          <w:sz w:val="24"/>
          <w:szCs w:val="24"/>
        </w:rPr>
        <w:t>a puses lielākais kritums 2020.</w:t>
      </w:r>
      <w:r w:rsidRPr="00194093">
        <w:rPr>
          <w:rFonts w:ascii="Times New Roman" w:hAnsi="Times New Roman" w:cs="Times New Roman"/>
          <w:sz w:val="24"/>
          <w:szCs w:val="24"/>
        </w:rPr>
        <w:t>gadā gaidāms investīcijās, kur</w:t>
      </w:r>
      <w:r>
        <w:rPr>
          <w:rFonts w:ascii="Times New Roman" w:hAnsi="Times New Roman" w:cs="Times New Roman"/>
          <w:sz w:val="24"/>
          <w:szCs w:val="24"/>
        </w:rPr>
        <w:t>,</w:t>
      </w:r>
      <w:r w:rsidRPr="00194093">
        <w:rPr>
          <w:rFonts w:ascii="Times New Roman" w:hAnsi="Times New Roman" w:cs="Times New Roman"/>
          <w:sz w:val="24"/>
          <w:szCs w:val="24"/>
        </w:rPr>
        <w:t xml:space="preserve"> uzņēmējiem atsakoties no investīcijām un atliekot investīciju projektus,  bruto pamatkapitāla veidošan</w:t>
      </w:r>
      <w:r>
        <w:rPr>
          <w:rFonts w:ascii="Times New Roman" w:hAnsi="Times New Roman" w:cs="Times New Roman"/>
          <w:sz w:val="24"/>
          <w:szCs w:val="24"/>
        </w:rPr>
        <w:t>a būs par 18% mazāka nekā 2019.</w:t>
      </w:r>
      <w:r w:rsidRPr="00194093">
        <w:rPr>
          <w:rFonts w:ascii="Times New Roman" w:hAnsi="Times New Roman" w:cs="Times New Roman"/>
          <w:sz w:val="24"/>
          <w:szCs w:val="24"/>
        </w:rPr>
        <w:t>gadā. Eksports un privātais patē</w:t>
      </w:r>
      <w:r>
        <w:rPr>
          <w:rFonts w:ascii="Times New Roman" w:hAnsi="Times New Roman" w:cs="Times New Roman"/>
          <w:sz w:val="24"/>
          <w:szCs w:val="24"/>
        </w:rPr>
        <w:t>riņš samazināsies attiecīgi par</w:t>
      </w:r>
      <w:r w:rsidRPr="00194093">
        <w:rPr>
          <w:rFonts w:ascii="Times New Roman" w:hAnsi="Times New Roman" w:cs="Times New Roman"/>
          <w:sz w:val="24"/>
          <w:szCs w:val="24"/>
        </w:rPr>
        <w:t xml:space="preserve"> 9% un 6%, kamēr kopējo ekonomikas kritumu nedaudz mīkstinās sabied</w:t>
      </w:r>
      <w:r>
        <w:rPr>
          <w:rFonts w:ascii="Times New Roman" w:hAnsi="Times New Roman" w:cs="Times New Roman"/>
          <w:sz w:val="24"/>
          <w:szCs w:val="24"/>
        </w:rPr>
        <w:t>riskā patēriņa pieaugums par 2%, saglabājot šī gada plānoto izdevumu apmēru.</w:t>
      </w:r>
    </w:p>
    <w:p w14:paraId="39A87FD1" w14:textId="77777777" w:rsidR="00A04B76" w:rsidRPr="00194093" w:rsidRDefault="00A04B76" w:rsidP="00A04B76">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Nākamajos gados ekonomikas izaugsme pakāpeniski at</w:t>
      </w:r>
      <w:r>
        <w:rPr>
          <w:rFonts w:ascii="Times New Roman" w:hAnsi="Times New Roman" w:cs="Times New Roman"/>
          <w:sz w:val="24"/>
          <w:szCs w:val="24"/>
        </w:rPr>
        <w:t>jaunosies, IKP pieaugumam 2021.gadā veidojot 1% un 2022.</w:t>
      </w:r>
      <w:r w:rsidRPr="00194093">
        <w:rPr>
          <w:rFonts w:ascii="Times New Roman" w:hAnsi="Times New Roman" w:cs="Times New Roman"/>
          <w:sz w:val="24"/>
          <w:szCs w:val="24"/>
        </w:rPr>
        <w:t>gadā 3,5%, IKP</w:t>
      </w:r>
      <w:r>
        <w:rPr>
          <w:rFonts w:ascii="Times New Roman" w:hAnsi="Times New Roman" w:cs="Times New Roman"/>
          <w:sz w:val="24"/>
          <w:szCs w:val="24"/>
        </w:rPr>
        <w:t xml:space="preserve"> tomēr vēl neatgriežoties 2019.</w:t>
      </w:r>
      <w:r w:rsidRPr="00194093">
        <w:rPr>
          <w:rFonts w:ascii="Times New Roman" w:hAnsi="Times New Roman" w:cs="Times New Roman"/>
          <w:sz w:val="24"/>
          <w:szCs w:val="24"/>
        </w:rPr>
        <w:t>gada līmen</w:t>
      </w:r>
      <w:r>
        <w:rPr>
          <w:rFonts w:ascii="Times New Roman" w:hAnsi="Times New Roman" w:cs="Times New Roman"/>
          <w:sz w:val="24"/>
          <w:szCs w:val="24"/>
        </w:rPr>
        <w:t>ī un to pārsniedzot tikai 2023.</w:t>
      </w:r>
      <w:r w:rsidRPr="00194093">
        <w:rPr>
          <w:rFonts w:ascii="Times New Roman" w:hAnsi="Times New Roman" w:cs="Times New Roman"/>
          <w:sz w:val="24"/>
          <w:szCs w:val="24"/>
        </w:rPr>
        <w:t>gadā.</w:t>
      </w:r>
    </w:p>
    <w:p w14:paraId="103C43FA" w14:textId="77777777" w:rsidR="00A04B76" w:rsidRPr="00194093" w:rsidRDefault="00A04B76" w:rsidP="00A04B7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Salīdzinājumā ar</w:t>
      </w:r>
      <w:r w:rsidRPr="00194093">
        <w:rPr>
          <w:rFonts w:ascii="Times New Roman" w:hAnsi="Times New Roman" w:cs="Times New Roman"/>
          <w:sz w:val="24"/>
          <w:szCs w:val="24"/>
        </w:rPr>
        <w:t xml:space="preserve"> inflācijas </w:t>
      </w:r>
      <w:r>
        <w:rPr>
          <w:rFonts w:ascii="Times New Roman" w:hAnsi="Times New Roman" w:cs="Times New Roman"/>
          <w:sz w:val="24"/>
          <w:szCs w:val="24"/>
        </w:rPr>
        <w:t>prognozi</w:t>
      </w:r>
      <w:r w:rsidRPr="00194093">
        <w:rPr>
          <w:rFonts w:ascii="Times New Roman" w:hAnsi="Times New Roman" w:cs="Times New Roman"/>
          <w:sz w:val="24"/>
          <w:szCs w:val="24"/>
        </w:rPr>
        <w:t xml:space="preserve"> bāzes scenārijā, Covid-19 ietekmes scen</w:t>
      </w:r>
      <w:r>
        <w:rPr>
          <w:rFonts w:ascii="Times New Roman" w:hAnsi="Times New Roman" w:cs="Times New Roman"/>
          <w:sz w:val="24"/>
          <w:szCs w:val="24"/>
        </w:rPr>
        <w:t>ārijā inflācijas prognoze 2020.</w:t>
      </w:r>
      <w:r w:rsidRPr="00194093">
        <w:rPr>
          <w:rFonts w:ascii="Times New Roman" w:hAnsi="Times New Roman" w:cs="Times New Roman"/>
          <w:sz w:val="24"/>
          <w:szCs w:val="24"/>
        </w:rPr>
        <w:t>gadam ir samazināta par 1,9 procentpun</w:t>
      </w:r>
      <w:r>
        <w:rPr>
          <w:rFonts w:ascii="Times New Roman" w:hAnsi="Times New Roman" w:cs="Times New Roman"/>
          <w:sz w:val="24"/>
          <w:szCs w:val="24"/>
        </w:rPr>
        <w:t>ktiem līdz 0,4%. Savukārt 2021.</w:t>
      </w:r>
      <w:r w:rsidRPr="00194093">
        <w:rPr>
          <w:rFonts w:ascii="Times New Roman" w:hAnsi="Times New Roman" w:cs="Times New Roman"/>
          <w:sz w:val="24"/>
          <w:szCs w:val="24"/>
        </w:rPr>
        <w:t>gadam prognoze ir samazināta par 0,4 procentpunkt</w:t>
      </w:r>
      <w:r>
        <w:rPr>
          <w:rFonts w:ascii="Times New Roman" w:hAnsi="Times New Roman" w:cs="Times New Roman"/>
          <w:sz w:val="24"/>
          <w:szCs w:val="24"/>
        </w:rPr>
        <w:t>iem līdz 1,7%. Korekcija 2020.</w:t>
      </w:r>
      <w:r w:rsidRPr="00194093">
        <w:rPr>
          <w:rFonts w:ascii="Times New Roman" w:hAnsi="Times New Roman" w:cs="Times New Roman"/>
          <w:sz w:val="24"/>
          <w:szCs w:val="24"/>
        </w:rPr>
        <w:t xml:space="preserve">gadam ir saistīta ar pārskatītām degvielas, gāzes, siltumenerģijas, atpūtas un kultūras, kā arī restorānu pakalpojumu cenu prognozēm. </w:t>
      </w:r>
    </w:p>
    <w:p w14:paraId="1DC006F9" w14:textId="454BADFE" w:rsidR="00A04B76" w:rsidRDefault="00A04B76">
      <w:pPr>
        <w:rPr>
          <w:rFonts w:ascii="Times New Roman" w:hAnsi="Times New Roman" w:cs="Times New Roman"/>
          <w:b/>
          <w:sz w:val="24"/>
          <w:szCs w:val="24"/>
        </w:rPr>
      </w:pPr>
    </w:p>
    <w:p w14:paraId="6C5374BF" w14:textId="0DE8242A" w:rsidR="00DE30C4" w:rsidRDefault="00DE30C4" w:rsidP="00DE30C4">
      <w:pPr>
        <w:spacing w:after="0"/>
        <w:ind w:firstLine="567"/>
        <w:jc w:val="right"/>
        <w:rPr>
          <w:rFonts w:ascii="Times New Roman" w:eastAsia="Times New Roman" w:hAnsi="Times New Roman" w:cs="Times New Roman"/>
          <w:b/>
          <w:color w:val="000000"/>
          <w:sz w:val="24"/>
          <w:szCs w:val="24"/>
          <w:lang w:eastAsia="lv-LV"/>
        </w:rPr>
      </w:pPr>
      <w:r w:rsidRPr="00B5460E">
        <w:rPr>
          <w:rFonts w:ascii="Times New Roman" w:hAnsi="Times New Roman" w:cs="Times New Roman"/>
          <w:b/>
          <w:sz w:val="24"/>
          <w:szCs w:val="24"/>
        </w:rPr>
        <w:t>2</w:t>
      </w:r>
      <w:r>
        <w:rPr>
          <w:rFonts w:ascii="Times New Roman" w:eastAsia="Times New Roman" w:hAnsi="Times New Roman" w:cs="Times New Roman"/>
          <w:b/>
          <w:color w:val="000000"/>
          <w:sz w:val="24"/>
          <w:szCs w:val="24"/>
          <w:lang w:eastAsia="lv-LV"/>
        </w:rPr>
        <w:t>.2</w:t>
      </w:r>
      <w:r w:rsidRPr="00B5460E">
        <w:rPr>
          <w:rFonts w:ascii="Times New Roman" w:eastAsia="Times New Roman" w:hAnsi="Times New Roman" w:cs="Times New Roman"/>
          <w:b/>
          <w:color w:val="000000"/>
          <w:sz w:val="24"/>
          <w:szCs w:val="24"/>
          <w:lang w:eastAsia="lv-LV"/>
        </w:rPr>
        <w:t>.tabula. Izaugsme un ar to saistītie faktori</w:t>
      </w:r>
    </w:p>
    <w:p w14:paraId="58B2B008" w14:textId="29AACD5E" w:rsidR="00DE30C4" w:rsidRDefault="00DE30C4" w:rsidP="00DE30C4">
      <w:pPr>
        <w:spacing w:after="0" w:line="240" w:lineRule="auto"/>
        <w:ind w:firstLine="567"/>
        <w:jc w:val="right"/>
        <w:rPr>
          <w:rFonts w:ascii="Times New Roman" w:eastAsia="Times New Roman" w:hAnsi="Times New Roman" w:cs="Times New Roman"/>
          <w:color w:val="000000"/>
          <w:szCs w:val="24"/>
          <w:lang w:eastAsia="lv-LV"/>
        </w:rPr>
      </w:pPr>
      <w:r w:rsidRPr="005659E6">
        <w:rPr>
          <w:rFonts w:ascii="Times New Roman" w:eastAsia="Times New Roman" w:hAnsi="Times New Roman" w:cs="Times New Roman"/>
          <w:color w:val="000000"/>
          <w:szCs w:val="24"/>
          <w:lang w:eastAsia="lv-LV"/>
        </w:rPr>
        <w:t>(2020</w:t>
      </w:r>
      <w:r w:rsidR="004E6720">
        <w:rPr>
          <w:rFonts w:ascii="Times New Roman" w:eastAsia="Times New Roman" w:hAnsi="Times New Roman" w:cs="Times New Roman"/>
          <w:color w:val="000000"/>
          <w:szCs w:val="24"/>
          <w:lang w:eastAsia="lv-LV"/>
        </w:rPr>
        <w:t>.</w:t>
      </w:r>
      <w:r>
        <w:rPr>
          <w:rFonts w:ascii="Times New Roman" w:eastAsia="Times New Roman" w:hAnsi="Times New Roman" w:cs="Times New Roman"/>
          <w:color w:val="000000"/>
          <w:szCs w:val="24"/>
          <w:lang w:eastAsia="lv-LV"/>
        </w:rPr>
        <w:t>gad</w:t>
      </w:r>
      <w:r w:rsidRPr="005659E6">
        <w:rPr>
          <w:rFonts w:ascii="Times New Roman" w:eastAsia="Times New Roman" w:hAnsi="Times New Roman" w:cs="Times New Roman"/>
          <w:color w:val="000000"/>
          <w:szCs w:val="24"/>
          <w:lang w:eastAsia="lv-LV"/>
        </w:rPr>
        <w:t xml:space="preserve">a </w:t>
      </w:r>
      <w:r>
        <w:rPr>
          <w:rFonts w:ascii="Times New Roman" w:eastAsia="Times New Roman" w:hAnsi="Times New Roman" w:cs="Times New Roman"/>
          <w:color w:val="000000"/>
          <w:szCs w:val="24"/>
          <w:lang w:eastAsia="lv-LV"/>
        </w:rPr>
        <w:t>aprīļa Covid-19 ietekmes</w:t>
      </w:r>
      <w:r w:rsidRPr="005659E6">
        <w:rPr>
          <w:rFonts w:ascii="Times New Roman" w:eastAsia="Times New Roman" w:hAnsi="Times New Roman" w:cs="Times New Roman"/>
          <w:color w:val="000000"/>
          <w:szCs w:val="24"/>
          <w:lang w:eastAsia="lv-LV"/>
        </w:rPr>
        <w:t xml:space="preserve"> scenārijs)</w:t>
      </w:r>
    </w:p>
    <w:tbl>
      <w:tblPr>
        <w:tblStyle w:val="GridTable6Colorful-Accent1"/>
        <w:tblW w:w="0" w:type="auto"/>
        <w:jc w:val="center"/>
        <w:tblLook w:val="04A0" w:firstRow="1" w:lastRow="0" w:firstColumn="1" w:lastColumn="0" w:noHBand="0" w:noVBand="1"/>
      </w:tblPr>
      <w:tblGrid>
        <w:gridCol w:w="3848"/>
        <w:gridCol w:w="1111"/>
        <w:gridCol w:w="1005"/>
        <w:gridCol w:w="616"/>
        <w:gridCol w:w="633"/>
        <w:gridCol w:w="616"/>
        <w:gridCol w:w="616"/>
        <w:gridCol w:w="616"/>
      </w:tblGrid>
      <w:tr w:rsidR="00DE30C4" w:rsidRPr="005659E6" w14:paraId="7AE8D0EB" w14:textId="77777777" w:rsidTr="00E973F7">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A180B6E" w14:textId="77777777" w:rsidR="00DE30C4" w:rsidRPr="005659E6" w:rsidRDefault="00DE30C4" w:rsidP="007130E8">
            <w:pPr>
              <w:spacing w:beforeLines="20" w:before="48" w:afterLines="20" w:after="48"/>
              <w:jc w:val="center"/>
              <w:rPr>
                <w:rFonts w:ascii="Times New Roman" w:hAnsi="Times New Roman" w:cs="Times New Roman"/>
                <w:b w:val="0"/>
                <w:bCs w:val="0"/>
                <w:color w:val="auto"/>
                <w:sz w:val="20"/>
                <w:szCs w:val="20"/>
              </w:rPr>
            </w:pPr>
          </w:p>
        </w:tc>
        <w:tc>
          <w:tcPr>
            <w:tcW w:w="0" w:type="auto"/>
            <w:vMerge w:val="restart"/>
            <w:noWrap/>
            <w:vAlign w:val="center"/>
            <w:hideMark/>
          </w:tcPr>
          <w:p w14:paraId="677B63B5"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659E6">
              <w:rPr>
                <w:rFonts w:ascii="Times New Roman" w:hAnsi="Times New Roman" w:cs="Times New Roman"/>
                <w:color w:val="auto"/>
                <w:sz w:val="20"/>
                <w:szCs w:val="20"/>
              </w:rPr>
              <w:t>EKS Kods</w:t>
            </w:r>
          </w:p>
        </w:tc>
        <w:tc>
          <w:tcPr>
            <w:tcW w:w="0" w:type="auto"/>
            <w:noWrap/>
            <w:vAlign w:val="center"/>
            <w:hideMark/>
          </w:tcPr>
          <w:p w14:paraId="03AD146A"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659E6">
              <w:rPr>
                <w:rFonts w:ascii="Times New Roman" w:hAnsi="Times New Roman" w:cs="Times New Roman"/>
                <w:color w:val="auto"/>
                <w:sz w:val="20"/>
                <w:szCs w:val="20"/>
              </w:rPr>
              <w:t>2019</w:t>
            </w:r>
          </w:p>
        </w:tc>
        <w:tc>
          <w:tcPr>
            <w:tcW w:w="0" w:type="auto"/>
            <w:noWrap/>
            <w:vAlign w:val="center"/>
          </w:tcPr>
          <w:p w14:paraId="21F4CB13"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659E6">
              <w:rPr>
                <w:rFonts w:ascii="Times New Roman" w:hAnsi="Times New Roman" w:cs="Times New Roman"/>
                <w:color w:val="auto"/>
                <w:sz w:val="20"/>
                <w:szCs w:val="20"/>
              </w:rPr>
              <w:t>2019</w:t>
            </w:r>
          </w:p>
        </w:tc>
        <w:tc>
          <w:tcPr>
            <w:tcW w:w="0" w:type="auto"/>
            <w:noWrap/>
            <w:vAlign w:val="center"/>
          </w:tcPr>
          <w:p w14:paraId="471F63F4"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659E6">
              <w:rPr>
                <w:rFonts w:ascii="Times New Roman" w:hAnsi="Times New Roman" w:cs="Times New Roman"/>
                <w:color w:val="auto"/>
                <w:sz w:val="20"/>
                <w:szCs w:val="20"/>
              </w:rPr>
              <w:t>2020</w:t>
            </w:r>
          </w:p>
        </w:tc>
        <w:tc>
          <w:tcPr>
            <w:tcW w:w="0" w:type="auto"/>
            <w:noWrap/>
            <w:vAlign w:val="center"/>
          </w:tcPr>
          <w:p w14:paraId="1A4A6F7E"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5659E6">
              <w:rPr>
                <w:rFonts w:ascii="Times New Roman" w:hAnsi="Times New Roman" w:cs="Times New Roman"/>
                <w:color w:val="auto"/>
                <w:sz w:val="20"/>
                <w:szCs w:val="20"/>
              </w:rPr>
              <w:t>2021</w:t>
            </w:r>
          </w:p>
        </w:tc>
        <w:tc>
          <w:tcPr>
            <w:tcW w:w="0" w:type="auto"/>
            <w:noWrap/>
            <w:vAlign w:val="center"/>
          </w:tcPr>
          <w:p w14:paraId="34A4052C"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2022</w:t>
            </w:r>
          </w:p>
        </w:tc>
        <w:tc>
          <w:tcPr>
            <w:tcW w:w="0" w:type="auto"/>
            <w:noWrap/>
            <w:vAlign w:val="center"/>
          </w:tcPr>
          <w:p w14:paraId="13673F01" w14:textId="77777777" w:rsidR="00DE30C4" w:rsidRPr="005659E6" w:rsidRDefault="00DE30C4" w:rsidP="007130E8">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2023</w:t>
            </w:r>
          </w:p>
        </w:tc>
      </w:tr>
      <w:tr w:rsidR="00DE30C4" w:rsidRPr="005659E6" w14:paraId="54495761" w14:textId="77777777" w:rsidTr="00E973F7">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0A3B31E" w14:textId="77777777" w:rsidR="00DE30C4" w:rsidRPr="005659E6" w:rsidRDefault="00DE30C4" w:rsidP="007130E8">
            <w:pPr>
              <w:spacing w:beforeLines="20" w:before="48" w:afterLines="20" w:after="48"/>
              <w:rPr>
                <w:rFonts w:ascii="Times New Roman" w:hAnsi="Times New Roman" w:cs="Times New Roman"/>
                <w:b w:val="0"/>
                <w:bCs w:val="0"/>
                <w:color w:val="auto"/>
                <w:sz w:val="20"/>
                <w:szCs w:val="20"/>
              </w:rPr>
            </w:pPr>
          </w:p>
        </w:tc>
        <w:tc>
          <w:tcPr>
            <w:tcW w:w="0" w:type="auto"/>
            <w:vMerge/>
            <w:hideMark/>
          </w:tcPr>
          <w:p w14:paraId="331B6788" w14:textId="77777777" w:rsidR="00DE30C4" w:rsidRPr="005659E6" w:rsidRDefault="00DE30C4" w:rsidP="007130E8">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p>
        </w:tc>
        <w:tc>
          <w:tcPr>
            <w:tcW w:w="0" w:type="auto"/>
            <w:noWrap/>
            <w:hideMark/>
          </w:tcPr>
          <w:p w14:paraId="3D5F99E2"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 xml:space="preserve">milj. </w:t>
            </w:r>
            <w:r w:rsidRPr="005659E6">
              <w:rPr>
                <w:rFonts w:ascii="Times New Roman" w:hAnsi="Times New Roman" w:cs="Times New Roman"/>
                <w:i/>
                <w:iCs/>
                <w:color w:val="auto"/>
                <w:sz w:val="20"/>
                <w:szCs w:val="20"/>
              </w:rPr>
              <w:t>euro</w:t>
            </w:r>
          </w:p>
        </w:tc>
        <w:tc>
          <w:tcPr>
            <w:tcW w:w="0" w:type="auto"/>
            <w:gridSpan w:val="5"/>
            <w:noWrap/>
            <w:vAlign w:val="center"/>
            <w:hideMark/>
          </w:tcPr>
          <w:p w14:paraId="179F45E6"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Pieaugums %</w:t>
            </w:r>
          </w:p>
        </w:tc>
      </w:tr>
      <w:tr w:rsidR="00DE30C4" w:rsidRPr="005659E6" w14:paraId="5442CDFA" w14:textId="77777777" w:rsidTr="00E973F7">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AA0160"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1. IKP faktiskajās cenās</w:t>
            </w:r>
          </w:p>
        </w:tc>
        <w:tc>
          <w:tcPr>
            <w:tcW w:w="0" w:type="auto"/>
            <w:noWrap/>
            <w:vAlign w:val="center"/>
            <w:hideMark/>
          </w:tcPr>
          <w:p w14:paraId="4103913F"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B1*g</w:t>
            </w:r>
          </w:p>
        </w:tc>
        <w:tc>
          <w:tcPr>
            <w:tcW w:w="0" w:type="auto"/>
            <w:noWrap/>
            <w:vAlign w:val="center"/>
            <w:hideMark/>
          </w:tcPr>
          <w:p w14:paraId="40E801C4" w14:textId="249AF58D" w:rsidR="00DE30C4" w:rsidRPr="005659E6"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30</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476</w:t>
            </w:r>
          </w:p>
        </w:tc>
        <w:tc>
          <w:tcPr>
            <w:tcW w:w="0" w:type="auto"/>
            <w:noWrap/>
            <w:vAlign w:val="center"/>
            <w:hideMark/>
          </w:tcPr>
          <w:p w14:paraId="1F989AEA"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3C7BCD43"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-7</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747E5D67"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4</w:t>
            </w:r>
          </w:p>
        </w:tc>
        <w:tc>
          <w:tcPr>
            <w:tcW w:w="0" w:type="auto"/>
            <w:noWrap/>
            <w:vAlign w:val="center"/>
            <w:hideMark/>
          </w:tcPr>
          <w:p w14:paraId="2ED21EFF"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6</w:t>
            </w:r>
          </w:p>
        </w:tc>
        <w:tc>
          <w:tcPr>
            <w:tcW w:w="0" w:type="auto"/>
            <w:noWrap/>
            <w:vAlign w:val="center"/>
            <w:hideMark/>
          </w:tcPr>
          <w:p w14:paraId="4DFBE9BD"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4</w:t>
            </w:r>
          </w:p>
        </w:tc>
      </w:tr>
      <w:tr w:rsidR="00DE30C4" w:rsidRPr="005659E6" w14:paraId="0A4AF5B5" w14:textId="77777777" w:rsidTr="00E973F7">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E4D341"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2. IKP 2010. gada cenās</w:t>
            </w:r>
          </w:p>
        </w:tc>
        <w:tc>
          <w:tcPr>
            <w:tcW w:w="0" w:type="auto"/>
            <w:noWrap/>
            <w:vAlign w:val="center"/>
            <w:hideMark/>
          </w:tcPr>
          <w:p w14:paraId="62891983"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B1*g</w:t>
            </w:r>
          </w:p>
        </w:tc>
        <w:tc>
          <w:tcPr>
            <w:tcW w:w="0" w:type="auto"/>
            <w:noWrap/>
            <w:vAlign w:val="center"/>
            <w:hideMark/>
          </w:tcPr>
          <w:p w14:paraId="40A49992" w14:textId="66BB56D1" w:rsidR="00DE30C4" w:rsidRPr="005659E6"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27</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497</w:t>
            </w:r>
          </w:p>
        </w:tc>
        <w:tc>
          <w:tcPr>
            <w:tcW w:w="0" w:type="auto"/>
            <w:noWrap/>
            <w:vAlign w:val="center"/>
            <w:hideMark/>
          </w:tcPr>
          <w:p w14:paraId="05A44DDC"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2</w:t>
            </w:r>
          </w:p>
        </w:tc>
        <w:tc>
          <w:tcPr>
            <w:tcW w:w="0" w:type="auto"/>
            <w:noWrap/>
            <w:vAlign w:val="center"/>
            <w:hideMark/>
          </w:tcPr>
          <w:p w14:paraId="0B4B9FE8"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-7</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6F42367C"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5A311D85"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c>
          <w:tcPr>
            <w:tcW w:w="0" w:type="auto"/>
            <w:noWrap/>
            <w:vAlign w:val="center"/>
            <w:hideMark/>
          </w:tcPr>
          <w:p w14:paraId="29465581"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4</w:t>
            </w:r>
          </w:p>
        </w:tc>
      </w:tr>
      <w:tr w:rsidR="00DE30C4" w:rsidRPr="005659E6" w14:paraId="17363D25" w14:textId="77777777" w:rsidTr="00E973F7">
        <w:trPr>
          <w:trHeight w:val="118"/>
          <w:jc w:val="center"/>
        </w:trPr>
        <w:tc>
          <w:tcPr>
            <w:cnfStyle w:val="001000000000" w:firstRow="0" w:lastRow="0" w:firstColumn="1" w:lastColumn="0" w:oddVBand="0" w:evenVBand="0" w:oddHBand="0" w:evenHBand="0" w:firstRowFirstColumn="0" w:firstRowLastColumn="0" w:lastRowFirstColumn="0" w:lastRowLastColumn="0"/>
            <w:tcW w:w="0" w:type="auto"/>
            <w:gridSpan w:val="8"/>
            <w:noWrap/>
            <w:hideMark/>
          </w:tcPr>
          <w:p w14:paraId="78C0CAEF" w14:textId="10D7FFF3" w:rsidR="00DE30C4" w:rsidRPr="005C17A3" w:rsidRDefault="00E82EB6" w:rsidP="007130E8">
            <w:pPr>
              <w:autoSpaceDE w:val="0"/>
              <w:autoSpaceDN w:val="0"/>
              <w:adjustRightInd w:val="0"/>
              <w:spacing w:beforeLines="20" w:before="48" w:afterLines="20" w:after="48"/>
              <w:jc w:val="center"/>
              <w:rPr>
                <w:rFonts w:ascii="Times New Roman" w:eastAsia="Times New Roman" w:hAnsi="Times New Roman" w:cs="Times New Roman"/>
                <w:color w:val="FF0000"/>
                <w:sz w:val="20"/>
                <w:szCs w:val="24"/>
                <w:lang w:eastAsia="lv-LV"/>
              </w:rPr>
            </w:pPr>
            <w:r>
              <w:rPr>
                <w:rFonts w:ascii="Times New Roman" w:eastAsia="Times New Roman" w:hAnsi="Times New Roman" w:cs="Times New Roman"/>
                <w:color w:val="auto"/>
                <w:sz w:val="20"/>
                <w:szCs w:val="24"/>
                <w:lang w:eastAsia="lv-LV"/>
              </w:rPr>
              <w:t>IKP pēc izlietojuma 2010.</w:t>
            </w:r>
            <w:r w:rsidR="00DE30C4" w:rsidRPr="005C17A3">
              <w:rPr>
                <w:rFonts w:ascii="Times New Roman" w:eastAsia="Times New Roman" w:hAnsi="Times New Roman" w:cs="Times New Roman"/>
                <w:color w:val="auto"/>
                <w:sz w:val="20"/>
                <w:szCs w:val="24"/>
                <w:lang w:eastAsia="lv-LV"/>
              </w:rPr>
              <w:t>gada cenās</w:t>
            </w:r>
          </w:p>
        </w:tc>
      </w:tr>
      <w:tr w:rsidR="00DE30C4" w:rsidRPr="005659E6" w14:paraId="197D0985" w14:textId="77777777" w:rsidTr="00E973F7">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6D473E9"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3. Privātais patēriņš</w:t>
            </w:r>
          </w:p>
        </w:tc>
        <w:tc>
          <w:tcPr>
            <w:tcW w:w="0" w:type="auto"/>
            <w:noWrap/>
            <w:vAlign w:val="center"/>
            <w:hideMark/>
          </w:tcPr>
          <w:p w14:paraId="6F6F5F59"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P3</w:t>
            </w:r>
          </w:p>
        </w:tc>
        <w:tc>
          <w:tcPr>
            <w:tcW w:w="0" w:type="auto"/>
            <w:noWrap/>
            <w:vAlign w:val="bottom"/>
            <w:hideMark/>
          </w:tcPr>
          <w:p w14:paraId="1EA9D1E5" w14:textId="6929A544" w:rsidR="00DE30C4" w:rsidRPr="005659E6"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16</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515</w:t>
            </w:r>
          </w:p>
        </w:tc>
        <w:tc>
          <w:tcPr>
            <w:tcW w:w="0" w:type="auto"/>
            <w:noWrap/>
            <w:vAlign w:val="center"/>
            <w:hideMark/>
          </w:tcPr>
          <w:p w14:paraId="73E5FBB4"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58F62D76"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773AF87B"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2C5B871D"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4E5B23E6"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r>
      <w:tr w:rsidR="00DE30C4" w:rsidRPr="005659E6" w14:paraId="1C1F6120" w14:textId="77777777" w:rsidTr="00E973F7">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E2FA6C"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4. Sabiedriskais patēriņš</w:t>
            </w:r>
          </w:p>
        </w:tc>
        <w:tc>
          <w:tcPr>
            <w:tcW w:w="0" w:type="auto"/>
            <w:noWrap/>
            <w:vAlign w:val="center"/>
            <w:hideMark/>
          </w:tcPr>
          <w:p w14:paraId="5AADE989"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P3</w:t>
            </w:r>
          </w:p>
        </w:tc>
        <w:tc>
          <w:tcPr>
            <w:tcW w:w="0" w:type="auto"/>
            <w:noWrap/>
            <w:vAlign w:val="bottom"/>
            <w:hideMark/>
          </w:tcPr>
          <w:p w14:paraId="5CE5009D" w14:textId="490FA826" w:rsidR="00DE30C4" w:rsidRPr="005659E6"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5</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005</w:t>
            </w:r>
          </w:p>
        </w:tc>
        <w:tc>
          <w:tcPr>
            <w:tcW w:w="0" w:type="auto"/>
            <w:noWrap/>
            <w:vAlign w:val="center"/>
            <w:hideMark/>
          </w:tcPr>
          <w:p w14:paraId="58556AB0"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6</w:t>
            </w:r>
          </w:p>
        </w:tc>
        <w:tc>
          <w:tcPr>
            <w:tcW w:w="0" w:type="auto"/>
            <w:noWrap/>
            <w:vAlign w:val="center"/>
            <w:hideMark/>
          </w:tcPr>
          <w:p w14:paraId="5FEAD21B"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4E8B2C6D"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4C342A8A"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0850BAEA"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r>
      <w:tr w:rsidR="00DE30C4" w:rsidRPr="005659E6" w14:paraId="14195AE3" w14:textId="77777777" w:rsidTr="00E973F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DDD25A"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5. Kopējā pamatkapitāla veidošana</w:t>
            </w:r>
          </w:p>
        </w:tc>
        <w:tc>
          <w:tcPr>
            <w:tcW w:w="0" w:type="auto"/>
            <w:noWrap/>
            <w:vAlign w:val="center"/>
            <w:hideMark/>
          </w:tcPr>
          <w:p w14:paraId="2ADBBCB6"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P51</w:t>
            </w:r>
          </w:p>
        </w:tc>
        <w:tc>
          <w:tcPr>
            <w:tcW w:w="0" w:type="auto"/>
            <w:noWrap/>
            <w:vAlign w:val="bottom"/>
            <w:hideMark/>
          </w:tcPr>
          <w:p w14:paraId="4AE348E4" w14:textId="67E899D7" w:rsidR="00DE30C4" w:rsidRPr="005659E6"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6</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550</w:t>
            </w:r>
          </w:p>
        </w:tc>
        <w:tc>
          <w:tcPr>
            <w:tcW w:w="0" w:type="auto"/>
            <w:noWrap/>
            <w:vAlign w:val="center"/>
            <w:hideMark/>
          </w:tcPr>
          <w:p w14:paraId="0C702434"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1</w:t>
            </w:r>
          </w:p>
        </w:tc>
        <w:tc>
          <w:tcPr>
            <w:tcW w:w="0" w:type="auto"/>
            <w:noWrap/>
            <w:vAlign w:val="center"/>
            <w:hideMark/>
          </w:tcPr>
          <w:p w14:paraId="45299C68"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-18</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6862207D"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17854C08"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6FC2829B"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r>
      <w:tr w:rsidR="00DE30C4" w:rsidRPr="005659E6" w14:paraId="5B54BBD9" w14:textId="77777777" w:rsidTr="00E82EB6">
        <w:trPr>
          <w:trHeight w:val="24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C08391"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6. Krājumu pārmaiņas un vērtslietu iegāde</w:t>
            </w:r>
          </w:p>
        </w:tc>
        <w:tc>
          <w:tcPr>
            <w:tcW w:w="0" w:type="auto"/>
            <w:noWrap/>
            <w:vAlign w:val="center"/>
            <w:hideMark/>
          </w:tcPr>
          <w:p w14:paraId="138427FF"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P52+P53</w:t>
            </w:r>
          </w:p>
        </w:tc>
        <w:tc>
          <w:tcPr>
            <w:tcW w:w="0" w:type="auto"/>
            <w:noWrap/>
            <w:vAlign w:val="center"/>
            <w:hideMark/>
          </w:tcPr>
          <w:p w14:paraId="4FFF1EB4" w14:textId="77777777" w:rsidR="00DE30C4" w:rsidRPr="005659E6" w:rsidRDefault="00DE30C4" w:rsidP="00E82EB6">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467</w:t>
            </w:r>
          </w:p>
        </w:tc>
        <w:tc>
          <w:tcPr>
            <w:tcW w:w="0" w:type="auto"/>
            <w:noWrap/>
            <w:vAlign w:val="center"/>
          </w:tcPr>
          <w:p w14:paraId="0949BAA8"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w:t>
            </w:r>
          </w:p>
        </w:tc>
        <w:tc>
          <w:tcPr>
            <w:tcW w:w="0" w:type="auto"/>
            <w:noWrap/>
            <w:vAlign w:val="center"/>
          </w:tcPr>
          <w:p w14:paraId="6C8A7BA5"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w:t>
            </w:r>
          </w:p>
        </w:tc>
        <w:tc>
          <w:tcPr>
            <w:tcW w:w="0" w:type="auto"/>
            <w:noWrap/>
            <w:vAlign w:val="center"/>
          </w:tcPr>
          <w:p w14:paraId="17B66720"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w:t>
            </w:r>
          </w:p>
        </w:tc>
        <w:tc>
          <w:tcPr>
            <w:tcW w:w="0" w:type="auto"/>
            <w:noWrap/>
            <w:vAlign w:val="center"/>
          </w:tcPr>
          <w:p w14:paraId="4B9EE59B"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w:t>
            </w:r>
          </w:p>
        </w:tc>
        <w:tc>
          <w:tcPr>
            <w:tcW w:w="0" w:type="auto"/>
            <w:noWrap/>
            <w:vAlign w:val="center"/>
          </w:tcPr>
          <w:p w14:paraId="29DB40E1"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w:t>
            </w:r>
          </w:p>
        </w:tc>
      </w:tr>
      <w:tr w:rsidR="00DE30C4" w:rsidRPr="005659E6" w14:paraId="39236DE3" w14:textId="77777777" w:rsidTr="00E973F7">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B751F1"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7. Eksports</w:t>
            </w:r>
          </w:p>
        </w:tc>
        <w:tc>
          <w:tcPr>
            <w:tcW w:w="0" w:type="auto"/>
            <w:noWrap/>
            <w:vAlign w:val="center"/>
            <w:hideMark/>
          </w:tcPr>
          <w:p w14:paraId="7FCF69C8"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P6</w:t>
            </w:r>
          </w:p>
        </w:tc>
        <w:tc>
          <w:tcPr>
            <w:tcW w:w="0" w:type="auto"/>
            <w:noWrap/>
            <w:vAlign w:val="bottom"/>
            <w:hideMark/>
          </w:tcPr>
          <w:p w14:paraId="531A18B0" w14:textId="36B1FB6C" w:rsidR="00DE30C4" w:rsidRPr="005659E6"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17</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387</w:t>
            </w:r>
          </w:p>
        </w:tc>
        <w:tc>
          <w:tcPr>
            <w:tcW w:w="0" w:type="auto"/>
            <w:noWrap/>
            <w:vAlign w:val="center"/>
            <w:hideMark/>
          </w:tcPr>
          <w:p w14:paraId="2B31FBAB"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37909FE5"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-9</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4252E6B0"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0168C742"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2BB0CFDF"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3</w:t>
            </w:r>
          </w:p>
        </w:tc>
      </w:tr>
      <w:tr w:rsidR="00DE30C4" w:rsidRPr="005659E6" w14:paraId="1781AF53" w14:textId="77777777" w:rsidTr="00E973F7">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3B7492"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8. Imports</w:t>
            </w:r>
          </w:p>
        </w:tc>
        <w:tc>
          <w:tcPr>
            <w:tcW w:w="0" w:type="auto"/>
            <w:noWrap/>
            <w:vAlign w:val="center"/>
            <w:hideMark/>
          </w:tcPr>
          <w:p w14:paraId="46F3D1C4"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P7</w:t>
            </w:r>
          </w:p>
        </w:tc>
        <w:tc>
          <w:tcPr>
            <w:tcW w:w="0" w:type="auto"/>
            <w:noWrap/>
            <w:vAlign w:val="bottom"/>
            <w:hideMark/>
          </w:tcPr>
          <w:p w14:paraId="12C3260C" w14:textId="4BBCC487" w:rsidR="00DE30C4" w:rsidRPr="005659E6"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18</w:t>
            </w:r>
            <w:r w:rsidR="004E6720" w:rsidRPr="0098250F">
              <w:rPr>
                <w:rFonts w:ascii="Times New Roman" w:hAnsi="Times New Roman" w:cs="Times New Roman"/>
                <w:sz w:val="24"/>
                <w:szCs w:val="20"/>
              </w:rPr>
              <w:t> </w:t>
            </w:r>
            <w:r w:rsidRPr="005659E6">
              <w:rPr>
                <w:rFonts w:ascii="Times New Roman" w:eastAsia="Times New Roman" w:hAnsi="Times New Roman" w:cs="Times New Roman"/>
                <w:color w:val="000000"/>
                <w:sz w:val="20"/>
                <w:szCs w:val="24"/>
                <w:lang w:eastAsia="lv-LV"/>
              </w:rPr>
              <w:t>426</w:t>
            </w:r>
          </w:p>
        </w:tc>
        <w:tc>
          <w:tcPr>
            <w:tcW w:w="0" w:type="auto"/>
            <w:noWrap/>
            <w:vAlign w:val="center"/>
            <w:hideMark/>
          </w:tcPr>
          <w:p w14:paraId="639745AB"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2</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3</w:t>
            </w:r>
          </w:p>
        </w:tc>
        <w:tc>
          <w:tcPr>
            <w:tcW w:w="0" w:type="auto"/>
            <w:noWrap/>
            <w:vAlign w:val="center"/>
            <w:hideMark/>
          </w:tcPr>
          <w:p w14:paraId="3D588A83"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08C691D2"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9</w:t>
            </w:r>
          </w:p>
        </w:tc>
        <w:tc>
          <w:tcPr>
            <w:tcW w:w="0" w:type="auto"/>
            <w:noWrap/>
            <w:vAlign w:val="center"/>
            <w:hideMark/>
          </w:tcPr>
          <w:p w14:paraId="44D4CAAE"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c>
          <w:tcPr>
            <w:tcW w:w="0" w:type="auto"/>
            <w:noWrap/>
            <w:vAlign w:val="center"/>
            <w:hideMark/>
          </w:tcPr>
          <w:p w14:paraId="32704130"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7</w:t>
            </w:r>
          </w:p>
        </w:tc>
      </w:tr>
      <w:tr w:rsidR="00DE30C4" w:rsidRPr="005659E6" w14:paraId="71B1F957" w14:textId="77777777" w:rsidTr="00E973F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0" w:type="auto"/>
            <w:gridSpan w:val="8"/>
            <w:noWrap/>
            <w:hideMark/>
          </w:tcPr>
          <w:p w14:paraId="652FB14E" w14:textId="77777777" w:rsidR="00DE30C4" w:rsidRPr="005C17A3" w:rsidRDefault="00DE30C4" w:rsidP="007130E8">
            <w:pPr>
              <w:autoSpaceDE w:val="0"/>
              <w:autoSpaceDN w:val="0"/>
              <w:adjustRightInd w:val="0"/>
              <w:spacing w:beforeLines="20" w:before="48" w:afterLines="20" w:after="48"/>
              <w:jc w:val="center"/>
              <w:rPr>
                <w:rFonts w:ascii="Times New Roman" w:eastAsia="Times New Roman" w:hAnsi="Times New Roman" w:cs="Times New Roman"/>
                <w:color w:val="FF0000"/>
                <w:sz w:val="20"/>
                <w:szCs w:val="24"/>
                <w:lang w:eastAsia="lv-LV"/>
              </w:rPr>
            </w:pPr>
            <w:r w:rsidRPr="005C17A3">
              <w:rPr>
                <w:rFonts w:ascii="Times New Roman" w:eastAsia="Times New Roman" w:hAnsi="Times New Roman" w:cs="Times New Roman"/>
                <w:color w:val="auto"/>
                <w:sz w:val="20"/>
                <w:szCs w:val="24"/>
                <w:lang w:eastAsia="lv-LV"/>
              </w:rPr>
              <w:t>Ieguldījums IKP izaugsmē</w:t>
            </w:r>
          </w:p>
        </w:tc>
      </w:tr>
      <w:tr w:rsidR="00DE30C4" w:rsidRPr="005659E6" w14:paraId="6509B048" w14:textId="77777777" w:rsidTr="00E973F7">
        <w:trPr>
          <w:trHeight w:val="14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B7700C"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9. Kopējais iekšzemes pieprasījums</w:t>
            </w:r>
          </w:p>
        </w:tc>
        <w:tc>
          <w:tcPr>
            <w:tcW w:w="0" w:type="auto"/>
            <w:noWrap/>
            <w:vAlign w:val="center"/>
            <w:hideMark/>
          </w:tcPr>
          <w:p w14:paraId="3F525680"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P3+P51</w:t>
            </w:r>
          </w:p>
        </w:tc>
        <w:tc>
          <w:tcPr>
            <w:tcW w:w="0" w:type="auto"/>
            <w:noWrap/>
            <w:hideMark/>
          </w:tcPr>
          <w:p w14:paraId="54CD33AE" w14:textId="77777777" w:rsidR="00DE30C4" w:rsidRPr="005659E6"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 </w:t>
            </w:r>
          </w:p>
        </w:tc>
        <w:tc>
          <w:tcPr>
            <w:tcW w:w="0" w:type="auto"/>
            <w:noWrap/>
            <w:vAlign w:val="center"/>
            <w:hideMark/>
          </w:tcPr>
          <w:p w14:paraId="5F44897A"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5</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6</w:t>
            </w:r>
          </w:p>
        </w:tc>
        <w:tc>
          <w:tcPr>
            <w:tcW w:w="0" w:type="auto"/>
            <w:noWrap/>
            <w:vAlign w:val="center"/>
            <w:hideMark/>
          </w:tcPr>
          <w:p w14:paraId="635B0368"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-8</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4</w:t>
            </w:r>
          </w:p>
        </w:tc>
        <w:tc>
          <w:tcPr>
            <w:tcW w:w="0" w:type="auto"/>
            <w:noWrap/>
            <w:vAlign w:val="center"/>
            <w:hideMark/>
          </w:tcPr>
          <w:p w14:paraId="359E90D0"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3</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1F2641D9"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6</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1</w:t>
            </w:r>
          </w:p>
        </w:tc>
        <w:tc>
          <w:tcPr>
            <w:tcW w:w="0" w:type="auto"/>
            <w:noWrap/>
            <w:vAlign w:val="center"/>
            <w:hideMark/>
          </w:tcPr>
          <w:p w14:paraId="19B8E3D9"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4</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7</w:t>
            </w:r>
          </w:p>
        </w:tc>
      </w:tr>
      <w:tr w:rsidR="00DE30C4" w:rsidRPr="005659E6" w14:paraId="30BE386E" w14:textId="77777777" w:rsidTr="00E973F7">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BC99B1"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 xml:space="preserve">10. Krājumu pārmaiņas un vērtslietu iegāde </w:t>
            </w:r>
          </w:p>
        </w:tc>
        <w:tc>
          <w:tcPr>
            <w:tcW w:w="0" w:type="auto"/>
            <w:noWrap/>
            <w:vAlign w:val="center"/>
            <w:hideMark/>
          </w:tcPr>
          <w:p w14:paraId="4160E57B" w14:textId="77777777" w:rsidR="00DE30C4" w:rsidRPr="005659E6" w:rsidRDefault="00DE30C4" w:rsidP="007130E8">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P52+P53</w:t>
            </w:r>
          </w:p>
        </w:tc>
        <w:tc>
          <w:tcPr>
            <w:tcW w:w="0" w:type="auto"/>
            <w:noWrap/>
            <w:hideMark/>
          </w:tcPr>
          <w:p w14:paraId="3D5072C8" w14:textId="77777777" w:rsidR="00DE30C4" w:rsidRPr="005659E6"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 </w:t>
            </w:r>
          </w:p>
        </w:tc>
        <w:tc>
          <w:tcPr>
            <w:tcW w:w="0" w:type="auto"/>
            <w:noWrap/>
            <w:vAlign w:val="center"/>
            <w:hideMark/>
          </w:tcPr>
          <w:p w14:paraId="525026FD"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c>
          <w:tcPr>
            <w:tcW w:w="0" w:type="auto"/>
            <w:noWrap/>
            <w:vAlign w:val="center"/>
            <w:hideMark/>
          </w:tcPr>
          <w:p w14:paraId="67F4AAEC"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c>
          <w:tcPr>
            <w:tcW w:w="0" w:type="auto"/>
            <w:noWrap/>
            <w:vAlign w:val="center"/>
            <w:hideMark/>
          </w:tcPr>
          <w:p w14:paraId="304E18F8"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3F20B7E3"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653B587A" w14:textId="77777777" w:rsidR="00DE30C4" w:rsidRPr="006F6425" w:rsidRDefault="00DE30C4" w:rsidP="007130E8">
            <w:pPr>
              <w:autoSpaceDE w:val="0"/>
              <w:autoSpaceDN w:val="0"/>
              <w:adjustRightIn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r>
      <w:tr w:rsidR="00DE30C4" w:rsidRPr="005659E6" w14:paraId="577BFA21" w14:textId="77777777" w:rsidTr="00E973F7">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87B452" w14:textId="77777777" w:rsidR="00DE30C4" w:rsidRPr="005C17A3" w:rsidRDefault="00DE30C4" w:rsidP="007130E8">
            <w:pPr>
              <w:spacing w:beforeLines="20" w:before="48" w:afterLines="20" w:after="48"/>
              <w:rPr>
                <w:rFonts w:ascii="Times New Roman" w:hAnsi="Times New Roman" w:cs="Times New Roman"/>
                <w:bCs w:val="0"/>
                <w:color w:val="auto"/>
                <w:sz w:val="20"/>
                <w:szCs w:val="20"/>
              </w:rPr>
            </w:pPr>
            <w:r w:rsidRPr="005C17A3">
              <w:rPr>
                <w:rFonts w:ascii="Times New Roman" w:hAnsi="Times New Roman" w:cs="Times New Roman"/>
                <w:bCs w:val="0"/>
                <w:color w:val="auto"/>
                <w:sz w:val="20"/>
                <w:szCs w:val="20"/>
              </w:rPr>
              <w:t>11. Eksporta-importa bilance</w:t>
            </w:r>
          </w:p>
        </w:tc>
        <w:tc>
          <w:tcPr>
            <w:tcW w:w="0" w:type="auto"/>
            <w:noWrap/>
            <w:vAlign w:val="center"/>
            <w:hideMark/>
          </w:tcPr>
          <w:p w14:paraId="4D1D77E5" w14:textId="77777777" w:rsidR="00DE30C4" w:rsidRPr="005659E6" w:rsidRDefault="00DE30C4" w:rsidP="007130E8">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659E6">
              <w:rPr>
                <w:rFonts w:ascii="Times New Roman" w:hAnsi="Times New Roman" w:cs="Times New Roman"/>
                <w:color w:val="auto"/>
                <w:sz w:val="20"/>
                <w:szCs w:val="20"/>
              </w:rPr>
              <w:t>B11</w:t>
            </w:r>
          </w:p>
        </w:tc>
        <w:tc>
          <w:tcPr>
            <w:tcW w:w="0" w:type="auto"/>
            <w:noWrap/>
            <w:hideMark/>
          </w:tcPr>
          <w:p w14:paraId="7E8D5851" w14:textId="77777777" w:rsidR="00DE30C4" w:rsidRPr="005659E6"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5659E6">
              <w:rPr>
                <w:rFonts w:ascii="Times New Roman" w:eastAsia="Times New Roman" w:hAnsi="Times New Roman" w:cs="Times New Roman"/>
                <w:color w:val="000000"/>
                <w:sz w:val="20"/>
                <w:szCs w:val="24"/>
                <w:lang w:eastAsia="lv-LV"/>
              </w:rPr>
              <w:t> </w:t>
            </w:r>
          </w:p>
        </w:tc>
        <w:tc>
          <w:tcPr>
            <w:tcW w:w="0" w:type="auto"/>
            <w:noWrap/>
            <w:vAlign w:val="center"/>
            <w:hideMark/>
          </w:tcPr>
          <w:p w14:paraId="0F820A3F"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3</w:t>
            </w:r>
          </w:p>
        </w:tc>
        <w:tc>
          <w:tcPr>
            <w:tcW w:w="0" w:type="auto"/>
            <w:noWrap/>
            <w:vAlign w:val="center"/>
            <w:hideMark/>
          </w:tcPr>
          <w:p w14:paraId="0ACFDF3E"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1</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0</w:t>
            </w:r>
          </w:p>
        </w:tc>
        <w:tc>
          <w:tcPr>
            <w:tcW w:w="0" w:type="auto"/>
            <w:noWrap/>
            <w:vAlign w:val="center"/>
            <w:hideMark/>
          </w:tcPr>
          <w:p w14:paraId="63B40485"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6</w:t>
            </w:r>
          </w:p>
        </w:tc>
        <w:tc>
          <w:tcPr>
            <w:tcW w:w="0" w:type="auto"/>
            <w:noWrap/>
            <w:vAlign w:val="center"/>
            <w:hideMark/>
          </w:tcPr>
          <w:p w14:paraId="0C1E4899"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5</w:t>
            </w:r>
          </w:p>
        </w:tc>
        <w:tc>
          <w:tcPr>
            <w:tcW w:w="0" w:type="auto"/>
            <w:noWrap/>
            <w:vAlign w:val="center"/>
            <w:hideMark/>
          </w:tcPr>
          <w:p w14:paraId="00D3C6BD" w14:textId="77777777" w:rsidR="00DE30C4" w:rsidRPr="006F6425" w:rsidRDefault="00DE30C4" w:rsidP="007130E8">
            <w:pPr>
              <w:autoSpaceDE w:val="0"/>
              <w:autoSpaceDN w:val="0"/>
              <w:adjustRightIn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6F6425">
              <w:rPr>
                <w:rFonts w:ascii="Times New Roman" w:eastAsia="Times New Roman" w:hAnsi="Times New Roman" w:cs="Times New Roman"/>
                <w:color w:val="000000"/>
                <w:sz w:val="20"/>
                <w:szCs w:val="24"/>
                <w:lang w:eastAsia="lv-LV"/>
              </w:rPr>
              <w:t>-0</w:t>
            </w:r>
            <w:r>
              <w:rPr>
                <w:rFonts w:ascii="Times New Roman" w:eastAsia="Times New Roman" w:hAnsi="Times New Roman" w:cs="Times New Roman"/>
                <w:color w:val="000000"/>
                <w:sz w:val="20"/>
                <w:szCs w:val="24"/>
                <w:lang w:eastAsia="lv-LV"/>
              </w:rPr>
              <w:t>,</w:t>
            </w:r>
            <w:r w:rsidRPr="006F6425">
              <w:rPr>
                <w:rFonts w:ascii="Times New Roman" w:eastAsia="Times New Roman" w:hAnsi="Times New Roman" w:cs="Times New Roman"/>
                <w:color w:val="000000"/>
                <w:sz w:val="20"/>
                <w:szCs w:val="24"/>
                <w:lang w:eastAsia="lv-LV"/>
              </w:rPr>
              <w:t>4</w:t>
            </w:r>
          </w:p>
        </w:tc>
      </w:tr>
    </w:tbl>
    <w:p w14:paraId="7F697D3C" w14:textId="77777777" w:rsidR="004E6720" w:rsidRDefault="004E6720" w:rsidP="00DE30C4">
      <w:pPr>
        <w:spacing w:before="60" w:after="60"/>
        <w:ind w:firstLine="567"/>
        <w:jc w:val="both"/>
        <w:rPr>
          <w:rFonts w:ascii="Times New Roman" w:hAnsi="Times New Roman" w:cs="Times New Roman"/>
          <w:sz w:val="24"/>
          <w:szCs w:val="24"/>
        </w:rPr>
      </w:pPr>
    </w:p>
    <w:p w14:paraId="43F94B10" w14:textId="4DC1E1C0" w:rsidR="00DE30C4" w:rsidRPr="00194093" w:rsidRDefault="00DE30C4" w:rsidP="005C17A3">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 xml:space="preserve">Naftas cenu prognoze pasaulē un tās ietekme uz degvielas un gāzes cenām Latvijā ir samazināta. Š.g. martā </w:t>
      </w:r>
      <w:r w:rsidRPr="00194093">
        <w:rPr>
          <w:rFonts w:ascii="Times New Roman" w:hAnsi="Times New Roman" w:cs="Times New Roman"/>
          <w:i/>
          <w:sz w:val="24"/>
          <w:szCs w:val="24"/>
        </w:rPr>
        <w:t>Brent</w:t>
      </w:r>
      <w:r w:rsidRPr="00194093">
        <w:rPr>
          <w:rFonts w:ascii="Times New Roman" w:hAnsi="Times New Roman" w:cs="Times New Roman"/>
          <w:sz w:val="24"/>
          <w:szCs w:val="24"/>
        </w:rPr>
        <w:t xml:space="preserve"> markas jēlnaftas cena strauji samazinājās līdz 24,5 ASV dolāriem par bare</w:t>
      </w:r>
      <w:r w:rsidR="004E6720">
        <w:rPr>
          <w:rFonts w:ascii="Times New Roman" w:hAnsi="Times New Roman" w:cs="Times New Roman"/>
          <w:sz w:val="24"/>
          <w:szCs w:val="24"/>
        </w:rPr>
        <w:t>lu (zemākais līmenis kopš 2003.</w:t>
      </w:r>
      <w:r w:rsidRPr="00194093">
        <w:rPr>
          <w:rFonts w:ascii="Times New Roman" w:hAnsi="Times New Roman" w:cs="Times New Roman"/>
          <w:sz w:val="24"/>
          <w:szCs w:val="24"/>
        </w:rPr>
        <w:t xml:space="preserve">gada), divu nedēļu laikā naftas cenai samazinoties uz pusi. Ja gada sākumā naftas cenu pazeminošā virzienā ietekmēja naftas piedāvājuma pārpalikums pasaulē, kā arī ekonomikas sentimenta pasliktinājums saistībā ar straujo Covid-19 izplatību Ķīnā, tad marta sākumā naftas cenu kritumu noteica </w:t>
      </w:r>
      <w:r>
        <w:rPr>
          <w:rFonts w:ascii="Times New Roman" w:hAnsi="Times New Roman" w:cs="Times New Roman"/>
          <w:sz w:val="24"/>
          <w:szCs w:val="24"/>
        </w:rPr>
        <w:t xml:space="preserve">naftas </w:t>
      </w:r>
      <w:r w:rsidR="005C17A3">
        <w:rPr>
          <w:rFonts w:ascii="Times New Roman" w:hAnsi="Times New Roman" w:cs="Times New Roman"/>
          <w:sz w:val="24"/>
          <w:szCs w:val="24"/>
        </w:rPr>
        <w:t xml:space="preserve">eksportētājvalstu </w:t>
      </w:r>
      <w:r w:rsidRPr="00194093">
        <w:rPr>
          <w:rFonts w:ascii="Times New Roman" w:hAnsi="Times New Roman" w:cs="Times New Roman"/>
          <w:sz w:val="24"/>
          <w:szCs w:val="24"/>
        </w:rPr>
        <w:t xml:space="preserve">organizācijas </w:t>
      </w:r>
      <w:r w:rsidR="00E82EB6">
        <w:rPr>
          <w:rFonts w:ascii="Times New Roman" w:hAnsi="Times New Roman" w:cs="Times New Roman"/>
          <w:sz w:val="24"/>
          <w:szCs w:val="24"/>
        </w:rPr>
        <w:t xml:space="preserve">(turpmāk – </w:t>
      </w:r>
      <w:r w:rsidRPr="00194093">
        <w:rPr>
          <w:rFonts w:ascii="Times New Roman" w:hAnsi="Times New Roman" w:cs="Times New Roman"/>
          <w:sz w:val="24"/>
          <w:szCs w:val="24"/>
        </w:rPr>
        <w:t>OPEC</w:t>
      </w:r>
      <w:r w:rsidR="00E82EB6">
        <w:rPr>
          <w:rFonts w:ascii="Times New Roman" w:hAnsi="Times New Roman" w:cs="Times New Roman"/>
          <w:sz w:val="24"/>
          <w:szCs w:val="24"/>
        </w:rPr>
        <w:t>)</w:t>
      </w:r>
      <w:r w:rsidRPr="00194093">
        <w:rPr>
          <w:rFonts w:ascii="Times New Roman" w:hAnsi="Times New Roman" w:cs="Times New Roman"/>
          <w:sz w:val="24"/>
          <w:szCs w:val="24"/>
        </w:rPr>
        <w:t xml:space="preserve"> un Krievijas nespēja vienoties par naftas ieguves apmēra samazināšanu, lai stabilizētu naftas piedāvājumu atbilstoši pieprasījuma kritumam. Pēc OPEC+ sanāksmes Saūda Arābija paziņoja, ka samazina savu naftas cenu aprīļa piegādēm līdz 25 ASV dolāriem par barelu, tādējādi vienas diena</w:t>
      </w:r>
      <w:r>
        <w:rPr>
          <w:rFonts w:ascii="Times New Roman" w:hAnsi="Times New Roman" w:cs="Times New Roman"/>
          <w:sz w:val="24"/>
          <w:szCs w:val="24"/>
        </w:rPr>
        <w:t>s</w:t>
      </w:r>
      <w:r w:rsidRPr="00194093">
        <w:rPr>
          <w:rFonts w:ascii="Times New Roman" w:hAnsi="Times New Roman" w:cs="Times New Roman"/>
          <w:sz w:val="24"/>
          <w:szCs w:val="24"/>
        </w:rPr>
        <w:t xml:space="preserve"> laikā naftas cenas samazinājās par 30%. Sagaidāms, ka līdz aprīlim, kad Saūda Arābija faktiski veiks naftas piegādi </w:t>
      </w:r>
      <w:r w:rsidRPr="006A7D0B">
        <w:rPr>
          <w:rFonts w:ascii="Times New Roman" w:hAnsi="Times New Roman" w:cs="Times New Roman"/>
          <w:color w:val="000000" w:themeColor="text1"/>
          <w:sz w:val="24"/>
          <w:szCs w:val="24"/>
        </w:rPr>
        <w:t>par iepriekš izteikto cenu, naftas cena pasaules tirgos svārstīsies no 25 līdz 30 ASV dolāriem par barelu. Valstu robežu slēgšana, avioreisu atcelšana un karantīnas ieviešana negatīvi ietekmē tūrisma un pasažieru pārvadājumu apjomu, kas samazinās pieprasījumu pēc naftas. Līdz ar to sagaidāms, ka naftas cena š.g. pirmajā pusgadā svārstīsies no 25 līdz 40 ASV dolāriem par barelu. Tādējādi degvielas cenas Latvijā vismaz līdz š.g. vidum būs zemākas nekā pērnā gada attiecīgajā periodā</w:t>
      </w:r>
      <w:r w:rsidRPr="00194093">
        <w:rPr>
          <w:rFonts w:ascii="Times New Roman" w:hAnsi="Times New Roman" w:cs="Times New Roman"/>
          <w:sz w:val="24"/>
          <w:szCs w:val="24"/>
        </w:rPr>
        <w:t>.</w:t>
      </w:r>
    </w:p>
    <w:p w14:paraId="4DC184F2" w14:textId="5349C2E2" w:rsidR="00DE30C4" w:rsidRPr="00194093" w:rsidRDefault="00DE30C4" w:rsidP="005C17A3">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Atbilstoši straujajam naftas cen</w:t>
      </w:r>
      <w:r>
        <w:rPr>
          <w:rFonts w:ascii="Times New Roman" w:hAnsi="Times New Roman" w:cs="Times New Roman"/>
          <w:sz w:val="24"/>
          <w:szCs w:val="24"/>
        </w:rPr>
        <w:t>u samazinājumam, tiek prognozēt</w:t>
      </w:r>
      <w:r w:rsidRPr="00194093">
        <w:rPr>
          <w:rFonts w:ascii="Times New Roman" w:hAnsi="Times New Roman" w:cs="Times New Roman"/>
          <w:sz w:val="24"/>
          <w:szCs w:val="24"/>
        </w:rPr>
        <w:t>s arī straujāks gāzes tarifu samazinājums Latvijā</w:t>
      </w:r>
      <w:r>
        <w:rPr>
          <w:rFonts w:ascii="Times New Roman" w:hAnsi="Times New Roman" w:cs="Times New Roman"/>
          <w:sz w:val="24"/>
          <w:szCs w:val="24"/>
        </w:rPr>
        <w:t>,</w:t>
      </w:r>
      <w:r w:rsidRPr="00194093">
        <w:rPr>
          <w:rFonts w:ascii="Times New Roman" w:hAnsi="Times New Roman" w:cs="Times New Roman"/>
          <w:sz w:val="24"/>
          <w:szCs w:val="24"/>
        </w:rPr>
        <w:t xml:space="preserve"> sākot ar š.g. otro pusgadu. Tādējādi gāzes cenas kritums Latvijā arī š.g. otrajā pusgadā varētu būt ļoti līdzīgs ce</w:t>
      </w:r>
      <w:r>
        <w:rPr>
          <w:rFonts w:ascii="Times New Roman" w:hAnsi="Times New Roman" w:cs="Times New Roman"/>
          <w:sz w:val="24"/>
          <w:szCs w:val="24"/>
        </w:rPr>
        <w:t>nu kritumam gada pirmajā pusē</w:t>
      </w:r>
      <w:r w:rsidRPr="00194093">
        <w:rPr>
          <w:rFonts w:ascii="Times New Roman" w:hAnsi="Times New Roman" w:cs="Times New Roman"/>
          <w:sz w:val="24"/>
          <w:szCs w:val="24"/>
        </w:rPr>
        <w:t xml:space="preserve">, kad gāzes cenas samazinājās par 18,4%. Zemāku energoresursu cenu dēļ no š.g. 1.aprīļa par 7,4% mazināsies arī AS “Rīgas siltums” siltumenerģijas tarifs, kas </w:t>
      </w:r>
      <w:r>
        <w:rPr>
          <w:rFonts w:ascii="Times New Roman" w:hAnsi="Times New Roman" w:cs="Times New Roman"/>
          <w:sz w:val="24"/>
          <w:szCs w:val="24"/>
        </w:rPr>
        <w:t>sa</w:t>
      </w:r>
      <w:r w:rsidRPr="00194093">
        <w:rPr>
          <w:rFonts w:ascii="Times New Roman" w:hAnsi="Times New Roman" w:cs="Times New Roman"/>
          <w:sz w:val="24"/>
          <w:szCs w:val="24"/>
        </w:rPr>
        <w:t>mazinās arī vi</w:t>
      </w:r>
      <w:r w:rsidR="005C17A3">
        <w:rPr>
          <w:rFonts w:ascii="Times New Roman" w:hAnsi="Times New Roman" w:cs="Times New Roman"/>
          <w:sz w:val="24"/>
          <w:szCs w:val="24"/>
        </w:rPr>
        <w:t>dējo siltumenerģijas cenu 2020.</w:t>
      </w:r>
      <w:r w:rsidRPr="00194093">
        <w:rPr>
          <w:rFonts w:ascii="Times New Roman" w:hAnsi="Times New Roman" w:cs="Times New Roman"/>
          <w:sz w:val="24"/>
          <w:szCs w:val="24"/>
        </w:rPr>
        <w:t xml:space="preserve">gadā. Zemākas degvielas, gāzes un siltumenerģijas cenas mazinās arī tādu pakalpojumu cenas kā veselības aprūpe, ēdināšanas un izmitināšanas pakalpojumi. Lai arī degvielas, gāzes un siltumenerģijas īpatsvars kopējā patēriņā veido tikai 10,6%, tomēr būtisks degvielas un </w:t>
      </w:r>
      <w:r>
        <w:rPr>
          <w:rFonts w:ascii="Times New Roman" w:hAnsi="Times New Roman" w:cs="Times New Roman"/>
          <w:sz w:val="24"/>
          <w:szCs w:val="24"/>
        </w:rPr>
        <w:t>gāzes cenu kritums un tā netiešā</w:t>
      </w:r>
      <w:r w:rsidRPr="00194093">
        <w:rPr>
          <w:rFonts w:ascii="Times New Roman" w:hAnsi="Times New Roman" w:cs="Times New Roman"/>
          <w:sz w:val="24"/>
          <w:szCs w:val="24"/>
        </w:rPr>
        <w:t xml:space="preserve"> ietekme uz pakalpojumu cenām ievērojami mazinā</w:t>
      </w:r>
      <w:r>
        <w:rPr>
          <w:rFonts w:ascii="Times New Roman" w:hAnsi="Times New Roman" w:cs="Times New Roman"/>
          <w:sz w:val="24"/>
          <w:szCs w:val="24"/>
        </w:rPr>
        <w:t>s inflācijas</w:t>
      </w:r>
      <w:r w:rsidR="005C17A3">
        <w:rPr>
          <w:rFonts w:ascii="Times New Roman" w:hAnsi="Times New Roman" w:cs="Times New Roman"/>
          <w:sz w:val="24"/>
          <w:szCs w:val="24"/>
        </w:rPr>
        <w:t xml:space="preserve"> prognozi 2020.</w:t>
      </w:r>
      <w:r>
        <w:rPr>
          <w:rFonts w:ascii="Times New Roman" w:hAnsi="Times New Roman" w:cs="Times New Roman"/>
          <w:sz w:val="24"/>
          <w:szCs w:val="24"/>
        </w:rPr>
        <w:t>gadam</w:t>
      </w:r>
      <w:r w:rsidRPr="00194093">
        <w:rPr>
          <w:rFonts w:ascii="Times New Roman" w:hAnsi="Times New Roman" w:cs="Times New Roman"/>
          <w:sz w:val="24"/>
          <w:szCs w:val="24"/>
        </w:rPr>
        <w:t xml:space="preserve"> salīdzinājumā ar bāzes scenāriju. Degviela</w:t>
      </w:r>
      <w:r w:rsidR="005C17A3">
        <w:rPr>
          <w:rFonts w:ascii="Times New Roman" w:hAnsi="Times New Roman" w:cs="Times New Roman"/>
          <w:sz w:val="24"/>
          <w:szCs w:val="24"/>
        </w:rPr>
        <w:t>s cenu kritums atsevišķos 2020.</w:t>
      </w:r>
      <w:r w:rsidRPr="00194093">
        <w:rPr>
          <w:rFonts w:ascii="Times New Roman" w:hAnsi="Times New Roman" w:cs="Times New Roman"/>
          <w:sz w:val="24"/>
          <w:szCs w:val="24"/>
        </w:rPr>
        <w:t>gada m</w:t>
      </w:r>
      <w:r>
        <w:rPr>
          <w:rFonts w:ascii="Times New Roman" w:hAnsi="Times New Roman" w:cs="Times New Roman"/>
          <w:sz w:val="24"/>
          <w:szCs w:val="24"/>
        </w:rPr>
        <w:t>ēnešos varētu būt 15-20% robežā</w:t>
      </w:r>
      <w:r w:rsidRPr="00194093">
        <w:rPr>
          <w:rFonts w:ascii="Times New Roman" w:hAnsi="Times New Roman" w:cs="Times New Roman"/>
          <w:sz w:val="24"/>
          <w:szCs w:val="24"/>
        </w:rPr>
        <w:t>s. Papildus tam</w:t>
      </w:r>
      <w:r>
        <w:rPr>
          <w:rFonts w:ascii="Times New Roman" w:hAnsi="Times New Roman" w:cs="Times New Roman"/>
          <w:sz w:val="24"/>
          <w:szCs w:val="24"/>
        </w:rPr>
        <w:t>,</w:t>
      </w:r>
      <w:r w:rsidRPr="00194093">
        <w:rPr>
          <w:rFonts w:ascii="Times New Roman" w:hAnsi="Times New Roman" w:cs="Times New Roman"/>
          <w:sz w:val="24"/>
          <w:szCs w:val="24"/>
        </w:rPr>
        <w:t xml:space="preserve"> Covid-19 izraisītās sekas, kas atspoguļosies iedzīvotāju ienākumu kritumā, mazinās pieprasījumu pēc kultūras, atpūtas, izklaides un restorānu pakalpojumiem, tādējādi bremzējot šo pakalpoj</w:t>
      </w:r>
      <w:r w:rsidR="005C17A3">
        <w:rPr>
          <w:rFonts w:ascii="Times New Roman" w:hAnsi="Times New Roman" w:cs="Times New Roman"/>
          <w:sz w:val="24"/>
          <w:szCs w:val="24"/>
        </w:rPr>
        <w:t>umu cenu pieaugumu. Tomēr 2020.</w:t>
      </w:r>
      <w:r w:rsidRPr="00194093">
        <w:rPr>
          <w:rFonts w:ascii="Times New Roman" w:hAnsi="Times New Roman" w:cs="Times New Roman"/>
          <w:sz w:val="24"/>
          <w:szCs w:val="24"/>
        </w:rPr>
        <w:t xml:space="preserve">gadā vidējā inflācija būs pozitīva, ko nodrošinās pārtikas cenu pieaugums. </w:t>
      </w:r>
    </w:p>
    <w:p w14:paraId="1416137B" w14:textId="008BEF9D" w:rsidR="00DE30C4" w:rsidRPr="00194093" w:rsidRDefault="00DE30C4" w:rsidP="005C17A3">
      <w:pPr>
        <w:spacing w:after="0" w:line="240" w:lineRule="auto"/>
        <w:ind w:firstLine="567"/>
        <w:jc w:val="both"/>
        <w:rPr>
          <w:rFonts w:ascii="Times New Roman" w:hAnsi="Times New Roman" w:cs="Times New Roman"/>
          <w:sz w:val="24"/>
          <w:szCs w:val="24"/>
        </w:rPr>
      </w:pPr>
      <w:r w:rsidRPr="00194093">
        <w:rPr>
          <w:rFonts w:ascii="Times New Roman" w:hAnsi="Times New Roman" w:cs="Times New Roman"/>
          <w:sz w:val="24"/>
          <w:szCs w:val="24"/>
        </w:rPr>
        <w:t xml:space="preserve">Covid-19 izplatība visā pasaulē varētu </w:t>
      </w:r>
      <w:r>
        <w:rPr>
          <w:rFonts w:ascii="Times New Roman" w:hAnsi="Times New Roman" w:cs="Times New Roman"/>
          <w:sz w:val="24"/>
          <w:szCs w:val="24"/>
        </w:rPr>
        <w:t>ietekmēt</w:t>
      </w:r>
      <w:r w:rsidRPr="00194093">
        <w:rPr>
          <w:rFonts w:ascii="Times New Roman" w:hAnsi="Times New Roman" w:cs="Times New Roman"/>
          <w:sz w:val="24"/>
          <w:szCs w:val="24"/>
        </w:rPr>
        <w:t xml:space="preserve"> pārtikas cenas. Lai arī daudzas pasaules valstis slēdz savas robežas, lai mazinātu cilvēku kustību un vīrusa izplatību, tomēr </w:t>
      </w:r>
      <w:r>
        <w:rPr>
          <w:rFonts w:ascii="Times New Roman" w:hAnsi="Times New Roman" w:cs="Times New Roman"/>
          <w:sz w:val="24"/>
          <w:szCs w:val="24"/>
        </w:rPr>
        <w:t>šie</w:t>
      </w:r>
      <w:r w:rsidRPr="00194093">
        <w:rPr>
          <w:rFonts w:ascii="Times New Roman" w:hAnsi="Times New Roman" w:cs="Times New Roman"/>
          <w:sz w:val="24"/>
          <w:szCs w:val="24"/>
        </w:rPr>
        <w:t xml:space="preserve"> ierobežojumi neattiecas uz kravu pārvadājumiem. Tādējādi</w:t>
      </w:r>
      <w:r w:rsidR="00E82EB6">
        <w:rPr>
          <w:rFonts w:ascii="Times New Roman" w:hAnsi="Times New Roman" w:cs="Times New Roman"/>
          <w:sz w:val="24"/>
          <w:szCs w:val="24"/>
        </w:rPr>
        <w:t>,</w:t>
      </w:r>
      <w:r w:rsidRPr="00194093">
        <w:rPr>
          <w:rFonts w:ascii="Times New Roman" w:hAnsi="Times New Roman" w:cs="Times New Roman"/>
          <w:sz w:val="24"/>
          <w:szCs w:val="24"/>
        </w:rPr>
        <w:t xml:space="preserve"> arī turpmāk būs nodrošināta kravu plūsmu starp valstīm, tajā skaitā arī pārtikas kravu plūsma. Taču straujš inficēto cilvēku skaita pieaugums un karantīna negatīvi ietekmēs pārvadātāju kapacitāti nodrošināt pārtikas kravu pārvadājumu</w:t>
      </w:r>
      <w:r>
        <w:rPr>
          <w:rFonts w:ascii="Times New Roman" w:hAnsi="Times New Roman" w:cs="Times New Roman"/>
          <w:sz w:val="24"/>
          <w:szCs w:val="24"/>
        </w:rPr>
        <w:t>s nepieciešamajā apjomā. Tādē</w:t>
      </w:r>
      <w:r w:rsidRPr="00194093">
        <w:rPr>
          <w:rFonts w:ascii="Times New Roman" w:hAnsi="Times New Roman" w:cs="Times New Roman"/>
          <w:sz w:val="24"/>
          <w:szCs w:val="24"/>
        </w:rPr>
        <w:t>jādi, sagaidāms, ka pārtikas cenas gan Eiropā, gan Latvijā turpinās palielināties arī turpmākajos š.g. mēnešos. Jāatzīmē arī, ka pārtikas preču grupa veido piekto daļu kopējā patēri</w:t>
      </w:r>
      <w:r>
        <w:rPr>
          <w:rFonts w:ascii="Times New Roman" w:hAnsi="Times New Roman" w:cs="Times New Roman"/>
          <w:sz w:val="24"/>
          <w:szCs w:val="24"/>
        </w:rPr>
        <w:t>ņā grozā. Tā ir lielākā patēriņa</w:t>
      </w:r>
      <w:r w:rsidRPr="00194093">
        <w:rPr>
          <w:rFonts w:ascii="Times New Roman" w:hAnsi="Times New Roman" w:cs="Times New Roman"/>
          <w:sz w:val="24"/>
          <w:szCs w:val="24"/>
        </w:rPr>
        <w:t xml:space="preserve"> grup</w:t>
      </w:r>
      <w:r>
        <w:rPr>
          <w:rFonts w:ascii="Times New Roman" w:hAnsi="Times New Roman" w:cs="Times New Roman"/>
          <w:sz w:val="24"/>
          <w:szCs w:val="24"/>
        </w:rPr>
        <w:t>a</w:t>
      </w:r>
      <w:r w:rsidRPr="00194093">
        <w:rPr>
          <w:rFonts w:ascii="Times New Roman" w:hAnsi="Times New Roman" w:cs="Times New Roman"/>
          <w:sz w:val="24"/>
          <w:szCs w:val="24"/>
        </w:rPr>
        <w:t xml:space="preserve">, līdz ar to pārtikas cenu pieaugums </w:t>
      </w:r>
      <w:r>
        <w:rPr>
          <w:rFonts w:ascii="Times New Roman" w:hAnsi="Times New Roman" w:cs="Times New Roman"/>
          <w:sz w:val="24"/>
          <w:szCs w:val="24"/>
        </w:rPr>
        <w:t>nosegs energoresursu cenu krituma ietekmi uz inflāciju</w:t>
      </w:r>
      <w:r w:rsidRPr="00194093">
        <w:rPr>
          <w:rFonts w:ascii="Times New Roman" w:hAnsi="Times New Roman" w:cs="Times New Roman"/>
          <w:sz w:val="24"/>
          <w:szCs w:val="24"/>
        </w:rPr>
        <w:t xml:space="preserve"> un nodrošinās nelielu patēr</w:t>
      </w:r>
      <w:r w:rsidR="005C17A3">
        <w:rPr>
          <w:rFonts w:ascii="Times New Roman" w:hAnsi="Times New Roman" w:cs="Times New Roman"/>
          <w:sz w:val="24"/>
          <w:szCs w:val="24"/>
        </w:rPr>
        <w:t>iņa cenu kāpumu 2020.</w:t>
      </w:r>
      <w:r w:rsidRPr="00194093">
        <w:rPr>
          <w:rFonts w:ascii="Times New Roman" w:hAnsi="Times New Roman" w:cs="Times New Roman"/>
          <w:sz w:val="24"/>
          <w:szCs w:val="24"/>
        </w:rPr>
        <w:t xml:space="preserve">gadā. </w:t>
      </w:r>
    </w:p>
    <w:p w14:paraId="2DF607D0" w14:textId="08C6EA1A" w:rsidR="00DE30C4" w:rsidRDefault="00DE30C4" w:rsidP="004E67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Līdz ar </w:t>
      </w:r>
      <w:r w:rsidRPr="008D6972">
        <w:rPr>
          <w:rFonts w:ascii="Times New Roman" w:hAnsi="Times New Roman" w:cs="Times New Roman"/>
          <w:sz w:val="24"/>
          <w:szCs w:val="20"/>
        </w:rPr>
        <w:t xml:space="preserve">Covid-19 </w:t>
      </w:r>
      <w:r>
        <w:rPr>
          <w:rFonts w:ascii="Times New Roman" w:hAnsi="Times New Roman" w:cs="Times New Roman"/>
          <w:sz w:val="24"/>
          <w:szCs w:val="20"/>
        </w:rPr>
        <w:t>izraisīto</w:t>
      </w:r>
      <w:r w:rsidRPr="008D6972">
        <w:rPr>
          <w:rFonts w:ascii="Times New Roman" w:hAnsi="Times New Roman" w:cs="Times New Roman"/>
          <w:sz w:val="24"/>
          <w:szCs w:val="20"/>
        </w:rPr>
        <w:t xml:space="preserve"> krīz</w:t>
      </w:r>
      <w:r>
        <w:rPr>
          <w:rFonts w:ascii="Times New Roman" w:hAnsi="Times New Roman" w:cs="Times New Roman"/>
          <w:sz w:val="24"/>
          <w:szCs w:val="20"/>
        </w:rPr>
        <w:t>i</w:t>
      </w:r>
      <w:r w:rsidRPr="008D6972">
        <w:rPr>
          <w:rFonts w:ascii="Times New Roman" w:hAnsi="Times New Roman" w:cs="Times New Roman"/>
          <w:sz w:val="24"/>
          <w:szCs w:val="20"/>
        </w:rPr>
        <w:t xml:space="preserve"> pasaulē un kras</w:t>
      </w:r>
      <w:r>
        <w:rPr>
          <w:rFonts w:ascii="Times New Roman" w:hAnsi="Times New Roman" w:cs="Times New Roman"/>
          <w:sz w:val="24"/>
          <w:szCs w:val="20"/>
        </w:rPr>
        <w:t>o ekonomiskās aktivitātes kritumu Latvijā</w:t>
      </w:r>
      <w:r w:rsidRPr="008D6972">
        <w:rPr>
          <w:rFonts w:ascii="Times New Roman" w:hAnsi="Times New Roman" w:cs="Times New Roman"/>
          <w:sz w:val="24"/>
          <w:szCs w:val="20"/>
        </w:rPr>
        <w:t xml:space="preserve"> martā </w:t>
      </w:r>
      <w:r>
        <w:rPr>
          <w:rFonts w:ascii="Times New Roman" w:hAnsi="Times New Roman" w:cs="Times New Roman"/>
          <w:sz w:val="24"/>
          <w:szCs w:val="20"/>
        </w:rPr>
        <w:t xml:space="preserve">un aprīlī </w:t>
      </w:r>
      <w:r w:rsidRPr="008D6972">
        <w:rPr>
          <w:rFonts w:ascii="Times New Roman" w:hAnsi="Times New Roman" w:cs="Times New Roman"/>
          <w:sz w:val="24"/>
          <w:szCs w:val="20"/>
        </w:rPr>
        <w:t xml:space="preserve">bezdarba līmenis ir sācis </w:t>
      </w:r>
      <w:r>
        <w:rPr>
          <w:rFonts w:ascii="Times New Roman" w:hAnsi="Times New Roman" w:cs="Times New Roman"/>
          <w:sz w:val="24"/>
          <w:szCs w:val="20"/>
        </w:rPr>
        <w:t xml:space="preserve">strauji </w:t>
      </w:r>
      <w:r w:rsidRPr="008D6972">
        <w:rPr>
          <w:rFonts w:ascii="Times New Roman" w:hAnsi="Times New Roman" w:cs="Times New Roman"/>
          <w:sz w:val="24"/>
          <w:szCs w:val="20"/>
        </w:rPr>
        <w:t xml:space="preserve">paaugstināties, </w:t>
      </w:r>
      <w:r>
        <w:rPr>
          <w:rFonts w:ascii="Times New Roman" w:hAnsi="Times New Roman" w:cs="Times New Roman"/>
          <w:sz w:val="24"/>
          <w:szCs w:val="20"/>
        </w:rPr>
        <w:t xml:space="preserve">pusotra mēneša laikā </w:t>
      </w:r>
      <w:r w:rsidRPr="008D6972">
        <w:rPr>
          <w:rFonts w:ascii="Times New Roman" w:hAnsi="Times New Roman" w:cs="Times New Roman"/>
          <w:sz w:val="24"/>
          <w:szCs w:val="20"/>
        </w:rPr>
        <w:t xml:space="preserve">līdz </w:t>
      </w:r>
      <w:r w:rsidR="004E6720">
        <w:rPr>
          <w:rFonts w:ascii="Times New Roman" w:hAnsi="Times New Roman" w:cs="Times New Roman"/>
          <w:sz w:val="24"/>
          <w:szCs w:val="20"/>
        </w:rPr>
        <w:t>17.</w:t>
      </w:r>
      <w:r>
        <w:rPr>
          <w:rFonts w:ascii="Times New Roman" w:hAnsi="Times New Roman" w:cs="Times New Roman"/>
          <w:sz w:val="24"/>
          <w:szCs w:val="20"/>
        </w:rPr>
        <w:t>aprīlim</w:t>
      </w:r>
      <w:r w:rsidRPr="008D6972">
        <w:rPr>
          <w:rFonts w:ascii="Times New Roman" w:hAnsi="Times New Roman" w:cs="Times New Roman"/>
          <w:sz w:val="24"/>
          <w:szCs w:val="20"/>
        </w:rPr>
        <w:t xml:space="preserve"> reģistrēto bezdarbnieku skaitam palielinoties par </w:t>
      </w:r>
      <w:r w:rsidRPr="00387952">
        <w:rPr>
          <w:rFonts w:ascii="Times New Roman" w:eastAsia="Times New Roman" w:hAnsi="Times New Roman" w:cs="Times New Roman"/>
          <w:color w:val="000000"/>
          <w:sz w:val="24"/>
          <w:szCs w:val="24"/>
          <w:lang w:eastAsia="lv-LV"/>
        </w:rPr>
        <w:t>10</w:t>
      </w:r>
      <w:r>
        <w:rPr>
          <w:rFonts w:ascii="Times New Roman" w:eastAsia="Times New Roman" w:hAnsi="Times New Roman" w:cs="Times New Roman"/>
          <w:color w:val="000000"/>
          <w:sz w:val="24"/>
          <w:szCs w:val="24"/>
          <w:lang w:eastAsia="lv-LV"/>
        </w:rPr>
        <w:t> </w:t>
      </w:r>
      <w:r w:rsidRPr="00387952">
        <w:rPr>
          <w:rFonts w:ascii="Times New Roman" w:eastAsia="Times New Roman" w:hAnsi="Times New Roman" w:cs="Times New Roman"/>
          <w:color w:val="000000"/>
          <w:sz w:val="24"/>
          <w:szCs w:val="24"/>
          <w:lang w:eastAsia="lv-LV"/>
        </w:rPr>
        <w:t>616</w:t>
      </w:r>
      <w:r>
        <w:rPr>
          <w:rFonts w:ascii="Times New Roman" w:eastAsia="Times New Roman" w:hAnsi="Times New Roman" w:cs="Times New Roman"/>
          <w:color w:val="000000"/>
          <w:sz w:val="24"/>
          <w:szCs w:val="24"/>
          <w:lang w:eastAsia="lv-LV"/>
        </w:rPr>
        <w:t xml:space="preserve"> jeb 18,2% </w:t>
      </w:r>
      <w:r w:rsidRPr="008D6972">
        <w:rPr>
          <w:rFonts w:ascii="Times New Roman" w:hAnsi="Times New Roman" w:cs="Times New Roman"/>
          <w:sz w:val="24"/>
          <w:szCs w:val="20"/>
        </w:rPr>
        <w:t xml:space="preserve">un reģistrētā bezdarba līmenim paaugstinoties līdz </w:t>
      </w:r>
      <w:r>
        <w:rPr>
          <w:rFonts w:ascii="Times New Roman" w:hAnsi="Times New Roman" w:cs="Times New Roman"/>
          <w:sz w:val="24"/>
          <w:szCs w:val="20"/>
        </w:rPr>
        <w:t>7,4</w:t>
      </w:r>
      <w:r w:rsidRPr="008D6972">
        <w:rPr>
          <w:rFonts w:ascii="Times New Roman" w:hAnsi="Times New Roman" w:cs="Times New Roman"/>
          <w:sz w:val="24"/>
          <w:szCs w:val="20"/>
        </w:rPr>
        <w:t>%. Pēc Labklā</w:t>
      </w:r>
      <w:r>
        <w:rPr>
          <w:rFonts w:ascii="Times New Roman" w:hAnsi="Times New Roman" w:cs="Times New Roman"/>
          <w:sz w:val="24"/>
          <w:szCs w:val="20"/>
        </w:rPr>
        <w:t>jības ministrijas datiem, līdz 17.aprīlim</w:t>
      </w:r>
      <w:r w:rsidRPr="008D6972">
        <w:rPr>
          <w:rFonts w:ascii="Times New Roman" w:hAnsi="Times New Roman" w:cs="Times New Roman"/>
          <w:sz w:val="24"/>
          <w:szCs w:val="20"/>
        </w:rPr>
        <w:t xml:space="preserve"> paziņojumus par kolektīvajām atlaišanām bija iesnieguši </w:t>
      </w:r>
      <w:r>
        <w:rPr>
          <w:rFonts w:ascii="Times New Roman" w:hAnsi="Times New Roman" w:cs="Times New Roman"/>
          <w:sz w:val="24"/>
          <w:szCs w:val="20"/>
        </w:rPr>
        <w:t>28</w:t>
      </w:r>
      <w:r w:rsidRPr="008D6972">
        <w:rPr>
          <w:rFonts w:ascii="Times New Roman" w:hAnsi="Times New Roman" w:cs="Times New Roman"/>
          <w:sz w:val="24"/>
          <w:szCs w:val="20"/>
        </w:rPr>
        <w:t xml:space="preserve"> uzņēmumi kopumā par </w:t>
      </w:r>
      <w:r>
        <w:rPr>
          <w:rFonts w:ascii="Times New Roman" w:hAnsi="Times New Roman" w:cs="Times New Roman"/>
          <w:sz w:val="24"/>
          <w:szCs w:val="20"/>
        </w:rPr>
        <w:t>4</w:t>
      </w:r>
      <w:r w:rsidR="004E6720" w:rsidRPr="0098250F">
        <w:rPr>
          <w:rFonts w:ascii="Times New Roman" w:hAnsi="Times New Roman" w:cs="Times New Roman"/>
          <w:sz w:val="24"/>
          <w:szCs w:val="20"/>
        </w:rPr>
        <w:t> </w:t>
      </w:r>
      <w:r>
        <w:rPr>
          <w:rFonts w:ascii="Times New Roman" w:hAnsi="Times New Roman" w:cs="Times New Roman"/>
          <w:sz w:val="24"/>
          <w:szCs w:val="20"/>
        </w:rPr>
        <w:t>118</w:t>
      </w:r>
      <w:r w:rsidRPr="008D6972">
        <w:rPr>
          <w:rFonts w:ascii="Times New Roman" w:hAnsi="Times New Roman" w:cs="Times New Roman"/>
          <w:sz w:val="24"/>
          <w:szCs w:val="20"/>
        </w:rPr>
        <w:t xml:space="preserve"> darbiniekiem.</w:t>
      </w:r>
      <w:r>
        <w:rPr>
          <w:rFonts w:ascii="Times New Roman" w:hAnsi="Times New Roman" w:cs="Times New Roman"/>
          <w:sz w:val="24"/>
          <w:szCs w:val="20"/>
        </w:rPr>
        <w:t xml:space="preserve"> Savuk</w:t>
      </w:r>
      <w:r w:rsidR="004E6720">
        <w:rPr>
          <w:rFonts w:ascii="Times New Roman" w:hAnsi="Times New Roman" w:cs="Times New Roman"/>
          <w:sz w:val="24"/>
          <w:szCs w:val="20"/>
        </w:rPr>
        <w:t>ārt dīkstāves pabalstus kopš 6.</w:t>
      </w:r>
      <w:r>
        <w:rPr>
          <w:rFonts w:ascii="Times New Roman" w:hAnsi="Times New Roman" w:cs="Times New Roman"/>
          <w:sz w:val="24"/>
          <w:szCs w:val="20"/>
        </w:rPr>
        <w:t xml:space="preserve">aprīļa saņēmuši </w:t>
      </w:r>
      <w:r w:rsidRPr="00387952">
        <w:rPr>
          <w:rFonts w:ascii="Times New Roman" w:hAnsi="Times New Roman" w:cs="Times New Roman"/>
          <w:sz w:val="24"/>
          <w:szCs w:val="20"/>
        </w:rPr>
        <w:t>15</w:t>
      </w:r>
      <w:r w:rsidR="004E6720" w:rsidRPr="0098250F">
        <w:rPr>
          <w:rFonts w:ascii="Times New Roman" w:hAnsi="Times New Roman" w:cs="Times New Roman"/>
          <w:sz w:val="24"/>
          <w:szCs w:val="20"/>
        </w:rPr>
        <w:t> </w:t>
      </w:r>
      <w:r w:rsidRPr="00387952">
        <w:rPr>
          <w:rFonts w:ascii="Times New Roman" w:hAnsi="Times New Roman" w:cs="Times New Roman"/>
          <w:sz w:val="24"/>
          <w:szCs w:val="20"/>
        </w:rPr>
        <w:t xml:space="preserve">064 </w:t>
      </w:r>
      <w:r>
        <w:rPr>
          <w:rFonts w:ascii="Times New Roman" w:hAnsi="Times New Roman" w:cs="Times New Roman"/>
          <w:sz w:val="24"/>
          <w:szCs w:val="20"/>
        </w:rPr>
        <w:t>darbinieki</w:t>
      </w:r>
      <w:r w:rsidRPr="00387952">
        <w:rPr>
          <w:rFonts w:ascii="Times New Roman" w:hAnsi="Times New Roman" w:cs="Times New Roman"/>
          <w:sz w:val="24"/>
          <w:szCs w:val="20"/>
        </w:rPr>
        <w:t>.</w:t>
      </w:r>
      <w:r>
        <w:rPr>
          <w:rFonts w:ascii="Times New Roman" w:hAnsi="Times New Roman" w:cs="Times New Roman"/>
          <w:sz w:val="24"/>
          <w:szCs w:val="20"/>
        </w:rPr>
        <w:t xml:space="preserve"> </w:t>
      </w:r>
      <w:r w:rsidRPr="008D6972">
        <w:rPr>
          <w:rFonts w:ascii="Times New Roman" w:hAnsi="Times New Roman" w:cs="Times New Roman"/>
          <w:sz w:val="24"/>
          <w:szCs w:val="20"/>
        </w:rPr>
        <w:t>Brīv</w:t>
      </w:r>
      <w:r w:rsidR="004E6720">
        <w:rPr>
          <w:rFonts w:ascii="Times New Roman" w:hAnsi="Times New Roman" w:cs="Times New Roman"/>
          <w:sz w:val="24"/>
          <w:szCs w:val="20"/>
        </w:rPr>
        <w:t>o darba vietu skaits, kas 2019.</w:t>
      </w:r>
      <w:r w:rsidRPr="008D6972">
        <w:rPr>
          <w:rFonts w:ascii="Times New Roman" w:hAnsi="Times New Roman" w:cs="Times New Roman"/>
          <w:sz w:val="24"/>
          <w:szCs w:val="20"/>
        </w:rPr>
        <w:t>gada laikā bija uzrādījis strauju kāpumu, šā gada marta</w:t>
      </w:r>
      <w:r>
        <w:rPr>
          <w:rFonts w:ascii="Times New Roman" w:hAnsi="Times New Roman" w:cs="Times New Roman"/>
          <w:sz w:val="24"/>
          <w:szCs w:val="20"/>
        </w:rPr>
        <w:t xml:space="preserve"> un aprīļa</w:t>
      </w:r>
      <w:r w:rsidRPr="008D6972">
        <w:rPr>
          <w:rFonts w:ascii="Times New Roman" w:hAnsi="Times New Roman" w:cs="Times New Roman"/>
          <w:sz w:val="24"/>
          <w:szCs w:val="20"/>
        </w:rPr>
        <w:t xml:space="preserve"> laikā ir strauji krities, darba sludinājumu skaitam personāla atlases kompānijas </w:t>
      </w:r>
      <w:r w:rsidRPr="009B6FEE">
        <w:rPr>
          <w:rFonts w:ascii="Times New Roman" w:hAnsi="Times New Roman" w:cs="Times New Roman"/>
          <w:i/>
          <w:sz w:val="24"/>
          <w:szCs w:val="20"/>
        </w:rPr>
        <w:t>CV Online</w:t>
      </w:r>
      <w:r w:rsidRPr="008D6972">
        <w:rPr>
          <w:rFonts w:ascii="Times New Roman" w:hAnsi="Times New Roman" w:cs="Times New Roman"/>
          <w:sz w:val="24"/>
          <w:szCs w:val="20"/>
        </w:rPr>
        <w:t xml:space="preserve"> portālā </w:t>
      </w:r>
      <w:r>
        <w:rPr>
          <w:rFonts w:ascii="Times New Roman" w:hAnsi="Times New Roman" w:cs="Times New Roman"/>
          <w:sz w:val="24"/>
          <w:szCs w:val="20"/>
        </w:rPr>
        <w:t xml:space="preserve">mēneša </w:t>
      </w:r>
      <w:r w:rsidRPr="008D6972">
        <w:rPr>
          <w:rFonts w:ascii="Times New Roman" w:hAnsi="Times New Roman" w:cs="Times New Roman"/>
          <w:sz w:val="24"/>
          <w:szCs w:val="20"/>
        </w:rPr>
        <w:t xml:space="preserve">laikā līdz </w:t>
      </w:r>
      <w:r>
        <w:rPr>
          <w:rFonts w:ascii="Times New Roman" w:hAnsi="Times New Roman" w:cs="Times New Roman"/>
          <w:sz w:val="24"/>
          <w:szCs w:val="20"/>
        </w:rPr>
        <w:t>17</w:t>
      </w:r>
      <w:r w:rsidR="004E6720">
        <w:rPr>
          <w:rFonts w:ascii="Times New Roman" w:hAnsi="Times New Roman" w:cs="Times New Roman"/>
          <w:sz w:val="24"/>
          <w:szCs w:val="20"/>
        </w:rPr>
        <w:t>.</w:t>
      </w:r>
      <w:r>
        <w:rPr>
          <w:rFonts w:ascii="Times New Roman" w:hAnsi="Times New Roman" w:cs="Times New Roman"/>
          <w:sz w:val="24"/>
          <w:szCs w:val="20"/>
        </w:rPr>
        <w:t>aprīlim</w:t>
      </w:r>
      <w:r w:rsidRPr="008D6972">
        <w:rPr>
          <w:rFonts w:ascii="Times New Roman" w:hAnsi="Times New Roman" w:cs="Times New Roman"/>
          <w:sz w:val="24"/>
          <w:szCs w:val="20"/>
        </w:rPr>
        <w:t xml:space="preserve"> samazinoties </w:t>
      </w:r>
      <w:r>
        <w:rPr>
          <w:rFonts w:ascii="Times New Roman" w:hAnsi="Times New Roman" w:cs="Times New Roman"/>
          <w:sz w:val="24"/>
          <w:szCs w:val="20"/>
        </w:rPr>
        <w:t>aptuveni par 5</w:t>
      </w:r>
      <w:r w:rsidRPr="008D6972">
        <w:rPr>
          <w:rFonts w:ascii="Times New Roman" w:hAnsi="Times New Roman" w:cs="Times New Roman"/>
          <w:sz w:val="24"/>
          <w:szCs w:val="20"/>
        </w:rPr>
        <w:t>0%.</w:t>
      </w:r>
      <w:r>
        <w:rPr>
          <w:rFonts w:ascii="Times New Roman" w:hAnsi="Times New Roman" w:cs="Times New Roman"/>
          <w:sz w:val="24"/>
          <w:szCs w:val="20"/>
        </w:rPr>
        <w:t xml:space="preserve"> </w:t>
      </w:r>
      <w:r w:rsidRPr="00194093">
        <w:rPr>
          <w:rFonts w:ascii="Times New Roman" w:hAnsi="Times New Roman" w:cs="Times New Roman"/>
          <w:sz w:val="24"/>
          <w:szCs w:val="24"/>
        </w:rPr>
        <w:t>Covid-19 ietekmes scenārijā pieņemts, ka vīrusa izplatības un tā ierobežošanas pasākumu ietekmē tautsaimniecībā nodar</w:t>
      </w:r>
      <w:r w:rsidR="00E973F7">
        <w:rPr>
          <w:rFonts w:ascii="Times New Roman" w:hAnsi="Times New Roman" w:cs="Times New Roman"/>
          <w:sz w:val="24"/>
          <w:szCs w:val="24"/>
        </w:rPr>
        <w:t>bināto iedzīvotāju skaits 2020.</w:t>
      </w:r>
      <w:r w:rsidRPr="00194093">
        <w:rPr>
          <w:rFonts w:ascii="Times New Roman" w:hAnsi="Times New Roman" w:cs="Times New Roman"/>
          <w:sz w:val="24"/>
          <w:szCs w:val="24"/>
        </w:rPr>
        <w:t>gadā samazinās vidēji par 45 tūkstošiem jeb 5%, darbu zaudējot daļai darbinieku ierobežojumu tieši skartajās nozarēs, tajā s</w:t>
      </w:r>
      <w:r w:rsidR="004E6720">
        <w:rPr>
          <w:rFonts w:ascii="Times New Roman" w:hAnsi="Times New Roman" w:cs="Times New Roman"/>
          <w:sz w:val="24"/>
          <w:szCs w:val="24"/>
        </w:rPr>
        <w:t>kaitā transportā, tirdzniecībā,</w:t>
      </w:r>
      <w:r w:rsidRPr="00194093">
        <w:rPr>
          <w:rFonts w:ascii="Times New Roman" w:hAnsi="Times New Roman" w:cs="Times New Roman"/>
          <w:sz w:val="24"/>
          <w:szCs w:val="24"/>
        </w:rPr>
        <w:t xml:space="preserve"> izmitināšanā un ēdināšanā, profesionālajos un administratīvajos pakalpojumos, kā arī nedaudz samazinoties strādājošo skaitam arī netieši ietekmētajās nozarēs. Attiecīgi sagai</w:t>
      </w:r>
      <w:r w:rsidR="004E6720">
        <w:rPr>
          <w:rFonts w:ascii="Times New Roman" w:hAnsi="Times New Roman" w:cs="Times New Roman"/>
          <w:sz w:val="24"/>
          <w:szCs w:val="24"/>
        </w:rPr>
        <w:t>dāms, ka bezdarba līmenis 2020.gadā salīdzinājumā ar 2019.</w:t>
      </w:r>
      <w:r w:rsidRPr="00194093">
        <w:rPr>
          <w:rFonts w:ascii="Times New Roman" w:hAnsi="Times New Roman" w:cs="Times New Roman"/>
          <w:sz w:val="24"/>
          <w:szCs w:val="24"/>
        </w:rPr>
        <w:t>gadu pieaug</w:t>
      </w:r>
      <w:r>
        <w:rPr>
          <w:rFonts w:ascii="Times New Roman" w:hAnsi="Times New Roman" w:cs="Times New Roman"/>
          <w:sz w:val="24"/>
          <w:szCs w:val="24"/>
        </w:rPr>
        <w:t>s</w:t>
      </w:r>
      <w:r w:rsidRPr="00194093">
        <w:rPr>
          <w:rFonts w:ascii="Times New Roman" w:hAnsi="Times New Roman" w:cs="Times New Roman"/>
          <w:sz w:val="24"/>
          <w:szCs w:val="24"/>
        </w:rPr>
        <w:t xml:space="preserve"> par 4,9</w:t>
      </w:r>
      <w:r w:rsidR="00DE402C" w:rsidRPr="0098250F">
        <w:rPr>
          <w:rFonts w:ascii="Times New Roman" w:hAnsi="Times New Roman" w:cs="Times New Roman"/>
          <w:sz w:val="24"/>
          <w:szCs w:val="20"/>
        </w:rPr>
        <w:t> </w:t>
      </w:r>
      <w:r w:rsidRPr="00194093">
        <w:rPr>
          <w:rFonts w:ascii="Times New Roman" w:hAnsi="Times New Roman" w:cs="Times New Roman"/>
          <w:sz w:val="24"/>
          <w:szCs w:val="24"/>
        </w:rPr>
        <w:t>procentpunk</w:t>
      </w:r>
      <w:r w:rsidR="004E6720">
        <w:rPr>
          <w:rFonts w:ascii="Times New Roman" w:hAnsi="Times New Roman" w:cs="Times New Roman"/>
          <w:sz w:val="24"/>
          <w:szCs w:val="24"/>
        </w:rPr>
        <w:t>tiem līdz 11,2%. 2021. un 2022.</w:t>
      </w:r>
      <w:r w:rsidRPr="00194093">
        <w:rPr>
          <w:rFonts w:ascii="Times New Roman" w:hAnsi="Times New Roman" w:cs="Times New Roman"/>
          <w:sz w:val="24"/>
          <w:szCs w:val="24"/>
        </w:rPr>
        <w:t>gadā, ekonomikas izaugsmei atjaunojoties, nodarbināto skaits nedaudz palielinās</w:t>
      </w:r>
      <w:r>
        <w:rPr>
          <w:rFonts w:ascii="Times New Roman" w:hAnsi="Times New Roman" w:cs="Times New Roman"/>
          <w:sz w:val="24"/>
          <w:szCs w:val="24"/>
        </w:rPr>
        <w:t>ies</w:t>
      </w:r>
      <w:r w:rsidR="004E6720">
        <w:rPr>
          <w:rFonts w:ascii="Times New Roman" w:hAnsi="Times New Roman" w:cs="Times New Roman"/>
          <w:sz w:val="24"/>
          <w:szCs w:val="24"/>
        </w:rPr>
        <w:t>, līdz 2023.</w:t>
      </w:r>
      <w:r w:rsidRPr="00194093">
        <w:rPr>
          <w:rFonts w:ascii="Times New Roman" w:hAnsi="Times New Roman" w:cs="Times New Roman"/>
          <w:sz w:val="24"/>
          <w:szCs w:val="24"/>
        </w:rPr>
        <w:t>gadam stab</w:t>
      </w:r>
      <w:r>
        <w:rPr>
          <w:rFonts w:ascii="Times New Roman" w:hAnsi="Times New Roman" w:cs="Times New Roman"/>
          <w:sz w:val="24"/>
          <w:szCs w:val="24"/>
        </w:rPr>
        <w:t>ilizējoties 883 tūkstošu līmenī.</w:t>
      </w:r>
    </w:p>
    <w:p w14:paraId="52967DE5" w14:textId="2ED30531" w:rsidR="00DE30C4" w:rsidRDefault="00DE30C4" w:rsidP="00AB72DF">
      <w:pPr>
        <w:spacing w:after="0" w:line="240" w:lineRule="auto"/>
        <w:ind w:firstLine="567"/>
        <w:jc w:val="both"/>
        <w:rPr>
          <w:rFonts w:ascii="Times New Roman" w:hAnsi="Times New Roman" w:cs="Times New Roman"/>
          <w:sz w:val="24"/>
          <w:szCs w:val="24"/>
        </w:rPr>
      </w:pPr>
      <w:r w:rsidRPr="00B5460E">
        <w:rPr>
          <w:rFonts w:ascii="Times New Roman" w:hAnsi="Times New Roman" w:cs="Times New Roman"/>
          <w:sz w:val="24"/>
          <w:szCs w:val="24"/>
        </w:rPr>
        <w:t xml:space="preserve">Atbilstoši </w:t>
      </w:r>
      <w:r w:rsidRPr="00194093">
        <w:rPr>
          <w:rFonts w:ascii="Times New Roman" w:hAnsi="Times New Roman" w:cs="Times New Roman"/>
          <w:sz w:val="24"/>
          <w:szCs w:val="24"/>
        </w:rPr>
        <w:t xml:space="preserve">Covid-19 ietekmes </w:t>
      </w:r>
      <w:r>
        <w:rPr>
          <w:rFonts w:ascii="Times New Roman" w:hAnsi="Times New Roman" w:cs="Times New Roman"/>
          <w:sz w:val="24"/>
          <w:szCs w:val="24"/>
        </w:rPr>
        <w:t>scenārijam, mēneša vidējā darba samaksa</w:t>
      </w:r>
      <w:r w:rsidRPr="00B5460E">
        <w:rPr>
          <w:rFonts w:ascii="Times New Roman" w:hAnsi="Times New Roman" w:cs="Times New Roman"/>
          <w:sz w:val="24"/>
          <w:szCs w:val="24"/>
        </w:rPr>
        <w:t xml:space="preserve"> 2020</w:t>
      </w:r>
      <w:r w:rsidR="004E6720">
        <w:rPr>
          <w:rFonts w:ascii="Times New Roman" w:hAnsi="Times New Roman" w:cs="Times New Roman"/>
          <w:sz w:val="24"/>
          <w:szCs w:val="24"/>
        </w:rPr>
        <w:t>.</w:t>
      </w:r>
      <w:r>
        <w:rPr>
          <w:rFonts w:ascii="Times New Roman" w:hAnsi="Times New Roman" w:cs="Times New Roman"/>
          <w:sz w:val="24"/>
          <w:szCs w:val="24"/>
        </w:rPr>
        <w:t>gad</w:t>
      </w:r>
      <w:r w:rsidRPr="00B5460E">
        <w:rPr>
          <w:rFonts w:ascii="Times New Roman" w:hAnsi="Times New Roman" w:cs="Times New Roman"/>
          <w:sz w:val="24"/>
          <w:szCs w:val="24"/>
        </w:rPr>
        <w:t xml:space="preserve">ā </w:t>
      </w:r>
      <w:r>
        <w:rPr>
          <w:rFonts w:ascii="Times New Roman" w:hAnsi="Times New Roman" w:cs="Times New Roman"/>
          <w:sz w:val="24"/>
          <w:szCs w:val="24"/>
        </w:rPr>
        <w:t>samazināsies par 3,0%, gada pirmajā ceturksnī vēl saglabājoties spēcīgam algu pieaugumam, bet pēc tam uzņēmējiem vairs nespējot saglabāt esošo algu līmeni strauja ekonomikas krituma apstākļos. Nākamajos gados algu pieaugums</w:t>
      </w:r>
      <w:r w:rsidRPr="00B5460E">
        <w:rPr>
          <w:rFonts w:ascii="Times New Roman" w:hAnsi="Times New Roman" w:cs="Times New Roman"/>
          <w:sz w:val="24"/>
          <w:szCs w:val="24"/>
        </w:rPr>
        <w:t xml:space="preserve"> pakāpeniski </w:t>
      </w:r>
      <w:r>
        <w:rPr>
          <w:rFonts w:ascii="Times New Roman" w:hAnsi="Times New Roman" w:cs="Times New Roman"/>
          <w:sz w:val="24"/>
          <w:szCs w:val="24"/>
        </w:rPr>
        <w:t>atjaunosies, mēneša vidējai darba samaksai palielinoties par 3,0% un pēc tam pieaugumam stabilizējoties līmenī, kas tuvs kopējam produktivitātes pieaugumam tautsaimniecībā.</w:t>
      </w:r>
    </w:p>
    <w:p w14:paraId="72689108" w14:textId="77777777" w:rsidR="00DE30C4" w:rsidRPr="00194093" w:rsidRDefault="00DE30C4" w:rsidP="00AB72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w:t>
      </w:r>
      <w:r w:rsidRPr="00194093">
        <w:rPr>
          <w:rFonts w:ascii="Times New Roman" w:hAnsi="Times New Roman" w:cs="Times New Roman"/>
          <w:sz w:val="24"/>
          <w:szCs w:val="24"/>
        </w:rPr>
        <w:t xml:space="preserve">āatzīmē, ka </w:t>
      </w:r>
      <w:r>
        <w:rPr>
          <w:rFonts w:ascii="Times New Roman" w:hAnsi="Times New Roman" w:cs="Times New Roman"/>
          <w:sz w:val="24"/>
          <w:szCs w:val="24"/>
        </w:rPr>
        <w:t xml:space="preserve">Covid-19 ietekmes scenārijs </w:t>
      </w:r>
      <w:r w:rsidRPr="00194093">
        <w:rPr>
          <w:rFonts w:ascii="Times New Roman" w:hAnsi="Times New Roman" w:cs="Times New Roman"/>
          <w:sz w:val="24"/>
          <w:szCs w:val="24"/>
        </w:rPr>
        <w:t xml:space="preserve">ir </w:t>
      </w:r>
      <w:r>
        <w:rPr>
          <w:rFonts w:ascii="Times New Roman" w:hAnsi="Times New Roman" w:cs="Times New Roman"/>
          <w:sz w:val="24"/>
          <w:szCs w:val="24"/>
        </w:rPr>
        <w:t>izstrādāts</w:t>
      </w:r>
      <w:r w:rsidRPr="00194093">
        <w:rPr>
          <w:rFonts w:ascii="Times New Roman" w:hAnsi="Times New Roman" w:cs="Times New Roman"/>
          <w:sz w:val="24"/>
          <w:szCs w:val="24"/>
        </w:rPr>
        <w:t xml:space="preserve"> ļoti augstas nenoteiktības apstākļos un scenārija riski ir lejupvērsti. Ja koronavīrusa izplatības ierobežošana ieilgs, IKP un nodarbinātības rādītāju kritums būs straujāks, nekā paredzēts Covid-19 ietekmes scenārijā.</w:t>
      </w:r>
    </w:p>
    <w:p w14:paraId="3090CDC1" w14:textId="77777777" w:rsidR="00E53D87" w:rsidRPr="00D551C4" w:rsidRDefault="00E53D87" w:rsidP="004E6720">
      <w:pPr>
        <w:spacing w:after="0" w:line="240" w:lineRule="auto"/>
        <w:ind w:firstLine="720"/>
        <w:jc w:val="both"/>
        <w:rPr>
          <w:rFonts w:ascii="Times New Roman" w:eastAsia="Calibri" w:hAnsi="Times New Roman" w:cs="Times New Roman"/>
          <w:sz w:val="24"/>
          <w:highlight w:val="yellow"/>
        </w:rPr>
      </w:pPr>
    </w:p>
    <w:bookmarkEnd w:id="11"/>
    <w:bookmarkEnd w:id="12"/>
    <w:p w14:paraId="3E3223AE" w14:textId="77777777" w:rsidR="00130585" w:rsidRDefault="00130585">
      <w:pPr>
        <w:rPr>
          <w:highlight w:val="yellow"/>
        </w:rPr>
      </w:pPr>
      <w:r>
        <w:rPr>
          <w:highlight w:val="yellow"/>
        </w:rPr>
        <w:br w:type="page"/>
      </w:r>
    </w:p>
    <w:p w14:paraId="248F9764" w14:textId="77777777" w:rsidR="005536A9" w:rsidRPr="00B0388A" w:rsidRDefault="005536A9" w:rsidP="00F512CA">
      <w:pPr>
        <w:pStyle w:val="Heading1"/>
        <w:numPr>
          <w:ilvl w:val="0"/>
          <w:numId w:val="1"/>
        </w:numPr>
        <w:ind w:left="284" w:hanging="283"/>
        <w:jc w:val="center"/>
        <w:rPr>
          <w:rFonts w:ascii="Times New Roman" w:hAnsi="Times New Roman" w:cs="Times New Roman"/>
          <w:sz w:val="32"/>
        </w:rPr>
      </w:pPr>
      <w:bookmarkStart w:id="18" w:name="_Toc510790655"/>
      <w:bookmarkStart w:id="19" w:name="_Toc5627365"/>
      <w:bookmarkStart w:id="20" w:name="_Toc38887969"/>
      <w:r w:rsidRPr="00B0388A">
        <w:rPr>
          <w:rFonts w:ascii="Times New Roman" w:hAnsi="Times New Roman" w:cs="Times New Roman"/>
          <w:sz w:val="32"/>
        </w:rPr>
        <w:t>Vispārējās valdības budžeta bilance un parāds</w:t>
      </w:r>
      <w:bookmarkEnd w:id="18"/>
      <w:bookmarkEnd w:id="19"/>
      <w:bookmarkEnd w:id="20"/>
    </w:p>
    <w:p w14:paraId="33AF8E40" w14:textId="77777777" w:rsidR="006B6F5A" w:rsidRPr="00B0388A" w:rsidRDefault="006B6F5A" w:rsidP="006B6F5A">
      <w:pPr>
        <w:pStyle w:val="Heading2"/>
        <w:numPr>
          <w:ilvl w:val="1"/>
          <w:numId w:val="1"/>
        </w:numPr>
        <w:spacing w:before="240" w:after="120"/>
        <w:ind w:left="0" w:firstLine="709"/>
        <w:rPr>
          <w:rFonts w:ascii="Times New Roman" w:hAnsi="Times New Roman" w:cs="Times New Roman"/>
          <w:sz w:val="24"/>
        </w:rPr>
      </w:pPr>
      <w:bookmarkStart w:id="21" w:name="_Toc510790657"/>
      <w:bookmarkStart w:id="22" w:name="_Toc511027817"/>
      <w:bookmarkStart w:id="23" w:name="_Toc5627366"/>
      <w:bookmarkStart w:id="24" w:name="_Toc38887970"/>
      <w:r w:rsidRPr="00B0388A">
        <w:rPr>
          <w:rFonts w:ascii="Times New Roman" w:hAnsi="Times New Roman" w:cs="Times New Roman"/>
          <w:sz w:val="24"/>
        </w:rPr>
        <w:t>Fiskālās politikas stratēģija un vidēja termiņa mērķis</w:t>
      </w:r>
      <w:bookmarkEnd w:id="21"/>
      <w:bookmarkEnd w:id="22"/>
      <w:bookmarkEnd w:id="23"/>
      <w:bookmarkEnd w:id="24"/>
    </w:p>
    <w:p w14:paraId="3FE55EE1" w14:textId="77777777"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Covid-19 pandēmija ir izraisījusi būtiskas izmaiņas līdz šim īstenotajā fiskālajā politikā, kas ir balstīta uz strukturālā deficīta mērķa -0,5% no IKP ievērošanu. </w:t>
      </w:r>
    </w:p>
    <w:p w14:paraId="5D75AE49" w14:textId="79699B80"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EK ir pieņēmusi lēmumu par maksimālas elastības noteikumu piemērošanu S</w:t>
      </w:r>
      <w:r w:rsidR="00BD29CA">
        <w:rPr>
          <w:rFonts w:ascii="Times New Roman" w:eastAsia="Calibri" w:hAnsi="Times New Roman" w:cs="Times New Roman"/>
          <w:color w:val="000000"/>
          <w:sz w:val="24"/>
          <w:szCs w:val="24"/>
        </w:rPr>
        <w:t>IP</w:t>
      </w:r>
      <w:r w:rsidRPr="00B0388A">
        <w:rPr>
          <w:rFonts w:ascii="Times New Roman" w:eastAsia="Calibri" w:hAnsi="Times New Roman" w:cs="Times New Roman"/>
          <w:color w:val="000000"/>
          <w:sz w:val="24"/>
          <w:szCs w:val="24"/>
        </w:rPr>
        <w:t>, kas ietver gan atzinumu par to, ka Covid-19 negatīvo seku mazināšanas pasākumi tiek atzīti par ārkārtējiem notikumiem, kas atrodas ārpus valdību</w:t>
      </w:r>
      <w:r>
        <w:rPr>
          <w:rFonts w:ascii="Times New Roman" w:eastAsia="Calibri" w:hAnsi="Times New Roman" w:cs="Times New Roman"/>
          <w:color w:val="000000"/>
          <w:sz w:val="24"/>
          <w:szCs w:val="24"/>
        </w:rPr>
        <w:t xml:space="preserve"> ietekmes, gan 20.</w:t>
      </w:r>
      <w:r w:rsidRPr="00B0388A">
        <w:rPr>
          <w:rFonts w:ascii="Times New Roman" w:eastAsia="Calibri" w:hAnsi="Times New Roman" w:cs="Times New Roman"/>
          <w:color w:val="000000"/>
          <w:sz w:val="24"/>
          <w:szCs w:val="24"/>
        </w:rPr>
        <w:t xml:space="preserve">martā paziņojot, ka Covid-19 izraisītās negatīvās sekas </w:t>
      </w:r>
      <w:r w:rsidR="00E82EB6">
        <w:rPr>
          <w:rFonts w:ascii="Times New Roman" w:eastAsia="Calibri" w:hAnsi="Times New Roman" w:cs="Times New Roman"/>
          <w:color w:val="000000"/>
          <w:sz w:val="24"/>
          <w:szCs w:val="24"/>
        </w:rPr>
        <w:t>ir</w:t>
      </w:r>
      <w:r w:rsidRPr="00B0388A">
        <w:rPr>
          <w:rFonts w:ascii="Times New Roman" w:eastAsia="Calibri" w:hAnsi="Times New Roman" w:cs="Times New Roman"/>
          <w:color w:val="000000"/>
          <w:sz w:val="24"/>
          <w:szCs w:val="24"/>
        </w:rPr>
        <w:t xml:space="preserve"> uzskatāmas par periodu</w:t>
      </w:r>
      <w:r w:rsidR="00E82EB6">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 xml:space="preserve"> kurā ir nopietna ekonomikas lejupslīde </w:t>
      </w:r>
      <w:r w:rsidRPr="00E82EB6">
        <w:rPr>
          <w:rFonts w:ascii="Times New Roman" w:eastAsia="Calibri" w:hAnsi="Times New Roman" w:cs="Times New Roman"/>
          <w:i/>
          <w:color w:val="000000"/>
          <w:sz w:val="24"/>
          <w:szCs w:val="24"/>
        </w:rPr>
        <w:t>euro</w:t>
      </w:r>
      <w:r w:rsidR="00E82EB6">
        <w:rPr>
          <w:rFonts w:ascii="Times New Roman" w:eastAsia="Calibri" w:hAnsi="Times New Roman" w:cs="Times New Roman"/>
          <w:color w:val="000000"/>
          <w:sz w:val="24"/>
          <w:szCs w:val="24"/>
        </w:rPr>
        <w:t xml:space="preserve"> </w:t>
      </w:r>
      <w:r w:rsidRPr="00B0388A">
        <w:rPr>
          <w:rFonts w:ascii="Times New Roman" w:eastAsia="Calibri" w:hAnsi="Times New Roman" w:cs="Times New Roman"/>
          <w:color w:val="000000"/>
          <w:sz w:val="24"/>
          <w:szCs w:val="24"/>
        </w:rPr>
        <w:t>z</w:t>
      </w:r>
      <w:r>
        <w:rPr>
          <w:rFonts w:ascii="Times New Roman" w:eastAsia="Calibri" w:hAnsi="Times New Roman" w:cs="Times New Roman"/>
          <w:color w:val="000000"/>
          <w:sz w:val="24"/>
          <w:szCs w:val="24"/>
        </w:rPr>
        <w:t>onā un ES kopumā un tāpēc uz to</w:t>
      </w:r>
      <w:r w:rsidRPr="00B0388A">
        <w:rPr>
          <w:rFonts w:ascii="Times New Roman" w:eastAsia="Calibri" w:hAnsi="Times New Roman" w:cs="Times New Roman"/>
          <w:color w:val="000000"/>
          <w:sz w:val="24"/>
          <w:szCs w:val="24"/>
        </w:rPr>
        <w:t xml:space="preserve"> attiecas E</w:t>
      </w:r>
      <w:r w:rsidR="00811620">
        <w:rPr>
          <w:rFonts w:ascii="Times New Roman" w:eastAsia="Calibri" w:hAnsi="Times New Roman" w:cs="Times New Roman"/>
          <w:color w:val="000000"/>
          <w:sz w:val="24"/>
          <w:szCs w:val="24"/>
        </w:rPr>
        <w:t>iropas</w:t>
      </w:r>
      <w:r w:rsidRPr="00B0388A">
        <w:rPr>
          <w:rFonts w:ascii="Times New Roman" w:eastAsia="Calibri" w:hAnsi="Times New Roman" w:cs="Times New Roman"/>
          <w:color w:val="000000"/>
          <w:sz w:val="24"/>
          <w:szCs w:val="24"/>
        </w:rPr>
        <w:t xml:space="preserve"> P</w:t>
      </w:r>
      <w:r w:rsidR="00811620">
        <w:rPr>
          <w:rFonts w:ascii="Times New Roman" w:eastAsia="Calibri" w:hAnsi="Times New Roman" w:cs="Times New Roman"/>
          <w:color w:val="000000"/>
          <w:sz w:val="24"/>
          <w:szCs w:val="24"/>
        </w:rPr>
        <w:t>arlamenta</w:t>
      </w:r>
      <w:r w:rsidRPr="00B0388A">
        <w:rPr>
          <w:rFonts w:ascii="Times New Roman" w:eastAsia="Calibri" w:hAnsi="Times New Roman" w:cs="Times New Roman"/>
          <w:color w:val="000000"/>
          <w:sz w:val="24"/>
          <w:szCs w:val="24"/>
        </w:rPr>
        <w:t xml:space="preserve"> </w:t>
      </w:r>
      <w:r w:rsidR="00811620">
        <w:rPr>
          <w:rFonts w:ascii="Times New Roman" w:eastAsia="Calibri" w:hAnsi="Times New Roman" w:cs="Times New Roman"/>
          <w:color w:val="000000"/>
          <w:sz w:val="24"/>
          <w:szCs w:val="24"/>
        </w:rPr>
        <w:t>un Padomes Regula</w:t>
      </w:r>
      <w:r>
        <w:rPr>
          <w:rFonts w:ascii="Times New Roman" w:eastAsia="Calibri" w:hAnsi="Times New Roman" w:cs="Times New Roman"/>
          <w:color w:val="000000"/>
          <w:sz w:val="24"/>
          <w:szCs w:val="24"/>
        </w:rPr>
        <w:t xml:space="preserve"> (ES) Nr. 1175/2011 (2011.</w:t>
      </w:r>
      <w:r w:rsidRPr="00B0388A">
        <w:rPr>
          <w:rFonts w:ascii="Times New Roman" w:eastAsia="Calibri" w:hAnsi="Times New Roman" w:cs="Times New Roman"/>
          <w:color w:val="000000"/>
          <w:sz w:val="24"/>
          <w:szCs w:val="24"/>
        </w:rPr>
        <w:t>gada 1</w:t>
      </w:r>
      <w:r>
        <w:rPr>
          <w:rFonts w:ascii="Times New Roman" w:eastAsia="Calibri" w:hAnsi="Times New Roman" w:cs="Times New Roman"/>
          <w:color w:val="000000"/>
          <w:sz w:val="24"/>
          <w:szCs w:val="24"/>
        </w:rPr>
        <w:t>6.</w:t>
      </w:r>
      <w:r w:rsidRPr="00B0388A">
        <w:rPr>
          <w:rFonts w:ascii="Times New Roman" w:eastAsia="Calibri" w:hAnsi="Times New Roman" w:cs="Times New Roman"/>
          <w:color w:val="000000"/>
          <w:sz w:val="24"/>
          <w:szCs w:val="24"/>
        </w:rPr>
        <w:t>novembris), ar ko groza Padomes Regulu (EK) Nr. 1466/97 par budžeta</w:t>
      </w:r>
      <w:r w:rsidR="00E82EB6">
        <w:rPr>
          <w:rFonts w:ascii="Times New Roman" w:eastAsia="Calibri" w:hAnsi="Times New Roman" w:cs="Times New Roman"/>
          <w:color w:val="000000"/>
          <w:sz w:val="24"/>
          <w:szCs w:val="24"/>
        </w:rPr>
        <w:t xml:space="preserve"> </w:t>
      </w:r>
      <w:r w:rsidRPr="00B0388A">
        <w:rPr>
          <w:rFonts w:ascii="Times New Roman" w:eastAsia="Calibri" w:hAnsi="Times New Roman" w:cs="Times New Roman"/>
          <w:color w:val="000000"/>
          <w:sz w:val="24"/>
          <w:szCs w:val="24"/>
        </w:rPr>
        <w:t>stāvokļa uzraudzības un ekonomikas politikas uzraudzības un koordinācijas stiprināšanu 5.panta pirmās daļas nosacījums:</w:t>
      </w:r>
    </w:p>
    <w:p w14:paraId="111AA9A3" w14:textId="0F69D92B"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“Gadījumā, ja ir kādi ārkārtēji apstākļi, ko attiecīgā dalībvalsts nevar kontrolēt un kam turklāt ir liela ietekme uz vispārējās valdības finansiālo stāvokli, vai nopietnas ekonomikas lejupslīdes periodos </w:t>
      </w:r>
      <w:r w:rsidRPr="00E82EB6">
        <w:rPr>
          <w:rFonts w:ascii="Times New Roman" w:eastAsia="Calibri" w:hAnsi="Times New Roman" w:cs="Times New Roman"/>
          <w:i/>
          <w:color w:val="000000"/>
          <w:sz w:val="24"/>
          <w:szCs w:val="24"/>
        </w:rPr>
        <w:t>euro</w:t>
      </w:r>
      <w:r w:rsidR="00E82EB6">
        <w:rPr>
          <w:rFonts w:ascii="Times New Roman" w:eastAsia="Calibri" w:hAnsi="Times New Roman" w:cs="Times New Roman"/>
          <w:color w:val="000000"/>
          <w:sz w:val="24"/>
          <w:szCs w:val="24"/>
        </w:rPr>
        <w:t xml:space="preserve"> </w:t>
      </w:r>
      <w:r w:rsidRPr="00B0388A">
        <w:rPr>
          <w:rFonts w:ascii="Times New Roman" w:eastAsia="Calibri" w:hAnsi="Times New Roman" w:cs="Times New Roman"/>
          <w:color w:val="000000"/>
          <w:sz w:val="24"/>
          <w:szCs w:val="24"/>
        </w:rPr>
        <w:t xml:space="preserve">zonā vai Savienībā kopumā, dalībvalstīm var uz laiku atļaut pilnībā neveikt trešajā daļā minētā vidēja termiņa budžeta mērķa sasniegšanai vajadzīgās korekcijas ar noteikumu, ka tādējādi vidējā termiņā netiek apdraudēta fiskālā stabilitāte.” </w:t>
      </w:r>
    </w:p>
    <w:p w14:paraId="46EA9859" w14:textId="77777777"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Faktiski tas nozīmē, ka dalībvalstis var atkāpties no deficīta mērķiem apmērā, kas netiek kvantitatīvi ierobežots. Vienīgais ierobežojums ir nosacījums, ka atkāpes apjoms nedrīkst apdraudēt fiskālo stabilitāti, tomēr šis nosacījums netiek kvantificēts. Faktiski to nosaka finanšu tirgus potenciālā reakcija uz budžeta deficīta un valsts parāda līmeni un dinamiku.</w:t>
      </w:r>
    </w:p>
    <w:p w14:paraId="30E368C6" w14:textId="5D9A86E6" w:rsidR="00B0388A" w:rsidRPr="00B0388A" w:rsidRDefault="00F033D3" w:rsidP="00B0388A">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FDL</w:t>
      </w:r>
      <w:r w:rsidR="00B0388A" w:rsidRPr="00B0388A">
        <w:rPr>
          <w:rFonts w:ascii="Times New Roman" w:eastAsia="Calibri" w:hAnsi="Times New Roman" w:cs="Times New Roman"/>
          <w:color w:val="000000"/>
          <w:sz w:val="24"/>
          <w:szCs w:val="24"/>
        </w:rPr>
        <w:t xml:space="preserve"> paredz iespējas ārkārtas apstākļos atkāpties no pieļauj</w:t>
      </w:r>
      <w:r w:rsidR="00DB26EA">
        <w:rPr>
          <w:rFonts w:ascii="Times New Roman" w:eastAsia="Calibri" w:hAnsi="Times New Roman" w:cs="Times New Roman"/>
          <w:color w:val="000000"/>
          <w:sz w:val="24"/>
          <w:szCs w:val="24"/>
        </w:rPr>
        <w:t>amā deficīta līmeņa. Likuma 12.</w:t>
      </w:r>
      <w:r w:rsidR="00B0388A" w:rsidRPr="00B0388A">
        <w:rPr>
          <w:rFonts w:ascii="Times New Roman" w:eastAsia="Calibri" w:hAnsi="Times New Roman" w:cs="Times New Roman"/>
          <w:color w:val="000000"/>
          <w:sz w:val="24"/>
          <w:szCs w:val="24"/>
        </w:rPr>
        <w:t>pants nosaka, ka:</w:t>
      </w:r>
    </w:p>
    <w:p w14:paraId="1F3730A0" w14:textId="77777777"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“(1) Sagatavojot ietvara likuma projektu, var atkāpties no šā likuma 10.panta nosacījuma šādos gadījumos:</w:t>
      </w:r>
    </w:p>
    <w:p w14:paraId="2351228C" w14:textId="05B4E198" w:rsidR="00B0388A" w:rsidRPr="00B0388A" w:rsidRDefault="00B0388A" w:rsidP="00B0388A">
      <w:pPr>
        <w:spacing w:after="0" w:line="240" w:lineRule="auto"/>
        <w:ind w:firstLine="1134"/>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1) īstenojami dabas katastrofu, avāriju un citu dabas vai sociālo procesu izraisītu materiālo zaudējumu novēršanas pasākumi, kuru prognozētās izmaksas vienā saimnieciskajā gadā pārsniedz 0,1 procentu no attiecīgā gada </w:t>
      </w:r>
      <w:r w:rsidR="00884AE0">
        <w:rPr>
          <w:rFonts w:ascii="Times New Roman" w:eastAsia="Calibri" w:hAnsi="Times New Roman" w:cs="Times New Roman"/>
          <w:color w:val="000000"/>
          <w:sz w:val="24"/>
          <w:szCs w:val="24"/>
        </w:rPr>
        <w:t>IKP</w:t>
      </w:r>
      <w:r w:rsidRPr="00B0388A">
        <w:rPr>
          <w:rFonts w:ascii="Times New Roman" w:eastAsia="Calibri" w:hAnsi="Times New Roman" w:cs="Times New Roman"/>
          <w:color w:val="000000"/>
          <w:sz w:val="24"/>
          <w:szCs w:val="24"/>
        </w:rPr>
        <w:t>;</w:t>
      </w:r>
    </w:p>
    <w:p w14:paraId="7AA72614" w14:textId="77777777" w:rsidR="00B0388A" w:rsidRPr="00B0388A" w:rsidRDefault="00B0388A" w:rsidP="00B0388A">
      <w:pPr>
        <w:spacing w:after="0" w:line="240" w:lineRule="auto"/>
        <w:ind w:firstLine="1134"/>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2) novēršams Satversmes 62.pantā minētais apdraudējums;</w:t>
      </w:r>
    </w:p>
    <w:p w14:paraId="796CC992" w14:textId="77777777" w:rsidR="00B0388A" w:rsidRPr="00B0388A" w:rsidRDefault="00B0388A" w:rsidP="00B0388A">
      <w:pPr>
        <w:spacing w:after="0" w:line="240" w:lineRule="auto"/>
        <w:ind w:firstLine="1134"/>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3) ekonomikas nopietnas lejupslīdes laikā. Termins "ekonomikas nopietna lejupslīde" šajā likumā lietots tādā pašā nozīmē kā Padomes 2005.gada 27.jūnija regulā (EK) Nr. 1056/2005, ar kuru groza regulu (EK) Nr. 1467/97 par to, kā paātrināt un precizēt pārmērīga budžeta deficīta novēršanas procedūras īstenošanu.</w:t>
      </w:r>
    </w:p>
    <w:p w14:paraId="5D7DCD10" w14:textId="77777777"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(2) Šā panta pirmās daļas 1. un 2.punktā minētajos gadījumos atkāpes apjoms nedrīkst pārsniegt nepieciešamo izmaksu apjomu.</w:t>
      </w:r>
    </w:p>
    <w:p w14:paraId="3E30D5B9" w14:textId="77777777"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(3) Šā panta pirmās daļas 3.punktā minētajā gadījumā atkāpe ir pieļaujama tādā apjomā, kāds nepieciešams ekonomikas nopietnas lejupslīdes pārvarēšanai, un nedrīkst pārsniegt prognozēto ieņēmumu samazinājumu. Nosakot atkāpes apjomu, izvērtē Fiskālās padomes viedokli.” </w:t>
      </w:r>
    </w:p>
    <w:p w14:paraId="4CBA5092" w14:textId="418C0683"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Saskaņā ar FDL 9.pantu un ievērojot 5.</w:t>
      </w:r>
      <w:r w:rsidRPr="00B0388A">
        <w:rPr>
          <w:rFonts w:ascii="Times New Roman" w:eastAsia="Calibri" w:hAnsi="Times New Roman" w:cs="Times New Roman"/>
          <w:color w:val="000000"/>
          <w:sz w:val="24"/>
          <w:szCs w:val="24"/>
        </w:rPr>
        <w:t>panta pirmās</w:t>
      </w:r>
      <w:r>
        <w:rPr>
          <w:rFonts w:ascii="Times New Roman" w:eastAsia="Calibri" w:hAnsi="Times New Roman" w:cs="Times New Roman"/>
          <w:color w:val="000000"/>
          <w:sz w:val="24"/>
          <w:szCs w:val="24"/>
        </w:rPr>
        <w:t xml:space="preserve"> daļas 4.punktu, 12.</w:t>
      </w:r>
      <w:r w:rsidRPr="00B0388A">
        <w:rPr>
          <w:rFonts w:ascii="Times New Roman" w:eastAsia="Calibri" w:hAnsi="Times New Roman" w:cs="Times New Roman"/>
          <w:color w:val="000000"/>
          <w:sz w:val="24"/>
          <w:szCs w:val="24"/>
        </w:rPr>
        <w:t>panta pirmās daļas pirmā punkta nosacījums attiecas uz gadījumiem, kad budžeta izpildes procesā var neievērot vidēja termiņa budžeta ietvara likumā noteiktos izdevumu griestus.</w:t>
      </w:r>
    </w:p>
    <w:p w14:paraId="1C8F8B15" w14:textId="5AF15C73"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Covid -19 pandēmijas apkarošanas pasākumi un negatīvo seku mazināšana</w:t>
      </w:r>
      <w:r>
        <w:rPr>
          <w:rFonts w:ascii="Times New Roman" w:eastAsia="Calibri" w:hAnsi="Times New Roman" w:cs="Times New Roman"/>
          <w:color w:val="000000"/>
          <w:sz w:val="24"/>
          <w:szCs w:val="24"/>
        </w:rPr>
        <w:t>s pasākumi ir uzskatāmi par 12.</w:t>
      </w:r>
      <w:r w:rsidRPr="00B0388A">
        <w:rPr>
          <w:rFonts w:ascii="Times New Roman" w:eastAsia="Calibri" w:hAnsi="Times New Roman" w:cs="Times New Roman"/>
          <w:color w:val="000000"/>
          <w:sz w:val="24"/>
          <w:szCs w:val="24"/>
        </w:rPr>
        <w:t>panta pirmās daļas pirmajā punktā minēto gadījumu un šo pasākumu izraisītā negatīvā fiskālā ietekme var tik</w:t>
      </w:r>
      <w:r>
        <w:rPr>
          <w:rFonts w:ascii="Times New Roman" w:eastAsia="Calibri" w:hAnsi="Times New Roman" w:cs="Times New Roman"/>
          <w:color w:val="000000"/>
          <w:sz w:val="24"/>
          <w:szCs w:val="24"/>
        </w:rPr>
        <w:t>t</w:t>
      </w:r>
      <w:r w:rsidRPr="00B0388A">
        <w:rPr>
          <w:rFonts w:ascii="Times New Roman" w:eastAsia="Calibri" w:hAnsi="Times New Roman" w:cs="Times New Roman"/>
          <w:color w:val="000000"/>
          <w:sz w:val="24"/>
          <w:szCs w:val="24"/>
        </w:rPr>
        <w:t xml:space="preserve"> finansēta, pārsniedzot vidēja termiņa budžeta ietvara likumā noteiktos izdevumu griestus, kā arī, gan budžeta īstenošanas posmā, gan nākamā vidēja termiņa budžeta ietvara likuma sagatavošanas posmā var pārsniegt pieļaujamo strukturālā deficīta līmeni.</w:t>
      </w:r>
    </w:p>
    <w:p w14:paraId="661F4CAF" w14:textId="3CDB56F5"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Bez tam</w:t>
      </w:r>
      <w:r>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 xml:space="preserve"> likuma </w:t>
      </w:r>
      <w:r>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Par valsts apdraudējuma un tā seku novēršanas un pārvarēšanas pasākumiemsakarā ar Covid-19 izplatību</w:t>
      </w:r>
      <w:r>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 xml:space="preserve"> 27.pants nosaka, ka attiecībā uz pasākumiem ar Covid-19 izplatību saistītās ārkārtējās situācijas ietekmes mazi</w:t>
      </w:r>
      <w:r>
        <w:rPr>
          <w:rFonts w:ascii="Times New Roman" w:eastAsia="Calibri" w:hAnsi="Times New Roman" w:cs="Times New Roman"/>
          <w:color w:val="000000"/>
          <w:sz w:val="24"/>
          <w:szCs w:val="24"/>
        </w:rPr>
        <w:t>nāšanai netiek piemēroti FDL 7.panta trešās daļas un 9.</w:t>
      </w:r>
      <w:r w:rsidRPr="00B0388A">
        <w:rPr>
          <w:rFonts w:ascii="Times New Roman" w:eastAsia="Calibri" w:hAnsi="Times New Roman" w:cs="Times New Roman"/>
          <w:color w:val="000000"/>
          <w:sz w:val="24"/>
          <w:szCs w:val="24"/>
        </w:rPr>
        <w:t>panta nosacījumi, un 28.pants nosaka, ka attiecībā uz F</w:t>
      </w:r>
      <w:r>
        <w:rPr>
          <w:rFonts w:ascii="Times New Roman" w:eastAsia="Calibri" w:hAnsi="Times New Roman" w:cs="Times New Roman"/>
          <w:color w:val="000000"/>
          <w:sz w:val="24"/>
          <w:szCs w:val="24"/>
        </w:rPr>
        <w:t>DL</w:t>
      </w:r>
      <w:r w:rsidRPr="00B0388A">
        <w:rPr>
          <w:rFonts w:ascii="Times New Roman" w:eastAsia="Calibri" w:hAnsi="Times New Roman" w:cs="Times New Roman"/>
          <w:color w:val="000000"/>
          <w:sz w:val="24"/>
          <w:szCs w:val="24"/>
        </w:rPr>
        <w:t xml:space="preserve"> normu piemērošanu pasākumi ar Covid-19 izplatību saistītās ārkārtējās situācijas ietekmes mazināšanai ir vienreizēji pasākumi, kas netiek iekļauti vispārējās valdības budžeta strukturālajā bilancē.</w:t>
      </w:r>
    </w:p>
    <w:p w14:paraId="46BD59EA" w14:textId="775F6650"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Jāatzīmē, ka likumā </w:t>
      </w:r>
      <w:r>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Par valsts apdraudējuma un tā seku novēršanas un pārvarēšanas pasākumiem sakarā ar Covid-19 izplatību</w:t>
      </w:r>
      <w:r>
        <w:rPr>
          <w:rFonts w:ascii="Times New Roman" w:eastAsia="Calibri" w:hAnsi="Times New Roman" w:cs="Times New Roman"/>
          <w:color w:val="000000"/>
          <w:sz w:val="24"/>
          <w:szCs w:val="24"/>
        </w:rPr>
        <w:t xml:space="preserve">” </w:t>
      </w:r>
      <w:r w:rsidRPr="00B0388A">
        <w:rPr>
          <w:rFonts w:ascii="Times New Roman" w:eastAsia="Calibri" w:hAnsi="Times New Roman" w:cs="Times New Roman"/>
          <w:color w:val="000000"/>
          <w:sz w:val="24"/>
          <w:szCs w:val="24"/>
        </w:rPr>
        <w:t xml:space="preserve">termins “pasākumi ar Covid-19 izplatību saistītās ārkārtējās situācijas ietekmes mazināšanai” </w:t>
      </w:r>
      <w:r w:rsidR="00DB26EA">
        <w:rPr>
          <w:rFonts w:ascii="Times New Roman" w:eastAsia="Calibri" w:hAnsi="Times New Roman" w:cs="Times New Roman"/>
          <w:color w:val="000000"/>
          <w:sz w:val="24"/>
          <w:szCs w:val="24"/>
        </w:rPr>
        <w:t>ir plašāks tvērums nekā FDL 12.</w:t>
      </w:r>
      <w:r w:rsidRPr="00B0388A">
        <w:rPr>
          <w:rFonts w:ascii="Times New Roman" w:eastAsia="Calibri" w:hAnsi="Times New Roman" w:cs="Times New Roman"/>
          <w:color w:val="000000"/>
          <w:sz w:val="24"/>
          <w:szCs w:val="24"/>
        </w:rPr>
        <w:t>panta pirmās daļas 1.punktā minētie “dabas katastrofu, avāriju un citu dabas vai sociālo procesu izraisītu materiālo zaudējumu novēršanas pasākumi” un ietver arī potenciālos ekonomikas sildīšanas pasākumus.</w:t>
      </w:r>
    </w:p>
    <w:p w14:paraId="56F01FA3" w14:textId="0AB4D0E1" w:rsidR="00B0388A" w:rsidRPr="00B0388A" w:rsidRDefault="00B0388A" w:rsidP="00B0388A">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Ņemot vērā minēto, 2020.</w:t>
      </w:r>
      <w:r w:rsidRPr="00B0388A">
        <w:rPr>
          <w:rFonts w:ascii="Times New Roman" w:eastAsia="Calibri" w:hAnsi="Times New Roman" w:cs="Times New Roman"/>
          <w:color w:val="000000"/>
          <w:sz w:val="24"/>
          <w:szCs w:val="24"/>
        </w:rPr>
        <w:t>gadā gan pasākumi, kas tieši saistīti ar C</w:t>
      </w:r>
      <w:r w:rsidR="00577E25">
        <w:rPr>
          <w:rFonts w:ascii="Times New Roman" w:eastAsia="Calibri" w:hAnsi="Times New Roman" w:cs="Times New Roman"/>
          <w:color w:val="000000"/>
          <w:sz w:val="24"/>
          <w:szCs w:val="24"/>
        </w:rPr>
        <w:t>ovid</w:t>
      </w:r>
      <w:r w:rsidRPr="00B0388A">
        <w:rPr>
          <w:rFonts w:ascii="Times New Roman" w:eastAsia="Calibri" w:hAnsi="Times New Roman" w:cs="Times New Roman"/>
          <w:color w:val="000000"/>
          <w:sz w:val="24"/>
          <w:szCs w:val="24"/>
        </w:rPr>
        <w:t>-19 pandēmijas mazināšanu un atbalstu skartajām personām un uzņēmumiem krīze</w:t>
      </w:r>
      <w:r>
        <w:rPr>
          <w:rFonts w:ascii="Times New Roman" w:eastAsia="Calibri" w:hAnsi="Times New Roman" w:cs="Times New Roman"/>
          <w:color w:val="000000"/>
          <w:sz w:val="24"/>
          <w:szCs w:val="24"/>
        </w:rPr>
        <w:t>s pārvarēšanai (atbilst FDL 12.</w:t>
      </w:r>
      <w:r w:rsidRPr="00B0388A">
        <w:rPr>
          <w:rFonts w:ascii="Times New Roman" w:eastAsia="Calibri" w:hAnsi="Times New Roman" w:cs="Times New Roman"/>
          <w:color w:val="000000"/>
          <w:sz w:val="24"/>
          <w:szCs w:val="24"/>
        </w:rPr>
        <w:t>panta pirmās daļas 1.punkta nosacījumiem), gan potenciālie ekonomikas sildī</w:t>
      </w:r>
      <w:r>
        <w:rPr>
          <w:rFonts w:ascii="Times New Roman" w:eastAsia="Calibri" w:hAnsi="Times New Roman" w:cs="Times New Roman"/>
          <w:color w:val="000000"/>
          <w:sz w:val="24"/>
          <w:szCs w:val="24"/>
        </w:rPr>
        <w:t>šanas pasākumi (atbilst FDL 12.</w:t>
      </w:r>
      <w:r w:rsidRPr="00B0388A">
        <w:rPr>
          <w:rFonts w:ascii="Times New Roman" w:eastAsia="Calibri" w:hAnsi="Times New Roman" w:cs="Times New Roman"/>
          <w:color w:val="000000"/>
          <w:sz w:val="24"/>
          <w:szCs w:val="24"/>
        </w:rPr>
        <w:t>panta pirmās daļas 3.punkta nosacījumiem) var tikt finansēti virs vidēja termiņa budžeta ietvarā noteiktajiem izdevumu griestiem un pārsniedzot pieļaujamo deficīta līmeni.</w:t>
      </w:r>
    </w:p>
    <w:p w14:paraId="203FD5D6" w14:textId="77777777" w:rsidR="00D060C5" w:rsidRPr="00B0388A" w:rsidRDefault="00D060C5" w:rsidP="00D060C5">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 xml:space="preserve">Jautājums par iespējām atkāpties no deficīta un pieļaujamo izdevumu griestiem būs atkarīgs </w:t>
      </w:r>
      <w:r>
        <w:rPr>
          <w:rFonts w:ascii="Times New Roman" w:eastAsia="Calibri" w:hAnsi="Times New Roman" w:cs="Times New Roman"/>
          <w:color w:val="000000"/>
          <w:sz w:val="24"/>
          <w:szCs w:val="24"/>
        </w:rPr>
        <w:t xml:space="preserve">no </w:t>
      </w:r>
      <w:r w:rsidRPr="00B0388A">
        <w:rPr>
          <w:rFonts w:ascii="Times New Roman" w:eastAsia="Calibri" w:hAnsi="Times New Roman" w:cs="Times New Roman"/>
          <w:color w:val="000000"/>
          <w:sz w:val="24"/>
          <w:szCs w:val="24"/>
        </w:rPr>
        <w:t>valstī izsludinātā ārkārtas stāvokļa atcelšanas un no lēmuma par S</w:t>
      </w:r>
      <w:r>
        <w:rPr>
          <w:rFonts w:ascii="Times New Roman" w:eastAsia="Calibri" w:hAnsi="Times New Roman" w:cs="Times New Roman"/>
          <w:color w:val="000000"/>
          <w:sz w:val="24"/>
          <w:szCs w:val="24"/>
        </w:rPr>
        <w:t xml:space="preserve">IP </w:t>
      </w:r>
      <w:r w:rsidRPr="00B0388A">
        <w:rPr>
          <w:rFonts w:ascii="Times New Roman" w:eastAsia="Calibri" w:hAnsi="Times New Roman" w:cs="Times New Roman"/>
          <w:color w:val="000000"/>
          <w:sz w:val="24"/>
          <w:szCs w:val="24"/>
        </w:rPr>
        <w:t xml:space="preserve">vispārējās izņēmumu klauzulas atcelšanas, kā arī no tālākās EK rīcības attiecībā uz pārmērīga budžeta deficīta procedūras uzsākšanas datuma un tajā noteiktajām prasībām uz deficīta samazināšanu. </w:t>
      </w:r>
    </w:p>
    <w:p w14:paraId="4BFB43AA" w14:textId="77777777" w:rsidR="00D060C5" w:rsidRPr="00B0388A" w:rsidRDefault="00D060C5" w:rsidP="00D060C5">
      <w:pPr>
        <w:spacing w:after="0" w:line="240" w:lineRule="auto"/>
        <w:ind w:firstLine="709"/>
        <w:jc w:val="both"/>
        <w:rPr>
          <w:rFonts w:ascii="Times New Roman" w:eastAsia="Calibri" w:hAnsi="Times New Roman" w:cs="Times New Roman"/>
          <w:color w:val="000000"/>
          <w:sz w:val="24"/>
          <w:szCs w:val="24"/>
        </w:rPr>
      </w:pPr>
      <w:r w:rsidRPr="00B0388A">
        <w:rPr>
          <w:rFonts w:ascii="Times New Roman" w:eastAsia="Calibri" w:hAnsi="Times New Roman" w:cs="Times New Roman"/>
          <w:color w:val="000000"/>
          <w:sz w:val="24"/>
          <w:szCs w:val="24"/>
        </w:rPr>
        <w:t>Šajā fiskālās politikas str</w:t>
      </w:r>
      <w:r>
        <w:rPr>
          <w:rFonts w:ascii="Times New Roman" w:eastAsia="Calibri" w:hAnsi="Times New Roman" w:cs="Times New Roman"/>
          <w:color w:val="000000"/>
          <w:sz w:val="24"/>
          <w:szCs w:val="24"/>
        </w:rPr>
        <w:t>atēģijā tiek pieņemts, ka 2021.</w:t>
      </w:r>
      <w:r w:rsidRPr="00B0388A">
        <w:rPr>
          <w:rFonts w:ascii="Times New Roman" w:eastAsia="Calibri" w:hAnsi="Times New Roman" w:cs="Times New Roman"/>
          <w:color w:val="000000"/>
          <w:sz w:val="24"/>
          <w:szCs w:val="24"/>
        </w:rPr>
        <w:t xml:space="preserve">gadā valstī izsludinātais </w:t>
      </w:r>
      <w:r>
        <w:rPr>
          <w:rFonts w:ascii="Times New Roman" w:eastAsia="Calibri" w:hAnsi="Times New Roman" w:cs="Times New Roman"/>
          <w:color w:val="000000"/>
          <w:sz w:val="24"/>
          <w:szCs w:val="24"/>
        </w:rPr>
        <w:t>ārkārtējais</w:t>
      </w:r>
      <w:r w:rsidRPr="00B0388A">
        <w:rPr>
          <w:rFonts w:ascii="Times New Roman" w:eastAsia="Calibri" w:hAnsi="Times New Roman" w:cs="Times New Roman"/>
          <w:color w:val="000000"/>
          <w:sz w:val="24"/>
          <w:szCs w:val="24"/>
        </w:rPr>
        <w:t xml:space="preserve"> stāvoklis un ar to saistītais tiesiskais regulējums tiek atcelts, bet S</w:t>
      </w:r>
      <w:r>
        <w:rPr>
          <w:rFonts w:ascii="Times New Roman" w:eastAsia="Calibri" w:hAnsi="Times New Roman" w:cs="Times New Roman"/>
          <w:color w:val="000000"/>
          <w:sz w:val="24"/>
          <w:szCs w:val="24"/>
        </w:rPr>
        <w:t xml:space="preserve">IP </w:t>
      </w:r>
      <w:r w:rsidRPr="00B0388A">
        <w:rPr>
          <w:rFonts w:ascii="Times New Roman" w:eastAsia="Calibri" w:hAnsi="Times New Roman" w:cs="Times New Roman"/>
          <w:color w:val="000000"/>
          <w:sz w:val="24"/>
          <w:szCs w:val="24"/>
        </w:rPr>
        <w:t>vispārējā izņēmuma</w:t>
      </w:r>
      <w:r>
        <w:rPr>
          <w:rFonts w:ascii="Times New Roman" w:eastAsia="Calibri" w:hAnsi="Times New Roman" w:cs="Times New Roman"/>
          <w:color w:val="000000"/>
          <w:sz w:val="24"/>
          <w:szCs w:val="24"/>
        </w:rPr>
        <w:t xml:space="preserve"> klauzula tiek atcelta no 2022.gada, jo 2021.</w:t>
      </w:r>
      <w:r w:rsidRPr="00B0388A">
        <w:rPr>
          <w:rFonts w:ascii="Times New Roman" w:eastAsia="Calibri" w:hAnsi="Times New Roman" w:cs="Times New Roman"/>
          <w:color w:val="000000"/>
          <w:sz w:val="24"/>
          <w:szCs w:val="24"/>
        </w:rPr>
        <w:t>gadā vēl pastāvēs nopietnas lejupslīdes pazīme: “pastāv ļoti zema gada IKP apjoma izaugsme attie</w:t>
      </w:r>
      <w:r>
        <w:rPr>
          <w:rFonts w:ascii="Times New Roman" w:eastAsia="Calibri" w:hAnsi="Times New Roman" w:cs="Times New Roman"/>
          <w:color w:val="000000"/>
          <w:sz w:val="24"/>
          <w:szCs w:val="24"/>
        </w:rPr>
        <w:t>cībā pret izaugsmes potenciālu.”</w:t>
      </w:r>
      <w:r w:rsidRPr="00B0388A">
        <w:rPr>
          <w:rFonts w:ascii="Times New Roman" w:eastAsia="Calibri" w:hAnsi="Times New Roman" w:cs="Times New Roman"/>
          <w:color w:val="000000"/>
          <w:sz w:val="24"/>
          <w:szCs w:val="24"/>
        </w:rPr>
        <w:t xml:space="preserve"> Tiek prognozēts, ka izlaižu starpība 2021.gadā negatī</w:t>
      </w:r>
      <w:r>
        <w:rPr>
          <w:rFonts w:ascii="Times New Roman" w:eastAsia="Calibri" w:hAnsi="Times New Roman" w:cs="Times New Roman"/>
          <w:color w:val="000000"/>
          <w:sz w:val="24"/>
          <w:szCs w:val="24"/>
        </w:rPr>
        <w:t>vajā apjomā pat pārsniegs 2020.</w:t>
      </w:r>
      <w:r w:rsidRPr="00B0388A">
        <w:rPr>
          <w:rFonts w:ascii="Times New Roman" w:eastAsia="Calibri" w:hAnsi="Times New Roman" w:cs="Times New Roman"/>
          <w:color w:val="000000"/>
          <w:sz w:val="24"/>
          <w:szCs w:val="24"/>
        </w:rPr>
        <w:t>gada izlaižu starpību un būs -10,4</w:t>
      </w:r>
      <w:r>
        <w:rPr>
          <w:rFonts w:ascii="Times New Roman" w:eastAsia="Calibri" w:hAnsi="Times New Roman" w:cs="Times New Roman"/>
          <w:color w:val="000000"/>
          <w:sz w:val="24"/>
          <w:szCs w:val="24"/>
        </w:rPr>
        <w:t>% no IKP. Līdz ar to Latvijā 2021.</w:t>
      </w:r>
      <w:r w:rsidRPr="00B0388A">
        <w:rPr>
          <w:rFonts w:ascii="Times New Roman" w:eastAsia="Calibri" w:hAnsi="Times New Roman" w:cs="Times New Roman"/>
          <w:color w:val="000000"/>
          <w:sz w:val="24"/>
          <w:szCs w:val="24"/>
        </w:rPr>
        <w:t>gadā ir pamats saglabāt vispārējo izņēmuma klauzulu.</w:t>
      </w:r>
    </w:p>
    <w:p w14:paraId="015FB132" w14:textId="77777777" w:rsidR="00D060C5" w:rsidRDefault="00D060C5" w:rsidP="00D060C5">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Attiecībā uz 2022. un 2023.</w:t>
      </w:r>
      <w:r w:rsidRPr="00B0388A">
        <w:rPr>
          <w:rFonts w:ascii="Times New Roman" w:eastAsia="Calibri" w:hAnsi="Times New Roman" w:cs="Times New Roman"/>
          <w:color w:val="000000"/>
          <w:sz w:val="24"/>
          <w:szCs w:val="24"/>
        </w:rPr>
        <w:t>gadu pastāv augsta nenoteiktība par EK potenciālajiem lēmumiem par izņēmuma klauzulas atcelšanu, tāpēc</w:t>
      </w:r>
      <w:r>
        <w:rPr>
          <w:rFonts w:ascii="Times New Roman" w:eastAsia="Calibri" w:hAnsi="Times New Roman" w:cs="Times New Roman"/>
          <w:color w:val="000000"/>
          <w:sz w:val="24"/>
          <w:szCs w:val="24"/>
        </w:rPr>
        <w:t>,</w:t>
      </w:r>
      <w:r w:rsidRPr="00B0388A">
        <w:rPr>
          <w:rFonts w:ascii="Times New Roman" w:eastAsia="Calibri" w:hAnsi="Times New Roman" w:cs="Times New Roman"/>
          <w:color w:val="000000"/>
          <w:sz w:val="24"/>
          <w:szCs w:val="24"/>
        </w:rPr>
        <w:t xml:space="preserve"> pielietojot konservatīvu budžeta prognozēšanas principu, t</w:t>
      </w:r>
      <w:r>
        <w:rPr>
          <w:rFonts w:ascii="Times New Roman" w:eastAsia="Calibri" w:hAnsi="Times New Roman" w:cs="Times New Roman"/>
          <w:color w:val="000000"/>
          <w:sz w:val="24"/>
          <w:szCs w:val="24"/>
        </w:rPr>
        <w:t>iek pieņemts, ka 2022. un 2023.</w:t>
      </w:r>
      <w:r w:rsidRPr="00B0388A">
        <w:rPr>
          <w:rFonts w:ascii="Times New Roman" w:eastAsia="Calibri" w:hAnsi="Times New Roman" w:cs="Times New Roman"/>
          <w:color w:val="000000"/>
          <w:sz w:val="24"/>
          <w:szCs w:val="24"/>
        </w:rPr>
        <w:t xml:space="preserve">gadā izņēmuma klauzula netiek </w:t>
      </w:r>
      <w:r>
        <w:rPr>
          <w:rFonts w:ascii="Times New Roman" w:eastAsia="Calibri" w:hAnsi="Times New Roman" w:cs="Times New Roman"/>
          <w:color w:val="000000"/>
          <w:sz w:val="24"/>
          <w:szCs w:val="24"/>
        </w:rPr>
        <w:t>piemērota un līdz ar to FDL 12.</w:t>
      </w:r>
      <w:r w:rsidRPr="00B0388A">
        <w:rPr>
          <w:rFonts w:ascii="Times New Roman" w:eastAsia="Calibri" w:hAnsi="Times New Roman" w:cs="Times New Roman"/>
          <w:color w:val="000000"/>
          <w:sz w:val="24"/>
          <w:szCs w:val="24"/>
        </w:rPr>
        <w:t>panta atkāpes arī netiek piemērotas. Līdz ar to tiek pieņemts, ka šajos gados vispārējās valdības budžeta bilances mērķi ti</w:t>
      </w:r>
      <w:r>
        <w:rPr>
          <w:rFonts w:ascii="Times New Roman" w:eastAsia="Calibri" w:hAnsi="Times New Roman" w:cs="Times New Roman"/>
          <w:color w:val="000000"/>
          <w:sz w:val="24"/>
          <w:szCs w:val="24"/>
        </w:rPr>
        <w:t xml:space="preserve">ek noteikti vispārējā kārtībā. </w:t>
      </w:r>
    </w:p>
    <w:p w14:paraId="195B00AE" w14:textId="77777777" w:rsidR="007877CD" w:rsidRPr="00D551C4" w:rsidRDefault="007877CD" w:rsidP="00B0388A">
      <w:pPr>
        <w:spacing w:after="0" w:line="240" w:lineRule="auto"/>
        <w:ind w:firstLine="709"/>
        <w:jc w:val="both"/>
        <w:rPr>
          <w:rFonts w:ascii="Times New Roman" w:eastAsia="Calibri" w:hAnsi="Times New Roman" w:cs="Times New Roman"/>
          <w:color w:val="000000"/>
          <w:sz w:val="24"/>
          <w:szCs w:val="24"/>
          <w:highlight w:val="yellow"/>
          <w:u w:val="single"/>
        </w:rPr>
      </w:pPr>
    </w:p>
    <w:p w14:paraId="69446D95" w14:textId="77777777" w:rsidR="00382FDF" w:rsidRPr="00A27DC1" w:rsidRDefault="00382FDF" w:rsidP="00DC41EC">
      <w:pPr>
        <w:pStyle w:val="Heading3"/>
        <w:numPr>
          <w:ilvl w:val="2"/>
          <w:numId w:val="1"/>
        </w:numPr>
        <w:spacing w:before="120" w:after="120" w:line="240" w:lineRule="auto"/>
        <w:ind w:left="1418"/>
        <w:rPr>
          <w:rFonts w:ascii="Times New Roman" w:hAnsi="Times New Roman" w:cs="Times New Roman"/>
          <w:sz w:val="24"/>
          <w:szCs w:val="24"/>
        </w:rPr>
      </w:pPr>
      <w:bookmarkStart w:id="25" w:name="_Toc479331088"/>
      <w:bookmarkStart w:id="26" w:name="_Toc511027819"/>
      <w:bookmarkStart w:id="27" w:name="_Toc5627367"/>
      <w:bookmarkStart w:id="28" w:name="_Toc38887971"/>
      <w:r w:rsidRPr="00A27DC1">
        <w:rPr>
          <w:rFonts w:ascii="Times New Roman" w:hAnsi="Times New Roman" w:cs="Times New Roman"/>
          <w:sz w:val="24"/>
          <w:szCs w:val="24"/>
        </w:rPr>
        <w:t xml:space="preserve">Strukturālās bilances mērķi </w:t>
      </w:r>
      <w:bookmarkEnd w:id="25"/>
      <w:bookmarkEnd w:id="26"/>
      <w:r w:rsidR="00C347BC" w:rsidRPr="00A27DC1">
        <w:rPr>
          <w:rFonts w:ascii="Times New Roman" w:hAnsi="Times New Roman" w:cs="Times New Roman"/>
          <w:sz w:val="24"/>
          <w:szCs w:val="24"/>
        </w:rPr>
        <w:t>202</w:t>
      </w:r>
      <w:r w:rsidR="00A27DC1" w:rsidRPr="00A27DC1">
        <w:rPr>
          <w:rFonts w:ascii="Times New Roman" w:hAnsi="Times New Roman" w:cs="Times New Roman"/>
          <w:sz w:val="24"/>
          <w:szCs w:val="24"/>
        </w:rPr>
        <w:t>1</w:t>
      </w:r>
      <w:r w:rsidR="00C347BC" w:rsidRPr="00A27DC1">
        <w:rPr>
          <w:rFonts w:ascii="Times New Roman" w:hAnsi="Times New Roman" w:cs="Times New Roman"/>
          <w:sz w:val="24"/>
          <w:szCs w:val="24"/>
        </w:rPr>
        <w:t>., 202</w:t>
      </w:r>
      <w:r w:rsidR="00A27DC1" w:rsidRPr="00A27DC1">
        <w:rPr>
          <w:rFonts w:ascii="Times New Roman" w:hAnsi="Times New Roman" w:cs="Times New Roman"/>
          <w:sz w:val="24"/>
          <w:szCs w:val="24"/>
        </w:rPr>
        <w:t>2</w:t>
      </w:r>
      <w:r w:rsidR="00C347BC" w:rsidRPr="00A27DC1">
        <w:rPr>
          <w:rFonts w:ascii="Times New Roman" w:hAnsi="Times New Roman" w:cs="Times New Roman"/>
          <w:sz w:val="24"/>
          <w:szCs w:val="24"/>
        </w:rPr>
        <w:t>. un 202</w:t>
      </w:r>
      <w:r w:rsidR="00A27DC1" w:rsidRPr="00A27DC1">
        <w:rPr>
          <w:rFonts w:ascii="Times New Roman" w:hAnsi="Times New Roman" w:cs="Times New Roman"/>
          <w:sz w:val="24"/>
          <w:szCs w:val="24"/>
        </w:rPr>
        <w:t>3</w:t>
      </w:r>
      <w:r w:rsidR="00C347BC" w:rsidRPr="00A27DC1">
        <w:rPr>
          <w:rFonts w:ascii="Times New Roman" w:hAnsi="Times New Roman" w:cs="Times New Roman"/>
          <w:sz w:val="24"/>
          <w:szCs w:val="24"/>
        </w:rPr>
        <w:t>.</w:t>
      </w:r>
      <w:r w:rsidRPr="00A27DC1">
        <w:rPr>
          <w:rFonts w:ascii="Times New Roman" w:hAnsi="Times New Roman" w:cs="Times New Roman"/>
          <w:sz w:val="24"/>
          <w:szCs w:val="24"/>
        </w:rPr>
        <w:t>gadam</w:t>
      </w:r>
      <w:bookmarkEnd w:id="27"/>
      <w:bookmarkEnd w:id="28"/>
    </w:p>
    <w:p w14:paraId="012CE94A" w14:textId="0C71991A" w:rsidR="00DE30C4" w:rsidRDefault="00DE30C4" w:rsidP="00DE30C4">
      <w:pPr>
        <w:spacing w:after="0" w:line="240" w:lineRule="auto"/>
        <w:ind w:firstLine="720"/>
        <w:jc w:val="both"/>
        <w:rPr>
          <w:rFonts w:ascii="Times New Roman" w:eastAsia="Calibri" w:hAnsi="Times New Roman" w:cs="Times New Roman"/>
          <w:color w:val="000000"/>
          <w:sz w:val="24"/>
          <w:szCs w:val="24"/>
        </w:rPr>
      </w:pPr>
      <w:bookmarkStart w:id="29" w:name="_Toc5627368"/>
      <w:r w:rsidRPr="00392B0A">
        <w:rPr>
          <w:rFonts w:ascii="Times New Roman" w:eastAsia="Calibri" w:hAnsi="Times New Roman" w:cs="Times New Roman"/>
          <w:color w:val="000000"/>
          <w:sz w:val="24"/>
          <w:szCs w:val="24"/>
        </w:rPr>
        <w:t>Šajā Stabilitātes</w:t>
      </w:r>
      <w:r>
        <w:rPr>
          <w:rFonts w:ascii="Times New Roman" w:eastAsia="Calibri" w:hAnsi="Times New Roman" w:cs="Times New Roman"/>
          <w:color w:val="000000"/>
          <w:sz w:val="24"/>
          <w:szCs w:val="24"/>
        </w:rPr>
        <w:t xml:space="preserve"> programmā</w:t>
      </w:r>
      <w:r w:rsidRPr="00392B0A">
        <w:rPr>
          <w:rFonts w:ascii="Times New Roman" w:eastAsia="Calibri" w:hAnsi="Times New Roman" w:cs="Times New Roman"/>
          <w:color w:val="000000"/>
          <w:sz w:val="24"/>
          <w:szCs w:val="24"/>
        </w:rPr>
        <w:t xml:space="preserve">, ņemot vērā </w:t>
      </w:r>
      <w:r>
        <w:rPr>
          <w:rFonts w:ascii="Times New Roman" w:eastAsia="Calibri" w:hAnsi="Times New Roman" w:cs="Times New Roman"/>
          <w:color w:val="000000"/>
          <w:sz w:val="24"/>
          <w:szCs w:val="24"/>
        </w:rPr>
        <w:t>SIP</w:t>
      </w:r>
      <w:r w:rsidRPr="00392B0A">
        <w:rPr>
          <w:rFonts w:ascii="Times New Roman" w:eastAsia="Calibri" w:hAnsi="Times New Roman" w:cs="Times New Roman"/>
          <w:color w:val="000000"/>
          <w:sz w:val="24"/>
          <w:szCs w:val="24"/>
        </w:rPr>
        <w:t xml:space="preserve"> paredzētās vispārējās izņēmuma klauzulas iedarbināšanu, sakarā ar C</w:t>
      </w:r>
      <w:r w:rsidR="00577E25">
        <w:rPr>
          <w:rFonts w:ascii="Times New Roman" w:eastAsia="Calibri" w:hAnsi="Times New Roman" w:cs="Times New Roman"/>
          <w:color w:val="000000"/>
          <w:sz w:val="24"/>
          <w:szCs w:val="24"/>
        </w:rPr>
        <w:t>ovid-</w:t>
      </w:r>
      <w:r w:rsidRPr="00392B0A">
        <w:rPr>
          <w:rFonts w:ascii="Times New Roman" w:eastAsia="Calibri" w:hAnsi="Times New Roman" w:cs="Times New Roman"/>
          <w:color w:val="000000"/>
          <w:sz w:val="24"/>
          <w:szCs w:val="24"/>
        </w:rPr>
        <w:t>19 pandēmijas ietekmi uz ES valstu ekonomisko attīstību un publiskajām finansēm, vispārējās valdības budžeta strukturālās bilances mērķu noteikšanā piemērotā pieeja ir</w:t>
      </w:r>
      <w:r>
        <w:rPr>
          <w:rFonts w:ascii="Times New Roman" w:eastAsia="Calibri" w:hAnsi="Times New Roman" w:cs="Times New Roman"/>
          <w:color w:val="000000"/>
          <w:sz w:val="24"/>
          <w:szCs w:val="24"/>
        </w:rPr>
        <w:t xml:space="preserve"> nedaudz</w:t>
      </w:r>
      <w:r w:rsidRPr="00392B0A">
        <w:rPr>
          <w:rFonts w:ascii="Times New Roman" w:eastAsia="Calibri" w:hAnsi="Times New Roman" w:cs="Times New Roman"/>
          <w:color w:val="000000"/>
          <w:sz w:val="24"/>
          <w:szCs w:val="24"/>
        </w:rPr>
        <w:t xml:space="preserve"> atšķirīga no līdz šim ierastās. </w:t>
      </w:r>
    </w:p>
    <w:p w14:paraId="32FE6E89" w14:textId="66CB38BE" w:rsidR="00DE30C4" w:rsidRPr="003D7BB1" w:rsidRDefault="00DE30C4" w:rsidP="00DE30C4">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Tāpat kā iepriekšējās Stabilitātes programmās </w:t>
      </w:r>
      <w:r w:rsidRPr="00F55F08">
        <w:rPr>
          <w:rFonts w:ascii="Times New Roman" w:eastAsia="Calibri" w:hAnsi="Times New Roman" w:cs="Times New Roman"/>
          <w:color w:val="000000"/>
          <w:sz w:val="24"/>
          <w:szCs w:val="24"/>
        </w:rPr>
        <w:t>strukturālās bilances mērķu definēšanā tiek piemērota vairāku pakāpju metode un tiem ir vienla</w:t>
      </w:r>
      <w:r>
        <w:rPr>
          <w:rFonts w:ascii="Times New Roman" w:eastAsia="Calibri" w:hAnsi="Times New Roman" w:cs="Times New Roman"/>
          <w:color w:val="000000"/>
          <w:sz w:val="24"/>
          <w:szCs w:val="24"/>
        </w:rPr>
        <w:t>icīgi jānodrošina atbilstība</w:t>
      </w:r>
      <w:r w:rsidRPr="00F55F08">
        <w:rPr>
          <w:rFonts w:ascii="Times New Roman" w:eastAsia="Calibri" w:hAnsi="Times New Roman" w:cs="Times New Roman"/>
          <w:color w:val="000000"/>
          <w:sz w:val="24"/>
          <w:szCs w:val="24"/>
        </w:rPr>
        <w:t xml:space="preserve"> nacionālā līmeņa fiskālajiem nosacījumiem (bilances nosacījums, izdevumu pieauguma nosacījums un izdevumu pārmantojamība</w:t>
      </w:r>
      <w:r>
        <w:rPr>
          <w:rFonts w:ascii="Times New Roman" w:eastAsia="Calibri" w:hAnsi="Times New Roman" w:cs="Times New Roman"/>
          <w:color w:val="000000"/>
          <w:sz w:val="24"/>
          <w:szCs w:val="24"/>
        </w:rPr>
        <w:t>s nosacījums), kas definēti FDL. Tomēr šajā Stabilitātes programmā netiek veikta strukturāl</w:t>
      </w:r>
      <w:r w:rsidR="004E6720">
        <w:rPr>
          <w:rFonts w:ascii="Times New Roman" w:eastAsia="Calibri" w:hAnsi="Times New Roman" w:cs="Times New Roman"/>
          <w:color w:val="000000"/>
          <w:sz w:val="24"/>
          <w:szCs w:val="24"/>
        </w:rPr>
        <w:t>ās bilances mērķu testēšana</w:t>
      </w:r>
      <w:r w:rsidRPr="00F55F0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atbilstoši</w:t>
      </w:r>
      <w:r w:rsidRPr="00F55F08">
        <w:rPr>
          <w:rFonts w:ascii="Times New Roman" w:eastAsia="Calibri" w:hAnsi="Times New Roman" w:cs="Times New Roman"/>
          <w:color w:val="000000"/>
          <w:sz w:val="24"/>
          <w:szCs w:val="24"/>
        </w:rPr>
        <w:t xml:space="preserve"> EK pielietotajai metodoloģijai.</w:t>
      </w:r>
      <w:r>
        <w:rPr>
          <w:rFonts w:ascii="Times New Roman" w:eastAsia="Calibri" w:hAnsi="Times New Roman" w:cs="Times New Roman"/>
          <w:color w:val="000000"/>
          <w:sz w:val="24"/>
          <w:szCs w:val="24"/>
        </w:rPr>
        <w:t xml:space="preserve"> Izvērsts mērķu noteikšanas algoritms ir izklāstīts turpmāk.</w:t>
      </w:r>
    </w:p>
    <w:p w14:paraId="65E34F84" w14:textId="77777777" w:rsidR="00DE30C4" w:rsidRPr="00F55F08" w:rsidRDefault="00DE30C4" w:rsidP="00DE30C4">
      <w:pPr>
        <w:spacing w:after="0" w:line="240" w:lineRule="auto"/>
        <w:ind w:firstLine="720"/>
        <w:jc w:val="both"/>
        <w:rPr>
          <w:rFonts w:ascii="Times New Roman" w:eastAsia="Calibri" w:hAnsi="Times New Roman" w:cs="Times New Roman"/>
          <w:color w:val="000000"/>
          <w:sz w:val="24"/>
          <w:szCs w:val="24"/>
        </w:rPr>
      </w:pPr>
      <w:r w:rsidRPr="00F55F08">
        <w:rPr>
          <w:rFonts w:ascii="Times New Roman" w:eastAsia="Calibri" w:hAnsi="Times New Roman" w:cs="Times New Roman"/>
          <w:color w:val="000000"/>
          <w:sz w:val="24"/>
          <w:szCs w:val="24"/>
        </w:rPr>
        <w:t>Vispirms strukturālās bilances mērķi tiek aprēķināti, pielietojot bilances nosacījumu. Bilances nosacījuma pārbaudei atšķirībā no līdz šim izmantotās pieejas tiek veidots tikai scenārijs ar nacionālo VTM, ņemot vērā EK fiskālo prognožu neesamību uz šīs Stabilitātes programmas sagatavošanas brīdi kā arī</w:t>
      </w:r>
      <w:r>
        <w:rPr>
          <w:rFonts w:ascii="Times New Roman" w:eastAsia="Calibri" w:hAnsi="Times New Roman" w:cs="Times New Roman"/>
          <w:color w:val="000000"/>
          <w:sz w:val="24"/>
          <w:szCs w:val="24"/>
        </w:rPr>
        <w:t xml:space="preserve"> SIP</w:t>
      </w:r>
      <w:r w:rsidRPr="00F55F08">
        <w:rPr>
          <w:rFonts w:ascii="Times New Roman" w:eastAsia="Calibri" w:hAnsi="Times New Roman" w:cs="Times New Roman"/>
          <w:color w:val="000000"/>
          <w:sz w:val="24"/>
          <w:szCs w:val="24"/>
        </w:rPr>
        <w:t xml:space="preserve"> vispārējās izņēmuma klauzulas iedarbināšanu.</w:t>
      </w:r>
    </w:p>
    <w:p w14:paraId="126B1248" w14:textId="203F79AB" w:rsidR="00DE30C4" w:rsidRPr="00081768" w:rsidRDefault="00701F90" w:rsidP="00DE30C4">
      <w:pPr>
        <w:spacing w:after="0" w:line="240" w:lineRule="auto"/>
        <w:ind w:firstLine="720"/>
        <w:jc w:val="both"/>
        <w:rPr>
          <w:rFonts w:ascii="Times New Roman" w:eastAsia="Calibri" w:hAnsi="Times New Roman" w:cs="Times New Roman"/>
          <w:color w:val="000000"/>
          <w:sz w:val="24"/>
          <w:szCs w:val="24"/>
        </w:rPr>
      </w:pPr>
      <w:r w:rsidRPr="00081768">
        <w:rPr>
          <w:rFonts w:ascii="Times New Roman" w:eastAsia="Calibri" w:hAnsi="Times New Roman" w:cs="Times New Roman"/>
          <w:color w:val="000000"/>
          <w:sz w:val="24"/>
          <w:szCs w:val="24"/>
        </w:rPr>
        <w:t>FDL paredz, ka bilances nosacījuma ievērošana nav vienīgais fiskālais nosacījums. Strukturālās bilances mērķu noteikšanā ir jāievēro arī izdevumu pieauguma nosacījums, ko nosaka Regula Nr. 1175/2011 (</w:t>
      </w:r>
      <w:r w:rsidRPr="00081768">
        <w:rPr>
          <w:rFonts w:ascii="Times New Roman" w:hAnsi="Times New Roman" w:cs="Times New Roman"/>
          <w:color w:val="000000"/>
          <w:sz w:val="24"/>
        </w:rPr>
        <w:t>Eiropas Parlamenta un Padomes regula (ES</w:t>
      </w:r>
      <w:r>
        <w:rPr>
          <w:rFonts w:ascii="Times New Roman" w:hAnsi="Times New Roman" w:cs="Times New Roman"/>
          <w:color w:val="000000"/>
          <w:sz w:val="24"/>
        </w:rPr>
        <w:t>) Nr. 1175/2011 (2011.gada 16.</w:t>
      </w:r>
      <w:r w:rsidRPr="00081768">
        <w:rPr>
          <w:rFonts w:ascii="Times New Roman" w:hAnsi="Times New Roman" w:cs="Times New Roman"/>
          <w:color w:val="000000"/>
          <w:sz w:val="24"/>
        </w:rPr>
        <w:t>novembris), ar ko groza Padomes Regulu (EK) Nr. 1466/97 par budžeta stāvokļa uzraudzības un ekonomikas politikas uzraudzības un koordinācijas stiprināšanu)</w:t>
      </w:r>
      <w:r>
        <w:rPr>
          <w:rFonts w:ascii="Times New Roman" w:eastAsia="Calibri" w:hAnsi="Times New Roman" w:cs="Times New Roman"/>
          <w:color w:val="000000"/>
          <w:sz w:val="24"/>
          <w:szCs w:val="24"/>
        </w:rPr>
        <w:t>, kas arī noteikts FDL 13.pantā.</w:t>
      </w:r>
      <w:r w:rsidRPr="00081768">
        <w:rPr>
          <w:rFonts w:ascii="Times New Roman" w:eastAsia="Calibri" w:hAnsi="Times New Roman" w:cs="Times New Roman"/>
          <w:color w:val="000000"/>
          <w:sz w:val="24"/>
          <w:szCs w:val="24"/>
        </w:rPr>
        <w:t xml:space="preserve"> Šis nosacījums vispārīgajā gadījumā var noteikt augstākus vispārējās valdības budžeta strukturālās bilances mērķus. </w:t>
      </w:r>
      <w:r w:rsidR="00DE30C4" w:rsidRPr="00081768">
        <w:rPr>
          <w:rFonts w:ascii="Times New Roman" w:eastAsia="Calibri" w:hAnsi="Times New Roman" w:cs="Times New Roman"/>
          <w:color w:val="000000"/>
          <w:sz w:val="24"/>
          <w:szCs w:val="24"/>
        </w:rPr>
        <w:t>FDL arī paredz, ka centrālās valdības izdevumi tiek noteikti Ietvara likumā turpmākajiem trim gadiem un tie ir juridiski saistoši (izdevumu pārmantojamības nosacījums). Līdz ar to var izveidoties situācija, ka centrālās valdības izdevumu paturēšana iepriekšējā Ietvara likumā noteiktajā līmenī var mainīt vispārējās valdības budžeta strukturālās bilances mērķi. Tomēr izmaiņas ierobežo FDL noteikums, ka, ja izdevumu novirzes ir lielākas par 0,1% no IKP, izdevumi netiek saglabāti, bet tiek aprēķināti no jauna saskaņā ar vispārējās valdības budžeta strukturālās bilances un izdevumu pieauguma nosacījumiem.</w:t>
      </w:r>
    </w:p>
    <w:p w14:paraId="30A90A08" w14:textId="77777777" w:rsidR="00DE30C4" w:rsidRPr="00081768" w:rsidRDefault="00DE30C4" w:rsidP="00DE30C4">
      <w:pPr>
        <w:spacing w:after="0" w:line="240" w:lineRule="auto"/>
        <w:ind w:firstLine="720"/>
        <w:jc w:val="both"/>
        <w:rPr>
          <w:rFonts w:ascii="Times New Roman" w:eastAsia="Calibri" w:hAnsi="Times New Roman" w:cs="Times New Roman"/>
          <w:color w:val="000000"/>
          <w:sz w:val="24"/>
          <w:szCs w:val="24"/>
        </w:rPr>
      </w:pPr>
      <w:r w:rsidRPr="00081768">
        <w:rPr>
          <w:rFonts w:ascii="Times New Roman" w:eastAsia="Calibri" w:hAnsi="Times New Roman" w:cs="Times New Roman"/>
          <w:color w:val="000000"/>
          <w:sz w:val="24"/>
          <w:szCs w:val="24"/>
        </w:rPr>
        <w:t xml:space="preserve">Augstākminētie fiskālie nosacījumi nosaka vispārējās valdības budžeta strukturālās bilances mērķi un nominālo bilanci (maksimāli pieļaujamo vispārējās valdības deficītu vai minimālo pieļaujamo vispārējās valdības budžeta pārpalikumu) saskaņā ar </w:t>
      </w:r>
      <w:r w:rsidRPr="00081768">
        <w:rPr>
          <w:rFonts w:ascii="Times New Roman" w:eastAsia="Calibri" w:hAnsi="Times New Roman" w:cs="Times New Roman"/>
          <w:i/>
          <w:color w:val="000000"/>
          <w:sz w:val="24"/>
          <w:szCs w:val="24"/>
        </w:rPr>
        <w:t>lejupvērsto budžeta bilances plānošanas metodi.</w:t>
      </w:r>
      <w:r w:rsidRPr="00081768">
        <w:rPr>
          <w:rFonts w:ascii="Times New Roman" w:eastAsia="Calibri" w:hAnsi="Times New Roman" w:cs="Times New Roman"/>
          <w:color w:val="000000"/>
          <w:sz w:val="24"/>
          <w:szCs w:val="24"/>
        </w:rPr>
        <w:t xml:space="preserve"> Vienlaicīgi tiek piemērota arī </w:t>
      </w:r>
      <w:r w:rsidRPr="00081768">
        <w:rPr>
          <w:rFonts w:ascii="Times New Roman" w:eastAsia="Calibri" w:hAnsi="Times New Roman" w:cs="Times New Roman"/>
          <w:i/>
          <w:color w:val="000000"/>
          <w:sz w:val="24"/>
          <w:szCs w:val="24"/>
        </w:rPr>
        <w:t>augšupvērstā budžeta bilances plānošanas metode</w:t>
      </w:r>
      <w:r w:rsidRPr="00081768">
        <w:rPr>
          <w:rFonts w:ascii="Times New Roman" w:eastAsia="Calibri" w:hAnsi="Times New Roman" w:cs="Times New Roman"/>
          <w:color w:val="000000"/>
          <w:sz w:val="24"/>
          <w:szCs w:val="24"/>
        </w:rPr>
        <w:t xml:space="preserve">, saskaņā ar kuru tiek prognozēta vispārējās valdības budžeta bilance </w:t>
      </w:r>
      <w:r w:rsidRPr="00081768">
        <w:rPr>
          <w:rFonts w:ascii="Times New Roman" w:eastAsia="Calibri" w:hAnsi="Times New Roman" w:cs="Times New Roman"/>
          <w:b/>
          <w:color w:val="000000"/>
          <w:sz w:val="24"/>
          <w:szCs w:val="24"/>
        </w:rPr>
        <w:t>nemainīgas politikas gadījumā</w:t>
      </w:r>
      <w:r>
        <w:rPr>
          <w:rStyle w:val="FootnoteReference"/>
          <w:rFonts w:ascii="Times New Roman" w:eastAsia="Calibri" w:hAnsi="Times New Roman" w:cs="Times New Roman"/>
          <w:b/>
          <w:color w:val="000000"/>
          <w:sz w:val="24"/>
          <w:szCs w:val="24"/>
        </w:rPr>
        <w:footnoteReference w:id="4"/>
      </w:r>
      <w:r w:rsidRPr="00081768">
        <w:rPr>
          <w:rFonts w:ascii="Times New Roman" w:eastAsia="Calibri" w:hAnsi="Times New Roman" w:cs="Times New Roman"/>
          <w:color w:val="000000"/>
          <w:sz w:val="24"/>
          <w:szCs w:val="24"/>
        </w:rPr>
        <w:t xml:space="preserve">. </w:t>
      </w:r>
    </w:p>
    <w:p w14:paraId="5FF29F62" w14:textId="77777777" w:rsidR="00DE30C4" w:rsidRPr="00D551C4" w:rsidRDefault="00DE30C4" w:rsidP="00DE30C4">
      <w:pPr>
        <w:spacing w:after="0" w:line="240" w:lineRule="auto"/>
        <w:ind w:firstLine="720"/>
        <w:jc w:val="both"/>
        <w:rPr>
          <w:rFonts w:ascii="Times New Roman" w:eastAsia="Calibri" w:hAnsi="Times New Roman" w:cs="Times New Roman"/>
          <w:color w:val="000000"/>
          <w:sz w:val="24"/>
          <w:szCs w:val="24"/>
          <w:highlight w:val="yellow"/>
        </w:rPr>
      </w:pPr>
      <w:r w:rsidRPr="00081768">
        <w:rPr>
          <w:rFonts w:ascii="Times New Roman" w:eastAsia="Calibri" w:hAnsi="Times New Roman" w:cs="Times New Roman"/>
          <w:color w:val="000000"/>
          <w:sz w:val="24"/>
          <w:szCs w:val="24"/>
        </w:rPr>
        <w:t xml:space="preserve">Vispārīgā gadījumā vispārējās valdības budžeta bilances pēc abām metodēm atšķiras. Ja vispārējās valdības budžeta bilance pēc pirmās metodes ir lielāka nekā otrās metodes rezultātā noteiktā bilance, valdības rīcībā ir tā saucamā fiskālā telpa jeb iespējas palielināt izdevumus jaunām izdevumu politikas prioritātēm vai samazināt ieņēmumus jaunām nodokļu politikas iniciatīvām. Ja vispārējās valdības budžeta bilance pēc pirmās metodes ir mazāka kā pēc otrās metodes, valdībai ir jāveic konsolidācijas pasākumi, pieņemot diskrecionāros pasākumus izdevumu samazināšanai vai ieņēmumu palielināšanai. </w:t>
      </w:r>
    </w:p>
    <w:p w14:paraId="79D96191" w14:textId="77777777" w:rsidR="00DE30C4" w:rsidRPr="00D551C4" w:rsidRDefault="00DE30C4" w:rsidP="00DE30C4">
      <w:pPr>
        <w:spacing w:after="0" w:line="240" w:lineRule="auto"/>
        <w:ind w:firstLine="720"/>
        <w:jc w:val="both"/>
        <w:rPr>
          <w:rFonts w:ascii="Times New Roman" w:eastAsia="Calibri" w:hAnsi="Times New Roman" w:cs="Times New Roman"/>
          <w:color w:val="000000"/>
          <w:sz w:val="24"/>
          <w:szCs w:val="24"/>
          <w:highlight w:val="yellow"/>
        </w:rPr>
      </w:pPr>
    </w:p>
    <w:p w14:paraId="7A82CAE6" w14:textId="77777777" w:rsidR="0017491B" w:rsidRPr="00DB3816" w:rsidRDefault="0017491B" w:rsidP="00DB3816">
      <w:pPr>
        <w:spacing w:after="0" w:line="240" w:lineRule="auto"/>
        <w:ind w:firstLine="720"/>
        <w:rPr>
          <w:rFonts w:ascii="Times New Roman" w:eastAsia="Calibri" w:hAnsi="Times New Roman" w:cs="Times New Roman"/>
          <w:b/>
          <w:i/>
          <w:color w:val="000000"/>
          <w:sz w:val="24"/>
          <w:szCs w:val="24"/>
        </w:rPr>
      </w:pPr>
      <w:r w:rsidRPr="00DB3816">
        <w:rPr>
          <w:rFonts w:ascii="Times New Roman" w:eastAsia="Calibri" w:hAnsi="Times New Roman" w:cs="Times New Roman"/>
          <w:b/>
          <w:i/>
          <w:color w:val="000000"/>
          <w:sz w:val="24"/>
          <w:szCs w:val="24"/>
        </w:rPr>
        <w:t>Atkāpe no VTM 2021. gadā.</w:t>
      </w:r>
    </w:p>
    <w:p w14:paraId="06AEE107" w14:textId="77777777" w:rsidR="0017491B" w:rsidRPr="00DB3816" w:rsidRDefault="0017491B" w:rsidP="0017491B">
      <w:pPr>
        <w:spacing w:after="0" w:line="240" w:lineRule="auto"/>
        <w:ind w:firstLine="720"/>
        <w:jc w:val="both"/>
        <w:rPr>
          <w:rFonts w:ascii="Times New Roman" w:eastAsia="Calibri" w:hAnsi="Times New Roman" w:cs="Times New Roman"/>
          <w:color w:val="000000"/>
          <w:sz w:val="24"/>
          <w:szCs w:val="24"/>
        </w:rPr>
      </w:pPr>
    </w:p>
    <w:p w14:paraId="364DDF97" w14:textId="190661B7" w:rsidR="0017491B" w:rsidRPr="00DB3816" w:rsidRDefault="00DB3816" w:rsidP="00DB381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DB3816">
        <w:rPr>
          <w:rFonts w:ascii="Times New Roman" w:eastAsia="Calibri" w:hAnsi="Times New Roman" w:cs="Times New Roman"/>
          <w:color w:val="000000"/>
          <w:sz w:val="24"/>
          <w:szCs w:val="24"/>
        </w:rPr>
        <w:t>2021.gadā tiek piemērots FDL 12.</w:t>
      </w:r>
      <w:r w:rsidR="0017491B" w:rsidRPr="00DB3816">
        <w:rPr>
          <w:rFonts w:ascii="Times New Roman" w:eastAsia="Calibri" w:hAnsi="Times New Roman" w:cs="Times New Roman"/>
          <w:color w:val="000000"/>
          <w:sz w:val="24"/>
          <w:szCs w:val="24"/>
        </w:rPr>
        <w:t>panta pirmās daļas trešā punkta nosacījums, ka nopietnas ekonomiskās lejupslīdes laikā sagatavojot ietvara likuma pro</w:t>
      </w:r>
      <w:r w:rsidRPr="00DB3816">
        <w:rPr>
          <w:rFonts w:ascii="Times New Roman" w:eastAsia="Calibri" w:hAnsi="Times New Roman" w:cs="Times New Roman"/>
          <w:color w:val="000000"/>
          <w:sz w:val="24"/>
          <w:szCs w:val="24"/>
        </w:rPr>
        <w:t>jektu, var atkāpties no FDL 10.</w:t>
      </w:r>
      <w:r w:rsidR="0017491B" w:rsidRPr="00DB3816">
        <w:rPr>
          <w:rFonts w:ascii="Times New Roman" w:eastAsia="Calibri" w:hAnsi="Times New Roman" w:cs="Times New Roman"/>
          <w:color w:val="000000"/>
          <w:sz w:val="24"/>
          <w:szCs w:val="24"/>
        </w:rPr>
        <w:t>pantā noteiktās minimāli plānojamās strukturālās bilances, kas ir -0,5% n</w:t>
      </w:r>
      <w:r w:rsidRPr="00DB3816">
        <w:rPr>
          <w:rFonts w:ascii="Times New Roman" w:eastAsia="Calibri" w:hAnsi="Times New Roman" w:cs="Times New Roman"/>
          <w:color w:val="000000"/>
          <w:sz w:val="24"/>
          <w:szCs w:val="24"/>
        </w:rPr>
        <w:t>o IKP. FDL 12.</w:t>
      </w:r>
      <w:r w:rsidR="0017491B" w:rsidRPr="00DB3816">
        <w:rPr>
          <w:rFonts w:ascii="Times New Roman" w:eastAsia="Calibri" w:hAnsi="Times New Roman" w:cs="Times New Roman"/>
          <w:color w:val="000000"/>
          <w:sz w:val="24"/>
          <w:szCs w:val="24"/>
        </w:rPr>
        <w:t>panta trešā daļa, savukārt, nosaka, ka atk</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pe ir pieļaujama t</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d</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 xml:space="preserve"> apjom</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 k</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ds nepieciešams ekonomikas nopietnas lejupsl</w:t>
      </w:r>
      <w:r w:rsidR="0017491B" w:rsidRPr="00DB3816">
        <w:rPr>
          <w:rFonts w:ascii="Times New Roman" w:eastAsia="Calibri" w:hAnsi="Times New Roman" w:cs="Times New Roman" w:hint="eastAsia"/>
          <w:color w:val="000000"/>
          <w:sz w:val="24"/>
          <w:szCs w:val="24"/>
        </w:rPr>
        <w:t>ī</w:t>
      </w:r>
      <w:r w:rsidR="0017491B" w:rsidRPr="00DB3816">
        <w:rPr>
          <w:rFonts w:ascii="Times New Roman" w:eastAsia="Calibri" w:hAnsi="Times New Roman" w:cs="Times New Roman"/>
          <w:color w:val="000000"/>
          <w:sz w:val="24"/>
          <w:szCs w:val="24"/>
        </w:rPr>
        <w:t>des p</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rvar</w:t>
      </w:r>
      <w:r w:rsidR="0017491B" w:rsidRPr="00DB3816">
        <w:rPr>
          <w:rFonts w:ascii="Times New Roman" w:eastAsia="Calibri" w:hAnsi="Times New Roman" w:cs="Times New Roman" w:hint="eastAsia"/>
          <w:color w:val="000000"/>
          <w:sz w:val="24"/>
          <w:szCs w:val="24"/>
        </w:rPr>
        <w:t>ē</w:t>
      </w:r>
      <w:r w:rsidR="0017491B" w:rsidRPr="00DB3816">
        <w:rPr>
          <w:rFonts w:ascii="Times New Roman" w:eastAsia="Calibri" w:hAnsi="Times New Roman" w:cs="Times New Roman"/>
          <w:color w:val="000000"/>
          <w:sz w:val="24"/>
          <w:szCs w:val="24"/>
        </w:rPr>
        <w:t>šanai, un nedr</w:t>
      </w:r>
      <w:r w:rsidR="0017491B" w:rsidRPr="00DB3816">
        <w:rPr>
          <w:rFonts w:ascii="Times New Roman" w:eastAsia="Calibri" w:hAnsi="Times New Roman" w:cs="Times New Roman" w:hint="eastAsia"/>
          <w:color w:val="000000"/>
          <w:sz w:val="24"/>
          <w:szCs w:val="24"/>
        </w:rPr>
        <w:t>ī</w:t>
      </w:r>
      <w:r w:rsidR="0017491B" w:rsidRPr="00DB3816">
        <w:rPr>
          <w:rFonts w:ascii="Times New Roman" w:eastAsia="Calibri" w:hAnsi="Times New Roman" w:cs="Times New Roman"/>
          <w:color w:val="000000"/>
          <w:sz w:val="24"/>
          <w:szCs w:val="24"/>
        </w:rPr>
        <w:t>kst p</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rsniegt prognoz</w:t>
      </w:r>
      <w:r w:rsidR="0017491B" w:rsidRPr="00DB3816">
        <w:rPr>
          <w:rFonts w:ascii="Times New Roman" w:eastAsia="Calibri" w:hAnsi="Times New Roman" w:cs="Times New Roman" w:hint="eastAsia"/>
          <w:color w:val="000000"/>
          <w:sz w:val="24"/>
          <w:szCs w:val="24"/>
        </w:rPr>
        <w:t>ē</w:t>
      </w:r>
      <w:r w:rsidR="0017491B" w:rsidRPr="00DB3816">
        <w:rPr>
          <w:rFonts w:ascii="Times New Roman" w:eastAsia="Calibri" w:hAnsi="Times New Roman" w:cs="Times New Roman"/>
          <w:color w:val="000000"/>
          <w:sz w:val="24"/>
          <w:szCs w:val="24"/>
        </w:rPr>
        <w:t>to ieņ</w:t>
      </w:r>
      <w:r w:rsidR="0017491B" w:rsidRPr="00DB3816">
        <w:rPr>
          <w:rFonts w:ascii="Times New Roman" w:eastAsia="Calibri" w:hAnsi="Times New Roman" w:cs="Times New Roman" w:hint="eastAsia"/>
          <w:color w:val="000000"/>
          <w:sz w:val="24"/>
          <w:szCs w:val="24"/>
        </w:rPr>
        <w:t>ē</w:t>
      </w:r>
      <w:r w:rsidR="0017491B" w:rsidRPr="00DB3816">
        <w:rPr>
          <w:rFonts w:ascii="Times New Roman" w:eastAsia="Calibri" w:hAnsi="Times New Roman" w:cs="Times New Roman"/>
          <w:color w:val="000000"/>
          <w:sz w:val="24"/>
          <w:szCs w:val="24"/>
        </w:rPr>
        <w:t>mumu samazin</w:t>
      </w:r>
      <w:r w:rsidR="0017491B" w:rsidRPr="00DB3816">
        <w:rPr>
          <w:rFonts w:ascii="Times New Roman" w:eastAsia="Calibri" w:hAnsi="Times New Roman" w:cs="Times New Roman" w:hint="eastAsia"/>
          <w:color w:val="000000"/>
          <w:sz w:val="24"/>
          <w:szCs w:val="24"/>
        </w:rPr>
        <w:t>ā</w:t>
      </w:r>
      <w:r w:rsidR="0017491B" w:rsidRPr="00DB3816">
        <w:rPr>
          <w:rFonts w:ascii="Times New Roman" w:eastAsia="Calibri" w:hAnsi="Times New Roman" w:cs="Times New Roman"/>
          <w:color w:val="000000"/>
          <w:sz w:val="24"/>
          <w:szCs w:val="24"/>
        </w:rPr>
        <w:t>jumu. Ieņēmumu samazinājums tiek mērīts monetārā izteiksmē (nevis procentos no IKP) un noteikts pret prognozētajiem ieņēmumiem bāzes scenārijā. Tāpat, jāņem vērā, ka daļu no ieņēmumu krituma jau ņem vērā automātiskais stabilizators un tas ir jāizslēdz.</w:t>
      </w:r>
      <w:r w:rsidRPr="00DB3816">
        <w:rPr>
          <w:rFonts w:ascii="Times New Roman" w:eastAsia="Calibri" w:hAnsi="Times New Roman" w:cs="Times New Roman"/>
          <w:color w:val="000000"/>
          <w:sz w:val="24"/>
          <w:szCs w:val="24"/>
        </w:rPr>
        <w:t xml:space="preserve"> Līdz ar to 2021.</w:t>
      </w:r>
      <w:r w:rsidR="0017491B" w:rsidRPr="00DB3816">
        <w:rPr>
          <w:rFonts w:ascii="Times New Roman" w:eastAsia="Calibri" w:hAnsi="Times New Roman" w:cs="Times New Roman"/>
          <w:color w:val="000000"/>
          <w:sz w:val="24"/>
          <w:szCs w:val="24"/>
        </w:rPr>
        <w:t>gadā ir pieļaujama atkāpe no minimāli plānojamās strukturālās bilances 1,1% IKP apmērā</w:t>
      </w:r>
      <w:r w:rsidR="004245CC">
        <w:rPr>
          <w:rFonts w:ascii="Times New Roman" w:eastAsia="Calibri" w:hAnsi="Times New Roman" w:cs="Times New Roman"/>
          <w:color w:val="000000"/>
          <w:sz w:val="24"/>
          <w:szCs w:val="24"/>
        </w:rPr>
        <w:t xml:space="preserve"> (</w:t>
      </w:r>
      <w:r w:rsidR="004245CC" w:rsidRPr="00DB3816">
        <w:rPr>
          <w:rFonts w:ascii="Times New Roman" w:eastAsia="Calibri" w:hAnsi="Times New Roman" w:cs="Times New Roman"/>
          <w:color w:val="000000"/>
          <w:sz w:val="24"/>
          <w:szCs w:val="24"/>
        </w:rPr>
        <w:t xml:space="preserve">skat </w:t>
      </w:r>
      <w:r w:rsidR="004245CC">
        <w:rPr>
          <w:rFonts w:ascii="Times New Roman" w:eastAsia="Calibri" w:hAnsi="Times New Roman" w:cs="Times New Roman"/>
          <w:color w:val="000000"/>
          <w:sz w:val="24"/>
          <w:szCs w:val="24"/>
        </w:rPr>
        <w:t>3.1.</w:t>
      </w:r>
      <w:r w:rsidR="004245CC" w:rsidRPr="00DB3816">
        <w:rPr>
          <w:rFonts w:ascii="Times New Roman" w:eastAsia="Calibri" w:hAnsi="Times New Roman" w:cs="Times New Roman"/>
          <w:color w:val="000000"/>
          <w:sz w:val="24"/>
          <w:szCs w:val="24"/>
        </w:rPr>
        <w:t>tabulu</w:t>
      </w:r>
      <w:r w:rsidR="004245CC">
        <w:rPr>
          <w:rFonts w:ascii="Times New Roman" w:eastAsia="Calibri" w:hAnsi="Times New Roman" w:cs="Times New Roman"/>
          <w:color w:val="000000"/>
          <w:sz w:val="24"/>
          <w:szCs w:val="24"/>
        </w:rPr>
        <w:t>)</w:t>
      </w:r>
      <w:r w:rsidR="004245CC" w:rsidRPr="00DB3816">
        <w:rPr>
          <w:rFonts w:ascii="Times New Roman" w:eastAsia="Calibri" w:hAnsi="Times New Roman" w:cs="Times New Roman"/>
          <w:color w:val="000000"/>
          <w:sz w:val="24"/>
          <w:szCs w:val="24"/>
        </w:rPr>
        <w:t>.</w:t>
      </w:r>
    </w:p>
    <w:p w14:paraId="64877035" w14:textId="77777777" w:rsidR="0017491B" w:rsidRPr="00DB3816" w:rsidRDefault="0017491B" w:rsidP="0017491B">
      <w:pPr>
        <w:autoSpaceDE w:val="0"/>
        <w:autoSpaceDN w:val="0"/>
        <w:adjustRightInd w:val="0"/>
        <w:spacing w:after="0" w:line="240" w:lineRule="auto"/>
        <w:rPr>
          <w:rFonts w:ascii="Times New Roman" w:eastAsia="Calibri" w:hAnsi="Times New Roman" w:cs="Times New Roman"/>
          <w:color w:val="000000"/>
          <w:sz w:val="24"/>
          <w:szCs w:val="24"/>
        </w:rPr>
      </w:pPr>
    </w:p>
    <w:p w14:paraId="3AE87E9D" w14:textId="608CA01C" w:rsidR="0017491B" w:rsidRPr="00DB3816" w:rsidRDefault="00577E25" w:rsidP="0017491B">
      <w:pPr>
        <w:autoSpaceDE w:val="0"/>
        <w:autoSpaceDN w:val="0"/>
        <w:adjustRightInd w:val="0"/>
        <w:spacing w:after="0" w:line="240" w:lineRule="auto"/>
        <w:jc w:val="right"/>
        <w:rPr>
          <w:rFonts w:ascii="Times New Roman" w:eastAsia="Calibri" w:hAnsi="Times New Roman" w:cs="Times New Roman"/>
          <w:b/>
          <w:color w:val="000000"/>
          <w:sz w:val="24"/>
          <w:szCs w:val="24"/>
        </w:rPr>
      </w:pPr>
      <w:r w:rsidRPr="00577E25">
        <w:rPr>
          <w:rFonts w:ascii="Times New Roman" w:eastAsia="Calibri" w:hAnsi="Times New Roman" w:cs="Times New Roman"/>
          <w:b/>
          <w:color w:val="000000"/>
          <w:sz w:val="24"/>
          <w:szCs w:val="24"/>
        </w:rPr>
        <w:t>3.1</w:t>
      </w:r>
      <w:r w:rsidR="0017491B" w:rsidRPr="00577E25">
        <w:rPr>
          <w:rFonts w:ascii="Times New Roman" w:eastAsia="Calibri" w:hAnsi="Times New Roman" w:cs="Times New Roman"/>
          <w:b/>
          <w:color w:val="000000"/>
          <w:sz w:val="24"/>
          <w:szCs w:val="24"/>
        </w:rPr>
        <w:t>.</w:t>
      </w:r>
      <w:r w:rsidR="0017491B" w:rsidRPr="00DB3816">
        <w:rPr>
          <w:rFonts w:ascii="Times New Roman" w:eastAsia="Calibri" w:hAnsi="Times New Roman" w:cs="Times New Roman"/>
          <w:b/>
          <w:color w:val="000000"/>
          <w:sz w:val="24"/>
          <w:szCs w:val="24"/>
        </w:rPr>
        <w:t xml:space="preserve"> tabula. </w:t>
      </w:r>
      <w:r w:rsidR="000C4FA8">
        <w:rPr>
          <w:rFonts w:ascii="Times New Roman" w:eastAsia="Calibri" w:hAnsi="Times New Roman" w:cs="Times New Roman"/>
          <w:b/>
          <w:color w:val="000000"/>
          <w:sz w:val="24"/>
          <w:szCs w:val="24"/>
        </w:rPr>
        <w:t>S</w:t>
      </w:r>
      <w:r w:rsidR="0017491B" w:rsidRPr="00DB3816">
        <w:rPr>
          <w:rFonts w:ascii="Times New Roman" w:eastAsia="Calibri" w:hAnsi="Times New Roman" w:cs="Times New Roman"/>
          <w:b/>
          <w:color w:val="000000"/>
          <w:sz w:val="24"/>
          <w:szCs w:val="24"/>
        </w:rPr>
        <w:t>trukturālās bilances atkāp</w:t>
      </w:r>
      <w:r w:rsidR="00FE45F3">
        <w:rPr>
          <w:rFonts w:ascii="Times New Roman" w:eastAsia="Calibri" w:hAnsi="Times New Roman" w:cs="Times New Roman"/>
          <w:b/>
          <w:color w:val="000000"/>
          <w:sz w:val="24"/>
          <w:szCs w:val="24"/>
        </w:rPr>
        <w:t>e 2021.gadā saskaņā ar FDL 12.</w:t>
      </w:r>
      <w:r w:rsidR="0017491B" w:rsidRPr="00DB3816">
        <w:rPr>
          <w:rFonts w:ascii="Times New Roman" w:eastAsia="Calibri" w:hAnsi="Times New Roman" w:cs="Times New Roman"/>
          <w:b/>
          <w:color w:val="000000"/>
          <w:sz w:val="24"/>
          <w:szCs w:val="24"/>
        </w:rPr>
        <w:t xml:space="preserve">panta trešās daļas nosacījumu </w:t>
      </w:r>
    </w:p>
    <w:tbl>
      <w:tblPr>
        <w:tblW w:w="9062" w:type="dxa"/>
        <w:tblLook w:val="04A0" w:firstRow="1" w:lastRow="0" w:firstColumn="1" w:lastColumn="0" w:noHBand="0" w:noVBand="1"/>
      </w:tblPr>
      <w:tblGrid>
        <w:gridCol w:w="1611"/>
        <w:gridCol w:w="6317"/>
        <w:gridCol w:w="1134"/>
      </w:tblGrid>
      <w:tr w:rsidR="004245CC" w:rsidRPr="00517DED" w14:paraId="282EFFA3" w14:textId="77777777" w:rsidTr="005860F8">
        <w:trPr>
          <w:trHeight w:val="288"/>
        </w:trPr>
        <w:tc>
          <w:tcPr>
            <w:tcW w:w="1611"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bottom"/>
            <w:hideMark/>
          </w:tcPr>
          <w:p w14:paraId="044E3351"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w:t>
            </w:r>
          </w:p>
        </w:tc>
        <w:tc>
          <w:tcPr>
            <w:tcW w:w="6317" w:type="dxa"/>
            <w:tcBorders>
              <w:top w:val="single" w:sz="8" w:space="0" w:color="auto"/>
              <w:left w:val="nil"/>
              <w:bottom w:val="single" w:sz="4" w:space="0" w:color="auto"/>
              <w:right w:val="single" w:sz="4" w:space="0" w:color="auto"/>
            </w:tcBorders>
            <w:shd w:val="clear" w:color="auto" w:fill="DEEAF6" w:themeFill="accent1" w:themeFillTint="33"/>
            <w:noWrap/>
            <w:hideMark/>
          </w:tcPr>
          <w:p w14:paraId="47135B94" w14:textId="7CAD09A0" w:rsidR="004245CC" w:rsidRPr="00517DED" w:rsidRDefault="000C4FA8" w:rsidP="004245CC">
            <w:pPr>
              <w:spacing w:after="0" w:line="240" w:lineRule="auto"/>
              <w:rPr>
                <w:rFonts w:ascii="Times New Roman" w:eastAsia="Times New Roman" w:hAnsi="Times New Roman" w:cs="Times New Roman"/>
                <w:color w:val="000000"/>
                <w:sz w:val="20"/>
                <w:szCs w:val="20"/>
                <w:lang w:eastAsia="lv-LV"/>
              </w:rPr>
            </w:pPr>
            <w:r w:rsidRPr="000C4FA8">
              <w:rPr>
                <w:rFonts w:ascii="Times New Roman" w:hAnsi="Times New Roman" w:cs="Times New Roman"/>
                <w:sz w:val="20"/>
                <w:szCs w:val="20"/>
              </w:rPr>
              <w:t>Vispārējās valdības budžeta</w:t>
            </w:r>
            <w:r w:rsidR="004245CC" w:rsidRPr="00517DED">
              <w:rPr>
                <w:rFonts w:ascii="Times New Roman" w:hAnsi="Times New Roman" w:cs="Times New Roman"/>
                <w:sz w:val="20"/>
                <w:szCs w:val="20"/>
              </w:rPr>
              <w:t xml:space="preserve"> ieņēmumi bāzes scenārijā, milj. </w:t>
            </w:r>
            <w:r w:rsidR="004245CC" w:rsidRPr="00517DED">
              <w:rPr>
                <w:rFonts w:ascii="Times New Roman" w:hAnsi="Times New Roman" w:cs="Times New Roman"/>
                <w:i/>
                <w:sz w:val="20"/>
                <w:szCs w:val="20"/>
              </w:rPr>
              <w:t>euro</w:t>
            </w:r>
          </w:p>
        </w:tc>
        <w:tc>
          <w:tcPr>
            <w:tcW w:w="1134" w:type="dxa"/>
            <w:tcBorders>
              <w:top w:val="single" w:sz="8" w:space="0" w:color="auto"/>
              <w:left w:val="nil"/>
              <w:bottom w:val="single" w:sz="4" w:space="0" w:color="auto"/>
              <w:right w:val="single" w:sz="8" w:space="0" w:color="auto"/>
            </w:tcBorders>
            <w:shd w:val="clear" w:color="auto" w:fill="DEEAF6" w:themeFill="accent1" w:themeFillTint="33"/>
            <w:noWrap/>
            <w:vAlign w:val="bottom"/>
            <w:hideMark/>
          </w:tcPr>
          <w:p w14:paraId="4CAD1C99"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12 297</w:t>
            </w:r>
          </w:p>
        </w:tc>
      </w:tr>
      <w:tr w:rsidR="004245CC" w:rsidRPr="00517DED" w14:paraId="4E829F17"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2E11D2D4"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(2)</w:t>
            </w:r>
          </w:p>
        </w:tc>
        <w:tc>
          <w:tcPr>
            <w:tcW w:w="6317" w:type="dxa"/>
            <w:tcBorders>
              <w:top w:val="nil"/>
              <w:left w:val="nil"/>
              <w:bottom w:val="single" w:sz="4" w:space="0" w:color="auto"/>
              <w:right w:val="single" w:sz="4" w:space="0" w:color="auto"/>
            </w:tcBorders>
            <w:shd w:val="clear" w:color="auto" w:fill="auto"/>
            <w:noWrap/>
            <w:hideMark/>
          </w:tcPr>
          <w:p w14:paraId="7CD1D4D8" w14:textId="2016D927" w:rsidR="004245CC" w:rsidRPr="00517DED" w:rsidRDefault="000C4FA8" w:rsidP="004245CC">
            <w:pPr>
              <w:spacing w:after="0" w:line="240" w:lineRule="auto"/>
              <w:rPr>
                <w:rFonts w:ascii="Times New Roman" w:eastAsia="Times New Roman" w:hAnsi="Times New Roman" w:cs="Times New Roman"/>
                <w:color w:val="000000"/>
                <w:sz w:val="20"/>
                <w:szCs w:val="20"/>
                <w:lang w:eastAsia="lv-LV"/>
              </w:rPr>
            </w:pPr>
            <w:r w:rsidRPr="000C4FA8">
              <w:rPr>
                <w:rFonts w:ascii="Times New Roman" w:hAnsi="Times New Roman" w:cs="Times New Roman"/>
                <w:sz w:val="20"/>
                <w:szCs w:val="20"/>
              </w:rPr>
              <w:t>Vispārējās valdības budžeta</w:t>
            </w:r>
            <w:r w:rsidR="004245CC" w:rsidRPr="00517DED">
              <w:rPr>
                <w:rFonts w:ascii="Times New Roman" w:hAnsi="Times New Roman" w:cs="Times New Roman"/>
                <w:sz w:val="20"/>
                <w:szCs w:val="20"/>
              </w:rPr>
              <w:t xml:space="preserve"> ieņēmumi bāzes Covid-19 scenārijā, milj. </w:t>
            </w:r>
            <w:r w:rsidR="004245CC" w:rsidRPr="00517DED">
              <w:rPr>
                <w:rFonts w:ascii="Times New Roman" w:hAnsi="Times New Roman" w:cs="Times New Roman"/>
                <w:i/>
                <w:sz w:val="20"/>
                <w:szCs w:val="20"/>
              </w:rPr>
              <w:t>euro</w:t>
            </w:r>
          </w:p>
        </w:tc>
        <w:tc>
          <w:tcPr>
            <w:tcW w:w="1134" w:type="dxa"/>
            <w:tcBorders>
              <w:top w:val="nil"/>
              <w:left w:val="nil"/>
              <w:bottom w:val="single" w:sz="4" w:space="0" w:color="auto"/>
              <w:right w:val="single" w:sz="8" w:space="0" w:color="auto"/>
            </w:tcBorders>
            <w:shd w:val="clear" w:color="auto" w:fill="auto"/>
            <w:noWrap/>
            <w:vAlign w:val="bottom"/>
            <w:hideMark/>
          </w:tcPr>
          <w:p w14:paraId="18DF6DC3"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10 835</w:t>
            </w:r>
          </w:p>
        </w:tc>
      </w:tr>
      <w:tr w:rsidR="004245CC" w:rsidRPr="00517DED" w14:paraId="0F4823C4"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041E199D"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(3)=(2)-(1)</w:t>
            </w:r>
          </w:p>
        </w:tc>
        <w:tc>
          <w:tcPr>
            <w:tcW w:w="6317" w:type="dxa"/>
            <w:tcBorders>
              <w:top w:val="nil"/>
              <w:left w:val="nil"/>
              <w:bottom w:val="single" w:sz="4" w:space="0" w:color="auto"/>
              <w:right w:val="single" w:sz="4" w:space="0" w:color="auto"/>
            </w:tcBorders>
            <w:shd w:val="clear" w:color="auto" w:fill="DEEAF6" w:themeFill="accent1" w:themeFillTint="33"/>
            <w:noWrap/>
            <w:hideMark/>
          </w:tcPr>
          <w:p w14:paraId="11C950DD" w14:textId="548B8A86"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 xml:space="preserve">ieņēmumu izmaiņas, milj. </w:t>
            </w:r>
            <w:r w:rsidRPr="00517DED">
              <w:rPr>
                <w:rFonts w:ascii="Times New Roman" w:hAnsi="Times New Roman" w:cs="Times New Roman"/>
                <w:i/>
                <w:sz w:val="20"/>
                <w:szCs w:val="20"/>
              </w:rPr>
              <w:t>euro</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732FE3EE"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-1 462</w:t>
            </w:r>
          </w:p>
        </w:tc>
      </w:tr>
      <w:tr w:rsidR="004245CC" w:rsidRPr="00517DED" w14:paraId="56E70F05"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5D90C4E2"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(4)</w:t>
            </w:r>
          </w:p>
        </w:tc>
        <w:tc>
          <w:tcPr>
            <w:tcW w:w="6317" w:type="dxa"/>
            <w:tcBorders>
              <w:top w:val="nil"/>
              <w:left w:val="nil"/>
              <w:bottom w:val="single" w:sz="4" w:space="0" w:color="auto"/>
              <w:right w:val="single" w:sz="4" w:space="0" w:color="auto"/>
            </w:tcBorders>
            <w:shd w:val="clear" w:color="auto" w:fill="auto"/>
            <w:noWrap/>
            <w:hideMark/>
          </w:tcPr>
          <w:p w14:paraId="15DDF22A" w14:textId="39C4E2FC"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IKP faktiskajās cenās Covid-19 scenārijā</w:t>
            </w:r>
          </w:p>
        </w:tc>
        <w:tc>
          <w:tcPr>
            <w:tcW w:w="1134" w:type="dxa"/>
            <w:tcBorders>
              <w:top w:val="nil"/>
              <w:left w:val="nil"/>
              <w:bottom w:val="single" w:sz="4" w:space="0" w:color="auto"/>
              <w:right w:val="single" w:sz="8" w:space="0" w:color="auto"/>
            </w:tcBorders>
            <w:shd w:val="clear" w:color="auto" w:fill="auto"/>
            <w:noWrap/>
            <w:vAlign w:val="bottom"/>
            <w:hideMark/>
          </w:tcPr>
          <w:p w14:paraId="7E9FE37C"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28 725</w:t>
            </w:r>
          </w:p>
        </w:tc>
      </w:tr>
      <w:tr w:rsidR="004245CC" w:rsidRPr="00517DED" w14:paraId="2627EF6B"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79382022"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(5)=(3)/(4)*100</w:t>
            </w:r>
          </w:p>
        </w:tc>
        <w:tc>
          <w:tcPr>
            <w:tcW w:w="6317" w:type="dxa"/>
            <w:tcBorders>
              <w:top w:val="nil"/>
              <w:left w:val="nil"/>
              <w:bottom w:val="single" w:sz="4" w:space="0" w:color="auto"/>
              <w:right w:val="single" w:sz="4" w:space="0" w:color="auto"/>
            </w:tcBorders>
            <w:shd w:val="clear" w:color="auto" w:fill="DEEAF6" w:themeFill="accent1" w:themeFillTint="33"/>
            <w:noWrap/>
            <w:hideMark/>
          </w:tcPr>
          <w:p w14:paraId="7935B913" w14:textId="5513BDE6" w:rsidR="004245CC" w:rsidRPr="00517DED" w:rsidRDefault="000C4FA8" w:rsidP="004245CC">
            <w:pPr>
              <w:spacing w:after="0" w:line="240" w:lineRule="auto"/>
              <w:rPr>
                <w:rFonts w:ascii="Times New Roman" w:eastAsia="Times New Roman" w:hAnsi="Times New Roman" w:cs="Times New Roman"/>
                <w:color w:val="000000"/>
                <w:sz w:val="20"/>
                <w:szCs w:val="20"/>
                <w:lang w:eastAsia="lv-LV"/>
              </w:rPr>
            </w:pPr>
            <w:r w:rsidRPr="000C4FA8">
              <w:rPr>
                <w:rFonts w:ascii="Times New Roman" w:hAnsi="Times New Roman" w:cs="Times New Roman"/>
                <w:sz w:val="20"/>
                <w:szCs w:val="20"/>
              </w:rPr>
              <w:t>Vispārējās valdības budžeta</w:t>
            </w:r>
            <w:r w:rsidR="004245CC" w:rsidRPr="00517DED">
              <w:rPr>
                <w:rFonts w:ascii="Times New Roman" w:hAnsi="Times New Roman" w:cs="Times New Roman"/>
                <w:sz w:val="20"/>
                <w:szCs w:val="20"/>
              </w:rPr>
              <w:t xml:space="preserve"> ieņēmumu izmaiņas,  % no IKP</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1D0A1081"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-5.1</w:t>
            </w:r>
          </w:p>
        </w:tc>
      </w:tr>
      <w:tr w:rsidR="004245CC" w:rsidRPr="00517DED" w14:paraId="26CA0C61"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6518AB71"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(6)</w:t>
            </w:r>
          </w:p>
        </w:tc>
        <w:tc>
          <w:tcPr>
            <w:tcW w:w="6317" w:type="dxa"/>
            <w:tcBorders>
              <w:top w:val="nil"/>
              <w:left w:val="nil"/>
              <w:bottom w:val="single" w:sz="4" w:space="0" w:color="auto"/>
              <w:right w:val="single" w:sz="4" w:space="0" w:color="auto"/>
            </w:tcBorders>
            <w:shd w:val="clear" w:color="auto" w:fill="auto"/>
            <w:noWrap/>
            <w:hideMark/>
          </w:tcPr>
          <w:p w14:paraId="7E760A81" w14:textId="4C2BDF93"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izlaižu starpība % no IKP bāzes scenārijā</w:t>
            </w:r>
          </w:p>
        </w:tc>
        <w:tc>
          <w:tcPr>
            <w:tcW w:w="1134" w:type="dxa"/>
            <w:tcBorders>
              <w:top w:val="nil"/>
              <w:left w:val="nil"/>
              <w:bottom w:val="single" w:sz="4" w:space="0" w:color="auto"/>
              <w:right w:val="single" w:sz="8" w:space="0" w:color="auto"/>
            </w:tcBorders>
            <w:shd w:val="clear" w:color="auto" w:fill="auto"/>
            <w:noWrap/>
            <w:vAlign w:val="bottom"/>
            <w:hideMark/>
          </w:tcPr>
          <w:p w14:paraId="117DEBC1"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0.2</w:t>
            </w:r>
          </w:p>
        </w:tc>
      </w:tr>
      <w:tr w:rsidR="004245CC" w:rsidRPr="00517DED" w14:paraId="1AA6B4DF"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3049A0BC"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(7)</w:t>
            </w:r>
          </w:p>
        </w:tc>
        <w:tc>
          <w:tcPr>
            <w:tcW w:w="6317" w:type="dxa"/>
            <w:tcBorders>
              <w:top w:val="nil"/>
              <w:left w:val="nil"/>
              <w:bottom w:val="single" w:sz="4" w:space="0" w:color="auto"/>
              <w:right w:val="single" w:sz="4" w:space="0" w:color="auto"/>
            </w:tcBorders>
            <w:shd w:val="clear" w:color="auto" w:fill="DEEAF6" w:themeFill="accent1" w:themeFillTint="33"/>
            <w:noWrap/>
            <w:hideMark/>
          </w:tcPr>
          <w:p w14:paraId="13A80851" w14:textId="383FA48F"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izlaižu starpība % no IKP bāzes Covid-19 scenārijā</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3053D1DC"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-10.4</w:t>
            </w:r>
          </w:p>
        </w:tc>
      </w:tr>
      <w:tr w:rsidR="004245CC" w:rsidRPr="00517DED" w14:paraId="10277431"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0875A196"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(8)=(6)*0,378</w:t>
            </w:r>
          </w:p>
        </w:tc>
        <w:tc>
          <w:tcPr>
            <w:tcW w:w="6317" w:type="dxa"/>
            <w:tcBorders>
              <w:top w:val="nil"/>
              <w:left w:val="nil"/>
              <w:bottom w:val="single" w:sz="4" w:space="0" w:color="auto"/>
              <w:right w:val="single" w:sz="4" w:space="0" w:color="auto"/>
            </w:tcBorders>
            <w:shd w:val="clear" w:color="auto" w:fill="auto"/>
            <w:noWrap/>
            <w:hideMark/>
          </w:tcPr>
          <w:p w14:paraId="23C4B16A" w14:textId="0B4C5310"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cikliskā komponente bāzes scenārijā, % no IKP</w:t>
            </w:r>
          </w:p>
        </w:tc>
        <w:tc>
          <w:tcPr>
            <w:tcW w:w="1134" w:type="dxa"/>
            <w:tcBorders>
              <w:top w:val="nil"/>
              <w:left w:val="nil"/>
              <w:bottom w:val="single" w:sz="4" w:space="0" w:color="auto"/>
              <w:right w:val="single" w:sz="8" w:space="0" w:color="auto"/>
            </w:tcBorders>
            <w:shd w:val="clear" w:color="auto" w:fill="auto"/>
            <w:noWrap/>
            <w:vAlign w:val="bottom"/>
            <w:hideMark/>
          </w:tcPr>
          <w:p w14:paraId="4BD6F2A5"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0.1</w:t>
            </w:r>
          </w:p>
        </w:tc>
      </w:tr>
      <w:tr w:rsidR="004245CC" w:rsidRPr="00517DED" w14:paraId="40C1C7BF"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4A143E2"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(9)=(7)*0,378</w:t>
            </w:r>
          </w:p>
        </w:tc>
        <w:tc>
          <w:tcPr>
            <w:tcW w:w="6317" w:type="dxa"/>
            <w:tcBorders>
              <w:top w:val="nil"/>
              <w:left w:val="nil"/>
              <w:bottom w:val="single" w:sz="4" w:space="0" w:color="auto"/>
              <w:right w:val="single" w:sz="4" w:space="0" w:color="auto"/>
            </w:tcBorders>
            <w:shd w:val="clear" w:color="auto" w:fill="DEEAF6" w:themeFill="accent1" w:themeFillTint="33"/>
            <w:noWrap/>
            <w:hideMark/>
          </w:tcPr>
          <w:p w14:paraId="49B604E6" w14:textId="54A60FB9"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cikliskā komponente Covid-19 scenārijā, % no IKP</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66E6D68D"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-3.9</w:t>
            </w:r>
          </w:p>
        </w:tc>
      </w:tr>
      <w:tr w:rsidR="004245CC" w:rsidRPr="00517DED" w14:paraId="2D16B916"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6518D322"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(10)</w:t>
            </w:r>
          </w:p>
        </w:tc>
        <w:tc>
          <w:tcPr>
            <w:tcW w:w="6317" w:type="dxa"/>
            <w:tcBorders>
              <w:top w:val="nil"/>
              <w:left w:val="nil"/>
              <w:bottom w:val="single" w:sz="4" w:space="0" w:color="auto"/>
              <w:right w:val="single" w:sz="4" w:space="0" w:color="auto"/>
            </w:tcBorders>
            <w:shd w:val="clear" w:color="auto" w:fill="auto"/>
            <w:noWrap/>
            <w:hideMark/>
          </w:tcPr>
          <w:p w14:paraId="0468BD03" w14:textId="412973FA"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VTM, % no IKP</w:t>
            </w:r>
          </w:p>
        </w:tc>
        <w:tc>
          <w:tcPr>
            <w:tcW w:w="1134" w:type="dxa"/>
            <w:tcBorders>
              <w:top w:val="nil"/>
              <w:left w:val="nil"/>
              <w:bottom w:val="single" w:sz="4" w:space="0" w:color="auto"/>
              <w:right w:val="single" w:sz="8" w:space="0" w:color="auto"/>
            </w:tcBorders>
            <w:shd w:val="clear" w:color="auto" w:fill="auto"/>
            <w:noWrap/>
            <w:vAlign w:val="bottom"/>
            <w:hideMark/>
          </w:tcPr>
          <w:p w14:paraId="4127C0A8"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-0.5</w:t>
            </w:r>
          </w:p>
        </w:tc>
      </w:tr>
      <w:tr w:rsidR="004245CC" w:rsidRPr="00517DED" w14:paraId="09B597DD"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BC7427A"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(11)=(10)+(8)</w:t>
            </w:r>
          </w:p>
        </w:tc>
        <w:tc>
          <w:tcPr>
            <w:tcW w:w="6317" w:type="dxa"/>
            <w:tcBorders>
              <w:top w:val="nil"/>
              <w:left w:val="nil"/>
              <w:bottom w:val="single" w:sz="4" w:space="0" w:color="auto"/>
              <w:right w:val="single" w:sz="4" w:space="0" w:color="auto"/>
            </w:tcBorders>
            <w:shd w:val="clear" w:color="auto" w:fill="DEEAF6" w:themeFill="accent1" w:themeFillTint="33"/>
            <w:hideMark/>
          </w:tcPr>
          <w:p w14:paraId="064E3916" w14:textId="71F0BE5A"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nominālā bilance bāzes scenārijā pie VTM,  % no IKP</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01F0B0A7"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-0.4</w:t>
            </w:r>
          </w:p>
        </w:tc>
      </w:tr>
      <w:tr w:rsidR="004245CC" w:rsidRPr="00517DED" w14:paraId="53945F0D"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auto"/>
            <w:noWrap/>
            <w:vAlign w:val="bottom"/>
            <w:hideMark/>
          </w:tcPr>
          <w:p w14:paraId="168FBEAD"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(12)=(11)-(5)</w:t>
            </w:r>
          </w:p>
        </w:tc>
        <w:tc>
          <w:tcPr>
            <w:tcW w:w="6317" w:type="dxa"/>
            <w:tcBorders>
              <w:top w:val="nil"/>
              <w:left w:val="nil"/>
              <w:bottom w:val="single" w:sz="4" w:space="0" w:color="auto"/>
              <w:right w:val="single" w:sz="4" w:space="0" w:color="auto"/>
            </w:tcBorders>
            <w:shd w:val="clear" w:color="auto" w:fill="auto"/>
            <w:noWrap/>
            <w:hideMark/>
          </w:tcPr>
          <w:p w14:paraId="23929E99" w14:textId="2038D705"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nominālā bilance, ja notiktu prognozējamais kritums, % no IKP</w:t>
            </w:r>
          </w:p>
        </w:tc>
        <w:tc>
          <w:tcPr>
            <w:tcW w:w="1134" w:type="dxa"/>
            <w:tcBorders>
              <w:top w:val="nil"/>
              <w:left w:val="nil"/>
              <w:bottom w:val="single" w:sz="4" w:space="0" w:color="auto"/>
              <w:right w:val="single" w:sz="8" w:space="0" w:color="auto"/>
            </w:tcBorders>
            <w:shd w:val="clear" w:color="auto" w:fill="auto"/>
            <w:noWrap/>
            <w:vAlign w:val="bottom"/>
            <w:hideMark/>
          </w:tcPr>
          <w:p w14:paraId="4ADB212C"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-5.5</w:t>
            </w:r>
          </w:p>
        </w:tc>
      </w:tr>
      <w:tr w:rsidR="004245CC" w:rsidRPr="00517DED" w14:paraId="6F619EC1" w14:textId="77777777" w:rsidTr="005860F8">
        <w:trPr>
          <w:trHeight w:val="288"/>
        </w:trPr>
        <w:tc>
          <w:tcPr>
            <w:tcW w:w="161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7E0F5195"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(13)=(12)-(9)</w:t>
            </w:r>
          </w:p>
        </w:tc>
        <w:tc>
          <w:tcPr>
            <w:tcW w:w="6317" w:type="dxa"/>
            <w:tcBorders>
              <w:top w:val="nil"/>
              <w:left w:val="nil"/>
              <w:bottom w:val="single" w:sz="4" w:space="0" w:color="auto"/>
              <w:right w:val="single" w:sz="4" w:space="0" w:color="auto"/>
            </w:tcBorders>
            <w:shd w:val="clear" w:color="auto" w:fill="DEEAF6" w:themeFill="accent1" w:themeFillTint="33"/>
            <w:noWrap/>
            <w:hideMark/>
          </w:tcPr>
          <w:p w14:paraId="2CB9B57E" w14:textId="1B4E9A93"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strukturālā bilance pie prognozējamā ieņēmumu krituma, % no IKP</w:t>
            </w:r>
          </w:p>
        </w:tc>
        <w:tc>
          <w:tcPr>
            <w:tcW w:w="1134" w:type="dxa"/>
            <w:tcBorders>
              <w:top w:val="nil"/>
              <w:left w:val="nil"/>
              <w:bottom w:val="single" w:sz="4" w:space="0" w:color="auto"/>
              <w:right w:val="single" w:sz="8" w:space="0" w:color="auto"/>
            </w:tcBorders>
            <w:shd w:val="clear" w:color="auto" w:fill="DEEAF6" w:themeFill="accent1" w:themeFillTint="33"/>
            <w:noWrap/>
            <w:vAlign w:val="bottom"/>
            <w:hideMark/>
          </w:tcPr>
          <w:p w14:paraId="6B74800F" w14:textId="77777777" w:rsidR="004245CC" w:rsidRPr="00517DED" w:rsidRDefault="004245CC" w:rsidP="004245CC">
            <w:pPr>
              <w:spacing w:after="0" w:line="240" w:lineRule="auto"/>
              <w:jc w:val="right"/>
              <w:rPr>
                <w:rFonts w:ascii="Times New Roman" w:eastAsia="Times New Roman" w:hAnsi="Times New Roman" w:cs="Times New Roman"/>
                <w:color w:val="000000"/>
                <w:sz w:val="20"/>
                <w:szCs w:val="20"/>
                <w:lang w:eastAsia="lv-LV"/>
              </w:rPr>
            </w:pPr>
            <w:r w:rsidRPr="00517DED">
              <w:rPr>
                <w:rFonts w:ascii="Times New Roman" w:eastAsia="Times New Roman" w:hAnsi="Times New Roman" w:cs="Times New Roman"/>
                <w:color w:val="000000"/>
                <w:sz w:val="20"/>
                <w:szCs w:val="20"/>
                <w:lang w:eastAsia="lv-LV"/>
              </w:rPr>
              <w:t>-1.6</w:t>
            </w:r>
          </w:p>
        </w:tc>
      </w:tr>
      <w:tr w:rsidR="004245CC" w:rsidRPr="00517DED" w14:paraId="64130DF0" w14:textId="77777777" w:rsidTr="005860F8">
        <w:trPr>
          <w:trHeight w:val="299"/>
        </w:trPr>
        <w:tc>
          <w:tcPr>
            <w:tcW w:w="1611" w:type="dxa"/>
            <w:tcBorders>
              <w:top w:val="nil"/>
              <w:left w:val="single" w:sz="8" w:space="0" w:color="auto"/>
              <w:bottom w:val="single" w:sz="8" w:space="0" w:color="auto"/>
              <w:right w:val="single" w:sz="4" w:space="0" w:color="auto"/>
            </w:tcBorders>
            <w:shd w:val="clear" w:color="auto" w:fill="auto"/>
            <w:noWrap/>
            <w:vAlign w:val="bottom"/>
            <w:hideMark/>
          </w:tcPr>
          <w:p w14:paraId="0F14541E" w14:textId="77777777" w:rsidR="004245CC" w:rsidRPr="00517DED" w:rsidRDefault="004245CC" w:rsidP="004245CC">
            <w:pPr>
              <w:spacing w:after="0" w:line="240" w:lineRule="auto"/>
              <w:jc w:val="center"/>
              <w:rPr>
                <w:rFonts w:ascii="Times New Roman" w:eastAsia="Times New Roman" w:hAnsi="Times New Roman" w:cs="Times New Roman"/>
                <w:b/>
                <w:color w:val="000000"/>
                <w:sz w:val="20"/>
                <w:szCs w:val="20"/>
                <w:lang w:eastAsia="lv-LV"/>
              </w:rPr>
            </w:pPr>
            <w:r w:rsidRPr="00517DED">
              <w:rPr>
                <w:rFonts w:ascii="Times New Roman" w:eastAsia="Times New Roman" w:hAnsi="Times New Roman" w:cs="Times New Roman"/>
                <w:b/>
                <w:color w:val="000000"/>
                <w:sz w:val="20"/>
                <w:szCs w:val="20"/>
                <w:lang w:eastAsia="lv-LV"/>
              </w:rPr>
              <w:t>(14)=(13)-(10)</w:t>
            </w:r>
          </w:p>
        </w:tc>
        <w:tc>
          <w:tcPr>
            <w:tcW w:w="6317" w:type="dxa"/>
            <w:tcBorders>
              <w:top w:val="nil"/>
              <w:left w:val="nil"/>
              <w:bottom w:val="single" w:sz="8" w:space="0" w:color="auto"/>
              <w:right w:val="single" w:sz="4" w:space="0" w:color="auto"/>
            </w:tcBorders>
            <w:shd w:val="clear" w:color="auto" w:fill="auto"/>
            <w:noWrap/>
            <w:hideMark/>
          </w:tcPr>
          <w:p w14:paraId="19EBBC12" w14:textId="7F15AB48" w:rsidR="004245CC" w:rsidRPr="00517DED" w:rsidRDefault="004245CC" w:rsidP="004245CC">
            <w:pPr>
              <w:spacing w:after="0" w:line="240" w:lineRule="auto"/>
              <w:rPr>
                <w:rFonts w:ascii="Times New Roman" w:eastAsia="Times New Roman" w:hAnsi="Times New Roman" w:cs="Times New Roman"/>
                <w:color w:val="000000"/>
                <w:sz w:val="20"/>
                <w:szCs w:val="20"/>
                <w:lang w:eastAsia="lv-LV"/>
              </w:rPr>
            </w:pPr>
            <w:r w:rsidRPr="00517DED">
              <w:rPr>
                <w:rFonts w:ascii="Times New Roman" w:hAnsi="Times New Roman" w:cs="Times New Roman"/>
                <w:sz w:val="20"/>
                <w:szCs w:val="20"/>
              </w:rPr>
              <w:t>FDL pieļaujamā atkāpe, % no IKP</w:t>
            </w:r>
          </w:p>
        </w:tc>
        <w:tc>
          <w:tcPr>
            <w:tcW w:w="1134" w:type="dxa"/>
            <w:tcBorders>
              <w:top w:val="nil"/>
              <w:left w:val="nil"/>
              <w:bottom w:val="single" w:sz="8" w:space="0" w:color="auto"/>
              <w:right w:val="single" w:sz="8" w:space="0" w:color="auto"/>
            </w:tcBorders>
            <w:shd w:val="clear" w:color="auto" w:fill="auto"/>
            <w:noWrap/>
            <w:vAlign w:val="bottom"/>
            <w:hideMark/>
          </w:tcPr>
          <w:p w14:paraId="039AC8B9" w14:textId="77777777" w:rsidR="004245CC" w:rsidRPr="00517DED" w:rsidRDefault="004245CC" w:rsidP="004245CC">
            <w:pPr>
              <w:spacing w:after="0" w:line="240" w:lineRule="auto"/>
              <w:jc w:val="right"/>
              <w:rPr>
                <w:rFonts w:ascii="Times New Roman" w:eastAsia="Times New Roman" w:hAnsi="Times New Roman" w:cs="Times New Roman"/>
                <w:b/>
                <w:bCs/>
                <w:color w:val="000000"/>
                <w:sz w:val="20"/>
                <w:szCs w:val="20"/>
                <w:lang w:eastAsia="lv-LV"/>
              </w:rPr>
            </w:pPr>
            <w:r w:rsidRPr="00517DED">
              <w:rPr>
                <w:rFonts w:ascii="Times New Roman" w:eastAsia="Times New Roman" w:hAnsi="Times New Roman" w:cs="Times New Roman"/>
                <w:b/>
                <w:bCs/>
                <w:color w:val="000000"/>
                <w:sz w:val="20"/>
                <w:szCs w:val="20"/>
                <w:lang w:eastAsia="lv-LV"/>
              </w:rPr>
              <w:t>-1.1</w:t>
            </w:r>
          </w:p>
        </w:tc>
      </w:tr>
    </w:tbl>
    <w:p w14:paraId="4A0A9AE3" w14:textId="77777777" w:rsidR="0017491B" w:rsidRPr="00AF1F0F" w:rsidRDefault="0017491B" w:rsidP="0017491B">
      <w:pPr>
        <w:spacing w:after="0" w:line="240" w:lineRule="auto"/>
        <w:jc w:val="both"/>
        <w:rPr>
          <w:rFonts w:ascii="Times New Roman" w:eastAsia="Calibri" w:hAnsi="Times New Roman" w:cs="Times New Roman"/>
          <w:color w:val="000000"/>
          <w:sz w:val="24"/>
          <w:szCs w:val="24"/>
        </w:rPr>
      </w:pPr>
    </w:p>
    <w:p w14:paraId="13E4C31F" w14:textId="619E8BE4" w:rsidR="0017491B" w:rsidRPr="009A1E14" w:rsidRDefault="0017491B" w:rsidP="0017491B">
      <w:pPr>
        <w:spacing w:after="0" w:line="240" w:lineRule="auto"/>
        <w:ind w:firstLine="720"/>
        <w:jc w:val="both"/>
        <w:rPr>
          <w:rFonts w:ascii="Times New Roman" w:eastAsia="Calibri" w:hAnsi="Times New Roman" w:cs="Times New Roman"/>
          <w:color w:val="000000"/>
          <w:sz w:val="24"/>
          <w:szCs w:val="24"/>
        </w:rPr>
      </w:pPr>
      <w:r w:rsidRPr="009A1E14">
        <w:rPr>
          <w:rFonts w:ascii="Times New Roman" w:eastAsia="Calibri" w:hAnsi="Times New Roman" w:cs="Times New Roman"/>
          <w:color w:val="000000"/>
          <w:sz w:val="24"/>
          <w:szCs w:val="24"/>
        </w:rPr>
        <w:t xml:space="preserve">FDL </w:t>
      </w:r>
      <w:r w:rsidR="005D43B1">
        <w:rPr>
          <w:rFonts w:ascii="Times New Roman" w:eastAsia="Calibri" w:hAnsi="Times New Roman" w:cs="Times New Roman"/>
          <w:color w:val="000000"/>
          <w:sz w:val="24"/>
          <w:szCs w:val="24"/>
        </w:rPr>
        <w:t>12.</w:t>
      </w:r>
      <w:r>
        <w:rPr>
          <w:rFonts w:ascii="Times New Roman" w:eastAsia="Calibri" w:hAnsi="Times New Roman" w:cs="Times New Roman"/>
          <w:color w:val="000000"/>
          <w:sz w:val="24"/>
          <w:szCs w:val="24"/>
        </w:rPr>
        <w:t xml:space="preserve">panta trešā daļa arī nosaka, ka pieļaujamās atkāpes lielums ir jāsaskaņo ar Fiskālās disciplīnas padomi. Šis nosacījums attiecas uz vidēja termiņa budžeta ietvara likuma sagatavošanu un tiks veikts, izstrādājot vidēja termiņa budžeta ietvara likumu šī gada rudenī. </w:t>
      </w:r>
    </w:p>
    <w:p w14:paraId="4A1E28C5" w14:textId="77777777" w:rsidR="0017491B" w:rsidRPr="00D551C4" w:rsidRDefault="0017491B" w:rsidP="0017491B">
      <w:pPr>
        <w:spacing w:after="0" w:line="240" w:lineRule="auto"/>
        <w:ind w:firstLine="720"/>
        <w:jc w:val="both"/>
        <w:rPr>
          <w:rFonts w:ascii="Times New Roman" w:eastAsia="Calibri" w:hAnsi="Times New Roman" w:cs="Times New Roman"/>
          <w:color w:val="000000"/>
          <w:sz w:val="24"/>
          <w:szCs w:val="24"/>
          <w:highlight w:val="yellow"/>
        </w:rPr>
      </w:pPr>
    </w:p>
    <w:p w14:paraId="2380F841" w14:textId="39F90033" w:rsidR="00DE30C4" w:rsidRPr="00081768" w:rsidRDefault="00DE30C4" w:rsidP="00DE30C4">
      <w:pPr>
        <w:spacing w:after="0" w:line="240" w:lineRule="auto"/>
        <w:ind w:firstLine="720"/>
        <w:jc w:val="both"/>
        <w:rPr>
          <w:rFonts w:ascii="Times New Roman" w:eastAsia="Calibri" w:hAnsi="Times New Roman" w:cs="Times New Roman"/>
          <w:b/>
          <w:i/>
          <w:color w:val="000000"/>
          <w:sz w:val="24"/>
          <w:szCs w:val="24"/>
        </w:rPr>
      </w:pPr>
      <w:r w:rsidRPr="00081768">
        <w:rPr>
          <w:rFonts w:ascii="Times New Roman" w:eastAsia="Calibri" w:hAnsi="Times New Roman" w:cs="Times New Roman"/>
          <w:b/>
          <w:i/>
          <w:color w:val="000000"/>
          <w:sz w:val="24"/>
          <w:szCs w:val="24"/>
        </w:rPr>
        <w:t xml:space="preserve">Bilances mērķi atbilstoši bilances nosacījumam </w:t>
      </w:r>
    </w:p>
    <w:p w14:paraId="5986C15F" w14:textId="1B7BBB7A" w:rsidR="0017491B" w:rsidRPr="00970F1A" w:rsidRDefault="0017491B" w:rsidP="0017491B">
      <w:pPr>
        <w:spacing w:after="0" w:line="240" w:lineRule="auto"/>
        <w:ind w:firstLine="720"/>
        <w:jc w:val="both"/>
        <w:rPr>
          <w:rFonts w:ascii="Times New Roman" w:eastAsia="Calibri" w:hAnsi="Times New Roman" w:cs="Times New Roman"/>
          <w:color w:val="000000"/>
          <w:sz w:val="24"/>
          <w:szCs w:val="28"/>
        </w:rPr>
      </w:pPr>
      <w:r w:rsidRPr="00081768">
        <w:rPr>
          <w:rFonts w:ascii="Times New Roman" w:eastAsia="Calibri" w:hAnsi="Times New Roman" w:cs="Times New Roman"/>
          <w:color w:val="000000"/>
          <w:sz w:val="24"/>
          <w:szCs w:val="28"/>
        </w:rPr>
        <w:t xml:space="preserve">Vispirms strukturālās bilances mērķi tiek aprēķināti, pārbaudot to atbilstību </w:t>
      </w:r>
      <w:r w:rsidRPr="00081768">
        <w:rPr>
          <w:rFonts w:ascii="Times New Roman" w:eastAsia="Calibri" w:hAnsi="Times New Roman" w:cs="Times New Roman"/>
          <w:b/>
          <w:color w:val="000000"/>
          <w:sz w:val="24"/>
          <w:szCs w:val="28"/>
        </w:rPr>
        <w:t>bilances nosacījumam</w:t>
      </w:r>
      <w:r w:rsidRPr="00081768">
        <w:rPr>
          <w:rFonts w:ascii="Times New Roman" w:eastAsia="Calibri" w:hAnsi="Times New Roman" w:cs="Times New Roman"/>
          <w:color w:val="000000"/>
          <w:sz w:val="24"/>
          <w:szCs w:val="28"/>
        </w:rPr>
        <w:t xml:space="preserve">. Kā jau tika minēts iepriekš bilances nosacījumu pārbaudei tiek veidots tikai scenārijs </w:t>
      </w:r>
      <w:r w:rsidRPr="00081768">
        <w:rPr>
          <w:rFonts w:ascii="Times New Roman" w:eastAsia="Calibri" w:hAnsi="Times New Roman" w:cs="Times New Roman"/>
          <w:color w:val="000000"/>
          <w:sz w:val="24"/>
          <w:szCs w:val="24"/>
        </w:rPr>
        <w:t>ar nacionālo VTM, kas tiek noteikts -0,5% no IKP</w:t>
      </w:r>
      <w:r>
        <w:rPr>
          <w:rFonts w:ascii="Times New Roman" w:eastAsia="Calibri" w:hAnsi="Times New Roman" w:cs="Times New Roman"/>
          <w:color w:val="000000"/>
          <w:sz w:val="24"/>
          <w:szCs w:val="28"/>
        </w:rPr>
        <w:t xml:space="preserve">. </w:t>
      </w:r>
      <w:r w:rsidRPr="00484E24">
        <w:rPr>
          <w:rFonts w:ascii="Times New Roman" w:eastAsia="Calibri" w:hAnsi="Times New Roman" w:cs="Times New Roman"/>
          <w:color w:val="000000"/>
          <w:sz w:val="24"/>
          <w:szCs w:val="24"/>
        </w:rPr>
        <w:t xml:space="preserve">Zemāk esošajā </w:t>
      </w:r>
      <w:r w:rsidR="00DB26EA">
        <w:rPr>
          <w:rFonts w:ascii="Times New Roman" w:eastAsia="Calibri" w:hAnsi="Times New Roman" w:cs="Times New Roman"/>
          <w:color w:val="000000"/>
          <w:sz w:val="24"/>
          <w:szCs w:val="24"/>
        </w:rPr>
        <w:t>3.2.</w:t>
      </w:r>
      <w:r w:rsidRPr="00484E24">
        <w:rPr>
          <w:rFonts w:ascii="Times New Roman" w:eastAsia="Calibri" w:hAnsi="Times New Roman" w:cs="Times New Roman"/>
          <w:color w:val="000000"/>
          <w:sz w:val="24"/>
          <w:szCs w:val="24"/>
        </w:rPr>
        <w:t>tabulā ir atspoguļotas turpmākās korekcijas.</w:t>
      </w:r>
    </w:p>
    <w:p w14:paraId="21A3B40F" w14:textId="77777777" w:rsidR="00577E25" w:rsidRDefault="00577E25" w:rsidP="00577E25">
      <w:pPr>
        <w:rPr>
          <w:rFonts w:ascii="Times New Roman" w:eastAsia="Calibri" w:hAnsi="Times New Roman" w:cs="Times New Roman"/>
          <w:b/>
          <w:color w:val="000000"/>
          <w:sz w:val="24"/>
          <w:szCs w:val="24"/>
        </w:rPr>
      </w:pPr>
    </w:p>
    <w:p w14:paraId="6A575AFC" w14:textId="740436D5" w:rsidR="00DE30C4" w:rsidRPr="00F7099D" w:rsidRDefault="00DE30C4" w:rsidP="00577E25">
      <w:pPr>
        <w:jc w:val="right"/>
        <w:rPr>
          <w:rFonts w:ascii="Times New Roman" w:eastAsia="Calibri" w:hAnsi="Times New Roman" w:cs="Times New Roman"/>
          <w:color w:val="000000"/>
          <w:sz w:val="24"/>
          <w:szCs w:val="24"/>
        </w:rPr>
      </w:pPr>
      <w:r w:rsidRPr="00F7099D">
        <w:rPr>
          <w:rFonts w:ascii="Times New Roman" w:eastAsia="Calibri" w:hAnsi="Times New Roman" w:cs="Times New Roman"/>
          <w:b/>
          <w:color w:val="000000"/>
          <w:sz w:val="24"/>
          <w:szCs w:val="24"/>
        </w:rPr>
        <w:t>3.</w:t>
      </w:r>
      <w:r w:rsidR="00577E25">
        <w:rPr>
          <w:rFonts w:ascii="Times New Roman" w:eastAsia="Calibri" w:hAnsi="Times New Roman" w:cs="Times New Roman"/>
          <w:b/>
          <w:color w:val="000000"/>
          <w:sz w:val="24"/>
          <w:szCs w:val="24"/>
        </w:rPr>
        <w:t>2</w:t>
      </w:r>
      <w:r w:rsidRPr="00F7099D">
        <w:rPr>
          <w:rFonts w:ascii="Times New Roman" w:eastAsia="Calibri" w:hAnsi="Times New Roman" w:cs="Times New Roman"/>
          <w:b/>
          <w:color w:val="000000"/>
          <w:sz w:val="24"/>
          <w:szCs w:val="24"/>
        </w:rPr>
        <w:t xml:space="preserve">.tabula. Strukturālās bilances mērķis atbilstoši nacionālajai metodoloģijai </w:t>
      </w:r>
    </w:p>
    <w:tbl>
      <w:tblPr>
        <w:tblStyle w:val="GridTable6Colorful-Accent13"/>
        <w:tblW w:w="8359" w:type="dxa"/>
        <w:jc w:val="center"/>
        <w:tblLook w:val="04A0" w:firstRow="1" w:lastRow="0" w:firstColumn="1" w:lastColumn="0" w:noHBand="0" w:noVBand="1"/>
      </w:tblPr>
      <w:tblGrid>
        <w:gridCol w:w="1271"/>
        <w:gridCol w:w="4536"/>
        <w:gridCol w:w="851"/>
        <w:gridCol w:w="850"/>
        <w:gridCol w:w="851"/>
      </w:tblGrid>
      <w:tr w:rsidR="00DE30C4" w:rsidRPr="00484E24" w14:paraId="795BBDA8" w14:textId="77777777" w:rsidTr="007130E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9CC2E5"/>
            <w:noWrap/>
            <w:hideMark/>
          </w:tcPr>
          <w:p w14:paraId="344A6C02" w14:textId="77777777" w:rsidR="00DE30C4" w:rsidRPr="00484E24" w:rsidRDefault="00DE30C4" w:rsidP="007130E8">
            <w:pPr>
              <w:rPr>
                <w:rFonts w:ascii="Times New Roman" w:eastAsia="Times New Roman" w:hAnsi="Times New Roman" w:cs="Times New Roman"/>
                <w:sz w:val="20"/>
                <w:szCs w:val="20"/>
                <w:lang w:eastAsia="lv-LV"/>
              </w:rPr>
            </w:pPr>
          </w:p>
        </w:tc>
        <w:tc>
          <w:tcPr>
            <w:tcW w:w="4536" w:type="dxa"/>
            <w:shd w:val="clear" w:color="auto" w:fill="9CC2E5"/>
            <w:noWrap/>
            <w:hideMark/>
          </w:tcPr>
          <w:p w14:paraId="261E693C" w14:textId="77777777" w:rsidR="00DE30C4" w:rsidRPr="00484E24" w:rsidRDefault="00DE30C4" w:rsidP="007130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 </w:t>
            </w:r>
          </w:p>
        </w:tc>
        <w:tc>
          <w:tcPr>
            <w:tcW w:w="851" w:type="dxa"/>
            <w:shd w:val="clear" w:color="auto" w:fill="9CC2E5"/>
            <w:noWrap/>
            <w:hideMark/>
          </w:tcPr>
          <w:p w14:paraId="77B7FAD6" w14:textId="77777777" w:rsidR="00DE30C4" w:rsidRPr="00484E24" w:rsidRDefault="00DE30C4" w:rsidP="007130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2021</w:t>
            </w:r>
          </w:p>
        </w:tc>
        <w:tc>
          <w:tcPr>
            <w:tcW w:w="850" w:type="dxa"/>
            <w:shd w:val="clear" w:color="auto" w:fill="9CC2E5"/>
          </w:tcPr>
          <w:p w14:paraId="681ECDFD" w14:textId="77777777" w:rsidR="00DE30C4" w:rsidRPr="00484E24" w:rsidRDefault="00DE30C4" w:rsidP="007130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2022</w:t>
            </w:r>
          </w:p>
        </w:tc>
        <w:tc>
          <w:tcPr>
            <w:tcW w:w="851" w:type="dxa"/>
            <w:shd w:val="clear" w:color="auto" w:fill="9CC2E5"/>
          </w:tcPr>
          <w:p w14:paraId="00D152A2" w14:textId="77777777" w:rsidR="00DE30C4" w:rsidRPr="00484E24" w:rsidRDefault="00DE30C4" w:rsidP="007130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2023</w:t>
            </w:r>
          </w:p>
        </w:tc>
      </w:tr>
      <w:tr w:rsidR="00DE30C4" w:rsidRPr="00484E24" w14:paraId="3E1D0CE6" w14:textId="77777777" w:rsidTr="007130E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F87C7B3" w14:textId="77777777" w:rsidR="00DE30C4" w:rsidRPr="00F7099D" w:rsidRDefault="00DE30C4" w:rsidP="007130E8">
            <w:pPr>
              <w:rPr>
                <w:rFonts w:ascii="Times New Roman" w:eastAsia="Times New Roman" w:hAnsi="Times New Roman" w:cs="Times New Roman"/>
                <w:color w:val="000000"/>
                <w:sz w:val="20"/>
                <w:szCs w:val="20"/>
                <w:lang w:eastAsia="lv-LV"/>
              </w:rPr>
            </w:pPr>
            <w:r w:rsidRPr="00F7099D">
              <w:rPr>
                <w:rFonts w:ascii="Times New Roman" w:eastAsia="Times New Roman" w:hAnsi="Times New Roman" w:cs="Times New Roman"/>
                <w:color w:val="000000"/>
                <w:sz w:val="20"/>
                <w:szCs w:val="20"/>
                <w:lang w:eastAsia="lv-LV"/>
              </w:rPr>
              <w:t>(1)</w:t>
            </w:r>
          </w:p>
        </w:tc>
        <w:tc>
          <w:tcPr>
            <w:tcW w:w="4536" w:type="dxa"/>
            <w:noWrap/>
            <w:hideMark/>
          </w:tcPr>
          <w:p w14:paraId="2704F22C" w14:textId="77777777" w:rsidR="00DE30C4" w:rsidRPr="00484E24" w:rsidRDefault="00DE30C4" w:rsidP="007130E8">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rPr>
            </w:pPr>
            <w:r w:rsidRPr="00484E24">
              <w:rPr>
                <w:rFonts w:ascii="Times New Roman" w:hAnsi="Times New Roman"/>
                <w:b/>
                <w:color w:val="000000"/>
                <w:sz w:val="20"/>
              </w:rPr>
              <w:t>VTM</w:t>
            </w:r>
          </w:p>
        </w:tc>
        <w:tc>
          <w:tcPr>
            <w:tcW w:w="851" w:type="dxa"/>
            <w:noWrap/>
            <w:vAlign w:val="center"/>
            <w:hideMark/>
          </w:tcPr>
          <w:p w14:paraId="03CB5B27"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-0,5%</w:t>
            </w:r>
          </w:p>
        </w:tc>
        <w:tc>
          <w:tcPr>
            <w:tcW w:w="850" w:type="dxa"/>
            <w:vAlign w:val="center"/>
          </w:tcPr>
          <w:p w14:paraId="2B74A07D"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-0,5%</w:t>
            </w:r>
          </w:p>
        </w:tc>
        <w:tc>
          <w:tcPr>
            <w:tcW w:w="851" w:type="dxa"/>
            <w:vAlign w:val="center"/>
          </w:tcPr>
          <w:p w14:paraId="343DB387"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-0,5%</w:t>
            </w:r>
          </w:p>
        </w:tc>
      </w:tr>
      <w:tr w:rsidR="00DE30C4" w:rsidRPr="00484E24" w14:paraId="52D292B4" w14:textId="77777777" w:rsidTr="007130E8">
        <w:trPr>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tcPr>
          <w:p w14:paraId="7B8498A3" w14:textId="77777777" w:rsidR="00DE30C4" w:rsidRPr="00F7099D" w:rsidRDefault="00DE30C4" w:rsidP="007130E8">
            <w:pPr>
              <w:rPr>
                <w:rFonts w:ascii="Times New Roman" w:eastAsia="Times New Roman" w:hAnsi="Times New Roman" w:cs="Times New Roman"/>
                <w:color w:val="000000"/>
                <w:sz w:val="20"/>
                <w:szCs w:val="20"/>
                <w:lang w:eastAsia="lv-LV"/>
              </w:rPr>
            </w:pPr>
            <w:r w:rsidRPr="00F7099D">
              <w:rPr>
                <w:rFonts w:ascii="Times New Roman" w:eastAsia="Times New Roman" w:hAnsi="Times New Roman" w:cs="Times New Roman"/>
                <w:color w:val="000000"/>
                <w:sz w:val="20"/>
                <w:szCs w:val="20"/>
                <w:lang w:eastAsia="lv-LV"/>
              </w:rPr>
              <w:t>(2)</w:t>
            </w:r>
          </w:p>
        </w:tc>
        <w:tc>
          <w:tcPr>
            <w:tcW w:w="4536" w:type="dxa"/>
            <w:noWrap/>
          </w:tcPr>
          <w:p w14:paraId="28E09130" w14:textId="4872F3BD" w:rsidR="00DE30C4" w:rsidRPr="001A0429" w:rsidRDefault="00DE30C4" w:rsidP="0017491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Pr>
                <w:rFonts w:ascii="Times New Roman" w:hAnsi="Times New Roman"/>
                <w:color w:val="000000"/>
                <w:sz w:val="20"/>
              </w:rPr>
              <w:t>a</w:t>
            </w:r>
            <w:r w:rsidRPr="001A0429">
              <w:rPr>
                <w:rFonts w:ascii="Times New Roman" w:hAnsi="Times New Roman"/>
                <w:color w:val="000000"/>
                <w:sz w:val="20"/>
              </w:rPr>
              <w:t>tkāpe no VTM (FDL 1</w:t>
            </w:r>
            <w:r w:rsidR="0017491B">
              <w:rPr>
                <w:rFonts w:ascii="Times New Roman" w:hAnsi="Times New Roman"/>
                <w:color w:val="000000"/>
                <w:sz w:val="20"/>
              </w:rPr>
              <w:t>2</w:t>
            </w:r>
            <w:r w:rsidRPr="001A0429">
              <w:rPr>
                <w:rFonts w:ascii="Times New Roman" w:hAnsi="Times New Roman"/>
                <w:color w:val="000000"/>
                <w:sz w:val="20"/>
              </w:rPr>
              <w:t>.panta pirmās daļas 3. punkts)</w:t>
            </w:r>
          </w:p>
        </w:tc>
        <w:tc>
          <w:tcPr>
            <w:tcW w:w="851" w:type="dxa"/>
            <w:noWrap/>
            <w:vAlign w:val="center"/>
          </w:tcPr>
          <w:p w14:paraId="4A2EAE89" w14:textId="77777777" w:rsidR="00DE30C4" w:rsidRPr="001A0429"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1A0429">
              <w:rPr>
                <w:rFonts w:ascii="Times New Roman" w:eastAsia="Times New Roman" w:hAnsi="Times New Roman" w:cs="Times New Roman"/>
                <w:bCs/>
                <w:color w:val="000000"/>
                <w:sz w:val="20"/>
                <w:szCs w:val="20"/>
                <w:lang w:eastAsia="lv-LV"/>
              </w:rPr>
              <w:t>-1.1%</w:t>
            </w:r>
          </w:p>
        </w:tc>
        <w:tc>
          <w:tcPr>
            <w:tcW w:w="850" w:type="dxa"/>
            <w:vAlign w:val="center"/>
          </w:tcPr>
          <w:p w14:paraId="7BEA9E46" w14:textId="77777777" w:rsidR="00DE30C4" w:rsidRPr="001A0429"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1A0429">
              <w:rPr>
                <w:rFonts w:ascii="Times New Roman" w:eastAsia="Times New Roman" w:hAnsi="Times New Roman" w:cs="Times New Roman"/>
                <w:bCs/>
                <w:color w:val="000000"/>
                <w:sz w:val="20"/>
                <w:szCs w:val="20"/>
                <w:lang w:eastAsia="lv-LV"/>
              </w:rPr>
              <w:t>-</w:t>
            </w:r>
          </w:p>
        </w:tc>
        <w:tc>
          <w:tcPr>
            <w:tcW w:w="851" w:type="dxa"/>
            <w:vAlign w:val="center"/>
          </w:tcPr>
          <w:p w14:paraId="72C6E1D5" w14:textId="77777777" w:rsidR="00DE30C4" w:rsidRPr="001A0429"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1A0429">
              <w:rPr>
                <w:rFonts w:ascii="Times New Roman" w:eastAsia="Times New Roman" w:hAnsi="Times New Roman" w:cs="Times New Roman"/>
                <w:bCs/>
                <w:color w:val="000000"/>
                <w:sz w:val="20"/>
                <w:szCs w:val="20"/>
                <w:lang w:eastAsia="lv-LV"/>
              </w:rPr>
              <w:t>-</w:t>
            </w:r>
          </w:p>
        </w:tc>
      </w:tr>
      <w:tr w:rsidR="00DE30C4" w:rsidRPr="00484E24" w14:paraId="281B4502" w14:textId="77777777" w:rsidTr="007130E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tcPr>
          <w:p w14:paraId="7352D3A3" w14:textId="77777777" w:rsidR="00DE30C4" w:rsidRPr="00484E24" w:rsidRDefault="00DE30C4" w:rsidP="007130E8">
            <w:pPr>
              <w:rPr>
                <w:rFonts w:ascii="Times New Roman" w:eastAsia="Times New Roman" w:hAnsi="Times New Roman" w:cs="Times New Roman"/>
                <w:b w:val="0"/>
                <w:color w:val="000000"/>
                <w:sz w:val="20"/>
                <w:szCs w:val="20"/>
                <w:lang w:eastAsia="lv-LV"/>
              </w:rPr>
            </w:pPr>
            <w:r w:rsidRPr="00F7099D">
              <w:rPr>
                <w:rFonts w:ascii="Times New Roman" w:eastAsia="Times New Roman" w:hAnsi="Times New Roman" w:cs="Times New Roman"/>
                <w:b w:val="0"/>
                <w:color w:val="000000"/>
                <w:sz w:val="20"/>
                <w:szCs w:val="20"/>
                <w:lang w:eastAsia="lv-LV"/>
              </w:rPr>
              <w:t>(3) = (1)+(2)</w:t>
            </w:r>
          </w:p>
        </w:tc>
        <w:tc>
          <w:tcPr>
            <w:tcW w:w="4536" w:type="dxa"/>
            <w:noWrap/>
          </w:tcPr>
          <w:p w14:paraId="4B8E02A9" w14:textId="77777777" w:rsidR="00DE30C4" w:rsidRPr="001A0429" w:rsidRDefault="00DE30C4" w:rsidP="007130E8">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rPr>
            </w:pPr>
            <w:r>
              <w:rPr>
                <w:rFonts w:ascii="Times New Roman" w:hAnsi="Times New Roman"/>
                <w:b/>
                <w:color w:val="000000"/>
                <w:sz w:val="20"/>
              </w:rPr>
              <w:t>s</w:t>
            </w:r>
            <w:r w:rsidRPr="001A0429">
              <w:rPr>
                <w:rFonts w:ascii="Times New Roman" w:hAnsi="Times New Roman"/>
                <w:b/>
                <w:color w:val="000000"/>
                <w:sz w:val="20"/>
              </w:rPr>
              <w:t>trukturālās bilances mērķis</w:t>
            </w:r>
          </w:p>
        </w:tc>
        <w:tc>
          <w:tcPr>
            <w:tcW w:w="851" w:type="dxa"/>
            <w:noWrap/>
          </w:tcPr>
          <w:p w14:paraId="2208DD58" w14:textId="77777777" w:rsidR="00DE30C4" w:rsidRPr="001A0429"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429">
              <w:rPr>
                <w:rFonts w:ascii="Times New Roman" w:eastAsia="Times New Roman" w:hAnsi="Times New Roman" w:cs="Times New Roman"/>
                <w:b/>
                <w:bCs/>
                <w:color w:val="000000"/>
                <w:sz w:val="20"/>
                <w:szCs w:val="20"/>
                <w:lang w:eastAsia="lv-LV"/>
              </w:rPr>
              <w:t>-1.6%</w:t>
            </w:r>
          </w:p>
        </w:tc>
        <w:tc>
          <w:tcPr>
            <w:tcW w:w="850" w:type="dxa"/>
          </w:tcPr>
          <w:p w14:paraId="49204B8A" w14:textId="77777777" w:rsidR="00DE30C4" w:rsidRPr="001A0429"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429">
              <w:rPr>
                <w:rFonts w:ascii="Times New Roman" w:eastAsia="Times New Roman" w:hAnsi="Times New Roman" w:cs="Times New Roman"/>
                <w:b/>
                <w:bCs/>
                <w:color w:val="000000"/>
                <w:sz w:val="20"/>
                <w:szCs w:val="20"/>
                <w:lang w:eastAsia="lv-LV"/>
              </w:rPr>
              <w:t>-0.5%</w:t>
            </w:r>
          </w:p>
        </w:tc>
        <w:tc>
          <w:tcPr>
            <w:tcW w:w="851" w:type="dxa"/>
          </w:tcPr>
          <w:p w14:paraId="76FECD6A" w14:textId="77777777" w:rsidR="00DE30C4" w:rsidRPr="001A0429"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1A0429">
              <w:rPr>
                <w:rFonts w:ascii="Times New Roman" w:eastAsia="Times New Roman" w:hAnsi="Times New Roman" w:cs="Times New Roman"/>
                <w:b/>
                <w:bCs/>
                <w:color w:val="000000"/>
                <w:sz w:val="20"/>
                <w:szCs w:val="20"/>
                <w:lang w:eastAsia="lv-LV"/>
              </w:rPr>
              <w:t>-0.5%</w:t>
            </w:r>
          </w:p>
        </w:tc>
      </w:tr>
      <w:tr w:rsidR="00DE30C4" w:rsidRPr="00484E24" w14:paraId="3F47D81C" w14:textId="77777777" w:rsidTr="007130E8">
        <w:trPr>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9332DFA" w14:textId="77777777" w:rsidR="00DE30C4" w:rsidRPr="00484E24" w:rsidRDefault="00DE30C4" w:rsidP="007130E8">
            <w:pPr>
              <w:rPr>
                <w:rFonts w:ascii="Times New Roman" w:eastAsia="Times New Roman" w:hAnsi="Times New Roman" w:cs="Times New Roman"/>
                <w:b w:val="0"/>
                <w:color w:val="000000"/>
                <w:sz w:val="20"/>
                <w:szCs w:val="20"/>
                <w:lang w:eastAsia="lv-LV"/>
              </w:rPr>
            </w:pPr>
            <w:r w:rsidRPr="00484E24">
              <w:rPr>
                <w:rFonts w:ascii="Times New Roman" w:eastAsia="Times New Roman" w:hAnsi="Times New Roman" w:cs="Times New Roman"/>
                <w:b w:val="0"/>
                <w:color w:val="000000"/>
                <w:sz w:val="20"/>
                <w:szCs w:val="20"/>
                <w:lang w:eastAsia="lv-LV"/>
              </w:rPr>
              <w:t>(4)</w:t>
            </w:r>
          </w:p>
        </w:tc>
        <w:tc>
          <w:tcPr>
            <w:tcW w:w="4536" w:type="dxa"/>
            <w:noWrap/>
            <w:hideMark/>
          </w:tcPr>
          <w:p w14:paraId="7B7797E6" w14:textId="77777777" w:rsidR="00DE30C4" w:rsidRPr="00484E24" w:rsidRDefault="00DE30C4" w:rsidP="007130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cikliskā komponente</w:t>
            </w:r>
          </w:p>
        </w:tc>
        <w:tc>
          <w:tcPr>
            <w:tcW w:w="851" w:type="dxa"/>
          </w:tcPr>
          <w:p w14:paraId="360B48B8"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-3.9%</w:t>
            </w:r>
          </w:p>
        </w:tc>
        <w:tc>
          <w:tcPr>
            <w:tcW w:w="850" w:type="dxa"/>
            <w:noWrap/>
          </w:tcPr>
          <w:p w14:paraId="69F17F8D"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-3.7%</w:t>
            </w:r>
          </w:p>
        </w:tc>
        <w:tc>
          <w:tcPr>
            <w:tcW w:w="851" w:type="dxa"/>
          </w:tcPr>
          <w:p w14:paraId="70B733B7"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-3.8%</w:t>
            </w:r>
          </w:p>
        </w:tc>
      </w:tr>
      <w:tr w:rsidR="00DE30C4" w:rsidRPr="00484E24" w14:paraId="38550E7A" w14:textId="77777777" w:rsidTr="007130E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23A81EA" w14:textId="77777777" w:rsidR="00DE30C4" w:rsidRPr="00484E24" w:rsidRDefault="00DE30C4" w:rsidP="007130E8">
            <w:pPr>
              <w:rPr>
                <w:rFonts w:ascii="Times New Roman" w:eastAsia="Times New Roman" w:hAnsi="Times New Roman" w:cs="Times New Roman"/>
                <w:b w:val="0"/>
                <w:color w:val="000000"/>
                <w:sz w:val="20"/>
                <w:szCs w:val="20"/>
                <w:lang w:eastAsia="lv-LV"/>
              </w:rPr>
            </w:pPr>
            <w:r w:rsidRPr="00484E24">
              <w:rPr>
                <w:rFonts w:ascii="Times New Roman" w:eastAsia="Times New Roman" w:hAnsi="Times New Roman" w:cs="Times New Roman"/>
                <w:b w:val="0"/>
                <w:color w:val="000000"/>
                <w:sz w:val="20"/>
                <w:szCs w:val="20"/>
                <w:lang w:eastAsia="lv-LV"/>
              </w:rPr>
              <w:t>(5)=(3)+(4)</w:t>
            </w:r>
          </w:p>
        </w:tc>
        <w:tc>
          <w:tcPr>
            <w:tcW w:w="4536" w:type="dxa"/>
            <w:noWrap/>
            <w:hideMark/>
          </w:tcPr>
          <w:p w14:paraId="5996BC62" w14:textId="77777777" w:rsidR="00DE30C4" w:rsidRPr="00484E24" w:rsidRDefault="00DE30C4" w:rsidP="007130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cikliski koriģētā bilance</w:t>
            </w:r>
          </w:p>
        </w:tc>
        <w:tc>
          <w:tcPr>
            <w:tcW w:w="851" w:type="dxa"/>
          </w:tcPr>
          <w:p w14:paraId="06C5D54B"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-5.5%</w:t>
            </w:r>
          </w:p>
        </w:tc>
        <w:tc>
          <w:tcPr>
            <w:tcW w:w="850" w:type="dxa"/>
            <w:noWrap/>
          </w:tcPr>
          <w:p w14:paraId="6E9461FB"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-4.2%</w:t>
            </w:r>
          </w:p>
        </w:tc>
        <w:tc>
          <w:tcPr>
            <w:tcW w:w="851" w:type="dxa"/>
          </w:tcPr>
          <w:p w14:paraId="4D7FBBD1"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-4.3%</w:t>
            </w:r>
          </w:p>
        </w:tc>
      </w:tr>
      <w:tr w:rsidR="00DE30C4" w:rsidRPr="00484E24" w14:paraId="106ACC0F" w14:textId="77777777" w:rsidTr="007130E8">
        <w:trPr>
          <w:trHeight w:val="258"/>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193816" w14:textId="77777777" w:rsidR="00DE30C4" w:rsidRPr="00484E24" w:rsidRDefault="00DE30C4" w:rsidP="007130E8">
            <w:pPr>
              <w:rPr>
                <w:rFonts w:ascii="Times New Roman" w:eastAsia="Times New Roman" w:hAnsi="Times New Roman" w:cs="Times New Roman"/>
                <w:b w:val="0"/>
                <w:color w:val="000000"/>
                <w:sz w:val="20"/>
                <w:szCs w:val="20"/>
                <w:lang w:eastAsia="lv-LV"/>
              </w:rPr>
            </w:pPr>
            <w:r w:rsidRPr="00484E24">
              <w:rPr>
                <w:rFonts w:ascii="Times New Roman" w:eastAsia="Times New Roman" w:hAnsi="Times New Roman" w:cs="Times New Roman"/>
                <w:b w:val="0"/>
                <w:color w:val="000000"/>
                <w:sz w:val="20"/>
                <w:szCs w:val="20"/>
                <w:lang w:eastAsia="lv-LV"/>
              </w:rPr>
              <w:t>(6)</w:t>
            </w:r>
          </w:p>
        </w:tc>
        <w:tc>
          <w:tcPr>
            <w:tcW w:w="4536" w:type="dxa"/>
            <w:noWrap/>
            <w:hideMark/>
          </w:tcPr>
          <w:p w14:paraId="0C896EB3" w14:textId="77777777" w:rsidR="00DE30C4" w:rsidRPr="00484E24" w:rsidRDefault="00DE30C4" w:rsidP="007130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vienreizējie pasākumi</w:t>
            </w:r>
          </w:p>
        </w:tc>
        <w:tc>
          <w:tcPr>
            <w:tcW w:w="851" w:type="dxa"/>
          </w:tcPr>
          <w:p w14:paraId="0F68802E"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0.2%</w:t>
            </w:r>
          </w:p>
        </w:tc>
        <w:tc>
          <w:tcPr>
            <w:tcW w:w="850" w:type="dxa"/>
            <w:noWrap/>
          </w:tcPr>
          <w:p w14:paraId="370A0C33"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0.2%</w:t>
            </w:r>
          </w:p>
        </w:tc>
        <w:tc>
          <w:tcPr>
            <w:tcW w:w="851" w:type="dxa"/>
          </w:tcPr>
          <w:p w14:paraId="1782CFCE" w14:textId="77777777" w:rsidR="00DE30C4" w:rsidRPr="00484E24" w:rsidRDefault="00DE30C4" w:rsidP="007130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lv-LV"/>
              </w:rPr>
            </w:pPr>
            <w:r w:rsidRPr="00484E24">
              <w:rPr>
                <w:rFonts w:ascii="Times New Roman" w:eastAsia="Times New Roman" w:hAnsi="Times New Roman" w:cs="Times New Roman"/>
                <w:bCs/>
                <w:color w:val="000000"/>
                <w:sz w:val="20"/>
                <w:szCs w:val="20"/>
                <w:lang w:eastAsia="lv-LV"/>
              </w:rPr>
              <w:t>0.3%</w:t>
            </w:r>
          </w:p>
        </w:tc>
      </w:tr>
      <w:tr w:rsidR="00DE30C4" w:rsidRPr="00D551C4" w14:paraId="11B92B2A" w14:textId="77777777" w:rsidTr="007130E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C231418" w14:textId="77777777" w:rsidR="00DE30C4" w:rsidRPr="00484E24" w:rsidRDefault="00DE30C4" w:rsidP="007130E8">
            <w:pPr>
              <w:rPr>
                <w:rFonts w:ascii="Times New Roman" w:eastAsia="Times New Roman" w:hAnsi="Times New Roman" w:cs="Times New Roman"/>
                <w:color w:val="000000"/>
                <w:sz w:val="20"/>
                <w:szCs w:val="20"/>
                <w:lang w:eastAsia="lv-LV"/>
              </w:rPr>
            </w:pPr>
            <w:r w:rsidRPr="00484E24">
              <w:rPr>
                <w:rFonts w:ascii="Times New Roman" w:eastAsia="Times New Roman" w:hAnsi="Times New Roman" w:cs="Times New Roman"/>
                <w:color w:val="000000"/>
                <w:sz w:val="20"/>
                <w:szCs w:val="20"/>
                <w:lang w:eastAsia="lv-LV"/>
              </w:rPr>
              <w:t>(7)=(5)+(6)</w:t>
            </w:r>
          </w:p>
        </w:tc>
        <w:tc>
          <w:tcPr>
            <w:tcW w:w="4536" w:type="dxa"/>
            <w:noWrap/>
            <w:hideMark/>
          </w:tcPr>
          <w:p w14:paraId="18C6C2D9" w14:textId="77777777" w:rsidR="00DE30C4" w:rsidRPr="00484E24" w:rsidRDefault="00DE30C4" w:rsidP="007130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484E24">
              <w:rPr>
                <w:rFonts w:ascii="Times New Roman" w:eastAsia="Times New Roman" w:hAnsi="Times New Roman" w:cs="Times New Roman"/>
                <w:b/>
                <w:color w:val="000000"/>
                <w:sz w:val="20"/>
                <w:szCs w:val="20"/>
                <w:lang w:eastAsia="lv-LV"/>
              </w:rPr>
              <w:t>nominālā bilance</w:t>
            </w:r>
          </w:p>
        </w:tc>
        <w:tc>
          <w:tcPr>
            <w:tcW w:w="851" w:type="dxa"/>
          </w:tcPr>
          <w:p w14:paraId="1C2DC87D"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-5.3%</w:t>
            </w:r>
          </w:p>
        </w:tc>
        <w:tc>
          <w:tcPr>
            <w:tcW w:w="850" w:type="dxa"/>
            <w:noWrap/>
          </w:tcPr>
          <w:p w14:paraId="23712C18"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-4.0%</w:t>
            </w:r>
          </w:p>
        </w:tc>
        <w:tc>
          <w:tcPr>
            <w:tcW w:w="851" w:type="dxa"/>
          </w:tcPr>
          <w:p w14:paraId="47B54F8A" w14:textId="77777777" w:rsidR="00DE30C4" w:rsidRPr="00484E24" w:rsidRDefault="00DE30C4" w:rsidP="007130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484E24">
              <w:rPr>
                <w:rFonts w:ascii="Times New Roman" w:eastAsia="Times New Roman" w:hAnsi="Times New Roman" w:cs="Times New Roman"/>
                <w:b/>
                <w:bCs/>
                <w:color w:val="000000"/>
                <w:sz w:val="20"/>
                <w:szCs w:val="20"/>
                <w:lang w:eastAsia="lv-LV"/>
              </w:rPr>
              <w:t>-4.0%</w:t>
            </w:r>
          </w:p>
        </w:tc>
      </w:tr>
    </w:tbl>
    <w:p w14:paraId="07B9AF6C" w14:textId="77777777" w:rsidR="00DE30C4" w:rsidRPr="00D551C4" w:rsidRDefault="00DE30C4" w:rsidP="00DE30C4">
      <w:pPr>
        <w:spacing w:after="0" w:line="240" w:lineRule="auto"/>
        <w:ind w:firstLine="720"/>
        <w:jc w:val="both"/>
        <w:rPr>
          <w:rFonts w:ascii="Times New Roman" w:eastAsia="Calibri" w:hAnsi="Times New Roman" w:cs="Times New Roman"/>
          <w:color w:val="000000"/>
          <w:sz w:val="24"/>
          <w:szCs w:val="24"/>
          <w:highlight w:val="yellow"/>
        </w:rPr>
      </w:pPr>
    </w:p>
    <w:p w14:paraId="141C8DCF" w14:textId="325A931B" w:rsidR="0017491B" w:rsidRPr="0017491B" w:rsidRDefault="0017491B" w:rsidP="0017491B">
      <w:pPr>
        <w:spacing w:after="0" w:line="240" w:lineRule="auto"/>
        <w:ind w:firstLine="720"/>
        <w:jc w:val="both"/>
        <w:rPr>
          <w:rFonts w:ascii="Times New Roman" w:eastAsia="Calibri" w:hAnsi="Times New Roman" w:cs="Times New Roman"/>
          <w:b/>
          <w:color w:val="000000"/>
          <w:sz w:val="24"/>
          <w:szCs w:val="24"/>
        </w:rPr>
      </w:pPr>
      <w:r w:rsidRPr="00B30064">
        <w:rPr>
          <w:rFonts w:ascii="Times New Roman" w:eastAsia="Calibri" w:hAnsi="Times New Roman" w:cs="Times New Roman"/>
          <w:color w:val="000000"/>
          <w:sz w:val="24"/>
          <w:szCs w:val="24"/>
        </w:rPr>
        <w:t>St</w:t>
      </w:r>
      <w:r>
        <w:rPr>
          <w:rFonts w:ascii="Times New Roman" w:eastAsia="Calibri" w:hAnsi="Times New Roman" w:cs="Times New Roman"/>
          <w:color w:val="000000"/>
          <w:sz w:val="24"/>
          <w:szCs w:val="24"/>
        </w:rPr>
        <w:t>rukturālās bilances mērķa 2021.</w:t>
      </w:r>
      <w:r w:rsidRPr="00B30064">
        <w:rPr>
          <w:rFonts w:ascii="Times New Roman" w:eastAsia="Calibri" w:hAnsi="Times New Roman" w:cs="Times New Roman"/>
          <w:color w:val="000000"/>
          <w:sz w:val="24"/>
          <w:szCs w:val="24"/>
        </w:rPr>
        <w:t>gadam noteikšanai</w:t>
      </w:r>
      <w:r>
        <w:rPr>
          <w:rFonts w:ascii="Times New Roman" w:eastAsia="Calibri" w:hAnsi="Times New Roman" w:cs="Times New Roman"/>
          <w:color w:val="000000"/>
          <w:sz w:val="24"/>
          <w:szCs w:val="24"/>
        </w:rPr>
        <w:t xml:space="preserve"> papildu</w:t>
      </w:r>
      <w:r w:rsidRPr="00B30064">
        <w:rPr>
          <w:rFonts w:ascii="Times New Roman" w:eastAsia="Calibri" w:hAnsi="Times New Roman" w:cs="Times New Roman"/>
          <w:color w:val="000000"/>
          <w:sz w:val="24"/>
          <w:szCs w:val="24"/>
        </w:rPr>
        <w:t xml:space="preserve"> tiek pielietota FDL 1</w:t>
      </w:r>
      <w:r>
        <w:rPr>
          <w:rFonts w:ascii="Times New Roman" w:eastAsia="Calibri" w:hAnsi="Times New Roman" w:cs="Times New Roman"/>
          <w:color w:val="000000"/>
          <w:sz w:val="24"/>
          <w:szCs w:val="24"/>
        </w:rPr>
        <w:t>2</w:t>
      </w:r>
      <w:r w:rsidR="00DB3816">
        <w:rPr>
          <w:rFonts w:ascii="Times New Roman" w:eastAsia="Calibri" w:hAnsi="Times New Roman" w:cs="Times New Roman"/>
          <w:color w:val="000000"/>
          <w:sz w:val="24"/>
          <w:szCs w:val="24"/>
        </w:rPr>
        <w:t>.panta pirmās daļas 3.</w:t>
      </w:r>
      <w:r w:rsidRPr="00B30064">
        <w:rPr>
          <w:rFonts w:ascii="Times New Roman" w:eastAsia="Calibri" w:hAnsi="Times New Roman" w:cs="Times New Roman"/>
          <w:color w:val="000000"/>
          <w:sz w:val="24"/>
          <w:szCs w:val="24"/>
        </w:rPr>
        <w:t>punktā definētā</w:t>
      </w:r>
      <w:r>
        <w:rPr>
          <w:rFonts w:ascii="Times New Roman" w:eastAsia="Calibri" w:hAnsi="Times New Roman" w:cs="Times New Roman"/>
          <w:color w:val="000000"/>
          <w:sz w:val="24"/>
          <w:szCs w:val="24"/>
        </w:rPr>
        <w:t xml:space="preserve"> atkāpe</w:t>
      </w:r>
      <w:r w:rsidRPr="00B30064">
        <w:rPr>
          <w:rFonts w:ascii="Times New Roman" w:eastAsia="Calibri" w:hAnsi="Times New Roman" w:cs="Times New Roman"/>
          <w:color w:val="000000"/>
          <w:sz w:val="24"/>
          <w:szCs w:val="24"/>
        </w:rPr>
        <w:t xml:space="preserve"> no </w:t>
      </w:r>
      <w:r w:rsidRPr="00577E25">
        <w:rPr>
          <w:rFonts w:ascii="Times New Roman" w:eastAsia="Calibri" w:hAnsi="Times New Roman" w:cs="Times New Roman"/>
          <w:color w:val="000000"/>
          <w:sz w:val="24"/>
          <w:szCs w:val="24"/>
        </w:rPr>
        <w:t>VTM ievērojot FDL 12.panta trešās daļas nosacījumu.</w:t>
      </w:r>
      <w:r>
        <w:rPr>
          <w:rFonts w:ascii="Times New Roman" w:eastAsia="Calibri" w:hAnsi="Times New Roman" w:cs="Times New Roman"/>
          <w:color w:val="000000"/>
          <w:sz w:val="24"/>
          <w:szCs w:val="24"/>
        </w:rPr>
        <w:t xml:space="preserve"> Atkāpes apmēru pieskaitot VTM tiek iegūta maksimāli pieļaujamā strukturālā bilance. Tā kā šajā Stabilitātes programmā bilances nosacījuma pārbaudē netiek veidots scenārijs ar VTM SIP, tad šajā gadījumā attiecīgi tiek iegūts </w:t>
      </w:r>
      <w:r w:rsidRPr="001A0429">
        <w:rPr>
          <w:rFonts w:ascii="Times New Roman" w:eastAsia="Calibri" w:hAnsi="Times New Roman" w:cs="Times New Roman"/>
          <w:b/>
          <w:color w:val="000000"/>
          <w:sz w:val="24"/>
          <w:szCs w:val="24"/>
        </w:rPr>
        <w:t>strukturālās bilances mērķis, kas ir -1,6%, -0,5% un -0,5% attiecīgi 2021., 2022. un 2023.gadā.</w:t>
      </w:r>
    </w:p>
    <w:p w14:paraId="5C562033" w14:textId="77777777" w:rsidR="00DE30C4" w:rsidRDefault="00DE30C4" w:rsidP="00DE30C4">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Tā kā ir nepieciešams noskaidrot arī no strukturālās bilances mērķa izrietošo </w:t>
      </w:r>
      <w:r w:rsidRPr="00B30064">
        <w:rPr>
          <w:rFonts w:ascii="Times New Roman" w:eastAsia="Calibri" w:hAnsi="Times New Roman" w:cs="Times New Roman"/>
          <w:color w:val="000000"/>
          <w:sz w:val="24"/>
          <w:szCs w:val="24"/>
        </w:rPr>
        <w:t>vispārējās valdības budžeta nomināl</w:t>
      </w:r>
      <w:r>
        <w:rPr>
          <w:rFonts w:ascii="Times New Roman" w:eastAsia="Calibri" w:hAnsi="Times New Roman" w:cs="Times New Roman"/>
          <w:color w:val="000000"/>
          <w:sz w:val="24"/>
          <w:szCs w:val="24"/>
        </w:rPr>
        <w:t>ās bilances apmēru, kas nepieciešams fiskālās telpas noteikšanai, tiek veikti tālāki aprēķini</w:t>
      </w:r>
      <w:r w:rsidRPr="00B30064">
        <w:rPr>
          <w:rFonts w:ascii="Times New Roman" w:eastAsia="Calibri" w:hAnsi="Times New Roman" w:cs="Times New Roman"/>
          <w:color w:val="000000"/>
          <w:sz w:val="24"/>
          <w:szCs w:val="24"/>
        </w:rPr>
        <w:t>.</w:t>
      </w:r>
    </w:p>
    <w:p w14:paraId="6F1E2435" w14:textId="0DCDCE20" w:rsidR="00DE30C4" w:rsidRPr="001A0429" w:rsidRDefault="00DE30C4" w:rsidP="00DE30C4">
      <w:pPr>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w:t>
      </w:r>
      <w:r w:rsidRPr="00B30064">
        <w:rPr>
          <w:rFonts w:ascii="Times New Roman" w:eastAsia="Calibri" w:hAnsi="Times New Roman" w:cs="Times New Roman"/>
          <w:color w:val="000000"/>
          <w:sz w:val="24"/>
          <w:szCs w:val="24"/>
        </w:rPr>
        <w:t>ilances cikliskā komponente tiek aprēķināta reizinot izlaižu starpības novērtējumu ar elastības koeficientu 0,38, izmantojot FM prognozēto izlaižu starpību. Aprēķinātā bilances cikliskā komponente ir -3,9%, -3,7% un -3,8% attiecīgi 2021., 2022. un 2023.gadā.</w:t>
      </w:r>
    </w:p>
    <w:p w14:paraId="726003BB" w14:textId="4D640E73" w:rsidR="00DE30C4" w:rsidRPr="00390541" w:rsidRDefault="00DE30C4" w:rsidP="00DE30C4">
      <w:pPr>
        <w:spacing w:after="0" w:line="240" w:lineRule="auto"/>
        <w:ind w:firstLine="720"/>
        <w:jc w:val="both"/>
        <w:rPr>
          <w:rFonts w:ascii="Times New Roman" w:eastAsia="Calibri" w:hAnsi="Times New Roman" w:cs="Times New Roman"/>
          <w:color w:val="000000"/>
          <w:sz w:val="24"/>
          <w:szCs w:val="24"/>
        </w:rPr>
      </w:pPr>
      <w:r w:rsidRPr="00390541">
        <w:rPr>
          <w:rFonts w:ascii="Times New Roman" w:eastAsia="Calibri" w:hAnsi="Times New Roman" w:cs="Times New Roman"/>
          <w:color w:val="000000"/>
          <w:sz w:val="24"/>
          <w:szCs w:val="24"/>
        </w:rPr>
        <w:t xml:space="preserve">Šajā scenārijā </w:t>
      </w:r>
      <w:r>
        <w:rPr>
          <w:rFonts w:ascii="Times New Roman" w:eastAsia="Calibri" w:hAnsi="Times New Roman" w:cs="Times New Roman"/>
          <w:color w:val="000000"/>
          <w:sz w:val="24"/>
          <w:szCs w:val="24"/>
        </w:rPr>
        <w:t>valdības pieņemtie atbalsta pasākumi ar fiskālo ietekmi ar C</w:t>
      </w:r>
      <w:r w:rsidR="00577E25">
        <w:rPr>
          <w:rFonts w:ascii="Times New Roman" w:eastAsia="Calibri" w:hAnsi="Times New Roman" w:cs="Times New Roman"/>
          <w:color w:val="000000"/>
          <w:sz w:val="24"/>
          <w:szCs w:val="24"/>
        </w:rPr>
        <w:t>ovid-</w:t>
      </w:r>
      <w:r w:rsidRPr="00FA1240">
        <w:rPr>
          <w:rFonts w:ascii="Times New Roman" w:eastAsia="Calibri" w:hAnsi="Times New Roman" w:cs="Times New Roman"/>
          <w:color w:val="000000"/>
          <w:sz w:val="24"/>
          <w:szCs w:val="24"/>
        </w:rPr>
        <w:t>19 izplatību saistītās ārkārtējās situācijas ietekmes mazināšanai</w:t>
      </w:r>
      <w:r>
        <w:rPr>
          <w:rFonts w:ascii="Times New Roman" w:eastAsia="Calibri" w:hAnsi="Times New Roman" w:cs="Times New Roman"/>
          <w:color w:val="000000"/>
          <w:sz w:val="24"/>
          <w:szCs w:val="24"/>
        </w:rPr>
        <w:t xml:space="preserve"> tiek uzskatīti</w:t>
      </w:r>
      <w:r w:rsidRPr="0039054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par vienreizējiem pasākumiem</w:t>
      </w:r>
      <w:r w:rsidRPr="00390541">
        <w:rPr>
          <w:rFonts w:ascii="Times New Roman" w:eastAsia="Calibri" w:hAnsi="Times New Roman" w:cs="Times New Roman"/>
          <w:color w:val="000000"/>
          <w:sz w:val="24"/>
          <w:szCs w:val="24"/>
        </w:rPr>
        <w:t xml:space="preserve"> (</w:t>
      </w:r>
      <w:r w:rsidR="00517DED">
        <w:rPr>
          <w:rFonts w:ascii="Times New Roman" w:eastAsia="Calibri" w:hAnsi="Times New Roman" w:cs="Times New Roman"/>
          <w:color w:val="000000"/>
          <w:sz w:val="24"/>
          <w:szCs w:val="24"/>
        </w:rPr>
        <w:t xml:space="preserve">angl. </w:t>
      </w:r>
      <w:r w:rsidRPr="00390541">
        <w:rPr>
          <w:rFonts w:ascii="Times New Roman" w:eastAsia="Calibri" w:hAnsi="Times New Roman" w:cs="Times New Roman"/>
          <w:i/>
          <w:color w:val="000000"/>
          <w:sz w:val="24"/>
          <w:szCs w:val="24"/>
        </w:rPr>
        <w:t>one–off measure</w:t>
      </w:r>
      <w:r>
        <w:rPr>
          <w:rFonts w:ascii="Times New Roman" w:eastAsia="Calibri" w:hAnsi="Times New Roman" w:cs="Times New Roman"/>
          <w:i/>
          <w:color w:val="000000"/>
          <w:sz w:val="24"/>
          <w:szCs w:val="24"/>
        </w:rPr>
        <w:t>s</w:t>
      </w:r>
      <w:r w:rsidRPr="00390541">
        <w:rPr>
          <w:rFonts w:ascii="Times New Roman" w:eastAsia="Calibri" w:hAnsi="Times New Roman" w:cs="Times New Roman"/>
          <w:color w:val="000000"/>
          <w:sz w:val="24"/>
          <w:szCs w:val="24"/>
        </w:rPr>
        <w:t xml:space="preserve">) un netiek </w:t>
      </w:r>
      <w:r>
        <w:rPr>
          <w:rFonts w:ascii="Times New Roman" w:eastAsia="Calibri" w:hAnsi="Times New Roman" w:cs="Times New Roman"/>
          <w:color w:val="000000"/>
          <w:sz w:val="24"/>
          <w:szCs w:val="24"/>
        </w:rPr>
        <w:t>iekļauti</w:t>
      </w:r>
      <w:r w:rsidRPr="00390541">
        <w:rPr>
          <w:rFonts w:ascii="Times New Roman" w:eastAsia="Calibri" w:hAnsi="Times New Roman" w:cs="Times New Roman"/>
          <w:color w:val="000000"/>
          <w:sz w:val="24"/>
          <w:szCs w:val="24"/>
        </w:rPr>
        <w:t xml:space="preserve"> strukturālajā bilancē. Šāda pieeja ir paredzēta saskaņā ar likuma “Par valsts apdraudējuma un tā seku novēršanas un pārvarēšanas pasākumiem sakarā ar Covid-19 izplatību”</w:t>
      </w:r>
      <w:r w:rsidR="004E6720">
        <w:rPr>
          <w:rFonts w:ascii="Times New Roman" w:eastAsia="Calibri" w:hAnsi="Times New Roman" w:cs="Times New Roman"/>
          <w:color w:val="000000"/>
          <w:sz w:val="24"/>
          <w:szCs w:val="24"/>
        </w:rPr>
        <w:t xml:space="preserve"> 28.</w:t>
      </w:r>
      <w:r>
        <w:rPr>
          <w:rFonts w:ascii="Times New Roman" w:eastAsia="Calibri" w:hAnsi="Times New Roman" w:cs="Times New Roman"/>
          <w:color w:val="000000"/>
          <w:sz w:val="24"/>
          <w:szCs w:val="24"/>
        </w:rPr>
        <w:t>panta nosacījumiem</w:t>
      </w:r>
      <w:r w:rsidRPr="003905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FM pielietotā pieeja attiecībā uz atbalsta pasākumu ietekmes izslēgšanu no strukturālās bilances ir simetriska. 2020</w:t>
      </w:r>
      <w:r w:rsidR="004E672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gadā atbalsta pasākumi gan budžeta ieņēmumu, gan izdevumu daļā rada būtiski negatīvu ietekmi uz vispārējās valdības budžeta nominālo bilanci un atbilstoši augstāk minētajai pieejai tiek izslēgti no strukturālās bilances</w:t>
      </w:r>
      <w:r w:rsidR="00517DE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to uzlabojot. Savukārt 2021.</w:t>
      </w:r>
      <w:r w:rsidR="00A36AE5">
        <w:rPr>
          <w:rFonts w:ascii="Times New Roman" w:eastAsia="Times New Roman" w:hAnsi="Times New Roman" w:cs="Times New Roman"/>
          <w:noProof/>
          <w:color w:val="000000"/>
          <w:sz w:val="24"/>
          <w:szCs w:val="24"/>
        </w:rPr>
        <w:t>–</w:t>
      </w:r>
      <w:r w:rsidR="0030407B">
        <w:rPr>
          <w:rFonts w:ascii="Times New Roman" w:eastAsia="Calibri" w:hAnsi="Times New Roman" w:cs="Times New Roman"/>
          <w:color w:val="000000"/>
          <w:sz w:val="24"/>
          <w:szCs w:val="24"/>
        </w:rPr>
        <w:t>2023.</w:t>
      </w:r>
      <w:r>
        <w:rPr>
          <w:rFonts w:ascii="Times New Roman" w:eastAsia="Calibri" w:hAnsi="Times New Roman" w:cs="Times New Roman"/>
          <w:color w:val="000000"/>
          <w:sz w:val="24"/>
          <w:szCs w:val="24"/>
        </w:rPr>
        <w:t>gadā budžeta izdevumu puses atbalsta pasākumi n</w:t>
      </w:r>
      <w:r w:rsidR="0030407B">
        <w:rPr>
          <w:rFonts w:ascii="Times New Roman" w:eastAsia="Calibri" w:hAnsi="Times New Roman" w:cs="Times New Roman"/>
          <w:color w:val="000000"/>
          <w:sz w:val="24"/>
          <w:szCs w:val="24"/>
        </w:rPr>
        <w:t xml:space="preserve">etiek turpināti, jo atbilstoši </w:t>
      </w:r>
      <w:r>
        <w:rPr>
          <w:rFonts w:ascii="Times New Roman" w:eastAsia="Calibri" w:hAnsi="Times New Roman" w:cs="Times New Roman"/>
          <w:color w:val="000000"/>
          <w:sz w:val="24"/>
          <w:szCs w:val="24"/>
        </w:rPr>
        <w:t>valdības lēmumiem tie ir terminēti līdz šī gada beigām, bet 2020.gadā īstenotie ieņēmumu puses atbalsta pasākumi rada pozitīvu ietekmi gan uz nominālo, gan strukturālo bilanci 2021.</w:t>
      </w:r>
      <w:r w:rsidR="00A36AE5">
        <w:rPr>
          <w:rFonts w:ascii="Times New Roman" w:eastAsia="Times New Roman" w:hAnsi="Times New Roman" w:cs="Times New Roman"/>
          <w:noProof/>
          <w:color w:val="000000"/>
          <w:sz w:val="24"/>
          <w:szCs w:val="24"/>
        </w:rPr>
        <w:t>–</w:t>
      </w:r>
      <w:r w:rsidR="0030407B">
        <w:rPr>
          <w:rFonts w:ascii="Times New Roman" w:eastAsia="Calibri" w:hAnsi="Times New Roman" w:cs="Times New Roman"/>
          <w:color w:val="000000"/>
          <w:sz w:val="24"/>
          <w:szCs w:val="24"/>
        </w:rPr>
        <w:t>2023.</w:t>
      </w:r>
      <w:r>
        <w:rPr>
          <w:rFonts w:ascii="Times New Roman" w:eastAsia="Calibri" w:hAnsi="Times New Roman" w:cs="Times New Roman"/>
          <w:color w:val="000000"/>
          <w:sz w:val="24"/>
          <w:szCs w:val="24"/>
        </w:rPr>
        <w:t>gadā. Attiecīgi tā kā 2020.gadā tiek pieņemts, ka budžeta ieņēmumu puses pasākumu izraisītā ietekme ir ar vienreizēju raksturu, tāpat arī 2021</w:t>
      </w:r>
      <w:r w:rsidR="00A36AE5">
        <w:rPr>
          <w:rFonts w:ascii="Times New Roman" w:eastAsia="Times New Roman" w:hAnsi="Times New Roman" w:cs="Times New Roman"/>
          <w:noProof/>
          <w:color w:val="000000"/>
          <w:sz w:val="24"/>
          <w:szCs w:val="24"/>
        </w:rPr>
        <w:t>–</w:t>
      </w:r>
      <w:r w:rsidR="0030407B">
        <w:rPr>
          <w:rFonts w:ascii="Times New Roman" w:eastAsia="Calibri" w:hAnsi="Times New Roman" w:cs="Times New Roman"/>
          <w:color w:val="000000"/>
          <w:sz w:val="24"/>
          <w:szCs w:val="24"/>
        </w:rPr>
        <w:t>2023.</w:t>
      </w:r>
      <w:r>
        <w:rPr>
          <w:rFonts w:ascii="Times New Roman" w:eastAsia="Calibri" w:hAnsi="Times New Roman" w:cs="Times New Roman"/>
          <w:color w:val="000000"/>
          <w:sz w:val="24"/>
          <w:szCs w:val="24"/>
        </w:rPr>
        <w:t>gados tā tiek izslēgta no strukturālās bilances.</w:t>
      </w:r>
    </w:p>
    <w:p w14:paraId="687C0E26" w14:textId="77777777" w:rsidR="00DE30C4" w:rsidRPr="004B3EF1" w:rsidRDefault="00DE30C4" w:rsidP="00DE30C4">
      <w:pPr>
        <w:spacing w:after="0" w:line="240" w:lineRule="auto"/>
        <w:ind w:firstLine="720"/>
        <w:jc w:val="both"/>
        <w:rPr>
          <w:rFonts w:ascii="Times New Roman" w:eastAsia="Calibri" w:hAnsi="Times New Roman" w:cs="Times New Roman"/>
          <w:color w:val="000000"/>
          <w:sz w:val="24"/>
          <w:szCs w:val="24"/>
        </w:rPr>
      </w:pPr>
      <w:r w:rsidRPr="004B3EF1">
        <w:rPr>
          <w:rFonts w:ascii="Times New Roman" w:eastAsia="Calibri" w:hAnsi="Times New Roman" w:cs="Times New Roman"/>
          <w:color w:val="000000"/>
          <w:sz w:val="24"/>
          <w:szCs w:val="24"/>
        </w:rPr>
        <w:t>Tādējādi izmantojot iep</w:t>
      </w:r>
      <w:r>
        <w:rPr>
          <w:rFonts w:ascii="Times New Roman" w:eastAsia="Calibri" w:hAnsi="Times New Roman" w:cs="Times New Roman"/>
          <w:color w:val="000000"/>
          <w:sz w:val="24"/>
          <w:szCs w:val="24"/>
        </w:rPr>
        <w:t>riekš noteikto strukturālās bilances mērķi</w:t>
      </w:r>
      <w:r w:rsidRPr="004B3EF1">
        <w:rPr>
          <w:rFonts w:ascii="Times New Roman" w:eastAsia="Calibri" w:hAnsi="Times New Roman" w:cs="Times New Roman"/>
          <w:color w:val="000000"/>
          <w:sz w:val="24"/>
          <w:szCs w:val="24"/>
        </w:rPr>
        <w:t xml:space="preserve">, FM prognozes par izlaižu starpību un vienreizējos pasākumus tiek iegūta nominālā bilance, kas 2021.gadā ir -5,3% no IKP, 2022.gadā ir -4,0% no IKP un 2023.gadā ir -4,0% no IKP. </w:t>
      </w:r>
    </w:p>
    <w:p w14:paraId="7A37B353" w14:textId="77777777" w:rsidR="00DE30C4" w:rsidRPr="00D551C4" w:rsidRDefault="00DE30C4" w:rsidP="00DE30C4">
      <w:pPr>
        <w:spacing w:after="0" w:line="240" w:lineRule="auto"/>
        <w:ind w:firstLine="720"/>
        <w:jc w:val="both"/>
        <w:rPr>
          <w:rFonts w:ascii="Times New Roman" w:eastAsia="Calibri" w:hAnsi="Times New Roman" w:cs="Times New Roman"/>
          <w:b/>
          <w:color w:val="000000"/>
          <w:sz w:val="24"/>
          <w:szCs w:val="24"/>
          <w:highlight w:val="yellow"/>
        </w:rPr>
      </w:pPr>
    </w:p>
    <w:p w14:paraId="45E76A18" w14:textId="77777777" w:rsidR="00DE30C4" w:rsidRPr="00876A55" w:rsidRDefault="00DE30C4" w:rsidP="00DE30C4">
      <w:pPr>
        <w:spacing w:after="0" w:line="240" w:lineRule="auto"/>
        <w:ind w:firstLine="720"/>
        <w:jc w:val="both"/>
        <w:rPr>
          <w:rFonts w:ascii="Times New Roman" w:hAnsi="Times New Roman"/>
          <w:b/>
          <w:i/>
          <w:color w:val="000000"/>
          <w:sz w:val="24"/>
        </w:rPr>
      </w:pPr>
      <w:r w:rsidRPr="00876A55">
        <w:rPr>
          <w:rFonts w:ascii="Times New Roman" w:hAnsi="Times New Roman"/>
          <w:b/>
          <w:i/>
          <w:color w:val="000000"/>
          <w:sz w:val="24"/>
        </w:rPr>
        <w:t>Bilances mērķu noteikšana atbilstoši izdevumu pieauguma nosacījumam un izdevumu pārmantojamības nosacījumam.</w:t>
      </w:r>
    </w:p>
    <w:p w14:paraId="59DDE6C5" w14:textId="77777777" w:rsidR="00DE30C4" w:rsidRPr="00876A55" w:rsidRDefault="00DE30C4" w:rsidP="00DE30C4">
      <w:pPr>
        <w:spacing w:after="0" w:line="240" w:lineRule="auto"/>
        <w:ind w:firstLine="720"/>
        <w:jc w:val="both"/>
        <w:rPr>
          <w:rFonts w:ascii="Times New Roman" w:eastAsia="Calibri" w:hAnsi="Times New Roman" w:cs="Times New Roman"/>
          <w:color w:val="000000"/>
          <w:sz w:val="24"/>
          <w:szCs w:val="24"/>
        </w:rPr>
      </w:pPr>
      <w:r w:rsidRPr="00876A55">
        <w:rPr>
          <w:rFonts w:ascii="Times New Roman" w:eastAsia="Calibri" w:hAnsi="Times New Roman" w:cs="Times New Roman"/>
          <w:color w:val="000000"/>
          <w:sz w:val="24"/>
          <w:szCs w:val="24"/>
        </w:rPr>
        <w:t>Tālāk iegūtie rezultāti tiek pārbaudīti, lai nodrošinātu arī izdevumu pieauguma nosacījuma un izdevumu pārmantojamības nosacījumu izpildi.</w:t>
      </w:r>
    </w:p>
    <w:p w14:paraId="30EAFB6B" w14:textId="5CDFA978" w:rsidR="00DE30C4" w:rsidRPr="00876A55" w:rsidRDefault="00DE30C4" w:rsidP="00DE30C4">
      <w:pPr>
        <w:spacing w:after="0" w:line="240" w:lineRule="auto"/>
        <w:ind w:firstLine="720"/>
        <w:jc w:val="both"/>
        <w:rPr>
          <w:rFonts w:ascii="Times New Roman" w:eastAsia="Calibri" w:hAnsi="Times New Roman" w:cs="Times New Roman"/>
          <w:color w:val="000000"/>
          <w:sz w:val="24"/>
          <w:szCs w:val="24"/>
        </w:rPr>
      </w:pPr>
      <w:r w:rsidRPr="00876A55">
        <w:rPr>
          <w:rFonts w:ascii="Times New Roman" w:eastAsia="Calibri" w:hAnsi="Times New Roman" w:cs="Times New Roman"/>
          <w:color w:val="000000"/>
          <w:sz w:val="24"/>
          <w:szCs w:val="24"/>
        </w:rPr>
        <w:t>Kā arī iepriekšējās Stabilitātes programmās</w:t>
      </w:r>
      <w:r w:rsidR="00517DED">
        <w:rPr>
          <w:rFonts w:ascii="Times New Roman" w:eastAsia="Calibri" w:hAnsi="Times New Roman" w:cs="Times New Roman"/>
          <w:color w:val="000000"/>
          <w:sz w:val="24"/>
          <w:szCs w:val="24"/>
        </w:rPr>
        <w:t>,</w:t>
      </w:r>
      <w:r w:rsidRPr="00876A55">
        <w:rPr>
          <w:rFonts w:ascii="Times New Roman" w:eastAsia="Calibri" w:hAnsi="Times New Roman" w:cs="Times New Roman"/>
          <w:color w:val="000000"/>
          <w:sz w:val="24"/>
          <w:szCs w:val="24"/>
        </w:rPr>
        <w:t xml:space="preserve"> veicot vispārējās valdības budžeta strukturālās bilances mērķu pārbaudi atbilstoši </w:t>
      </w:r>
      <w:r w:rsidRPr="00876A55">
        <w:rPr>
          <w:rFonts w:ascii="Times New Roman" w:eastAsia="Calibri" w:hAnsi="Times New Roman" w:cs="Times New Roman"/>
          <w:b/>
          <w:color w:val="000000"/>
          <w:sz w:val="24"/>
          <w:szCs w:val="24"/>
        </w:rPr>
        <w:t>izdevumu</w:t>
      </w:r>
      <w:r w:rsidRPr="00876A55">
        <w:rPr>
          <w:rFonts w:ascii="Times New Roman" w:eastAsia="Calibri" w:hAnsi="Times New Roman" w:cs="Times New Roman"/>
          <w:color w:val="000000"/>
          <w:sz w:val="24"/>
          <w:szCs w:val="24"/>
        </w:rPr>
        <w:t xml:space="preserve"> </w:t>
      </w:r>
      <w:r w:rsidRPr="00876A55">
        <w:rPr>
          <w:rFonts w:ascii="Times New Roman" w:eastAsia="Calibri" w:hAnsi="Times New Roman" w:cs="Times New Roman"/>
          <w:b/>
          <w:color w:val="000000"/>
          <w:sz w:val="24"/>
          <w:szCs w:val="24"/>
        </w:rPr>
        <w:t>pieauguma nosacījumam</w:t>
      </w:r>
      <w:r w:rsidRPr="00876A55">
        <w:rPr>
          <w:rFonts w:ascii="Times New Roman" w:eastAsia="Calibri" w:hAnsi="Times New Roman" w:cs="Times New Roman"/>
          <w:color w:val="000000"/>
          <w:sz w:val="24"/>
          <w:szCs w:val="24"/>
        </w:rPr>
        <w:t xml:space="preserve">, izdevumu korekcijām tiek piemērotas FM veiktās prognozes attiecībā uz valsts parāda apkalpošanas izdevumiem, investīciju izdevumiem, izdevumiem ārvalstu finanšu palīdzības projektiem, kas atbilst saņemtajiem ārvalstu finanšu palīdzības ieņēmumiem, diskrecionārajiem ieņēmumiem un vienreizējiem pasākumiem, kā arī IKP deflatoru un potenciālā IKP pieaugumu. Izdevumu pieaugumu tempu nosaka tā, lai tas atbilstu 10 gadu vidējā potenciālā IKP pieaugumam. </w:t>
      </w:r>
      <w:r w:rsidR="00DA2793">
        <w:rPr>
          <w:rFonts w:ascii="Times New Roman" w:eastAsia="Calibri" w:hAnsi="Times New Roman" w:cs="Times New Roman"/>
          <w:color w:val="000000"/>
          <w:sz w:val="24"/>
          <w:szCs w:val="24"/>
        </w:rPr>
        <w:t>Papildus 2021.</w:t>
      </w:r>
      <w:r>
        <w:rPr>
          <w:rFonts w:ascii="Times New Roman" w:eastAsia="Calibri" w:hAnsi="Times New Roman" w:cs="Times New Roman"/>
          <w:color w:val="000000"/>
          <w:sz w:val="24"/>
          <w:szCs w:val="24"/>
        </w:rPr>
        <w:t>gadā maksimāli pieļaujamais izdevumu pieauguma temps tiek koriģēts ar VTM atkāpi.</w:t>
      </w:r>
    </w:p>
    <w:p w14:paraId="41BC0845" w14:textId="7E1CB408" w:rsidR="00DE30C4" w:rsidRPr="00D551C4" w:rsidRDefault="00DE30C4" w:rsidP="00DE30C4">
      <w:pPr>
        <w:spacing w:after="0" w:line="240" w:lineRule="auto"/>
        <w:ind w:firstLine="720"/>
        <w:jc w:val="both"/>
        <w:rPr>
          <w:rFonts w:ascii="Times New Roman" w:eastAsia="Calibri" w:hAnsi="Times New Roman" w:cs="Times New Roman"/>
          <w:color w:val="000000"/>
          <w:sz w:val="24"/>
          <w:szCs w:val="24"/>
          <w:highlight w:val="yellow"/>
        </w:rPr>
      </w:pPr>
      <w:r w:rsidRPr="00134A15">
        <w:rPr>
          <w:rFonts w:ascii="Times New Roman" w:eastAsia="Calibri" w:hAnsi="Times New Roman" w:cs="Times New Roman"/>
          <w:color w:val="000000"/>
          <w:sz w:val="24"/>
          <w:szCs w:val="24"/>
        </w:rPr>
        <w:t>Veicot iegūto vispārējās valdības budžeta strukturālās bilances mērķu pārbaudi atbilstoši</w:t>
      </w:r>
      <w:r w:rsidR="00517DED">
        <w:rPr>
          <w:rFonts w:ascii="Times New Roman" w:eastAsia="Calibri" w:hAnsi="Times New Roman" w:cs="Times New Roman"/>
          <w:color w:val="000000"/>
          <w:sz w:val="24"/>
          <w:szCs w:val="24"/>
        </w:rPr>
        <w:t xml:space="preserve"> izdevumu pieauguma nosacījumam</w:t>
      </w:r>
      <w:r w:rsidRPr="00134A15">
        <w:rPr>
          <w:rFonts w:ascii="Times New Roman" w:eastAsia="Calibri" w:hAnsi="Times New Roman" w:cs="Times New Roman"/>
          <w:color w:val="000000"/>
          <w:sz w:val="24"/>
          <w:szCs w:val="24"/>
        </w:rPr>
        <w:t xml:space="preserve"> tiek iegūts, ka 2021.gadā</w:t>
      </w:r>
      <w:r>
        <w:rPr>
          <w:rFonts w:ascii="Times New Roman" w:eastAsia="Calibri" w:hAnsi="Times New Roman" w:cs="Times New Roman"/>
          <w:color w:val="000000"/>
          <w:sz w:val="24"/>
          <w:szCs w:val="24"/>
        </w:rPr>
        <w:t xml:space="preserve"> reālo koriģēto</w:t>
      </w:r>
      <w:r w:rsidRPr="00134A15">
        <w:rPr>
          <w:rFonts w:ascii="Times New Roman" w:eastAsia="Calibri" w:hAnsi="Times New Roman" w:cs="Times New Roman"/>
          <w:color w:val="000000"/>
          <w:sz w:val="24"/>
          <w:szCs w:val="24"/>
        </w:rPr>
        <w:t xml:space="preserve"> izdevumu pieaugums, ko pieļauj izdevumu pieauguma nosacījums ir </w:t>
      </w:r>
      <w:r>
        <w:rPr>
          <w:rFonts w:ascii="Times New Roman" w:eastAsia="Calibri" w:hAnsi="Times New Roman" w:cs="Times New Roman"/>
          <w:color w:val="000000"/>
          <w:sz w:val="24"/>
          <w:szCs w:val="24"/>
        </w:rPr>
        <w:t>5,65</w:t>
      </w:r>
      <w:r w:rsidRPr="00134A15">
        <w:rPr>
          <w:rFonts w:ascii="Times New Roman" w:eastAsia="Calibri" w:hAnsi="Times New Roman" w:cs="Times New Roman"/>
          <w:color w:val="000000"/>
          <w:sz w:val="24"/>
          <w:szCs w:val="24"/>
        </w:rPr>
        <w:t>%, 2022.gadā 2,79% un 2023.gadā 2,78%. Savukārt iepriekš noteiktais vispārējās valdības budžeta strukturālās bilances mērķis saskaņā ar bilances nosacījumu nosaka, ka reālie koriģētie izdevumi var palielināties par 0,97% 2021.gadā, -0,30% 2022.gadā un 2,72% 2023.gadā. Veicot izdevumu pārmantojamības nosacījuma pārbaudi tika konstatēts, ka papildu korekcijas nav jāveic.</w:t>
      </w:r>
    </w:p>
    <w:p w14:paraId="65961515" w14:textId="043374E9" w:rsidR="00DE30C4" w:rsidRPr="00134A15" w:rsidRDefault="00DE30C4" w:rsidP="00DE30C4">
      <w:pPr>
        <w:spacing w:after="0" w:line="240" w:lineRule="auto"/>
        <w:ind w:firstLine="720"/>
        <w:jc w:val="both"/>
        <w:rPr>
          <w:rFonts w:ascii="Times New Roman" w:eastAsia="Calibri" w:hAnsi="Times New Roman" w:cs="Times New Roman"/>
          <w:color w:val="000000"/>
          <w:sz w:val="24"/>
          <w:szCs w:val="24"/>
        </w:rPr>
      </w:pPr>
      <w:r w:rsidRPr="00134A15">
        <w:rPr>
          <w:rFonts w:ascii="Times New Roman" w:eastAsia="Calibri" w:hAnsi="Times New Roman" w:cs="Times New Roman"/>
          <w:color w:val="000000"/>
          <w:sz w:val="24"/>
          <w:szCs w:val="24"/>
        </w:rPr>
        <w:t>Līdz ar to 2021.</w:t>
      </w:r>
      <w:r w:rsidR="00DB3816">
        <w:rPr>
          <w:rFonts w:ascii="Times New Roman" w:eastAsia="Times New Roman" w:hAnsi="Times New Roman" w:cs="Times New Roman"/>
          <w:noProof/>
          <w:color w:val="000000"/>
          <w:sz w:val="24"/>
          <w:szCs w:val="24"/>
        </w:rPr>
        <w:t>–</w:t>
      </w:r>
      <w:r w:rsidR="00DA2793">
        <w:rPr>
          <w:rFonts w:ascii="Times New Roman" w:eastAsia="Calibri" w:hAnsi="Times New Roman" w:cs="Times New Roman"/>
          <w:color w:val="000000"/>
          <w:sz w:val="24"/>
          <w:szCs w:val="24"/>
        </w:rPr>
        <w:t>2023.</w:t>
      </w:r>
      <w:r w:rsidRPr="00134A15">
        <w:rPr>
          <w:rFonts w:ascii="Times New Roman" w:eastAsia="Calibri" w:hAnsi="Times New Roman" w:cs="Times New Roman"/>
          <w:color w:val="000000"/>
          <w:sz w:val="24"/>
          <w:szCs w:val="24"/>
        </w:rPr>
        <w:t>gadam tiek saglabāti strukturālās bilances mērķi atbilstoši bilances nosacījumam.</w:t>
      </w:r>
    </w:p>
    <w:p w14:paraId="7F9823D0" w14:textId="77777777" w:rsidR="00577E25" w:rsidRDefault="00577E25" w:rsidP="00DE30C4">
      <w:pPr>
        <w:spacing w:after="0" w:line="240" w:lineRule="auto"/>
        <w:ind w:firstLine="720"/>
        <w:jc w:val="both"/>
        <w:rPr>
          <w:rFonts w:ascii="Times New Roman" w:hAnsi="Times New Roman"/>
          <w:b/>
          <w:i/>
          <w:color w:val="000000"/>
          <w:sz w:val="24"/>
        </w:rPr>
      </w:pPr>
    </w:p>
    <w:p w14:paraId="0E224A9C" w14:textId="30C48E69" w:rsidR="00DE30C4" w:rsidRPr="00D75833" w:rsidRDefault="00DE30C4" w:rsidP="00DE30C4">
      <w:pPr>
        <w:spacing w:after="0" w:line="240" w:lineRule="auto"/>
        <w:ind w:firstLine="720"/>
        <w:jc w:val="both"/>
        <w:rPr>
          <w:rFonts w:ascii="Times New Roman" w:hAnsi="Times New Roman"/>
          <w:b/>
          <w:i/>
          <w:color w:val="000000"/>
          <w:sz w:val="24"/>
        </w:rPr>
      </w:pPr>
      <w:r w:rsidRPr="00D75833">
        <w:rPr>
          <w:rFonts w:ascii="Times New Roman" w:hAnsi="Times New Roman"/>
          <w:b/>
          <w:i/>
          <w:color w:val="000000"/>
          <w:sz w:val="24"/>
        </w:rPr>
        <w:t>Vispārējās valdības budžeta mērķi 2021., 2022. un 2023.gadam</w:t>
      </w:r>
    </w:p>
    <w:p w14:paraId="5494FDCA" w14:textId="77777777" w:rsidR="00DE30C4" w:rsidRDefault="00DE30C4" w:rsidP="00DE30C4">
      <w:pPr>
        <w:spacing w:after="0" w:line="240" w:lineRule="auto"/>
        <w:ind w:firstLine="720"/>
        <w:jc w:val="both"/>
        <w:rPr>
          <w:rFonts w:ascii="Times New Roman" w:hAnsi="Times New Roman" w:cs="Times New Roman"/>
          <w:b/>
          <w:sz w:val="24"/>
          <w:szCs w:val="24"/>
        </w:rPr>
      </w:pPr>
      <w:r w:rsidRPr="00D75833">
        <w:rPr>
          <w:rFonts w:ascii="Times New Roman" w:hAnsi="Times New Roman" w:cs="Times New Roman"/>
          <w:sz w:val="24"/>
          <w:szCs w:val="24"/>
        </w:rPr>
        <w:t>Ņemot vērā augstāk veikto fiskālo nosacījumu pārbaudi, tiek noteikti kvantitatīvie fiskālie mērķi turpmākajiem trīs gadiem atbilstoši bilances nosacījuma rezultātiem, t.i.,</w:t>
      </w:r>
      <w:r w:rsidRPr="00D75833">
        <w:rPr>
          <w:rFonts w:ascii="Times New Roman" w:hAnsi="Times New Roman" w:cs="Times New Roman"/>
          <w:b/>
          <w:sz w:val="24"/>
          <w:szCs w:val="24"/>
        </w:rPr>
        <w:t xml:space="preserve"> nodrošināt vispārējās valdības budžeta strukturālo bilanci 2021.gadā -1,6% no IKP, 2022.gadā -0,5% no IKP un 2023.gadā -0,5% no IKP. Vispārējās valdības nominālā bilance, kas izriet no strukturālās bilances mērķa, tiek noteikta: -5,3% no IKP 2021.gadam, -4,0% no IKP 2022.gadam un -4,0% no IKP 2023.gadam.</w:t>
      </w:r>
    </w:p>
    <w:p w14:paraId="53D042C4" w14:textId="1E6122A0" w:rsidR="0030407B" w:rsidRDefault="0030407B" w:rsidP="0030407B">
      <w:pPr>
        <w:spacing w:after="0" w:line="240" w:lineRule="auto"/>
        <w:ind w:firstLine="720"/>
        <w:jc w:val="both"/>
        <w:rPr>
          <w:rFonts w:ascii="Times New Roman" w:hAnsi="Times New Roman" w:cs="Times New Roman"/>
          <w:sz w:val="24"/>
          <w:szCs w:val="24"/>
        </w:rPr>
      </w:pPr>
      <w:r w:rsidRPr="009A1E14">
        <w:rPr>
          <w:rFonts w:ascii="Times New Roman" w:hAnsi="Times New Roman" w:cs="Times New Roman"/>
          <w:sz w:val="24"/>
          <w:szCs w:val="24"/>
        </w:rPr>
        <w:t xml:space="preserve">Līdz ar to </w:t>
      </w:r>
      <w:r>
        <w:rPr>
          <w:rFonts w:ascii="Times New Roman" w:hAnsi="Times New Roman" w:cs="Times New Roman"/>
          <w:sz w:val="24"/>
          <w:szCs w:val="24"/>
        </w:rPr>
        <w:t>2021.gadā ir pieejama fiskālā telpa 0,2% no IKP un 2023.gadā 1,3 % no IKP, bet 2022.gadā strukturālās bilance pie nemainīgas politikas sakrīt ar pieļaujamo strukturālo bilanci</w:t>
      </w:r>
      <w:r w:rsidR="008E7B67">
        <w:rPr>
          <w:rFonts w:ascii="Times New Roman" w:hAnsi="Times New Roman" w:cs="Times New Roman"/>
          <w:sz w:val="24"/>
          <w:szCs w:val="24"/>
        </w:rPr>
        <w:t>,</w:t>
      </w:r>
      <w:r>
        <w:rPr>
          <w:rFonts w:ascii="Times New Roman" w:hAnsi="Times New Roman" w:cs="Times New Roman"/>
          <w:sz w:val="24"/>
          <w:szCs w:val="24"/>
        </w:rPr>
        <w:t xml:space="preserve"> un fiskālā telpa nav pieejama. </w:t>
      </w:r>
    </w:p>
    <w:p w14:paraId="779E44CC" w14:textId="058D50C0" w:rsidR="0030407B" w:rsidRPr="009A1E14" w:rsidRDefault="0030407B" w:rsidP="003040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ar augsto nenoteiktību attiecībā uz izmantotajiem pieņēmumiem fiskālo mērķu noteikšanā, Stabilitātes programmas pielikumos iekļautie fiskālie dati ir parādīti tikai pie nemainīgas politikas scenārija. </w:t>
      </w:r>
    </w:p>
    <w:p w14:paraId="72D91448" w14:textId="77777777" w:rsidR="00DE30C4" w:rsidRDefault="00DE30C4" w:rsidP="00DE30C4">
      <w:pPr>
        <w:spacing w:after="0" w:line="240" w:lineRule="auto"/>
        <w:ind w:firstLine="720"/>
        <w:jc w:val="both"/>
        <w:rPr>
          <w:rFonts w:ascii="Times New Roman" w:hAnsi="Times New Roman" w:cs="Times New Roman"/>
          <w:b/>
          <w:sz w:val="24"/>
          <w:szCs w:val="24"/>
        </w:rPr>
      </w:pPr>
    </w:p>
    <w:p w14:paraId="0CEC0F90" w14:textId="77777777" w:rsidR="00382FDF" w:rsidRPr="00DE30C4" w:rsidRDefault="00C347BC" w:rsidP="00DC41EC">
      <w:pPr>
        <w:pStyle w:val="Heading3"/>
        <w:numPr>
          <w:ilvl w:val="2"/>
          <w:numId w:val="1"/>
        </w:numPr>
        <w:spacing w:before="120" w:after="120" w:line="240" w:lineRule="auto"/>
        <w:ind w:left="1418"/>
        <w:rPr>
          <w:rFonts w:ascii="Times New Roman" w:hAnsi="Times New Roman" w:cs="Times New Roman"/>
          <w:sz w:val="24"/>
          <w:szCs w:val="24"/>
        </w:rPr>
      </w:pPr>
      <w:bookmarkStart w:id="30" w:name="_Toc38887972"/>
      <w:r w:rsidRPr="00DE30C4">
        <w:rPr>
          <w:rFonts w:ascii="Times New Roman" w:hAnsi="Times New Roman" w:cs="Times New Roman"/>
          <w:sz w:val="24"/>
          <w:szCs w:val="24"/>
        </w:rPr>
        <w:t>D</w:t>
      </w:r>
      <w:r w:rsidR="00382FDF" w:rsidRPr="00DE30C4">
        <w:rPr>
          <w:rFonts w:ascii="Times New Roman" w:hAnsi="Times New Roman" w:cs="Times New Roman"/>
          <w:sz w:val="24"/>
          <w:szCs w:val="24"/>
        </w:rPr>
        <w:t>iskrecionārie pasākumi</w:t>
      </w:r>
      <w:bookmarkEnd w:id="29"/>
      <w:bookmarkEnd w:id="30"/>
    </w:p>
    <w:p w14:paraId="60D78BB2" w14:textId="77777777" w:rsidR="008E7B67" w:rsidRDefault="008E7B67" w:rsidP="008E7B67">
      <w:pPr>
        <w:spacing w:after="0" w:line="240" w:lineRule="auto"/>
        <w:ind w:firstLine="698"/>
        <w:jc w:val="both"/>
        <w:rPr>
          <w:rFonts w:ascii="Times New Roman" w:hAnsi="Times New Roman" w:cs="Times New Roman"/>
          <w:sz w:val="24"/>
          <w:szCs w:val="24"/>
        </w:rPr>
      </w:pPr>
      <w:bookmarkStart w:id="31" w:name="_Toc510790661"/>
      <w:bookmarkStart w:id="32" w:name="_Toc511027821"/>
      <w:bookmarkStart w:id="33" w:name="_Toc5627369"/>
      <w:r>
        <w:rPr>
          <w:rFonts w:ascii="Times New Roman" w:hAnsi="Times New Roman" w:cs="Times New Roman"/>
          <w:sz w:val="24"/>
          <w:szCs w:val="24"/>
        </w:rPr>
        <w:t>S</w:t>
      </w:r>
      <w:r w:rsidRPr="00E4057D">
        <w:rPr>
          <w:rFonts w:ascii="Times New Roman" w:hAnsi="Times New Roman" w:cs="Times New Roman"/>
          <w:sz w:val="24"/>
          <w:szCs w:val="24"/>
        </w:rPr>
        <w:t>tarplaikā st</w:t>
      </w:r>
      <w:r>
        <w:rPr>
          <w:rFonts w:ascii="Times New Roman" w:hAnsi="Times New Roman" w:cs="Times New Roman"/>
          <w:sz w:val="24"/>
          <w:szCs w:val="24"/>
        </w:rPr>
        <w:t>arp Stabilitātes programmu 2019.–2022</w:t>
      </w:r>
      <w:r w:rsidRPr="00E4057D">
        <w:rPr>
          <w:rFonts w:ascii="Times New Roman" w:hAnsi="Times New Roman" w:cs="Times New Roman"/>
          <w:sz w:val="24"/>
          <w:szCs w:val="24"/>
        </w:rPr>
        <w:t>.gadam</w:t>
      </w:r>
      <w:r>
        <w:rPr>
          <w:rFonts w:ascii="Times New Roman" w:hAnsi="Times New Roman" w:cs="Times New Roman"/>
          <w:sz w:val="24"/>
          <w:szCs w:val="24"/>
        </w:rPr>
        <w:t xml:space="preserve"> un Stabilitātes programmu 2020.–2023</w:t>
      </w:r>
      <w:r w:rsidRPr="00E4057D">
        <w:rPr>
          <w:rFonts w:ascii="Times New Roman" w:hAnsi="Times New Roman" w:cs="Times New Roman"/>
          <w:sz w:val="24"/>
          <w:szCs w:val="24"/>
        </w:rPr>
        <w:t xml:space="preserve">.gadam ir pieņemti fiskālās politikas lēmumi. </w:t>
      </w:r>
      <w:r>
        <w:rPr>
          <w:rFonts w:ascii="Times New Roman" w:hAnsi="Times New Roman" w:cs="Times New Roman"/>
          <w:sz w:val="24"/>
          <w:szCs w:val="24"/>
        </w:rPr>
        <w:t xml:space="preserve">Tie iekļauj </w:t>
      </w:r>
    </w:p>
    <w:p w14:paraId="24C23DCF" w14:textId="0204733F" w:rsidR="008E7B67" w:rsidRPr="008E7B67" w:rsidRDefault="008E7B67" w:rsidP="008E7B67">
      <w:pPr>
        <w:pStyle w:val="ListParagraph"/>
        <w:numPr>
          <w:ilvl w:val="0"/>
          <w:numId w:val="40"/>
        </w:numPr>
        <w:spacing w:after="0" w:line="240" w:lineRule="auto"/>
        <w:jc w:val="both"/>
        <w:rPr>
          <w:rFonts w:ascii="Times New Roman" w:hAnsi="Times New Roman" w:cs="Times New Roman"/>
          <w:sz w:val="24"/>
          <w:szCs w:val="24"/>
        </w:rPr>
      </w:pPr>
      <w:r w:rsidRPr="008E7B67">
        <w:rPr>
          <w:rFonts w:ascii="Times New Roman" w:hAnsi="Times New Roman" w:cs="Times New Roman"/>
          <w:sz w:val="24"/>
          <w:szCs w:val="24"/>
        </w:rPr>
        <w:t xml:space="preserve">pasākumus, kas ietverti likumā "Par vidēja termiņa budžeta ietvaru 2020., 2021. un 2022.gadam" un likumā "Par valsts budžetu 2020.gadam", kā arī </w:t>
      </w:r>
    </w:p>
    <w:p w14:paraId="28D33D3B" w14:textId="52CD3049" w:rsidR="00DE30C4" w:rsidRPr="008E7B67" w:rsidRDefault="008E7B67" w:rsidP="008E7B67">
      <w:pPr>
        <w:pStyle w:val="ListParagraph"/>
        <w:numPr>
          <w:ilvl w:val="0"/>
          <w:numId w:val="40"/>
        </w:numPr>
        <w:spacing w:after="0" w:line="240" w:lineRule="auto"/>
        <w:jc w:val="both"/>
        <w:rPr>
          <w:rFonts w:ascii="Times New Roman" w:hAnsi="Times New Roman" w:cs="Times New Roman"/>
          <w:sz w:val="24"/>
          <w:szCs w:val="24"/>
        </w:rPr>
      </w:pPr>
      <w:r w:rsidRPr="008E7B67">
        <w:rPr>
          <w:rFonts w:ascii="Times New Roman" w:hAnsi="Times New Roman" w:cs="Times New Roman"/>
          <w:sz w:val="24"/>
          <w:szCs w:val="24"/>
        </w:rPr>
        <w:t xml:space="preserve">(ii) valdības un Saeimas līdz šā gada 17.aprīlim apstiprinātos (tai skaitā konceptuāli) atbalsta pasākumus Covid-19 krīzes </w:t>
      </w:r>
      <w:r w:rsidR="00DE30C4" w:rsidRPr="008E7B67">
        <w:rPr>
          <w:rFonts w:ascii="Times New Roman" w:hAnsi="Times New Roman" w:cs="Times New Roman"/>
          <w:sz w:val="24"/>
          <w:szCs w:val="24"/>
        </w:rPr>
        <w:t>seku mazināšanai. Pirmais pasākumu kopums šajā Stabilitātes programmā netiek atsevišķi izklāstīts, bet ar to var iepazīties Latvijas Vispārējās valdības budžeta plāna projektā 2020.gadam. Savukārt otrais pasākumu kopums ir detalizēti aprakstīts šajā Stabilitātes programmā gan sadaļā “Covid-19 ietekmes scenārijs”, gan pie</w:t>
      </w:r>
      <w:r w:rsidR="00A36AE5" w:rsidRPr="008E7B67">
        <w:rPr>
          <w:rFonts w:ascii="Times New Roman" w:hAnsi="Times New Roman" w:cs="Times New Roman"/>
          <w:sz w:val="24"/>
          <w:szCs w:val="24"/>
        </w:rPr>
        <w:t>likuma 6.</w:t>
      </w:r>
      <w:r w:rsidR="00DE30C4" w:rsidRPr="008E7B67">
        <w:rPr>
          <w:rFonts w:ascii="Times New Roman" w:hAnsi="Times New Roman" w:cs="Times New Roman"/>
          <w:sz w:val="24"/>
          <w:szCs w:val="24"/>
        </w:rPr>
        <w:t>tabulā.</w:t>
      </w:r>
    </w:p>
    <w:p w14:paraId="4AE0D088" w14:textId="19D12FB1" w:rsidR="00DE30C4" w:rsidRDefault="00DE30C4" w:rsidP="00DE30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2020.gada budžeta izstrādes laikā pieņemtie lēmumi ir ietverti gan šīs Stabilitātes programmas bāzes fiskālajā scenārijā, gan Covid-19 ietekmes scenārijā, savukārt </w:t>
      </w:r>
      <w:r w:rsidRPr="00294347">
        <w:rPr>
          <w:rFonts w:ascii="Times New Roman" w:hAnsi="Times New Roman" w:cs="Times New Roman"/>
          <w:sz w:val="24"/>
          <w:szCs w:val="24"/>
        </w:rPr>
        <w:t>atbal</w:t>
      </w:r>
      <w:r>
        <w:rPr>
          <w:rFonts w:ascii="Times New Roman" w:hAnsi="Times New Roman" w:cs="Times New Roman"/>
          <w:sz w:val="24"/>
          <w:szCs w:val="24"/>
        </w:rPr>
        <w:t>sta pasākumi Covid-19</w:t>
      </w:r>
      <w:r w:rsidRPr="00294347">
        <w:rPr>
          <w:rFonts w:ascii="Times New Roman" w:hAnsi="Times New Roman" w:cs="Times New Roman"/>
          <w:sz w:val="24"/>
          <w:szCs w:val="24"/>
        </w:rPr>
        <w:t xml:space="preserve"> krīzes seku mazināšanai</w:t>
      </w:r>
      <w:r>
        <w:rPr>
          <w:rFonts w:ascii="Times New Roman" w:hAnsi="Times New Roman" w:cs="Times New Roman"/>
          <w:sz w:val="24"/>
          <w:szCs w:val="24"/>
        </w:rPr>
        <w:t xml:space="preserve"> ir ietverti tikai Covid-19 ietekmes scenārijā.</w:t>
      </w:r>
    </w:p>
    <w:p w14:paraId="091F553F" w14:textId="77777777" w:rsidR="00577E25" w:rsidRPr="00E4057D" w:rsidRDefault="00577E25" w:rsidP="00DE30C4">
      <w:pPr>
        <w:spacing w:after="0" w:line="240" w:lineRule="auto"/>
        <w:ind w:firstLine="720"/>
        <w:jc w:val="both"/>
        <w:rPr>
          <w:rFonts w:ascii="Times New Roman" w:hAnsi="Times New Roman" w:cs="Times New Roman"/>
          <w:sz w:val="24"/>
          <w:szCs w:val="24"/>
        </w:rPr>
      </w:pPr>
    </w:p>
    <w:p w14:paraId="59FDD60C" w14:textId="77777777" w:rsidR="00382FDF" w:rsidRPr="00EE4325" w:rsidRDefault="00382FDF" w:rsidP="00DC41EC">
      <w:pPr>
        <w:pStyle w:val="Heading3"/>
        <w:numPr>
          <w:ilvl w:val="2"/>
          <w:numId w:val="1"/>
        </w:numPr>
        <w:spacing w:before="120" w:after="120" w:line="240" w:lineRule="auto"/>
        <w:ind w:left="1418"/>
        <w:rPr>
          <w:rFonts w:ascii="Times New Roman" w:hAnsi="Times New Roman" w:cs="Times New Roman"/>
          <w:sz w:val="24"/>
          <w:szCs w:val="24"/>
        </w:rPr>
      </w:pPr>
      <w:bookmarkStart w:id="34" w:name="_Toc38887973"/>
      <w:r w:rsidRPr="00EE4325">
        <w:rPr>
          <w:rFonts w:ascii="Times New Roman" w:hAnsi="Times New Roman" w:cs="Times New Roman"/>
          <w:sz w:val="24"/>
          <w:szCs w:val="24"/>
        </w:rPr>
        <w:t>Fiskāli nozīmīg</w:t>
      </w:r>
      <w:r w:rsidR="00CC1A43" w:rsidRPr="00EE4325">
        <w:rPr>
          <w:rFonts w:ascii="Times New Roman" w:hAnsi="Times New Roman" w:cs="Times New Roman"/>
          <w:sz w:val="24"/>
          <w:szCs w:val="24"/>
        </w:rPr>
        <w:t>a strukturālā</w:t>
      </w:r>
      <w:r w:rsidRPr="00EE4325">
        <w:rPr>
          <w:rFonts w:ascii="Times New Roman" w:hAnsi="Times New Roman" w:cs="Times New Roman"/>
          <w:sz w:val="24"/>
          <w:szCs w:val="24"/>
        </w:rPr>
        <w:t xml:space="preserve"> reforma Regulas Nr. 1175/2011</w:t>
      </w:r>
      <w:r w:rsidR="00CC1A43" w:rsidRPr="008E7B67">
        <w:rPr>
          <w:rStyle w:val="FootnoteReference"/>
          <w:rFonts w:cs="Times New Roman"/>
          <w:szCs w:val="24"/>
        </w:rPr>
        <w:footnoteReference w:id="5"/>
      </w:r>
      <w:r w:rsidRPr="00EE4325">
        <w:rPr>
          <w:rFonts w:ascii="Times New Roman" w:hAnsi="Times New Roman" w:cs="Times New Roman"/>
          <w:sz w:val="24"/>
          <w:szCs w:val="24"/>
        </w:rPr>
        <w:t xml:space="preserve"> izpratnē</w:t>
      </w:r>
      <w:bookmarkEnd w:id="31"/>
      <w:bookmarkEnd w:id="32"/>
      <w:bookmarkEnd w:id="33"/>
      <w:bookmarkEnd w:id="34"/>
    </w:p>
    <w:p w14:paraId="45E28EC7" w14:textId="77777777"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bookmarkStart w:id="35" w:name="_Toc510790656"/>
      <w:bookmarkStart w:id="36" w:name="_Toc5627370"/>
      <w:bookmarkStart w:id="37" w:name="_Toc510790664"/>
      <w:r w:rsidRPr="00C3305B">
        <w:rPr>
          <w:rFonts w:ascii="Times New Roman" w:eastAsia="Times New Roman" w:hAnsi="Times New Roman" w:cs="Times New Roman"/>
          <w:sz w:val="24"/>
          <w:szCs w:val="24"/>
        </w:rPr>
        <w:t>Stabilitātes programmā 2016.</w:t>
      </w:r>
      <w:r w:rsidRPr="00C3305B">
        <w:rPr>
          <w:rFonts w:ascii="Times New Roman" w:eastAsia="Times New Roman" w:hAnsi="Times New Roman" w:cs="Times New Roman"/>
          <w:noProof/>
          <w:color w:val="000000"/>
          <w:sz w:val="24"/>
          <w:szCs w:val="24"/>
        </w:rPr>
        <w:t xml:space="preserve"> – </w:t>
      </w:r>
      <w:r w:rsidRPr="00C3305B">
        <w:rPr>
          <w:rFonts w:ascii="Times New Roman" w:eastAsia="Times New Roman" w:hAnsi="Times New Roman" w:cs="Times New Roman"/>
          <w:sz w:val="24"/>
          <w:szCs w:val="24"/>
        </w:rPr>
        <w:t>2019.gadam Latvija pieteica veselības sistēmas reformu kā būtisku strukturālo reformu ar ilgtermiņa pozitīvu efektu uz publisko finanšu ilgtspēju, nolūkā attiecināt uz šo reformu iespēju novirzīties no VTM saskaņā ar EK komunikāciju</w:t>
      </w:r>
      <w:r w:rsidRPr="00C3305B">
        <w:rPr>
          <w:rFonts w:ascii="Garamond" w:eastAsia="Times New Roman" w:hAnsi="Garamond" w:cs="Times New Roman"/>
          <w:sz w:val="20"/>
          <w:szCs w:val="24"/>
          <w:vertAlign w:val="superscript"/>
        </w:rPr>
        <w:footnoteReference w:id="6"/>
      </w:r>
      <w:r w:rsidRPr="00C3305B">
        <w:rPr>
          <w:rFonts w:ascii="Times New Roman" w:eastAsia="Times New Roman" w:hAnsi="Times New Roman" w:cs="Times New Roman"/>
          <w:sz w:val="24"/>
          <w:szCs w:val="24"/>
        </w:rPr>
        <w:t>. EK izskatīja Latvijas iesniegumu un atbalstīja deficīta atkāpes piešķiršanu veselības sistēmas reformai. Lai ievērotu strukturālā deficīta drošības rezervi attiecībā uz Līgumā par ES darbību noteikto atsauces vērtību 3% apmērā no IKP, Latvijai piešķirtā deficīta atkāpe ir 0,13% no IKP 2017.gadā, 0,40% no IKP 2018.gadā un 0,50% no IKP 2019.gadā, savukārt 2020.gadā atkāpe beidzas.</w:t>
      </w:r>
    </w:p>
    <w:p w14:paraId="1F8C4A3A" w14:textId="77777777"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Jāatzīmē, ka Latvijā kopumā tiek runāts par trīs reformām veselības aprūpes jomā:</w:t>
      </w:r>
    </w:p>
    <w:p w14:paraId="6408560E" w14:textId="3CFF9BB2" w:rsidR="00C3305B" w:rsidRPr="00C3305B" w:rsidRDefault="00C3305B" w:rsidP="00C3305B">
      <w:pPr>
        <w:numPr>
          <w:ilvl w:val="0"/>
          <w:numId w:val="7"/>
        </w:numPr>
        <w:spacing w:after="0" w:line="240" w:lineRule="auto"/>
        <w:ind w:right="-1"/>
        <w:contextualSpacing/>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Reforma, kas tiek īstenota, pamatojoties uz vidēja termiņa politikas plānošanas dokumentu “Sabiedrības veselības pamatnostādņu 2014.</w:t>
      </w:r>
      <w:r w:rsidR="00A36AE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w:t>
      </w:r>
    </w:p>
    <w:p w14:paraId="2EDA3FC3" w14:textId="77777777" w:rsidR="00C3305B" w:rsidRPr="00C3305B" w:rsidRDefault="00C3305B" w:rsidP="00C3305B">
      <w:pPr>
        <w:numPr>
          <w:ilvl w:val="0"/>
          <w:numId w:val="7"/>
        </w:numPr>
        <w:spacing w:after="0" w:line="240" w:lineRule="auto"/>
        <w:ind w:right="-1"/>
        <w:contextualSpacing/>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Veselības finansēšanas reforma;</w:t>
      </w:r>
    </w:p>
    <w:p w14:paraId="05CCEC2B" w14:textId="77777777" w:rsidR="00C3305B" w:rsidRPr="00C3305B" w:rsidRDefault="00C3305B" w:rsidP="00C3305B">
      <w:pPr>
        <w:numPr>
          <w:ilvl w:val="0"/>
          <w:numId w:val="7"/>
        </w:numPr>
        <w:spacing w:after="0" w:line="240" w:lineRule="auto"/>
        <w:ind w:right="-1"/>
        <w:contextualSpacing/>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Veselības sistēmas pārvaldības reforma.</w:t>
      </w:r>
    </w:p>
    <w:p w14:paraId="218CD64F" w14:textId="77777777" w:rsidR="00C3305B" w:rsidRPr="00C3305B" w:rsidRDefault="00C3305B" w:rsidP="00C3305B">
      <w:pPr>
        <w:spacing w:after="0" w:line="240" w:lineRule="auto"/>
        <w:ind w:right="-1" w:firstLine="709"/>
        <w:contextualSpacing/>
        <w:jc w:val="both"/>
        <w:rPr>
          <w:rFonts w:ascii="Times New Roman" w:eastAsia="Times New Roman" w:hAnsi="Times New Roman" w:cs="Times New Roman"/>
          <w:sz w:val="24"/>
          <w:szCs w:val="24"/>
        </w:rPr>
      </w:pPr>
    </w:p>
    <w:p w14:paraId="33066061" w14:textId="7206D5A6" w:rsidR="00C3305B" w:rsidRPr="00C3305B" w:rsidRDefault="00C3305B" w:rsidP="00C3305B">
      <w:pPr>
        <w:spacing w:after="0" w:line="240" w:lineRule="auto"/>
        <w:ind w:right="-1" w:firstLine="709"/>
        <w:contextualSpacing/>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Šajā Stabilitātes programmā tiek aprakstīta veselības aprūpes reforma, kas balstās uz vidēja termiņa politikas plānošanas dokumenta “Sabiedrības veselības pamatnostādņu </w:t>
      </w:r>
      <w:r w:rsidR="008E7B67">
        <w:rPr>
          <w:rFonts w:ascii="Times New Roman" w:eastAsia="Times New Roman" w:hAnsi="Times New Roman" w:cs="Times New Roman"/>
          <w:sz w:val="24"/>
          <w:szCs w:val="24"/>
        </w:rPr>
        <w:br/>
      </w:r>
      <w:r w:rsidRPr="00C3305B">
        <w:rPr>
          <w:rFonts w:ascii="Times New Roman" w:eastAsia="Times New Roman" w:hAnsi="Times New Roman" w:cs="Times New Roman"/>
          <w:sz w:val="24"/>
          <w:szCs w:val="24"/>
        </w:rPr>
        <w:t>2014.</w:t>
      </w:r>
      <w:r w:rsidR="00A36AE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 īstenošanu, un sekojoši, ievērojot iepriekšējā Stabilitātes programmā ieviesto praksi, nākamajās apakšsadaļās tiks izklāstīti reformas īstenošanas rezultāti pagājušajā gadā (t.i. 2019.gadā).</w:t>
      </w:r>
    </w:p>
    <w:p w14:paraId="16AC2E40" w14:textId="77777777" w:rsidR="00C3305B" w:rsidRPr="00C3305B" w:rsidRDefault="00C3305B" w:rsidP="00C3305B">
      <w:pPr>
        <w:spacing w:after="60" w:line="240" w:lineRule="auto"/>
        <w:ind w:right="-1" w:firstLine="709"/>
        <w:contextualSpacing/>
        <w:rPr>
          <w:rFonts w:ascii="Times New Roman" w:eastAsia="Times New Roman" w:hAnsi="Times New Roman" w:cs="Times New Roman"/>
          <w:b/>
          <w:sz w:val="24"/>
          <w:szCs w:val="24"/>
        </w:rPr>
      </w:pPr>
    </w:p>
    <w:p w14:paraId="66770BE3" w14:textId="77777777" w:rsidR="00C3305B" w:rsidRPr="00C3305B" w:rsidRDefault="00C3305B" w:rsidP="00C3305B">
      <w:pPr>
        <w:spacing w:after="60" w:line="240" w:lineRule="auto"/>
        <w:ind w:right="-1" w:firstLine="709"/>
        <w:contextualSpacing/>
        <w:rPr>
          <w:rFonts w:ascii="Times New Roman" w:eastAsia="Times New Roman" w:hAnsi="Times New Roman" w:cs="Times New Roman"/>
          <w:b/>
          <w:i/>
          <w:sz w:val="24"/>
        </w:rPr>
      </w:pPr>
      <w:r w:rsidRPr="00C3305B">
        <w:rPr>
          <w:rFonts w:ascii="Times New Roman" w:eastAsia="Times New Roman" w:hAnsi="Times New Roman" w:cs="Times New Roman"/>
          <w:b/>
          <w:i/>
          <w:sz w:val="24"/>
        </w:rPr>
        <w:t xml:space="preserve">Veselības aprūpes sistēmas reformas pamatojums un īstenošana </w:t>
      </w:r>
    </w:p>
    <w:p w14:paraId="000FFDFA" w14:textId="42FD5D9D"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Deficīta atkāpe tika pieprasīta un saņemta reformai, kas tiek īstenota, pamatojoties uz vidēja termiņa politikas plānošanas dokumentu “Sabiedrības veselības pamatnostādnes </w:t>
      </w:r>
      <w:r w:rsidR="00560DBE">
        <w:rPr>
          <w:rFonts w:ascii="Times New Roman" w:eastAsia="Times New Roman" w:hAnsi="Times New Roman" w:cs="Times New Roman"/>
          <w:sz w:val="24"/>
          <w:szCs w:val="24"/>
        </w:rPr>
        <w:br/>
      </w:r>
      <w:r w:rsidRPr="00C3305B">
        <w:rPr>
          <w:rFonts w:ascii="Times New Roman" w:eastAsia="Times New Roman" w:hAnsi="Times New Roman" w:cs="Times New Roman"/>
          <w:sz w:val="24"/>
          <w:szCs w:val="24"/>
        </w:rPr>
        <w:t>2014.</w:t>
      </w:r>
      <w:r w:rsidRPr="00C3305B">
        <w:rPr>
          <w:rFonts w:ascii="Times New Roman" w:eastAsia="Times New Roman" w:hAnsi="Times New Roman" w:cs="Times New Roman"/>
          <w:noProof/>
          <w:color w:val="000000"/>
          <w:sz w:val="24"/>
          <w:szCs w:val="24"/>
        </w:rPr>
        <w:t xml:space="preserve">– </w:t>
      </w:r>
      <w:r w:rsidRPr="00C3305B">
        <w:rPr>
          <w:rFonts w:ascii="Times New Roman" w:eastAsia="Times New Roman" w:hAnsi="Times New Roman" w:cs="Times New Roman"/>
          <w:sz w:val="24"/>
          <w:szCs w:val="24"/>
        </w:rPr>
        <w:t>2020.gadam”. Veselības aprūpes reforma tiek īstenota no 2014.gada saskaņā ar MK apstiprināto vidēja termiņa politikas plānošanas dokumentu “Sabiedrības veselības pamatnostādnes 2014.</w:t>
      </w:r>
      <w:r w:rsidR="00A36AE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 un tās virsmērķis ir palielināt Latvijas iedzīvotāju veselīgi nodzīvoto mūža gadu skaitu un novērst priekšlaicīgu nāvi, saglabājot, uzlabojot un atjaunojot veselību. Minētā virsmērķa sasniegšanu Latvijā kavē veselības sistēmas vājās puses, kuras galvenokārt saistītās ar zemu publisko finansējumu (skat</w:t>
      </w:r>
      <w:r w:rsidRPr="00577E25">
        <w:rPr>
          <w:rFonts w:ascii="Times New Roman" w:eastAsia="Times New Roman" w:hAnsi="Times New Roman" w:cs="Times New Roman"/>
          <w:sz w:val="24"/>
          <w:szCs w:val="24"/>
        </w:rPr>
        <w:t>. 3.1.attēlu</w:t>
      </w:r>
      <w:r w:rsidRPr="00C3305B">
        <w:rPr>
          <w:rFonts w:ascii="Times New Roman" w:eastAsia="Times New Roman" w:hAnsi="Times New Roman" w:cs="Times New Roman"/>
          <w:sz w:val="24"/>
          <w:szCs w:val="24"/>
        </w:rPr>
        <w:t xml:space="preserve">), nevienlīdzību ārstniecības pakalpojumu pieejamībā un augstu veselības problēmu dēļ priekšlaicīgi mirušo personu skaitu. </w:t>
      </w:r>
    </w:p>
    <w:p w14:paraId="008F12A0" w14:textId="65B3E4F8"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Jāatzīmē, ka šie faktori ir savstarpēji saistīti. Zems publiskā finansējuma līmenis rada nepieciešamību daļu no ārstniecības pakalpojumiem finansēt ar privāto finansējumu, bet tas, savukārt, tos iedzīvotājus, kas nevar atļauties </w:t>
      </w:r>
      <w:r w:rsidRPr="00BD29CA">
        <w:rPr>
          <w:rFonts w:ascii="Times New Roman" w:eastAsia="Times New Roman" w:hAnsi="Times New Roman" w:cs="Times New Roman"/>
          <w:sz w:val="24"/>
          <w:szCs w:val="24"/>
        </w:rPr>
        <w:t xml:space="preserve">ieguldīt privāto finansējumu, attur no savlaicīgas ārstēšanās un palielina </w:t>
      </w:r>
      <w:r w:rsidR="00BD29CA" w:rsidRPr="00BD29CA">
        <w:rPr>
          <w:rFonts w:ascii="Times New Roman" w:hAnsi="Times New Roman"/>
          <w:sz w:val="24"/>
        </w:rPr>
        <w:t>potenciāli zaudētos dzīves gadus</w:t>
      </w:r>
      <w:r w:rsidRPr="00BD29CA">
        <w:rPr>
          <w:rFonts w:ascii="Times New Roman" w:eastAsia="Times New Roman" w:hAnsi="Times New Roman" w:cs="Times New Roman"/>
          <w:sz w:val="24"/>
          <w:szCs w:val="24"/>
        </w:rPr>
        <w:t>.</w:t>
      </w:r>
    </w:p>
    <w:p w14:paraId="0BCA3D73" w14:textId="77777777" w:rsidR="00C3305B" w:rsidRPr="00C3305B" w:rsidRDefault="00C3305B" w:rsidP="00C3305B">
      <w:pPr>
        <w:spacing w:before="60" w:after="120" w:line="240" w:lineRule="auto"/>
        <w:ind w:left="-284" w:right="-1"/>
        <w:jc w:val="center"/>
        <w:rPr>
          <w:rFonts w:ascii="Calibri" w:eastAsia="Times New Roman" w:hAnsi="Calibri" w:cs="Times New Roman"/>
          <w:noProof/>
          <w:lang w:eastAsia="lv-LV"/>
        </w:rPr>
      </w:pPr>
      <w:r w:rsidRPr="00C3305B">
        <w:rPr>
          <w:rFonts w:ascii="Calibri" w:eastAsia="Times New Roman" w:hAnsi="Calibri" w:cs="Times New Roman"/>
          <w:noProof/>
          <w:lang w:eastAsia="lv-LV"/>
        </w:rPr>
        <w:drawing>
          <wp:inline distT="0" distB="0" distL="0" distR="0" wp14:anchorId="0A6C8527" wp14:editId="003CDC93">
            <wp:extent cx="6195304" cy="3066415"/>
            <wp:effectExtent l="0" t="0" r="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A4242F" w14:textId="77777777" w:rsidR="00C3305B" w:rsidRPr="00C3305B" w:rsidRDefault="00C3305B" w:rsidP="00C3305B">
      <w:pPr>
        <w:spacing w:before="60" w:after="120" w:line="240" w:lineRule="auto"/>
        <w:ind w:right="-908"/>
        <w:jc w:val="center"/>
        <w:rPr>
          <w:rFonts w:ascii="Times New Roman" w:eastAsia="Times New Roman" w:hAnsi="Times New Roman" w:cs="Times New Roman"/>
          <w:b/>
          <w:bCs/>
          <w:kern w:val="36"/>
          <w:sz w:val="24"/>
        </w:rPr>
      </w:pPr>
      <w:r w:rsidRPr="00C3305B">
        <w:rPr>
          <w:rFonts w:ascii="Times New Roman" w:eastAsia="Times New Roman" w:hAnsi="Times New Roman" w:cs="Times New Roman"/>
          <w:b/>
          <w:bCs/>
          <w:kern w:val="36"/>
          <w:sz w:val="24"/>
        </w:rPr>
        <w:t>3.1.attēls. Publiskie izdevumi veselības aprūpei 2018.gadā ES valstī</w:t>
      </w:r>
      <w:r w:rsidRPr="00C3305B">
        <w:rPr>
          <w:rFonts w:ascii="Times New Roman" w:eastAsia="Times New Roman" w:hAnsi="Times New Roman" w:cs="Times New Roman"/>
          <w:b/>
          <w:bCs/>
          <w:kern w:val="36"/>
          <w:sz w:val="24"/>
          <w:szCs w:val="24"/>
        </w:rPr>
        <w:t>s</w:t>
      </w:r>
      <w:r w:rsidRPr="00C3305B">
        <w:rPr>
          <w:rFonts w:ascii="Times New Roman" w:eastAsia="Times New Roman" w:hAnsi="Times New Roman" w:cs="Times New Roman"/>
          <w:b/>
          <w:bCs/>
          <w:kern w:val="36"/>
          <w:sz w:val="24"/>
          <w:szCs w:val="24"/>
          <w:vertAlign w:val="superscript"/>
        </w:rPr>
        <w:footnoteReference w:id="7"/>
      </w:r>
      <w:r w:rsidRPr="00C3305B">
        <w:rPr>
          <w:rFonts w:ascii="Times New Roman" w:eastAsia="Times New Roman" w:hAnsi="Times New Roman" w:cs="Times New Roman"/>
          <w:b/>
          <w:bCs/>
          <w:kern w:val="36"/>
          <w:sz w:val="24"/>
          <w:szCs w:val="24"/>
        </w:rPr>
        <w:t>,</w:t>
      </w:r>
      <w:r w:rsidRPr="00C3305B">
        <w:rPr>
          <w:rFonts w:ascii="Times New Roman" w:eastAsia="Times New Roman" w:hAnsi="Times New Roman" w:cs="Times New Roman"/>
          <w:b/>
          <w:bCs/>
          <w:kern w:val="36"/>
          <w:sz w:val="24"/>
        </w:rPr>
        <w:t xml:space="preserve"> % no IKP</w:t>
      </w:r>
    </w:p>
    <w:p w14:paraId="7C0D04F0" w14:textId="77777777"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ES Padome uz minētajiem Latvijas veselības sistēmas trūkumiem ir norādījusi jau no 2014.gada valsts specifisko rekomendāciju kontekstā, gadskārtēji identificējot, ka ir nepieciešams uzlabot veselības aprūpes sistēmas pieejamību, izmaksu lietderību un kvalitāti. Turklāt tiek atzīmēts, ka veselības aprūpes nozarei ir atvēlēts pārāk mazs publiskais finansējums, atstājot negatīvu ietekmi uz neaizsargāto sabiedrības locekļu piekļuvi veselības aprūpes pakalpojumiem.</w:t>
      </w:r>
    </w:p>
    <w:p w14:paraId="1A8355E3" w14:textId="62DF7135" w:rsidR="00C3305B" w:rsidRPr="00C3305B" w:rsidRDefault="008E7B67" w:rsidP="00C3305B">
      <w:pPr>
        <w:spacing w:after="0" w:line="240" w:lineRule="auto"/>
        <w:ind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Pēdējo trīs gadu (</w:t>
      </w:r>
      <w:r w:rsidRPr="00C3305B">
        <w:rPr>
          <w:rFonts w:ascii="Times New Roman" w:eastAsia="Times New Roman" w:hAnsi="Times New Roman" w:cs="Times New Roman"/>
          <w:sz w:val="24"/>
          <w:szCs w:val="24"/>
        </w:rPr>
        <w:t>2017.–2019.gada</w:t>
      </w:r>
      <w:r>
        <w:rPr>
          <w:rFonts w:ascii="Times New Roman" w:eastAsia="Times New Roman" w:hAnsi="Times New Roman" w:cs="Times New Roman"/>
          <w:sz w:val="24"/>
          <w:szCs w:val="24"/>
        </w:rPr>
        <w:t>),</w:t>
      </w:r>
      <w:r w:rsidRPr="00C3305B">
        <w:rPr>
          <w:rFonts w:ascii="Times New Roman" w:eastAsia="Times New Roman" w:hAnsi="Times New Roman" w:cs="Times New Roman"/>
          <w:sz w:val="24"/>
          <w:szCs w:val="24"/>
        </w:rPr>
        <w:t xml:space="preserve"> </w:t>
      </w:r>
      <w:r w:rsidR="00C3305B" w:rsidRPr="00C3305B">
        <w:rPr>
          <w:rFonts w:ascii="Times New Roman" w:eastAsia="Times New Roman" w:hAnsi="Times New Roman" w:cs="Times New Roman"/>
          <w:sz w:val="24"/>
          <w:szCs w:val="24"/>
        </w:rPr>
        <w:t xml:space="preserve">valsts specifiskajās rekomendācijās </w:t>
      </w:r>
      <w:r w:rsidR="00C3305B" w:rsidRPr="00C3305B">
        <w:rPr>
          <w:rFonts w:ascii="Times New Roman" w:eastAsia="Times New Roman" w:hAnsi="Times New Roman" w:cs="Times New Roman"/>
          <w:b/>
          <w:sz w:val="24"/>
          <w:szCs w:val="24"/>
        </w:rPr>
        <w:t xml:space="preserve">Padome novērtē Latvijas īstenotās veselības aprūpes sistēmas reformas. </w:t>
      </w:r>
      <w:r w:rsidR="00C3305B" w:rsidRPr="00C3305B">
        <w:rPr>
          <w:rFonts w:ascii="Times New Roman" w:eastAsia="Times New Roman" w:hAnsi="Times New Roman" w:cs="Times New Roman"/>
          <w:sz w:val="24"/>
          <w:szCs w:val="24"/>
        </w:rPr>
        <w:t>Vienlaicīgi tiek</w:t>
      </w:r>
      <w:r w:rsidR="00C3305B" w:rsidRPr="00C3305B">
        <w:rPr>
          <w:rFonts w:ascii="Times New Roman" w:eastAsia="Times New Roman" w:hAnsi="Times New Roman" w:cs="Times New Roman"/>
          <w:b/>
          <w:sz w:val="24"/>
          <w:szCs w:val="24"/>
        </w:rPr>
        <w:t xml:space="preserve"> </w:t>
      </w:r>
      <w:r w:rsidR="00C3305B" w:rsidRPr="00C3305B">
        <w:rPr>
          <w:rFonts w:ascii="Times New Roman" w:eastAsia="Times New Roman" w:hAnsi="Times New Roman" w:cs="Times New Roman"/>
          <w:sz w:val="24"/>
          <w:szCs w:val="24"/>
        </w:rPr>
        <w:t>atzīmēts, ka veselības aprūpei paredzētais publiskais finansējums joprojām ir krietni mazāks par ES vidējo rādītāju. Savlaicīga un vienlīdzīga</w:t>
      </w:r>
      <w:r w:rsidR="00C3305B" w:rsidRPr="00C3305B">
        <w:rPr>
          <w:rFonts w:ascii="Calibri" w:eastAsia="Times New Roman" w:hAnsi="Calibri" w:cs="Times New Roman"/>
          <w:sz w:val="23"/>
          <w:szCs w:val="23"/>
        </w:rPr>
        <w:t xml:space="preserve"> </w:t>
      </w:r>
      <w:r w:rsidR="00C3305B" w:rsidRPr="00C3305B">
        <w:rPr>
          <w:rFonts w:ascii="Times New Roman" w:eastAsia="Times New Roman" w:hAnsi="Times New Roman" w:cs="Times New Roman"/>
          <w:sz w:val="24"/>
          <w:szCs w:val="24"/>
        </w:rPr>
        <w:t>piekļuve veselības aprūpei ir ierobežota. Tā rezultātā paši iedzīvotāji norāda, ka viņu vajadzības pēc aprūpes lielā mērā netiek apmierinātas, jo personīgie maksājumi – jo īpaši neaizsargātām iedzīvotāju grupām – ir lieli, un netiek nodrošinātas vienlīdzīgas iespējas. Turpinās reformas, kuru mērķis ir uzlabot veselības aprūpes efektivitāti un kvalitāti, tomēr tās ir agrīnā posmā un būtu jāpaātrina, ieskaitot efektīvus preventīvos pasākumus, slimnīcu nozares racionalizēšanu, primārās veselības aprūpes pastiprināšanu un kvalitātes vadības jautājuma risināšanu. Turklāt ir vērojams veselības aprūpes nozares darbaspēka, jo īpaši medmāsu, trūkums, kas kavē valsts veselības aprūpes sniegšanu un apdraud veselības aprūpes reformu sekmīgumu.</w:t>
      </w:r>
    </w:p>
    <w:p w14:paraId="3B82B21E" w14:textId="77777777" w:rsidR="00C3305B" w:rsidRPr="00C3305B" w:rsidRDefault="00C3305B" w:rsidP="00C3305B">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Iepriekšminētā rezultātā ES Padome rekomendē Latvijai uzlabot veselības aprūpes sistēmas pieejamību, kvalitāti un izmaksu lietderību.</w:t>
      </w:r>
    </w:p>
    <w:p w14:paraId="1FF7FBC5" w14:textId="77777777" w:rsidR="00C3305B" w:rsidRPr="00C3305B" w:rsidRDefault="00C3305B" w:rsidP="00C3305B">
      <w:pPr>
        <w:spacing w:after="60" w:line="240" w:lineRule="auto"/>
        <w:ind w:right="-1" w:firstLine="720"/>
        <w:contextualSpacing/>
        <w:rPr>
          <w:rFonts w:ascii="Times New Roman" w:eastAsia="Times New Roman" w:hAnsi="Times New Roman" w:cs="Times New Roman"/>
          <w:b/>
          <w:sz w:val="24"/>
          <w:szCs w:val="24"/>
        </w:rPr>
      </w:pPr>
    </w:p>
    <w:p w14:paraId="07828A5D" w14:textId="77777777" w:rsidR="00C3305B" w:rsidRPr="00C3305B" w:rsidRDefault="00C3305B" w:rsidP="00C3305B">
      <w:pPr>
        <w:spacing w:after="60" w:line="240" w:lineRule="auto"/>
        <w:ind w:right="-1" w:firstLine="720"/>
        <w:contextualSpacing/>
        <w:rPr>
          <w:rFonts w:ascii="Times New Roman" w:eastAsia="Times New Roman" w:hAnsi="Times New Roman" w:cs="Times New Roman"/>
          <w:b/>
          <w:i/>
          <w:sz w:val="24"/>
          <w:szCs w:val="24"/>
        </w:rPr>
      </w:pPr>
      <w:r w:rsidRPr="00C3305B">
        <w:rPr>
          <w:rFonts w:ascii="Times New Roman" w:eastAsia="Times New Roman" w:hAnsi="Times New Roman" w:cs="Times New Roman"/>
          <w:b/>
          <w:i/>
          <w:sz w:val="24"/>
          <w:szCs w:val="24"/>
        </w:rPr>
        <w:t>Veselības aprūpes sistēmas reformas īstenošana 2019.gadā</w:t>
      </w:r>
    </w:p>
    <w:p w14:paraId="3602C470" w14:textId="0C2C2330" w:rsidR="00C3305B" w:rsidRPr="00C3305B" w:rsidRDefault="00C3305B" w:rsidP="00C3305B">
      <w:pPr>
        <w:spacing w:after="0" w:line="240" w:lineRule="auto"/>
        <w:ind w:right="-1" w:firstLine="720"/>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Deficīta atkāpes finansējums 2017.</w:t>
      </w:r>
      <w:r w:rsidR="00577E25">
        <w:rPr>
          <w:rFonts w:ascii="Times New Roman" w:eastAsia="Times New Roman" w:hAnsi="Times New Roman" w:cs="Times New Roman"/>
          <w:noProof/>
          <w:color w:val="000000"/>
          <w:sz w:val="24"/>
          <w:szCs w:val="24"/>
        </w:rPr>
        <w:t>–</w:t>
      </w:r>
      <w:r w:rsidRPr="00C3305B">
        <w:rPr>
          <w:rFonts w:ascii="Times New Roman" w:eastAsia="Calibri" w:hAnsi="Times New Roman" w:cs="Times New Roman"/>
          <w:color w:val="000000"/>
          <w:sz w:val="24"/>
          <w:szCs w:val="24"/>
        </w:rPr>
        <w:t>2019.gada periodam, kas ir pieejams sakarā ar veselības aprūpes reformas īstenošanu</w:t>
      </w:r>
      <w:r w:rsidR="008E7B67">
        <w:rPr>
          <w:rFonts w:ascii="Times New Roman" w:eastAsia="Calibri" w:hAnsi="Times New Roman" w:cs="Times New Roman"/>
          <w:color w:val="000000"/>
          <w:sz w:val="24"/>
          <w:szCs w:val="24"/>
        </w:rPr>
        <w:t>,</w:t>
      </w:r>
      <w:r w:rsidRPr="00C3305B">
        <w:rPr>
          <w:rFonts w:ascii="Times New Roman" w:eastAsia="Calibri" w:hAnsi="Times New Roman" w:cs="Times New Roman"/>
          <w:color w:val="000000"/>
          <w:sz w:val="24"/>
          <w:szCs w:val="24"/>
        </w:rPr>
        <w:t xml:space="preserve"> tiek izmantots noteiktu veselības aprūpes pasākumu grupai, kas izriet no </w:t>
      </w:r>
      <w:r w:rsidRPr="00C3305B">
        <w:rPr>
          <w:rFonts w:ascii="Times New Roman" w:eastAsia="Times New Roman" w:hAnsi="Times New Roman" w:cs="Times New Roman"/>
          <w:sz w:val="24"/>
          <w:szCs w:val="24"/>
        </w:rPr>
        <w:t>Sabiedrības veselības pamatnostādnēm 2014.</w:t>
      </w:r>
      <w:r w:rsidR="00577E2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w:t>
      </w:r>
      <w:r w:rsidRPr="00C3305B">
        <w:rPr>
          <w:rFonts w:ascii="Times New Roman" w:eastAsia="Calibri" w:hAnsi="Times New Roman" w:cs="Times New Roman"/>
          <w:color w:val="000000"/>
          <w:sz w:val="24"/>
          <w:szCs w:val="24"/>
        </w:rPr>
        <w:t xml:space="preserve">. Šī pasākumu grupa ir nodalīta no pārējiem veselības aprūpes uzlabošanas pasākumiem, paredzot īpašu resursu piešķiršanas un izmantošanas uzraudzības kārtību. </w:t>
      </w:r>
    </w:p>
    <w:p w14:paraId="2336CE70" w14:textId="77777777" w:rsidR="00C3305B" w:rsidRPr="00C3305B" w:rsidRDefault="00C3305B" w:rsidP="00C3305B">
      <w:pPr>
        <w:spacing w:after="0" w:line="240" w:lineRule="auto"/>
        <w:ind w:right="-1" w:firstLine="720"/>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Vienlaicīgi jāatzīmē, ka izvēloties tos veselības reformas pasākumus, kuriem tiek izmantots deficīta atkāpes finansējums, tiek izvirzīti šādi kritēriji:</w:t>
      </w:r>
    </w:p>
    <w:p w14:paraId="089A58B0" w14:textId="27931673" w:rsidR="00C3305B" w:rsidRPr="00C3305B" w:rsidRDefault="00C3305B" w:rsidP="00C3305B">
      <w:pPr>
        <w:numPr>
          <w:ilvl w:val="0"/>
          <w:numId w:val="8"/>
        </w:num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 xml:space="preserve">Pasākumam ir jābūt atbilstošam </w:t>
      </w:r>
      <w:r w:rsidRPr="00C3305B">
        <w:rPr>
          <w:rFonts w:ascii="Times New Roman" w:eastAsia="Times New Roman" w:hAnsi="Times New Roman" w:cs="Times New Roman"/>
          <w:sz w:val="24"/>
          <w:szCs w:val="24"/>
        </w:rPr>
        <w:t xml:space="preserve">Sabiedrības veselības pamatnostādnēm </w:t>
      </w:r>
      <w:r w:rsidR="00560DBE">
        <w:rPr>
          <w:rFonts w:ascii="Times New Roman" w:eastAsia="Times New Roman" w:hAnsi="Times New Roman" w:cs="Times New Roman"/>
          <w:sz w:val="24"/>
          <w:szCs w:val="24"/>
        </w:rPr>
        <w:br/>
      </w:r>
      <w:r w:rsidRPr="00C3305B">
        <w:rPr>
          <w:rFonts w:ascii="Times New Roman" w:eastAsia="Times New Roman" w:hAnsi="Times New Roman" w:cs="Times New Roman"/>
          <w:sz w:val="24"/>
          <w:szCs w:val="24"/>
        </w:rPr>
        <w:t>2014.</w:t>
      </w:r>
      <w:r w:rsidR="00A36AE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w:t>
      </w:r>
      <w:r w:rsidRPr="00C3305B">
        <w:rPr>
          <w:rFonts w:ascii="Times New Roman" w:eastAsia="Calibri" w:hAnsi="Times New Roman" w:cs="Times New Roman"/>
          <w:color w:val="000000"/>
          <w:sz w:val="24"/>
          <w:szCs w:val="24"/>
        </w:rPr>
        <w:t>.</w:t>
      </w:r>
    </w:p>
    <w:p w14:paraId="2448FBAE" w14:textId="38B91411" w:rsidR="00C3305B" w:rsidRPr="00C3305B" w:rsidRDefault="00C3305B" w:rsidP="00C3305B">
      <w:pPr>
        <w:numPr>
          <w:ilvl w:val="0"/>
          <w:numId w:val="8"/>
        </w:num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 xml:space="preserve">Pasākuma rezultātam, kas finansēts no deficīta atkāpes finansējuma </w:t>
      </w:r>
      <w:r w:rsidR="00560DBE">
        <w:rPr>
          <w:rFonts w:ascii="Times New Roman" w:eastAsia="Calibri" w:hAnsi="Times New Roman" w:cs="Times New Roman"/>
          <w:color w:val="000000"/>
          <w:sz w:val="24"/>
          <w:szCs w:val="24"/>
        </w:rPr>
        <w:br/>
      </w:r>
      <w:r w:rsidRPr="00C3305B">
        <w:rPr>
          <w:rFonts w:ascii="Times New Roman" w:eastAsia="Calibri" w:hAnsi="Times New Roman" w:cs="Times New Roman"/>
          <w:color w:val="000000"/>
          <w:sz w:val="24"/>
          <w:szCs w:val="24"/>
        </w:rPr>
        <w:t>2017.</w:t>
      </w:r>
      <w:r w:rsidR="00A36AE5">
        <w:rPr>
          <w:rFonts w:ascii="Times New Roman" w:eastAsia="Times New Roman" w:hAnsi="Times New Roman" w:cs="Times New Roman"/>
          <w:noProof/>
          <w:color w:val="000000"/>
          <w:sz w:val="24"/>
          <w:szCs w:val="24"/>
        </w:rPr>
        <w:t>–</w:t>
      </w:r>
      <w:r w:rsidRPr="00C3305B">
        <w:rPr>
          <w:rFonts w:ascii="Times New Roman" w:eastAsia="Calibri" w:hAnsi="Times New Roman" w:cs="Times New Roman"/>
          <w:color w:val="000000"/>
          <w:sz w:val="24"/>
          <w:szCs w:val="24"/>
        </w:rPr>
        <w:t>2019.gada periodā, ir jāatrisina, vai būtiski jāsamazina  noteikta veselības aprūpes sistēmā identificēta problēma. Nevar finansēt tādus pasākumus, kuri dod nebūtisku efektu problēmas atrisināšanā – šāda intervence nav uzskatāma par reformu.</w:t>
      </w:r>
    </w:p>
    <w:p w14:paraId="1EEC0E57" w14:textId="77777777" w:rsidR="00C3305B" w:rsidRPr="00C3305B" w:rsidRDefault="00C3305B" w:rsidP="00C3305B">
      <w:pPr>
        <w:numPr>
          <w:ilvl w:val="0"/>
          <w:numId w:val="8"/>
        </w:num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Risināmai problēmai ir jābūt atzītai kā veselības aprūpes problēmai EK analītiskajos dokumentos.</w:t>
      </w:r>
    </w:p>
    <w:p w14:paraId="60EEE80F" w14:textId="4C221F59" w:rsidR="00C3305B" w:rsidRPr="00C3305B" w:rsidRDefault="00C3305B" w:rsidP="00C3305B">
      <w:pPr>
        <w:numPr>
          <w:ilvl w:val="0"/>
          <w:numId w:val="8"/>
        </w:num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Ir iespējams izveidot izsekojamu ieguldījumu iznākumu rezultāta rādītāju sistēmu.</w:t>
      </w:r>
    </w:p>
    <w:p w14:paraId="48497A17" w14:textId="562D73DF" w:rsidR="00C3305B" w:rsidRPr="00C3305B" w:rsidRDefault="00C3305B" w:rsidP="00C3305B">
      <w:pPr>
        <w:numPr>
          <w:ilvl w:val="0"/>
          <w:numId w:val="8"/>
        </w:num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 xml:space="preserve">Risināmā problēma dod ieguldījumu kopējā </w:t>
      </w:r>
      <w:r w:rsidRPr="00C3305B">
        <w:rPr>
          <w:rFonts w:ascii="Times New Roman" w:eastAsia="Times New Roman" w:hAnsi="Times New Roman" w:cs="Times New Roman"/>
          <w:sz w:val="24"/>
          <w:szCs w:val="24"/>
        </w:rPr>
        <w:t>“Sabiedrības veselības pamatnostādnes 2014.</w:t>
      </w:r>
      <w:r w:rsidR="00A36AE5">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2020.gadam”</w:t>
      </w:r>
      <w:r w:rsidRPr="00C3305B">
        <w:rPr>
          <w:rFonts w:ascii="Times New Roman" w:eastAsia="Calibri" w:hAnsi="Times New Roman" w:cs="Times New Roman"/>
          <w:color w:val="000000"/>
          <w:sz w:val="24"/>
          <w:szCs w:val="24"/>
        </w:rPr>
        <w:t xml:space="preserve"> pozitīvā fiskālā efekta sasniegšanā. </w:t>
      </w:r>
    </w:p>
    <w:p w14:paraId="45DD9ABF" w14:textId="77777777" w:rsidR="00C3305B" w:rsidRPr="00C3305B" w:rsidRDefault="00C3305B" w:rsidP="00C3305B">
      <w:pPr>
        <w:spacing w:after="0" w:line="240" w:lineRule="auto"/>
        <w:ind w:left="1276"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 xml:space="preserve"> </w:t>
      </w:r>
    </w:p>
    <w:p w14:paraId="61867BC8" w14:textId="71AC0685" w:rsidR="00C3305B" w:rsidRPr="00C3305B" w:rsidRDefault="00C3305B" w:rsidP="00C3305B">
      <w:pPr>
        <w:spacing w:after="0" w:line="240" w:lineRule="auto"/>
        <w:ind w:right="-1" w:firstLine="720"/>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Jāatzīmē, ka piešķirtais deficīta atkāpes finansējums 2017.</w:t>
      </w:r>
      <w:r w:rsidR="00577E25">
        <w:rPr>
          <w:rFonts w:ascii="Times New Roman" w:eastAsia="Times New Roman" w:hAnsi="Times New Roman" w:cs="Times New Roman"/>
          <w:noProof/>
          <w:color w:val="000000"/>
          <w:sz w:val="24"/>
          <w:szCs w:val="24"/>
        </w:rPr>
        <w:t>–</w:t>
      </w:r>
      <w:r w:rsidRPr="00C3305B">
        <w:rPr>
          <w:rFonts w:ascii="Times New Roman" w:eastAsia="Calibri" w:hAnsi="Times New Roman" w:cs="Times New Roman"/>
          <w:color w:val="000000"/>
          <w:sz w:val="24"/>
          <w:szCs w:val="24"/>
        </w:rPr>
        <w:t>2019.gadam attiecīgā gada valsts budžeta likumā tika nodalīts atsevišķā budžeta programmā, kā gadskārtējā valsts budžeta izpildes rezultātā pārdalāmais finansējums. Tikai pēc tam, kad V</w:t>
      </w:r>
      <w:r w:rsidR="007F6EE6">
        <w:rPr>
          <w:rFonts w:ascii="Times New Roman" w:eastAsia="Calibri" w:hAnsi="Times New Roman" w:cs="Times New Roman"/>
          <w:color w:val="000000"/>
          <w:sz w:val="24"/>
          <w:szCs w:val="24"/>
        </w:rPr>
        <w:t>M</w:t>
      </w:r>
      <w:r w:rsidRPr="00C3305B">
        <w:rPr>
          <w:rFonts w:ascii="Times New Roman" w:eastAsia="Calibri" w:hAnsi="Times New Roman" w:cs="Times New Roman"/>
          <w:color w:val="000000"/>
          <w:sz w:val="24"/>
          <w:szCs w:val="24"/>
        </w:rPr>
        <w:t xml:space="preserve"> priekšlikumi par finansējuma izmantošanu tika apstiprināti MK, rezervētais finansējums tika pārdalīts veselības reformas īstenošanai.</w:t>
      </w:r>
    </w:p>
    <w:p w14:paraId="7F47A528" w14:textId="2C74AF0A" w:rsidR="00C3305B" w:rsidRPr="00C3305B" w:rsidRDefault="00C3305B" w:rsidP="00C3305B">
      <w:pPr>
        <w:spacing w:after="0" w:line="240" w:lineRule="auto"/>
        <w:ind w:right="-1" w:firstLine="720"/>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Lai finanšu līdzekļus pārdalītu veselības reformu pasākumu īstenošanai 2019.gadā, V</w:t>
      </w:r>
      <w:r w:rsidR="007F6EE6">
        <w:rPr>
          <w:rFonts w:ascii="Times New Roman" w:eastAsia="Calibri" w:hAnsi="Times New Roman" w:cs="Times New Roman"/>
          <w:color w:val="000000"/>
          <w:sz w:val="24"/>
          <w:szCs w:val="24"/>
        </w:rPr>
        <w:t xml:space="preserve">M </w:t>
      </w:r>
      <w:r w:rsidRPr="00C3305B">
        <w:rPr>
          <w:rFonts w:ascii="Times New Roman" w:eastAsia="Calibri" w:hAnsi="Times New Roman" w:cs="Times New Roman"/>
          <w:color w:val="000000"/>
          <w:sz w:val="24"/>
          <w:szCs w:val="24"/>
        </w:rPr>
        <w:t>sākotnēji bija jāsniedz informācija par 2018.gadā īstenotajiem pasākumiem un sasniegtajiem rezultātiem. Šajā nolūkā, pamatojoties uz informatīvo ziņojumu “Par veselības reformas pasākumu īstenošanas rezultātiem veselības aprūpē 2018.gadam”</w:t>
      </w:r>
      <w:r w:rsidRPr="00C3305B">
        <w:rPr>
          <w:rFonts w:ascii="Garamond" w:eastAsia="Calibri" w:hAnsi="Garamond" w:cs="Times New Roman"/>
          <w:color w:val="000000"/>
          <w:sz w:val="20"/>
          <w:szCs w:val="24"/>
          <w:vertAlign w:val="superscript"/>
        </w:rPr>
        <w:footnoteReference w:id="8"/>
      </w:r>
      <w:r w:rsidRPr="00C3305B">
        <w:rPr>
          <w:rFonts w:ascii="Times New Roman" w:eastAsia="Calibri" w:hAnsi="Times New Roman" w:cs="Times New Roman"/>
          <w:color w:val="000000"/>
          <w:sz w:val="24"/>
          <w:szCs w:val="24"/>
        </w:rPr>
        <w:t>, kurā aprakstīti īstenotie reformas pasākumi un rezultāti, tika secināts, ka nepieciešams turpināt iesāktās intervences arī 2019.gadā, lai nodrošinātu sekmīgu pacientu ārstēšanu un sasniegtu nozīmīgu PZMG samazinājumu ilgākā laika periodā. Tāpat tika uzsvērti tautsaimniecības zaudējumi, ko valstij ik gadu rada iedzīvotāju priekšlaicīga mirstība. Vienlaicī</w:t>
      </w:r>
      <w:r w:rsidR="00EB5F3E">
        <w:rPr>
          <w:rFonts w:ascii="Times New Roman" w:eastAsia="Calibri" w:hAnsi="Times New Roman" w:cs="Times New Roman"/>
          <w:color w:val="000000"/>
          <w:sz w:val="24"/>
          <w:szCs w:val="24"/>
        </w:rPr>
        <w:t>gi, ņemot vērā pieejamo papildu</w:t>
      </w:r>
      <w:r w:rsidRPr="00C3305B">
        <w:rPr>
          <w:rFonts w:ascii="Times New Roman" w:eastAsia="Calibri" w:hAnsi="Times New Roman" w:cs="Times New Roman"/>
          <w:color w:val="000000"/>
          <w:sz w:val="24"/>
          <w:szCs w:val="24"/>
        </w:rPr>
        <w:t xml:space="preserve"> finansējumu, kas 2019.gadā veidoja 0,5% no EK pieļautās budžeta deficīta atkāpes jeb 154,2 milj. </w:t>
      </w:r>
      <w:r w:rsidRPr="00C3305B">
        <w:rPr>
          <w:rFonts w:ascii="Times New Roman" w:eastAsia="Calibri" w:hAnsi="Times New Roman" w:cs="Times New Roman"/>
          <w:i/>
          <w:color w:val="000000"/>
          <w:sz w:val="24"/>
          <w:szCs w:val="24"/>
        </w:rPr>
        <w:t>euro</w:t>
      </w:r>
      <w:r w:rsidRPr="00C3305B">
        <w:rPr>
          <w:rFonts w:ascii="Times New Roman" w:eastAsia="Calibri" w:hAnsi="Times New Roman" w:cs="Times New Roman"/>
          <w:color w:val="000000"/>
          <w:sz w:val="24"/>
          <w:szCs w:val="24"/>
        </w:rPr>
        <w:t xml:space="preserve">, tika secināts, ka uzsāktās reformas nepieciešams ne tikai turpināt, bet arī paplašināt ar jaunām iniciatīvām veselības aprūpes efektivitātes un ilgtspējas uzlabošanā. </w:t>
      </w:r>
    </w:p>
    <w:p w14:paraId="2DF975D3" w14:textId="77777777" w:rsidR="00EB5F3E" w:rsidRDefault="00C3305B" w:rsidP="00EB5F3E">
      <w:pPr>
        <w:spacing w:after="0" w:line="240" w:lineRule="auto"/>
        <w:ind w:right="-1" w:firstLine="720"/>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Tādējādi, lai turpinātu veselības aprūpes sistēmas reformu, kā arī paplašinātu to un īstenotu jaunas reformu jomas, MK apstiprināja informatīvo ziņojumu “Par veselības reformas pasākumu īstenošanu 2019.gadā” un V</w:t>
      </w:r>
      <w:r w:rsidR="007F6EE6">
        <w:rPr>
          <w:rFonts w:ascii="Times New Roman" w:eastAsia="Calibri" w:hAnsi="Times New Roman" w:cs="Times New Roman"/>
          <w:color w:val="000000"/>
          <w:sz w:val="24"/>
          <w:szCs w:val="24"/>
        </w:rPr>
        <w:t xml:space="preserve">M </w:t>
      </w:r>
      <w:r w:rsidRPr="00C3305B">
        <w:rPr>
          <w:rFonts w:ascii="Times New Roman" w:eastAsia="Calibri" w:hAnsi="Times New Roman" w:cs="Times New Roman"/>
          <w:color w:val="000000"/>
          <w:sz w:val="24"/>
          <w:szCs w:val="24"/>
        </w:rPr>
        <w:t xml:space="preserve">2019.gadā no budžeta resora "74.Gadskārtējā valsts budžeta izpildes procesā pārdalāmais finansējums" 08.00.00 programmas "Veselības aprūpes sistēmas reformas ieviešanas finansējums" rezervētā finansējuma tika piešķirts finansējums 154,2 milj. </w:t>
      </w:r>
      <w:r w:rsidRPr="00C3305B">
        <w:rPr>
          <w:rFonts w:ascii="Times New Roman" w:eastAsia="Calibri" w:hAnsi="Times New Roman" w:cs="Times New Roman"/>
          <w:i/>
          <w:color w:val="000000"/>
          <w:sz w:val="24"/>
          <w:szCs w:val="24"/>
        </w:rPr>
        <w:t>euro</w:t>
      </w:r>
      <w:r w:rsidRPr="00C3305B">
        <w:rPr>
          <w:rFonts w:ascii="Times New Roman" w:eastAsia="Calibri" w:hAnsi="Times New Roman" w:cs="Times New Roman"/>
          <w:color w:val="000000"/>
          <w:sz w:val="24"/>
          <w:szCs w:val="24"/>
        </w:rPr>
        <w:t xml:space="preserve"> apmērā veselības aprūpes reformai </w:t>
      </w:r>
      <w:r w:rsidR="00EB5F3E" w:rsidRPr="00C3305B">
        <w:rPr>
          <w:rFonts w:ascii="Times New Roman" w:eastAsia="Calibri" w:hAnsi="Times New Roman" w:cs="Times New Roman"/>
          <w:color w:val="000000"/>
          <w:sz w:val="24"/>
          <w:szCs w:val="24"/>
        </w:rPr>
        <w:t xml:space="preserve">(MK 2019.gada 8.janvāra sēdes protokola Nr.1 33§ 3. un 4.punkts </w:t>
      </w:r>
      <w:r w:rsidR="00EB5F3E">
        <w:rPr>
          <w:rFonts w:ascii="Times New Roman" w:eastAsia="Calibri" w:hAnsi="Times New Roman" w:cs="Times New Roman"/>
          <w:color w:val="000000"/>
          <w:sz w:val="24"/>
          <w:szCs w:val="24"/>
        </w:rPr>
        <w:t xml:space="preserve">un </w:t>
      </w:r>
      <w:r w:rsidR="00EB5F3E" w:rsidRPr="00C3305B">
        <w:rPr>
          <w:rFonts w:ascii="Times New Roman" w:eastAsia="Calibri" w:hAnsi="Times New Roman" w:cs="Times New Roman"/>
          <w:color w:val="000000"/>
          <w:sz w:val="24"/>
          <w:szCs w:val="24"/>
        </w:rPr>
        <w:t>MK 2019.gada 3.decembra sēdes protokols Nr.56 30§ 2.punkts) šādās jomās un šādā noteiktajā apmērā:</w:t>
      </w:r>
    </w:p>
    <w:p w14:paraId="3341E0B2" w14:textId="7D9A9232" w:rsidR="00C3305B" w:rsidRPr="00EB5F3E" w:rsidRDefault="00C3305B" w:rsidP="00EB5F3E">
      <w:pPr>
        <w:pStyle w:val="ListParagraph"/>
        <w:numPr>
          <w:ilvl w:val="0"/>
          <w:numId w:val="43"/>
        </w:numPr>
        <w:spacing w:after="0" w:line="240" w:lineRule="auto"/>
        <w:ind w:right="-1"/>
        <w:jc w:val="both"/>
        <w:rPr>
          <w:rFonts w:ascii="Times New Roman" w:eastAsia="Calibri" w:hAnsi="Times New Roman" w:cs="Times New Roman"/>
          <w:color w:val="000000"/>
          <w:sz w:val="24"/>
          <w:szCs w:val="24"/>
        </w:rPr>
      </w:pPr>
      <w:r w:rsidRPr="00EB5F3E">
        <w:rPr>
          <w:rFonts w:ascii="Times New Roman" w:eastAsia="Times New Roman" w:hAnsi="Times New Roman" w:cs="Times New Roman"/>
          <w:b/>
          <w:sz w:val="24"/>
          <w:szCs w:val="24"/>
          <w:lang w:eastAsia="lv-LV"/>
        </w:rPr>
        <w:t xml:space="preserve">Veselības aprūpes pakalpojumu pieejamības uzlabošanai un rindu mazināšanai </w:t>
      </w:r>
      <w:r w:rsidRPr="00EB5F3E">
        <w:rPr>
          <w:rFonts w:ascii="Times New Roman" w:eastAsia="Times New Roman" w:hAnsi="Times New Roman" w:cs="Times New Roman"/>
          <w:sz w:val="24"/>
          <w:szCs w:val="24"/>
          <w:lang w:eastAsia="lv-LV"/>
        </w:rPr>
        <w:t xml:space="preserve">58 163 253 </w:t>
      </w:r>
      <w:r w:rsidRPr="00EB5F3E">
        <w:rPr>
          <w:rFonts w:ascii="Times New Roman" w:eastAsia="Times New Roman" w:hAnsi="Times New Roman" w:cs="Times New Roman"/>
          <w:i/>
          <w:sz w:val="24"/>
          <w:szCs w:val="24"/>
          <w:lang w:eastAsia="lv-LV"/>
        </w:rPr>
        <w:t>euro</w:t>
      </w:r>
      <w:r w:rsidRPr="00EB5F3E">
        <w:rPr>
          <w:rFonts w:ascii="Times New Roman" w:eastAsia="Times New Roman" w:hAnsi="Times New Roman" w:cs="Times New Roman"/>
          <w:sz w:val="24"/>
          <w:szCs w:val="24"/>
          <w:lang w:eastAsia="lv-LV"/>
        </w:rPr>
        <w:t xml:space="preserve">, tai skaitā turpinot </w:t>
      </w:r>
      <w:r w:rsidRPr="00EB5F3E">
        <w:rPr>
          <w:rFonts w:ascii="Times New Roman" w:eastAsia="Times New Roman" w:hAnsi="Times New Roman" w:cs="Times New Roman"/>
          <w:bCs/>
          <w:sz w:val="24"/>
          <w:szCs w:val="24"/>
          <w:lang w:eastAsia="lv-LV"/>
        </w:rPr>
        <w:t>2017.gadā uzsākto rindu mazināšanu;</w:t>
      </w:r>
    </w:p>
    <w:p w14:paraId="0155DB6B" w14:textId="77777777" w:rsidR="00C3305B" w:rsidRPr="00C3305B" w:rsidRDefault="00C3305B" w:rsidP="00EB5F3E">
      <w:pPr>
        <w:numPr>
          <w:ilvl w:val="0"/>
          <w:numId w:val="43"/>
        </w:numPr>
        <w:spacing w:after="200" w:line="240" w:lineRule="auto"/>
        <w:ind w:right="-1"/>
        <w:contextualSpacing/>
        <w:jc w:val="both"/>
        <w:rPr>
          <w:rFonts w:ascii="Times New Roman" w:eastAsia="Times New Roman" w:hAnsi="Times New Roman" w:cs="Times New Roman"/>
          <w:sz w:val="24"/>
          <w:szCs w:val="24"/>
          <w:lang w:eastAsia="lv-LV"/>
        </w:rPr>
      </w:pPr>
      <w:r w:rsidRPr="00C3305B">
        <w:rPr>
          <w:rFonts w:ascii="Times New Roman" w:eastAsia="Times New Roman" w:hAnsi="Times New Roman" w:cs="Times New Roman"/>
          <w:b/>
          <w:bCs/>
          <w:sz w:val="24"/>
          <w:szCs w:val="24"/>
          <w:lang w:eastAsia="lv-LV"/>
        </w:rPr>
        <w:t>Onkoloģisko saslimšanu diagnostikas un ārstēšanas pieejamības uzlabošanai</w:t>
      </w:r>
      <w:r w:rsidRPr="00C3305B">
        <w:rPr>
          <w:rFonts w:ascii="Times New Roman" w:eastAsia="Times New Roman" w:hAnsi="Times New Roman" w:cs="Times New Roman"/>
          <w:bCs/>
          <w:sz w:val="24"/>
          <w:szCs w:val="24"/>
          <w:lang w:eastAsia="lv-LV"/>
        </w:rPr>
        <w:t xml:space="preserve"> 30 492 825 </w:t>
      </w:r>
      <w:r w:rsidRPr="00C3305B">
        <w:rPr>
          <w:rFonts w:ascii="Times New Roman" w:eastAsia="Times New Roman" w:hAnsi="Times New Roman" w:cs="Times New Roman"/>
          <w:bCs/>
          <w:i/>
          <w:sz w:val="24"/>
          <w:szCs w:val="24"/>
          <w:lang w:eastAsia="lv-LV"/>
        </w:rPr>
        <w:t>euro</w:t>
      </w:r>
      <w:r w:rsidRPr="00C3305B">
        <w:rPr>
          <w:rFonts w:ascii="Times New Roman" w:eastAsia="Times New Roman" w:hAnsi="Times New Roman" w:cs="Times New Roman"/>
          <w:bCs/>
          <w:sz w:val="24"/>
          <w:szCs w:val="24"/>
          <w:lang w:eastAsia="lv-LV"/>
        </w:rPr>
        <w:t>, tai skaitā turpinot un paplašinot 2017. un 2018.gadā uzsāktās aktivitātes;</w:t>
      </w:r>
    </w:p>
    <w:p w14:paraId="55CF47AD" w14:textId="15FD4FA8"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Calibri" w:hAnsi="Times New Roman" w:cs="Times New Roman"/>
          <w:color w:val="000000"/>
          <w:sz w:val="24"/>
          <w:szCs w:val="24"/>
        </w:rPr>
        <w:t xml:space="preserve"> </w:t>
      </w:r>
      <w:r w:rsidRPr="00C3305B">
        <w:rPr>
          <w:rFonts w:ascii="Times New Roman" w:eastAsia="Times New Roman" w:hAnsi="Times New Roman" w:cs="Times New Roman"/>
          <w:b/>
          <w:sz w:val="24"/>
          <w:szCs w:val="24"/>
          <w:lang w:eastAsia="lv-LV"/>
        </w:rPr>
        <w:t>Infekcijas slimību izplatības mazināšanai</w:t>
      </w:r>
      <w:r w:rsidRPr="00C3305B">
        <w:rPr>
          <w:rFonts w:ascii="Times New Roman" w:eastAsia="Times New Roman" w:hAnsi="Times New Roman" w:cs="Times New Roman"/>
          <w:sz w:val="24"/>
          <w:szCs w:val="24"/>
          <w:lang w:eastAsia="lv-LV"/>
        </w:rPr>
        <w:t xml:space="preserve"> 15 843 002 </w:t>
      </w:r>
      <w:r w:rsidRPr="00C3305B">
        <w:rPr>
          <w:rFonts w:ascii="Times New Roman" w:eastAsia="Times New Roman" w:hAnsi="Times New Roman" w:cs="Times New Roman"/>
          <w:i/>
          <w:sz w:val="24"/>
          <w:szCs w:val="24"/>
          <w:lang w:eastAsia="lv-LV"/>
        </w:rPr>
        <w:t>euro</w:t>
      </w:r>
      <w:r w:rsidRPr="00C3305B">
        <w:rPr>
          <w:rFonts w:ascii="Times New Roman" w:eastAsia="Times New Roman" w:hAnsi="Times New Roman" w:cs="Times New Roman"/>
          <w:sz w:val="24"/>
          <w:szCs w:val="24"/>
          <w:lang w:eastAsia="lv-LV"/>
        </w:rPr>
        <w:t>, tai skaitā turpinot 2017. un 2018.gadā uzsāktās r</w:t>
      </w:r>
      <w:r w:rsidRPr="00C3305B">
        <w:rPr>
          <w:rFonts w:ascii="Times New Roman" w:eastAsia="Times New Roman" w:hAnsi="Times New Roman" w:cs="Times New Roman"/>
          <w:bCs/>
          <w:sz w:val="24"/>
          <w:szCs w:val="24"/>
          <w:lang w:eastAsia="lv-LV"/>
        </w:rPr>
        <w:t>eformas valsts kompensējamo medikamentu nodrošinājumam vīrushepatīta C pacientiem F3-F4 stadijā;</w:t>
      </w:r>
    </w:p>
    <w:p w14:paraId="0BFD8D58"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Primārās veselības aprūpes sistēmas kvalitātes un pieejamības uzlabošanai</w:t>
      </w:r>
      <w:r w:rsidRPr="00C3305B">
        <w:rPr>
          <w:rFonts w:ascii="Times New Roman" w:eastAsia="Times New Roman" w:hAnsi="Times New Roman" w:cs="Times New Roman"/>
          <w:sz w:val="24"/>
          <w:szCs w:val="24"/>
          <w:lang w:eastAsia="lv-LV"/>
        </w:rPr>
        <w:t xml:space="preserve"> 13 396 162 </w:t>
      </w:r>
      <w:r w:rsidRPr="00C3305B">
        <w:rPr>
          <w:rFonts w:ascii="Times New Roman" w:eastAsia="Times New Roman" w:hAnsi="Times New Roman" w:cs="Times New Roman"/>
          <w:i/>
          <w:sz w:val="24"/>
          <w:szCs w:val="24"/>
          <w:lang w:eastAsia="lv-LV"/>
        </w:rPr>
        <w:t>euro;</w:t>
      </w:r>
    </w:p>
    <w:p w14:paraId="19243194"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Kardiovaskulārās saslimstības mazināšanai un slimību ārstēšanas efektivitātes uzlabošanai</w:t>
      </w:r>
      <w:r w:rsidRPr="00C3305B">
        <w:rPr>
          <w:rFonts w:ascii="Times New Roman" w:eastAsia="Times New Roman" w:hAnsi="Times New Roman" w:cs="Times New Roman"/>
          <w:sz w:val="24"/>
          <w:szCs w:val="24"/>
          <w:lang w:eastAsia="lv-LV"/>
        </w:rPr>
        <w:t xml:space="preserve"> 10 507 717 </w:t>
      </w:r>
      <w:r w:rsidRPr="00C3305B">
        <w:rPr>
          <w:rFonts w:ascii="Times New Roman" w:eastAsia="Times New Roman" w:hAnsi="Times New Roman" w:cs="Times New Roman"/>
          <w:i/>
          <w:sz w:val="24"/>
          <w:szCs w:val="24"/>
          <w:lang w:eastAsia="lv-LV"/>
        </w:rPr>
        <w:t>euro;</w:t>
      </w:r>
    </w:p>
    <w:p w14:paraId="1C8EAE9E"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Ārstniecības iestāžu līmeņu reformai</w:t>
      </w:r>
      <w:r w:rsidRPr="00C3305B">
        <w:rPr>
          <w:rFonts w:ascii="Times New Roman" w:eastAsia="Times New Roman" w:hAnsi="Times New Roman" w:cs="Times New Roman"/>
          <w:sz w:val="24"/>
          <w:szCs w:val="24"/>
          <w:lang w:eastAsia="lv-LV"/>
        </w:rPr>
        <w:t xml:space="preserve"> 6 433 916 </w:t>
      </w:r>
      <w:r w:rsidRPr="00C3305B">
        <w:rPr>
          <w:rFonts w:ascii="Times New Roman" w:eastAsia="Times New Roman" w:hAnsi="Times New Roman" w:cs="Times New Roman"/>
          <w:i/>
          <w:sz w:val="24"/>
          <w:szCs w:val="24"/>
          <w:lang w:eastAsia="lv-LV"/>
        </w:rPr>
        <w:t>euro;</w:t>
      </w:r>
    </w:p>
    <w:p w14:paraId="28CDB18D"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Rehabilitācijas pakalpojumu stacionārā stratēģiskais iepirkumam</w:t>
      </w:r>
      <w:r w:rsidRPr="00C3305B">
        <w:rPr>
          <w:rFonts w:ascii="Times New Roman" w:eastAsia="Times New Roman" w:hAnsi="Times New Roman" w:cs="Times New Roman"/>
          <w:sz w:val="24"/>
          <w:szCs w:val="24"/>
          <w:lang w:eastAsia="lv-LV"/>
        </w:rPr>
        <w:t xml:space="preserve"> 3 874 774 </w:t>
      </w:r>
      <w:r w:rsidRPr="00C3305B">
        <w:rPr>
          <w:rFonts w:ascii="Times New Roman" w:eastAsia="Times New Roman" w:hAnsi="Times New Roman" w:cs="Times New Roman"/>
          <w:i/>
          <w:sz w:val="24"/>
          <w:szCs w:val="24"/>
          <w:lang w:eastAsia="lv-LV"/>
        </w:rPr>
        <w:t>euro;</w:t>
      </w:r>
    </w:p>
    <w:p w14:paraId="76213301"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Psihiskās veselības aprūpes pakalpojumus pieejamības uzlabošana</w:t>
      </w:r>
      <w:r w:rsidRPr="00C3305B">
        <w:rPr>
          <w:rFonts w:ascii="Times New Roman" w:eastAsia="Times New Roman" w:hAnsi="Times New Roman" w:cs="Times New Roman"/>
          <w:sz w:val="24"/>
          <w:szCs w:val="24"/>
          <w:lang w:eastAsia="lv-LV"/>
        </w:rPr>
        <w:t xml:space="preserve">i 6 308 906 </w:t>
      </w:r>
      <w:r w:rsidRPr="00C3305B">
        <w:rPr>
          <w:rFonts w:ascii="Times New Roman" w:eastAsia="Times New Roman" w:hAnsi="Times New Roman" w:cs="Times New Roman"/>
          <w:i/>
          <w:sz w:val="24"/>
          <w:szCs w:val="24"/>
          <w:lang w:eastAsia="lv-LV"/>
        </w:rPr>
        <w:t>euro;</w:t>
      </w:r>
    </w:p>
    <w:p w14:paraId="72AEA3D2" w14:textId="77777777" w:rsidR="00C3305B" w:rsidRPr="00C3305B" w:rsidRDefault="00C3305B" w:rsidP="00EB5F3E">
      <w:pPr>
        <w:numPr>
          <w:ilvl w:val="0"/>
          <w:numId w:val="43"/>
        </w:numPr>
        <w:spacing w:after="200" w:line="240" w:lineRule="auto"/>
        <w:ind w:right="-1"/>
        <w:contextualSpacing/>
        <w:jc w:val="both"/>
        <w:rPr>
          <w:rFonts w:ascii="Times New Roman" w:eastAsia="Calibri" w:hAnsi="Times New Roman" w:cs="Times New Roman"/>
          <w:color w:val="000000"/>
          <w:sz w:val="24"/>
          <w:szCs w:val="24"/>
        </w:rPr>
      </w:pPr>
      <w:r w:rsidRPr="00C3305B">
        <w:rPr>
          <w:rFonts w:ascii="Times New Roman" w:eastAsia="Times New Roman" w:hAnsi="Times New Roman" w:cs="Times New Roman"/>
          <w:b/>
          <w:sz w:val="24"/>
          <w:szCs w:val="24"/>
          <w:lang w:eastAsia="lv-LV"/>
        </w:rPr>
        <w:t>Vides uzlabošana un infrastruktūras efektivizēšanai</w:t>
      </w:r>
      <w:r w:rsidRPr="00C3305B">
        <w:rPr>
          <w:rFonts w:ascii="Times New Roman" w:eastAsia="Times New Roman" w:hAnsi="Times New Roman" w:cs="Times New Roman"/>
          <w:sz w:val="24"/>
          <w:szCs w:val="24"/>
          <w:lang w:eastAsia="lv-LV"/>
        </w:rPr>
        <w:t xml:space="preserve"> 7 548 747 </w:t>
      </w:r>
      <w:r w:rsidRPr="00C3305B">
        <w:rPr>
          <w:rFonts w:ascii="Times New Roman" w:eastAsia="Times New Roman" w:hAnsi="Times New Roman" w:cs="Times New Roman"/>
          <w:i/>
          <w:sz w:val="24"/>
          <w:szCs w:val="24"/>
          <w:lang w:eastAsia="lv-LV"/>
        </w:rPr>
        <w:t>euro.</w:t>
      </w:r>
    </w:p>
    <w:p w14:paraId="30CFB63C" w14:textId="0BC6503F" w:rsidR="00C3305B" w:rsidRPr="00C3305B" w:rsidRDefault="00C3305B" w:rsidP="000E69BD">
      <w:pPr>
        <w:spacing w:after="0" w:line="240" w:lineRule="auto"/>
        <w:ind w:right="-1" w:firstLine="720"/>
        <w:jc w:val="both"/>
        <w:rPr>
          <w:rFonts w:ascii="Times New Roman" w:eastAsia="Times New Roman" w:hAnsi="Times New Roman" w:cs="Times New Roman"/>
          <w:sz w:val="24"/>
          <w:szCs w:val="24"/>
          <w:shd w:val="clear" w:color="auto" w:fill="FFFFFF"/>
        </w:rPr>
      </w:pPr>
      <w:r w:rsidRPr="00C3305B">
        <w:rPr>
          <w:rFonts w:ascii="Times New Roman" w:eastAsia="Times New Roman" w:hAnsi="Times New Roman" w:cs="Times New Roman"/>
          <w:sz w:val="24"/>
          <w:szCs w:val="24"/>
        </w:rPr>
        <w:t xml:space="preserve">Ņemot vērā, ka atsevišķiem pakalpojumiem, kā, piemēram, onkoloģijas un SAS medikamenti, laboratorijas pakalpojumi, atbilstoši 2019.gada I pusgada izpildei tika konstatēts, ka plānojas sniegto pakalpojumu pārstrāde virs plānotā, bet atsevišķiem pasākumiem tika prognozēts, ka plāna pasākumi, piemēram, pediatru pieejamība, ģimenes ārstu kvalitātes maksājums, Siguldas slimnīcas ķirurģiskais profils, Jēkabpils slimnīcas insulta vienības nodrošināšana un akūtā rehabilitācija netiks realizēti sākotnēji plānotajā apmērā, </w:t>
      </w:r>
      <w:r w:rsidR="007F6EE6">
        <w:rPr>
          <w:rFonts w:ascii="Times New Roman" w:eastAsia="Times New Roman" w:hAnsi="Times New Roman" w:cs="Times New Roman"/>
          <w:sz w:val="24"/>
          <w:szCs w:val="24"/>
        </w:rPr>
        <w:t>VM</w:t>
      </w:r>
      <w:r w:rsidRPr="00C3305B">
        <w:rPr>
          <w:rFonts w:ascii="Times New Roman" w:eastAsia="Times New Roman" w:hAnsi="Times New Roman" w:cs="Times New Roman"/>
          <w:sz w:val="24"/>
          <w:szCs w:val="24"/>
        </w:rPr>
        <w:t xml:space="preserve"> </w:t>
      </w:r>
      <w:r w:rsidRPr="00C3305B">
        <w:rPr>
          <w:rFonts w:ascii="Times New Roman" w:eastAsia="Times New Roman" w:hAnsi="Times New Roman" w:cs="Times New Roman"/>
          <w:sz w:val="24"/>
          <w:szCs w:val="24"/>
          <w:shd w:val="clear" w:color="auto" w:fill="FFFFFF"/>
        </w:rPr>
        <w:t>iesniedza M</w:t>
      </w:r>
      <w:r w:rsidR="00291A3B">
        <w:rPr>
          <w:rFonts w:ascii="Times New Roman" w:eastAsia="Times New Roman" w:hAnsi="Times New Roman" w:cs="Times New Roman"/>
          <w:sz w:val="24"/>
          <w:szCs w:val="24"/>
          <w:shd w:val="clear" w:color="auto" w:fill="FFFFFF"/>
        </w:rPr>
        <w:t xml:space="preserve">K </w:t>
      </w:r>
      <w:r w:rsidRPr="00C3305B">
        <w:rPr>
          <w:rFonts w:ascii="Times New Roman" w:eastAsia="Times New Roman" w:hAnsi="Times New Roman" w:cs="Times New Roman"/>
          <w:sz w:val="24"/>
          <w:szCs w:val="24"/>
          <w:shd w:val="clear" w:color="auto" w:fill="FFFFFF"/>
        </w:rPr>
        <w:t>informatīvo ziņojumu par atsevišķu veselības aprūpes pakalpojumu sniegšanas finansējuma izpildi un plānotajiem pasākumiem veselības nozares reformu turpināšanai, lai novērstu EK atkāpes finansējuma neizpildi.</w:t>
      </w:r>
    </w:p>
    <w:p w14:paraId="2B8EFAE2" w14:textId="77777777" w:rsidR="00C3305B" w:rsidRPr="00C3305B" w:rsidRDefault="00C3305B" w:rsidP="000E69BD">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Jāatzīmē, ka pediatru, algologa, laboratorisko izmeklējumu, kā arī ārstniecības iestāžu līmeņu reformu, rehabilitācijas un psihiatrijas pasākumiem finanšu līdzekļu piešķīrums tika uzsākts no 2019.gada 1.aprīļa, līdz ar to arī pasākumu apguve uzsākta 2019.gada aprīlī, bet pārējā līdzekļu apguve tika uzsākta no gada sākuma.</w:t>
      </w:r>
    </w:p>
    <w:p w14:paraId="273B76D6" w14:textId="348F4189" w:rsidR="00C3305B" w:rsidRPr="00C3305B" w:rsidRDefault="00C3305B" w:rsidP="000E69BD">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2020.gada pavasarī, pamatojoties uz V</w:t>
      </w:r>
      <w:r w:rsidR="007F6EE6">
        <w:rPr>
          <w:rFonts w:ascii="Times New Roman" w:eastAsia="Times New Roman" w:hAnsi="Times New Roman" w:cs="Times New Roman"/>
          <w:sz w:val="24"/>
          <w:szCs w:val="24"/>
        </w:rPr>
        <w:t xml:space="preserve">M </w:t>
      </w:r>
      <w:r w:rsidRPr="00C3305B">
        <w:rPr>
          <w:rFonts w:ascii="Times New Roman" w:eastAsia="Times New Roman" w:hAnsi="Times New Roman" w:cs="Times New Roman"/>
          <w:sz w:val="24"/>
          <w:szCs w:val="24"/>
        </w:rPr>
        <w:t>izstrādāto ziņojumu “Par veselības reformas pasākumu īstenošanas rezultātiem veselības aprūpē 2019.gadā”</w:t>
      </w:r>
      <w:r w:rsidRPr="00C3305B">
        <w:rPr>
          <w:rFonts w:ascii="Garamond" w:eastAsia="Times New Roman" w:hAnsi="Garamond" w:cs="Times New Roman"/>
          <w:sz w:val="20"/>
          <w:szCs w:val="24"/>
          <w:vertAlign w:val="superscript"/>
        </w:rPr>
        <w:footnoteReference w:id="9"/>
      </w:r>
      <w:r w:rsidRPr="00C3305B">
        <w:rPr>
          <w:rFonts w:ascii="Times New Roman" w:eastAsia="Times New Roman" w:hAnsi="Times New Roman" w:cs="Times New Roman"/>
          <w:sz w:val="24"/>
          <w:szCs w:val="24"/>
        </w:rPr>
        <w:t xml:space="preserve">, tika secināts, ievērojot reformu uzsākšanai nepieciešamo laiku darba organizatorisko procesu maiņai ārstniecības iestādēs un ambulatorajiem pakalpojumiem novirzāmos līdzekļus, </w:t>
      </w:r>
      <w:r w:rsidRPr="0026347F">
        <w:rPr>
          <w:rFonts w:ascii="Times New Roman" w:eastAsia="Times New Roman" w:hAnsi="Times New Roman" w:cs="Times New Roman"/>
          <w:b/>
          <w:sz w:val="24"/>
          <w:szCs w:val="24"/>
        </w:rPr>
        <w:t>reformas īstenošana vērtējama kā veiksmīga.</w:t>
      </w:r>
      <w:r w:rsidRPr="00C3305B">
        <w:rPr>
          <w:rFonts w:ascii="Times New Roman" w:eastAsia="Times New Roman" w:hAnsi="Times New Roman" w:cs="Times New Roman"/>
          <w:sz w:val="24"/>
          <w:szCs w:val="24"/>
        </w:rPr>
        <w:t xml:space="preserve"> Ir vērojams samazinājums rindām uz speciālistu konsultācijām, dienas stacionāra pakalpojumiem un rehabilitācijas pakalpojumiem, tomēr izmeklējumu segmentā ir novērojams mērens rindu palielinājums, saistībā ar pacientu uzvedības maiņu. Kopumā ir samazinājies iedzīvotāju skaits, kuri rindu, attāluma vai finanšu dēļ nav saņēmuši sekundāros ambulatoros veselības aprūpes pakalpojumus, kā arī ir samazinājies nesaņemto sekundāro ambulatoro veselības aprūpes pakalpojumu skaits (rindu, attāluma vai finanšu dēļ).</w:t>
      </w:r>
    </w:p>
    <w:p w14:paraId="2F4AB534" w14:textId="77777777"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Papildus var secināt, ka onkoloģijas rezultatīvie rādītāji ir pārsniegti, jo pieaudzis veikto speciālistu konsultāciju skaits, atbilstoši noteiktajiem algoritmiem, un pacienti ir vairāk nosūtīti papildus veikt sekundāro diagnostiku un izmeklējumus, kas ļāvis savlaicīgāk diagnosticēt saslimšanu un uzsākt atbilstošu ārstēšanu, tai skaitā tika nodrošināts medikamentu pieejamības pieaugums. </w:t>
      </w:r>
    </w:p>
    <w:p w14:paraId="60164DFA" w14:textId="77777777"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Līdz šim veiktās reformas onkoloģijas “Zaļā koridora” izveidei ir nodrošinājušas, ka pacienta ceļš līdz diagnozes noteikšanai un ārstēšanas uzsākšanai ir ievērojami samazinājies, lielākajā daļā gadījumu nodrošinot, ka pēc reformu veikšanas 10 dienu laikā tiek nodrošinātas sākotnējās konsultācijas, izmeklējumi un uzsākta ārstēšana. Pirms “Zaļā koridora” ieviešanas pacients tikai uz konsultāciju pie speciālista gaidīja vidēji 30 dienas. </w:t>
      </w:r>
    </w:p>
    <w:p w14:paraId="52BA519A" w14:textId="42A6431A"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Ir iezīmējies, ka jaunu programmu sekmīgai ieviešanai (piemēram, rehabilitācijas pakalpojumu stratēģiskais iepirkums stacionārā, Psihiskās veselības aprūpes pieejamība</w:t>
      </w:r>
      <w:r w:rsidR="000E69BD">
        <w:rPr>
          <w:rFonts w:ascii="Times New Roman" w:eastAsia="Times New Roman" w:hAnsi="Times New Roman" w:cs="Times New Roman"/>
          <w:sz w:val="24"/>
          <w:szCs w:val="24"/>
        </w:rPr>
        <w:t>s uzlabošanas plānā 2019.–2020.</w:t>
      </w:r>
      <w:r w:rsidRPr="00C3305B">
        <w:rPr>
          <w:rFonts w:ascii="Times New Roman" w:eastAsia="Times New Roman" w:hAnsi="Times New Roman" w:cs="Times New Roman"/>
          <w:sz w:val="24"/>
          <w:szCs w:val="24"/>
        </w:rPr>
        <w:t>gadam iekļauto pasākumu īstenošana, SAS programma) nepieciešams pietiekami ilgs laiks, lai pakalpojumu sniedzēji varētu veikt izmaiņas pakalpojumu sniegšanas organizācijā, savukārt nosūtītāji izprastu ieguvumus no jaunās kārtības un aktīvi iesaistītos tās izmantošanā, kā arī izstrādātajā kārtībā būtu iespējams veikt korekcijas, kas uzlabotu pacientu plūsmu organizāciju atbilstoši reālai situācijai. Līdz ar to 2019.gadā tika veltīta pastiprināta uzmanība jauno pasākumu ieviešanas uzraudzībai, lai veicinātu EK pieļautās budžeta deficīta atkāpes piešķirto finanšu līdzekļu apgūšanu.</w:t>
      </w:r>
    </w:p>
    <w:p w14:paraId="50D95C5B" w14:textId="77777777"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Veicot reformu izpildes finansējuma izlietojuma apkopojumu bija izveidojusies finansējuma neizpilde programmā algologa (sāpju mazināšanas) pakalpojumiem, akūtai rehabilitācijai, bioloģiskās terapijas nodrošināšanai Krona slimībai, čūlainajam kolītam un psoriāzei un HIV/AIDS medikamentozā ārstēšana, kompensējamie medikamenti C hepatīta ārstēšanai, kopā veselības aprūpes pakalpojumu pieejamībā veidojot 0,40% finansējuma neizpildi no piešķirtajiem 154,2 milj. </w:t>
      </w:r>
      <w:r w:rsidRPr="00C3305B">
        <w:rPr>
          <w:rFonts w:ascii="Times New Roman" w:eastAsia="Times New Roman" w:hAnsi="Times New Roman" w:cs="Times New Roman"/>
          <w:i/>
          <w:sz w:val="24"/>
          <w:szCs w:val="24"/>
        </w:rPr>
        <w:t>euro</w:t>
      </w:r>
      <w:r w:rsidRPr="00C3305B">
        <w:rPr>
          <w:rFonts w:ascii="Times New Roman" w:eastAsia="Times New Roman" w:hAnsi="Times New Roman" w:cs="Times New Roman"/>
          <w:sz w:val="24"/>
          <w:szCs w:val="24"/>
        </w:rPr>
        <w:t xml:space="preserve">. Savukārt onkoloģijas jomā bija izveidojusies finansējuma pārstrāde, līdz ar to tika manīta veselības reformu ietekme uz savlaicīgu pacientu diagnostiku un ārstēšanas metodikas pielietošanu, kas kopumā sekmēja dzīvildzes pagarināšanu. </w:t>
      </w:r>
    </w:p>
    <w:p w14:paraId="3DB8FFFA" w14:textId="77777777"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 xml:space="preserve">2019.gadā tika aktīvi turpināts darbs pie Valsts patoloģijas centra izveides, lai jau 2020.gada IV ceturksnī centrs varētu uzsākt sniegt plānotos pakalpojumus pilnā apmērā, veicinot kvalitatīvus izmeklējumus. Tāpat tika attīstīta slimnīcu infrastruktūras nomaiņas procesi, lai kopumā tiktu uzlaboti veselības aprūpes rādītāji, sniedzot mūsdienīgus pakalpojumus, kas sekmē ātrāku diagnozes uzstādīšanu, saīsinot ārstēšanas uzsākšanas laiku un palīdzot ātrāk atgriezties darba tirgū, saglabājot dzīves kvalitāti. </w:t>
      </w:r>
    </w:p>
    <w:p w14:paraId="7D40E964" w14:textId="77777777" w:rsidR="00C3305B" w:rsidRPr="00C3305B" w:rsidRDefault="00C3305B" w:rsidP="000E69BD">
      <w:pPr>
        <w:spacing w:after="0" w:line="240" w:lineRule="auto"/>
        <w:ind w:right="-1" w:firstLine="720"/>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Jāatzīmē, ka Latvija uzrāda augstus naudas efektivitātes rezultātus. Ziņojumi “</w:t>
      </w:r>
      <w:r w:rsidRPr="00C3305B">
        <w:rPr>
          <w:rFonts w:ascii="Times New Roman" w:eastAsia="Times New Roman" w:hAnsi="Times New Roman" w:cs="Times New Roman"/>
          <w:i/>
          <w:sz w:val="24"/>
          <w:szCs w:val="24"/>
        </w:rPr>
        <w:t>Euro</w:t>
      </w:r>
      <w:r w:rsidRPr="00C3305B">
        <w:rPr>
          <w:rFonts w:ascii="Times New Roman" w:eastAsia="Times New Roman" w:hAnsi="Times New Roman" w:cs="Times New Roman"/>
          <w:sz w:val="24"/>
          <w:szCs w:val="24"/>
        </w:rPr>
        <w:t xml:space="preserve"> </w:t>
      </w:r>
      <w:r w:rsidRPr="00C3305B">
        <w:rPr>
          <w:rFonts w:ascii="Times New Roman" w:eastAsia="Times New Roman" w:hAnsi="Times New Roman" w:cs="Times New Roman"/>
          <w:i/>
          <w:sz w:val="24"/>
          <w:szCs w:val="24"/>
        </w:rPr>
        <w:t>Health Consumer Index 2017 Report</w:t>
      </w:r>
      <w:r w:rsidRPr="00C3305B">
        <w:rPr>
          <w:rFonts w:ascii="Times New Roman" w:eastAsia="Times New Roman" w:hAnsi="Times New Roman" w:cs="Times New Roman"/>
          <w:sz w:val="24"/>
          <w:szCs w:val="24"/>
        </w:rPr>
        <w:t>”</w:t>
      </w:r>
      <w:r w:rsidRPr="00C3305B">
        <w:rPr>
          <w:rFonts w:ascii="Times New Roman" w:eastAsia="Times New Roman" w:hAnsi="Times New Roman" w:cs="Times New Roman"/>
          <w:sz w:val="24"/>
          <w:szCs w:val="24"/>
          <w:vertAlign w:val="superscript"/>
        </w:rPr>
        <w:footnoteReference w:id="10"/>
      </w:r>
      <w:r w:rsidRPr="00C3305B">
        <w:rPr>
          <w:rFonts w:ascii="Times New Roman" w:eastAsia="Times New Roman" w:hAnsi="Times New Roman" w:cs="Times New Roman"/>
          <w:sz w:val="24"/>
          <w:szCs w:val="24"/>
        </w:rPr>
        <w:t xml:space="preserve"> un “</w:t>
      </w:r>
      <w:r w:rsidRPr="00C3305B">
        <w:rPr>
          <w:rFonts w:ascii="Times New Roman" w:eastAsia="Times New Roman" w:hAnsi="Times New Roman" w:cs="Times New Roman"/>
          <w:i/>
          <w:sz w:val="24"/>
          <w:szCs w:val="24"/>
        </w:rPr>
        <w:t>Euro</w:t>
      </w:r>
      <w:r w:rsidRPr="00C3305B">
        <w:rPr>
          <w:rFonts w:ascii="Times New Roman" w:eastAsia="Times New Roman" w:hAnsi="Times New Roman" w:cs="Times New Roman"/>
          <w:sz w:val="24"/>
          <w:szCs w:val="24"/>
        </w:rPr>
        <w:t xml:space="preserve"> </w:t>
      </w:r>
      <w:r w:rsidRPr="00C3305B">
        <w:rPr>
          <w:rFonts w:ascii="Times New Roman" w:eastAsia="Times New Roman" w:hAnsi="Times New Roman" w:cs="Times New Roman"/>
          <w:i/>
          <w:sz w:val="24"/>
          <w:szCs w:val="24"/>
        </w:rPr>
        <w:t>Health Consumer Index 2018 Report</w:t>
      </w:r>
      <w:r w:rsidRPr="00C3305B">
        <w:rPr>
          <w:rFonts w:ascii="Times New Roman" w:eastAsia="Times New Roman" w:hAnsi="Times New Roman" w:cs="Times New Roman"/>
          <w:sz w:val="24"/>
          <w:szCs w:val="24"/>
        </w:rPr>
        <w:t>”</w:t>
      </w:r>
      <w:r w:rsidRPr="00C3305B">
        <w:rPr>
          <w:rFonts w:ascii="Times New Roman" w:eastAsia="Times New Roman" w:hAnsi="Times New Roman" w:cs="Times New Roman"/>
          <w:sz w:val="24"/>
          <w:szCs w:val="24"/>
          <w:vertAlign w:val="superscript"/>
        </w:rPr>
        <w:footnoteReference w:id="11"/>
      </w:r>
      <w:r w:rsidRPr="00C3305B">
        <w:rPr>
          <w:rFonts w:ascii="Times New Roman" w:eastAsia="Times New Roman" w:hAnsi="Times New Roman" w:cs="Times New Roman"/>
          <w:sz w:val="24"/>
          <w:szCs w:val="24"/>
        </w:rPr>
        <w:t xml:space="preserve">, kuros, lai novērtētu veselības aprūpes sistēmas darbības efektivitāti, tiek mēģināts salīdzināt savā starpā ES dalībvalstis ar ļoti atšķirīgiem finanšu resursiem, veicot naudas vērtības korekciju ar veselības aprūpes izdevumiem uz vienu iedzīvotāju, ļauj secināt, ka Latvija ar vienu no zemākajiem veselības aprūpes izdevumiem uz vienu iedzīvotāju uzrāda augstus naudas efektivitātes rezultātus. </w:t>
      </w:r>
    </w:p>
    <w:p w14:paraId="3E469DC9" w14:textId="78CBDD27" w:rsidR="00C3305B" w:rsidRPr="00C3305B" w:rsidRDefault="00F033D3" w:rsidP="000E69BD">
      <w:pPr>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w:t>
      </w:r>
      <w:r w:rsidR="00C3305B" w:rsidRPr="00C3305B">
        <w:rPr>
          <w:rFonts w:ascii="Times New Roman" w:eastAsia="Times New Roman" w:hAnsi="Times New Roman" w:cs="Times New Roman"/>
          <w:sz w:val="24"/>
          <w:szCs w:val="24"/>
        </w:rPr>
        <w:t xml:space="preserve"> pieļautās budžeta deficīta atkāpes līdzekļi, kas trīs gadu garumā tika ieguldīti Latvijas veselības aprūpes sistēmas stiprināšanā, ar mērķi nodrošināt veselības aprūpes pakalpojumu pieejamību un kvalitāti, ir investīcija Latvijas iedzīvotāju veselības uzlabošanā un labklājības celšanā, vienlaikus samazinot veselības nevienlīdzību un veicinot veselības aprūpes sistēmas attīstību. </w:t>
      </w:r>
    </w:p>
    <w:p w14:paraId="361FF69F" w14:textId="77777777" w:rsidR="00C3305B" w:rsidRPr="00C3305B" w:rsidRDefault="00C3305B" w:rsidP="000E69BD">
      <w:pPr>
        <w:spacing w:after="0" w:line="240" w:lineRule="auto"/>
        <w:ind w:right="-1" w:firstLine="709"/>
        <w:jc w:val="both"/>
        <w:rPr>
          <w:rFonts w:ascii="Times New Roman" w:eastAsia="Times New Roman" w:hAnsi="Times New Roman" w:cs="Times New Roman"/>
          <w:sz w:val="24"/>
          <w:szCs w:val="24"/>
        </w:rPr>
      </w:pPr>
      <w:r w:rsidRPr="00C3305B">
        <w:rPr>
          <w:rFonts w:ascii="Times New Roman" w:eastAsia="Times New Roman" w:hAnsi="Times New Roman" w:cs="Times New Roman"/>
          <w:sz w:val="24"/>
          <w:szCs w:val="24"/>
        </w:rPr>
        <w:t>Investīcijas veselības nozarē ļauj samazināt potenciāli zaudēto dzīves gadu skaitu, palielinot iedzīvotāju līdzdalību darba tirgū un kopējos nodokļu ieņēmumus, tādējādi veicinot ekonomikas attīstību un iedzīvotāju labklājību. Labāka veselība var palielināt atdevi no ieguldījumiem izglītībā un darba ņēmēju pieredzē, jo ilgāks dzīves ilgums palielina ienākumu periodu ieguldījumiem cilvēkkapitāla ražīgumā.</w:t>
      </w:r>
      <w:r w:rsidRPr="00C3305B">
        <w:rPr>
          <w:rFonts w:ascii="Times New Roman" w:eastAsia="Times New Roman" w:hAnsi="Times New Roman" w:cs="Times New Roman"/>
          <w:sz w:val="24"/>
          <w:szCs w:val="24"/>
          <w:vertAlign w:val="superscript"/>
        </w:rPr>
        <w:footnoteReference w:id="12"/>
      </w:r>
    </w:p>
    <w:p w14:paraId="0344F9FF" w14:textId="327AD5B5" w:rsidR="00C3305B" w:rsidRPr="004F1479" w:rsidRDefault="00C3305B" w:rsidP="000E69BD">
      <w:pPr>
        <w:spacing w:line="240" w:lineRule="auto"/>
        <w:ind w:right="-1" w:firstLine="709"/>
        <w:jc w:val="both"/>
        <w:rPr>
          <w:rFonts w:ascii="Times New Roman" w:eastAsia="Times New Roman" w:hAnsi="Times New Roman" w:cs="Times New Roman"/>
          <w:color w:val="212121"/>
          <w:sz w:val="24"/>
          <w:szCs w:val="24"/>
        </w:rPr>
      </w:pPr>
      <w:r w:rsidRPr="00C3305B">
        <w:rPr>
          <w:rFonts w:ascii="Times New Roman" w:eastAsia="Times New Roman" w:hAnsi="Times New Roman" w:cs="Times New Roman"/>
          <w:color w:val="000000"/>
          <w:sz w:val="24"/>
          <w:szCs w:val="24"/>
        </w:rPr>
        <w:t>Prognozējot potenciāli atgūtos (nezaudētos) mūža gadus gadījumā, ja ieguldījumi netiek veikti, var prognozēt, ka pakāpeniski uzlabojoties iedzīvotāju veselībpratībai un ņemot vērā nelielos uzlabojumus iepriekšējos periodos, kā arī uzlabojoties ārstniecības procesa koordinācijai sagaidāma esošās situācijas neliela uzlabošanās. Gala rezultātā minētie faktori datos atspoguļosies kā PZMG skaita minimāla lejupslīde vai pat stagnēšana. Savukārt veicot augstāk minētās reformas</w:t>
      </w:r>
      <w:r w:rsidR="0026347F">
        <w:rPr>
          <w:rFonts w:ascii="Times New Roman" w:eastAsia="Times New Roman" w:hAnsi="Times New Roman" w:cs="Times New Roman"/>
          <w:color w:val="000000"/>
          <w:sz w:val="24"/>
          <w:szCs w:val="24"/>
        </w:rPr>
        <w:t>,</w:t>
      </w:r>
      <w:r w:rsidRPr="00C3305B">
        <w:rPr>
          <w:rFonts w:ascii="Times New Roman" w:eastAsia="Times New Roman" w:hAnsi="Times New Roman" w:cs="Times New Roman"/>
          <w:color w:val="000000"/>
          <w:sz w:val="24"/>
          <w:szCs w:val="24"/>
        </w:rPr>
        <w:t xml:space="preserve"> samazināsies PZMG skaits, jo palielināsies iedzīvotāju dzīvildze un samazināsies priekšlaikus mirušo </w:t>
      </w:r>
      <w:r w:rsidRPr="004F1479">
        <w:rPr>
          <w:rFonts w:ascii="Times New Roman" w:eastAsia="Times New Roman" w:hAnsi="Times New Roman" w:cs="Times New Roman"/>
          <w:color w:val="000000"/>
          <w:sz w:val="24"/>
          <w:szCs w:val="24"/>
        </w:rPr>
        <w:t>skaits (skat. 3.</w:t>
      </w:r>
      <w:r w:rsidR="004F1479" w:rsidRPr="004F1479">
        <w:rPr>
          <w:rFonts w:ascii="Times New Roman" w:eastAsia="Times New Roman" w:hAnsi="Times New Roman" w:cs="Times New Roman"/>
          <w:color w:val="000000"/>
          <w:sz w:val="24"/>
          <w:szCs w:val="24"/>
        </w:rPr>
        <w:t>3</w:t>
      </w:r>
      <w:r w:rsidRPr="004F1479">
        <w:rPr>
          <w:rFonts w:ascii="Times New Roman" w:eastAsia="Times New Roman" w:hAnsi="Times New Roman" w:cs="Times New Roman"/>
          <w:color w:val="000000"/>
          <w:sz w:val="24"/>
          <w:szCs w:val="24"/>
        </w:rPr>
        <w:t xml:space="preserve">.tabulu). Ņemot vērā prognozes par PZMG samazinājumu, </w:t>
      </w:r>
      <w:r w:rsidRPr="004F1479">
        <w:rPr>
          <w:rFonts w:ascii="Times New Roman" w:eastAsia="Times New Roman" w:hAnsi="Times New Roman" w:cs="Times New Roman"/>
          <w:b/>
          <w:color w:val="000000"/>
          <w:sz w:val="24"/>
          <w:szCs w:val="24"/>
        </w:rPr>
        <w:t xml:space="preserve">secināms, ka tas atbilst </w:t>
      </w:r>
      <w:r w:rsidRPr="004F1479">
        <w:rPr>
          <w:rFonts w:ascii="Times New Roman" w:eastAsia="Times New Roman" w:hAnsi="Times New Roman" w:cs="Times New Roman"/>
          <w:b/>
          <w:bCs/>
          <w:color w:val="000000"/>
          <w:kern w:val="36"/>
          <w:sz w:val="24"/>
          <w:szCs w:val="24"/>
        </w:rPr>
        <w:t>pētījumā</w:t>
      </w:r>
      <w:r w:rsidRPr="004F1479">
        <w:rPr>
          <w:rFonts w:ascii="Times New Roman" w:eastAsia="Times New Roman" w:hAnsi="Times New Roman" w:cs="Times New Roman"/>
          <w:b/>
          <w:bCs/>
          <w:kern w:val="36"/>
          <w:sz w:val="24"/>
          <w:szCs w:val="24"/>
        </w:rPr>
        <w:t xml:space="preserve"> “Izvērtējums Sabiedrības </w:t>
      </w:r>
      <w:r w:rsidR="00486B49">
        <w:rPr>
          <w:rFonts w:ascii="Times New Roman" w:eastAsia="Times New Roman" w:hAnsi="Times New Roman" w:cs="Times New Roman"/>
          <w:b/>
          <w:bCs/>
          <w:kern w:val="36"/>
          <w:sz w:val="24"/>
          <w:szCs w:val="24"/>
        </w:rPr>
        <w:t>veselības pamatnostādņu 2014.–</w:t>
      </w:r>
      <w:r w:rsidRPr="004F1479">
        <w:rPr>
          <w:rFonts w:ascii="Times New Roman" w:eastAsia="Times New Roman" w:hAnsi="Times New Roman" w:cs="Times New Roman"/>
          <w:b/>
          <w:bCs/>
          <w:kern w:val="36"/>
          <w:sz w:val="24"/>
          <w:szCs w:val="24"/>
        </w:rPr>
        <w:t xml:space="preserve">2020.gadam izstrādei” </w:t>
      </w:r>
      <w:r w:rsidRPr="004F1479">
        <w:rPr>
          <w:rFonts w:ascii="Times New Roman" w:eastAsia="Times New Roman" w:hAnsi="Times New Roman" w:cs="Times New Roman"/>
          <w:b/>
          <w:color w:val="212121"/>
          <w:sz w:val="24"/>
          <w:szCs w:val="24"/>
        </w:rPr>
        <w:t>novērtētajam samazinājumam.</w:t>
      </w:r>
    </w:p>
    <w:p w14:paraId="08376303" w14:textId="40B5EB73" w:rsidR="00C3305B" w:rsidRPr="00C3305B" w:rsidRDefault="00C3305B" w:rsidP="000E69BD">
      <w:pPr>
        <w:spacing w:after="0"/>
        <w:ind w:right="-1"/>
        <w:jc w:val="right"/>
        <w:rPr>
          <w:rFonts w:ascii="Times New Roman" w:eastAsia="Times New Roman" w:hAnsi="Times New Roman" w:cs="Times New Roman"/>
          <w:b/>
          <w:bCs/>
          <w:sz w:val="24"/>
          <w:szCs w:val="24"/>
        </w:rPr>
      </w:pPr>
      <w:r w:rsidRPr="004F1479">
        <w:rPr>
          <w:rFonts w:ascii="Times New Roman" w:eastAsia="Times New Roman" w:hAnsi="Times New Roman" w:cs="Times New Roman"/>
          <w:b/>
          <w:sz w:val="24"/>
          <w:szCs w:val="24"/>
        </w:rPr>
        <w:t>3.</w:t>
      </w:r>
      <w:r w:rsidR="004F1479" w:rsidRPr="004F1479">
        <w:rPr>
          <w:rFonts w:ascii="Times New Roman" w:eastAsia="Times New Roman" w:hAnsi="Times New Roman" w:cs="Times New Roman"/>
          <w:b/>
          <w:sz w:val="24"/>
          <w:szCs w:val="24"/>
        </w:rPr>
        <w:t>3</w:t>
      </w:r>
      <w:r w:rsidRPr="004F1479">
        <w:rPr>
          <w:rFonts w:ascii="Times New Roman" w:eastAsia="Times New Roman" w:hAnsi="Times New Roman" w:cs="Times New Roman"/>
          <w:b/>
          <w:sz w:val="24"/>
          <w:szCs w:val="24"/>
        </w:rPr>
        <w:t xml:space="preserve">.tabula. </w:t>
      </w:r>
      <w:r w:rsidRPr="004F1479">
        <w:rPr>
          <w:rFonts w:ascii="Times New Roman" w:eastAsia="Times New Roman" w:hAnsi="Times New Roman" w:cs="Times New Roman"/>
          <w:b/>
          <w:color w:val="000000"/>
          <w:sz w:val="24"/>
          <w:szCs w:val="24"/>
        </w:rPr>
        <w:t>PZMG</w:t>
      </w:r>
      <w:r w:rsidRPr="00C3305B">
        <w:rPr>
          <w:rFonts w:ascii="Times New Roman" w:eastAsia="Times New Roman" w:hAnsi="Times New Roman" w:cs="Times New Roman"/>
          <w:b/>
          <w:bCs/>
          <w:sz w:val="24"/>
          <w:szCs w:val="24"/>
        </w:rPr>
        <w:t xml:space="preserve"> prognoze, ja ieguldījumi tiek veikti</w:t>
      </w:r>
    </w:p>
    <w:tbl>
      <w:tblPr>
        <w:tblW w:w="9493" w:type="dxa"/>
        <w:jc w:val="center"/>
        <w:tblLayout w:type="fixed"/>
        <w:tblLook w:val="04A0" w:firstRow="1" w:lastRow="0" w:firstColumn="1" w:lastColumn="0" w:noHBand="0" w:noVBand="1"/>
      </w:tblPr>
      <w:tblGrid>
        <w:gridCol w:w="1980"/>
        <w:gridCol w:w="795"/>
        <w:gridCol w:w="764"/>
        <w:gridCol w:w="795"/>
        <w:gridCol w:w="764"/>
        <w:gridCol w:w="1134"/>
        <w:gridCol w:w="1134"/>
        <w:gridCol w:w="1134"/>
        <w:gridCol w:w="993"/>
      </w:tblGrid>
      <w:tr w:rsidR="00C3305B" w:rsidRPr="00C3305B" w14:paraId="1D7DFF6A" w14:textId="77777777" w:rsidTr="005152BF">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2F5496"/>
            <w:noWrap/>
            <w:vAlign w:val="bottom"/>
            <w:hideMark/>
          </w:tcPr>
          <w:p w14:paraId="4FDE267C" w14:textId="77777777" w:rsidR="00C3305B" w:rsidRPr="00C3305B" w:rsidRDefault="00C3305B" w:rsidP="000E69BD">
            <w:pPr>
              <w:spacing w:after="0" w:line="240" w:lineRule="auto"/>
              <w:ind w:right="-1"/>
              <w:rPr>
                <w:rFonts w:ascii="Times New Roman" w:eastAsia="Times New Roman" w:hAnsi="Times New Roman" w:cs="Times New Roman"/>
                <w:color w:val="FFFFFF"/>
                <w:sz w:val="18"/>
                <w:szCs w:val="18"/>
                <w:lang w:eastAsia="lv-LV"/>
              </w:rPr>
            </w:pPr>
            <w:r w:rsidRPr="00C3305B">
              <w:rPr>
                <w:rFonts w:ascii="Times New Roman" w:eastAsia="Times New Roman" w:hAnsi="Times New Roman" w:cs="Times New Roman"/>
                <w:color w:val="FFFFFF"/>
                <w:sz w:val="18"/>
                <w:szCs w:val="18"/>
                <w:lang w:eastAsia="lv-LV"/>
              </w:rPr>
              <w:t> </w:t>
            </w:r>
          </w:p>
        </w:tc>
        <w:tc>
          <w:tcPr>
            <w:tcW w:w="795" w:type="dxa"/>
            <w:tcBorders>
              <w:top w:val="single" w:sz="4" w:space="0" w:color="auto"/>
              <w:left w:val="nil"/>
              <w:bottom w:val="single" w:sz="4" w:space="0" w:color="auto"/>
              <w:right w:val="single" w:sz="4" w:space="0" w:color="auto"/>
            </w:tcBorders>
            <w:shd w:val="clear" w:color="auto" w:fill="2F5496"/>
            <w:vAlign w:val="center"/>
            <w:hideMark/>
          </w:tcPr>
          <w:p w14:paraId="18773CF4"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2014</w:t>
            </w:r>
          </w:p>
        </w:tc>
        <w:tc>
          <w:tcPr>
            <w:tcW w:w="764" w:type="dxa"/>
            <w:tcBorders>
              <w:top w:val="single" w:sz="4" w:space="0" w:color="auto"/>
              <w:left w:val="nil"/>
              <w:bottom w:val="single" w:sz="4" w:space="0" w:color="auto"/>
              <w:right w:val="single" w:sz="4" w:space="0" w:color="auto"/>
            </w:tcBorders>
            <w:shd w:val="clear" w:color="auto" w:fill="2F5496"/>
            <w:vAlign w:val="center"/>
            <w:hideMark/>
          </w:tcPr>
          <w:p w14:paraId="316A25FF"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2015</w:t>
            </w:r>
          </w:p>
        </w:tc>
        <w:tc>
          <w:tcPr>
            <w:tcW w:w="795" w:type="dxa"/>
            <w:tcBorders>
              <w:top w:val="single" w:sz="4" w:space="0" w:color="auto"/>
              <w:left w:val="nil"/>
              <w:bottom w:val="single" w:sz="4" w:space="0" w:color="auto"/>
              <w:right w:val="single" w:sz="4" w:space="0" w:color="auto"/>
            </w:tcBorders>
            <w:shd w:val="clear" w:color="auto" w:fill="2F5496"/>
            <w:vAlign w:val="center"/>
            <w:hideMark/>
          </w:tcPr>
          <w:p w14:paraId="50407ACE"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2016</w:t>
            </w:r>
          </w:p>
        </w:tc>
        <w:tc>
          <w:tcPr>
            <w:tcW w:w="764" w:type="dxa"/>
            <w:tcBorders>
              <w:top w:val="single" w:sz="4" w:space="0" w:color="auto"/>
              <w:left w:val="nil"/>
              <w:bottom w:val="single" w:sz="4" w:space="0" w:color="auto"/>
              <w:right w:val="single" w:sz="4" w:space="0" w:color="auto"/>
            </w:tcBorders>
            <w:shd w:val="clear" w:color="auto" w:fill="2F5496"/>
            <w:vAlign w:val="center"/>
            <w:hideMark/>
          </w:tcPr>
          <w:p w14:paraId="54B42280"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2017</w:t>
            </w:r>
          </w:p>
        </w:tc>
        <w:tc>
          <w:tcPr>
            <w:tcW w:w="1134" w:type="dxa"/>
            <w:tcBorders>
              <w:top w:val="single" w:sz="4" w:space="0" w:color="auto"/>
              <w:left w:val="nil"/>
              <w:bottom w:val="single" w:sz="4" w:space="0" w:color="auto"/>
              <w:right w:val="single" w:sz="4" w:space="0" w:color="auto"/>
            </w:tcBorders>
            <w:shd w:val="clear" w:color="auto" w:fill="2F5496"/>
            <w:vAlign w:val="center"/>
            <w:hideMark/>
          </w:tcPr>
          <w:p w14:paraId="1D9C7765"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2018</w:t>
            </w:r>
          </w:p>
        </w:tc>
        <w:tc>
          <w:tcPr>
            <w:tcW w:w="1134" w:type="dxa"/>
            <w:tcBorders>
              <w:top w:val="single" w:sz="4" w:space="0" w:color="auto"/>
              <w:left w:val="nil"/>
              <w:bottom w:val="single" w:sz="4" w:space="0" w:color="auto"/>
              <w:right w:val="single" w:sz="4" w:space="0" w:color="auto"/>
            </w:tcBorders>
            <w:shd w:val="clear" w:color="auto" w:fill="2F5496"/>
            <w:vAlign w:val="center"/>
            <w:hideMark/>
          </w:tcPr>
          <w:p w14:paraId="169D30F1"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2019</w:t>
            </w:r>
          </w:p>
        </w:tc>
        <w:tc>
          <w:tcPr>
            <w:tcW w:w="1134" w:type="dxa"/>
            <w:tcBorders>
              <w:top w:val="single" w:sz="4" w:space="0" w:color="auto"/>
              <w:left w:val="nil"/>
              <w:bottom w:val="single" w:sz="4" w:space="0" w:color="auto"/>
              <w:right w:val="single" w:sz="4" w:space="0" w:color="auto"/>
            </w:tcBorders>
            <w:shd w:val="clear" w:color="auto" w:fill="2F5496"/>
            <w:vAlign w:val="center"/>
          </w:tcPr>
          <w:p w14:paraId="276B3976"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2020</w:t>
            </w:r>
          </w:p>
        </w:tc>
        <w:tc>
          <w:tcPr>
            <w:tcW w:w="993"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57882847" w14:textId="77777777" w:rsidR="00C3305B" w:rsidRPr="00C3305B" w:rsidRDefault="00C3305B" w:rsidP="000E69BD">
            <w:pPr>
              <w:spacing w:after="0" w:line="240" w:lineRule="auto"/>
              <w:ind w:right="-1"/>
              <w:jc w:val="center"/>
              <w:rPr>
                <w:rFonts w:ascii="Times New Roman" w:eastAsia="Times New Roman" w:hAnsi="Times New Roman" w:cs="Times New Roman"/>
                <w:b/>
                <w:bCs/>
                <w:color w:val="FFFFFF"/>
                <w:sz w:val="18"/>
                <w:szCs w:val="18"/>
                <w:lang w:eastAsia="lv-LV"/>
              </w:rPr>
            </w:pPr>
            <w:r w:rsidRPr="00C3305B">
              <w:rPr>
                <w:rFonts w:ascii="Times New Roman" w:eastAsia="Times New Roman" w:hAnsi="Times New Roman" w:cs="Times New Roman"/>
                <w:b/>
                <w:bCs/>
                <w:color w:val="FFFFFF"/>
                <w:sz w:val="18"/>
                <w:szCs w:val="18"/>
                <w:lang w:eastAsia="lv-LV"/>
              </w:rPr>
              <w:t>2021</w:t>
            </w:r>
          </w:p>
        </w:tc>
      </w:tr>
      <w:tr w:rsidR="00C3305B" w:rsidRPr="00C3305B" w14:paraId="0BD75C25" w14:textId="77777777" w:rsidTr="005152BF">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5BC5443" w14:textId="77777777" w:rsidR="00C3305B" w:rsidRPr="00C3305B" w:rsidRDefault="00C3305B" w:rsidP="000E69BD">
            <w:pPr>
              <w:spacing w:after="0" w:line="240" w:lineRule="auto"/>
              <w:ind w:right="-1"/>
              <w:rPr>
                <w:rFonts w:ascii="Times New Roman" w:eastAsia="Times New Roman" w:hAnsi="Times New Roman" w:cs="Times New Roman"/>
                <w:sz w:val="18"/>
                <w:szCs w:val="18"/>
                <w:lang w:eastAsia="lv-LV"/>
              </w:rPr>
            </w:pPr>
            <w:r w:rsidRPr="00C3305B">
              <w:rPr>
                <w:rFonts w:ascii="Times New Roman" w:eastAsia="Times New Roman" w:hAnsi="Times New Roman" w:cs="Times New Roman"/>
                <w:sz w:val="18"/>
                <w:szCs w:val="18"/>
                <w:lang w:eastAsia="lv-LV"/>
              </w:rPr>
              <w:t>PZMG prognoze neveicot ieguldījumus *</w:t>
            </w:r>
          </w:p>
        </w:tc>
        <w:tc>
          <w:tcPr>
            <w:tcW w:w="795" w:type="dxa"/>
            <w:tcBorders>
              <w:top w:val="nil"/>
              <w:left w:val="nil"/>
              <w:bottom w:val="single" w:sz="4" w:space="0" w:color="auto"/>
              <w:right w:val="single" w:sz="4" w:space="0" w:color="auto"/>
            </w:tcBorders>
            <w:shd w:val="clear" w:color="auto" w:fill="auto"/>
            <w:noWrap/>
            <w:vAlign w:val="bottom"/>
            <w:hideMark/>
          </w:tcPr>
          <w:p w14:paraId="24F93E25" w14:textId="1A20DDA2"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93</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374</w:t>
            </w:r>
          </w:p>
        </w:tc>
        <w:tc>
          <w:tcPr>
            <w:tcW w:w="764" w:type="dxa"/>
            <w:tcBorders>
              <w:top w:val="nil"/>
              <w:left w:val="nil"/>
              <w:bottom w:val="single" w:sz="4" w:space="0" w:color="auto"/>
              <w:right w:val="single" w:sz="4" w:space="0" w:color="auto"/>
            </w:tcBorders>
            <w:shd w:val="clear" w:color="auto" w:fill="auto"/>
            <w:noWrap/>
            <w:vAlign w:val="bottom"/>
            <w:hideMark/>
          </w:tcPr>
          <w:p w14:paraId="08D1E6F0" w14:textId="2CD6BAAF"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88</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297</w:t>
            </w:r>
          </w:p>
        </w:tc>
        <w:tc>
          <w:tcPr>
            <w:tcW w:w="795" w:type="dxa"/>
            <w:tcBorders>
              <w:top w:val="nil"/>
              <w:left w:val="nil"/>
              <w:bottom w:val="single" w:sz="4" w:space="0" w:color="auto"/>
              <w:right w:val="single" w:sz="4" w:space="0" w:color="auto"/>
            </w:tcBorders>
            <w:shd w:val="clear" w:color="auto" w:fill="auto"/>
            <w:noWrap/>
            <w:vAlign w:val="bottom"/>
            <w:hideMark/>
          </w:tcPr>
          <w:p w14:paraId="77954253" w14:textId="2295D91F"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84</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670</w:t>
            </w:r>
          </w:p>
        </w:tc>
        <w:tc>
          <w:tcPr>
            <w:tcW w:w="764" w:type="dxa"/>
            <w:tcBorders>
              <w:top w:val="nil"/>
              <w:left w:val="nil"/>
              <w:bottom w:val="single" w:sz="4" w:space="0" w:color="auto"/>
              <w:right w:val="single" w:sz="4" w:space="0" w:color="auto"/>
            </w:tcBorders>
            <w:shd w:val="clear" w:color="auto" w:fill="auto"/>
            <w:noWrap/>
            <w:vAlign w:val="bottom"/>
            <w:hideMark/>
          </w:tcPr>
          <w:p w14:paraId="341E72BF" w14:textId="2A747B37"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83</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876</w:t>
            </w:r>
          </w:p>
        </w:tc>
        <w:tc>
          <w:tcPr>
            <w:tcW w:w="1134" w:type="dxa"/>
            <w:tcBorders>
              <w:top w:val="nil"/>
              <w:left w:val="nil"/>
              <w:bottom w:val="single" w:sz="4" w:space="0" w:color="auto"/>
              <w:right w:val="single" w:sz="4" w:space="0" w:color="auto"/>
            </w:tcBorders>
            <w:shd w:val="clear" w:color="auto" w:fill="auto"/>
            <w:noWrap/>
            <w:vAlign w:val="bottom"/>
            <w:hideMark/>
          </w:tcPr>
          <w:p w14:paraId="0F24E853" w14:textId="23960AB2"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83</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037</w:t>
            </w:r>
          </w:p>
        </w:tc>
        <w:tc>
          <w:tcPr>
            <w:tcW w:w="1134" w:type="dxa"/>
            <w:tcBorders>
              <w:top w:val="nil"/>
              <w:left w:val="nil"/>
              <w:bottom w:val="single" w:sz="4" w:space="0" w:color="auto"/>
              <w:right w:val="single" w:sz="4" w:space="0" w:color="auto"/>
            </w:tcBorders>
            <w:shd w:val="clear" w:color="auto" w:fill="auto"/>
            <w:noWrap/>
            <w:vAlign w:val="bottom"/>
            <w:hideMark/>
          </w:tcPr>
          <w:p w14:paraId="15F170F3" w14:textId="61427D59"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82</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207</w:t>
            </w:r>
          </w:p>
        </w:tc>
        <w:tc>
          <w:tcPr>
            <w:tcW w:w="1134" w:type="dxa"/>
            <w:tcBorders>
              <w:top w:val="single" w:sz="4" w:space="0" w:color="auto"/>
              <w:left w:val="nil"/>
              <w:bottom w:val="single" w:sz="4" w:space="0" w:color="auto"/>
              <w:right w:val="single" w:sz="4" w:space="0" w:color="auto"/>
            </w:tcBorders>
            <w:vAlign w:val="bottom"/>
          </w:tcPr>
          <w:p w14:paraId="6A86E7FA" w14:textId="669802DA"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385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47E4985" w14:textId="16B6390F" w:rsidR="00C3305B" w:rsidRPr="00C3305B" w:rsidRDefault="00C3305B" w:rsidP="000E69BD">
            <w:pPr>
              <w:spacing w:after="0" w:line="240" w:lineRule="auto"/>
              <w:ind w:right="-1"/>
              <w:jc w:val="right"/>
              <w:rPr>
                <w:rFonts w:ascii="Times New Roman" w:eastAsia="Calibri" w:hAnsi="Times New Roman" w:cs="Times New Roman"/>
                <w:bCs/>
                <w:sz w:val="18"/>
                <w:szCs w:val="18"/>
              </w:rPr>
            </w:pPr>
            <w:r w:rsidRPr="00C3305B">
              <w:rPr>
                <w:rFonts w:ascii="Times New Roman" w:eastAsia="Calibri" w:hAnsi="Times New Roman" w:cs="Times New Roman"/>
                <w:bCs/>
                <w:sz w:val="18"/>
                <w:szCs w:val="18"/>
              </w:rPr>
              <w:t>80</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bCs/>
                <w:sz w:val="18"/>
                <w:szCs w:val="18"/>
              </w:rPr>
              <w:t>571</w:t>
            </w:r>
          </w:p>
        </w:tc>
      </w:tr>
      <w:tr w:rsidR="00C3305B" w:rsidRPr="00C3305B" w14:paraId="1E0C7179" w14:textId="77777777" w:rsidTr="005152BF">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F6AF56" w14:textId="77777777" w:rsidR="00C3305B" w:rsidRPr="00C3305B" w:rsidRDefault="00C3305B" w:rsidP="000E69BD">
            <w:pPr>
              <w:spacing w:after="0" w:line="240" w:lineRule="auto"/>
              <w:ind w:right="-1"/>
              <w:rPr>
                <w:rFonts w:ascii="Times New Roman" w:eastAsia="Times New Roman" w:hAnsi="Times New Roman" w:cs="Times New Roman"/>
                <w:sz w:val="18"/>
                <w:szCs w:val="18"/>
                <w:lang w:eastAsia="lv-LV"/>
              </w:rPr>
            </w:pPr>
            <w:r w:rsidRPr="00C3305B">
              <w:rPr>
                <w:rFonts w:ascii="Times New Roman" w:eastAsia="Times New Roman" w:hAnsi="Times New Roman" w:cs="Times New Roman"/>
                <w:sz w:val="18"/>
                <w:szCs w:val="18"/>
                <w:lang w:eastAsia="lv-LV"/>
              </w:rPr>
              <w:t>PZMG prognoze veicot ieguldījumus</w:t>
            </w:r>
          </w:p>
        </w:tc>
        <w:tc>
          <w:tcPr>
            <w:tcW w:w="795" w:type="dxa"/>
            <w:tcBorders>
              <w:top w:val="nil"/>
              <w:left w:val="nil"/>
              <w:bottom w:val="single" w:sz="4" w:space="0" w:color="auto"/>
              <w:right w:val="single" w:sz="4" w:space="0" w:color="auto"/>
            </w:tcBorders>
            <w:shd w:val="clear" w:color="auto" w:fill="auto"/>
            <w:noWrap/>
            <w:vAlign w:val="bottom"/>
          </w:tcPr>
          <w:p w14:paraId="15B1636A"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p>
        </w:tc>
        <w:tc>
          <w:tcPr>
            <w:tcW w:w="764" w:type="dxa"/>
            <w:tcBorders>
              <w:top w:val="nil"/>
              <w:left w:val="nil"/>
              <w:bottom w:val="single" w:sz="4" w:space="0" w:color="auto"/>
              <w:right w:val="single" w:sz="4" w:space="0" w:color="auto"/>
            </w:tcBorders>
            <w:shd w:val="clear" w:color="auto" w:fill="auto"/>
            <w:noWrap/>
            <w:vAlign w:val="bottom"/>
          </w:tcPr>
          <w:p w14:paraId="513FA5EF"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p>
        </w:tc>
        <w:tc>
          <w:tcPr>
            <w:tcW w:w="795" w:type="dxa"/>
            <w:tcBorders>
              <w:top w:val="nil"/>
              <w:left w:val="nil"/>
              <w:bottom w:val="single" w:sz="4" w:space="0" w:color="auto"/>
              <w:right w:val="single" w:sz="4" w:space="0" w:color="auto"/>
            </w:tcBorders>
            <w:shd w:val="clear" w:color="auto" w:fill="auto"/>
            <w:noWrap/>
            <w:vAlign w:val="bottom"/>
          </w:tcPr>
          <w:p w14:paraId="11CDA628"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p>
        </w:tc>
        <w:tc>
          <w:tcPr>
            <w:tcW w:w="764" w:type="dxa"/>
            <w:tcBorders>
              <w:top w:val="nil"/>
              <w:left w:val="nil"/>
              <w:bottom w:val="single" w:sz="4" w:space="0" w:color="auto"/>
              <w:right w:val="single" w:sz="4" w:space="0" w:color="auto"/>
            </w:tcBorders>
            <w:shd w:val="clear" w:color="auto" w:fill="auto"/>
            <w:noWrap/>
            <w:vAlign w:val="bottom"/>
          </w:tcPr>
          <w:p w14:paraId="196C0854"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6088300B" w14:textId="537AF87E"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80</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612</w:t>
            </w:r>
          </w:p>
        </w:tc>
        <w:tc>
          <w:tcPr>
            <w:tcW w:w="1134" w:type="dxa"/>
            <w:tcBorders>
              <w:top w:val="nil"/>
              <w:left w:val="nil"/>
              <w:bottom w:val="single" w:sz="4" w:space="0" w:color="auto"/>
              <w:right w:val="single" w:sz="4" w:space="0" w:color="auto"/>
            </w:tcBorders>
            <w:shd w:val="clear" w:color="auto" w:fill="auto"/>
            <w:noWrap/>
            <w:vAlign w:val="bottom"/>
            <w:hideMark/>
          </w:tcPr>
          <w:p w14:paraId="63A7F24E" w14:textId="51F32724"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78</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223</w:t>
            </w:r>
          </w:p>
        </w:tc>
        <w:tc>
          <w:tcPr>
            <w:tcW w:w="1134" w:type="dxa"/>
            <w:tcBorders>
              <w:top w:val="single" w:sz="4" w:space="0" w:color="auto"/>
              <w:left w:val="nil"/>
              <w:bottom w:val="single" w:sz="4" w:space="0" w:color="auto"/>
              <w:right w:val="single" w:sz="4" w:space="0" w:color="auto"/>
            </w:tcBorders>
            <w:vAlign w:val="bottom"/>
          </w:tcPr>
          <w:p w14:paraId="3D079226" w14:textId="02A1016E" w:rsidR="00C3305B" w:rsidRPr="00C3305B" w:rsidRDefault="000E69BD" w:rsidP="000E69BD">
            <w:pPr>
              <w:spacing w:after="0" w:line="240" w:lineRule="auto"/>
              <w:ind w:right="-1"/>
              <w:jc w:val="right"/>
              <w:rPr>
                <w:rFonts w:ascii="Times New Roman" w:eastAsia="Calibri" w:hAnsi="Times New Roman" w:cs="Times New Roman"/>
                <w:sz w:val="18"/>
                <w:szCs w:val="18"/>
              </w:rPr>
            </w:pPr>
            <w:r>
              <w:rPr>
                <w:rFonts w:ascii="Times New Roman" w:eastAsia="Calibri" w:hAnsi="Times New Roman" w:cs="Times New Roman"/>
                <w:sz w:val="18"/>
                <w:szCs w:val="18"/>
              </w:rPr>
              <w:t>75</w:t>
            </w:r>
            <w:r w:rsidRPr="00C3305B">
              <w:rPr>
                <w:rFonts w:ascii="Times New Roman" w:eastAsia="Times New Roman" w:hAnsi="Times New Roman" w:cs="Times New Roman"/>
                <w:sz w:val="24"/>
                <w:szCs w:val="24"/>
                <w:lang w:eastAsia="lv-LV"/>
              </w:rPr>
              <w:t> </w:t>
            </w:r>
            <w:r w:rsidR="00C3305B" w:rsidRPr="00C3305B">
              <w:rPr>
                <w:rFonts w:ascii="Times New Roman" w:eastAsia="Calibri" w:hAnsi="Times New Roman" w:cs="Times New Roman"/>
                <w:sz w:val="18"/>
                <w:szCs w:val="18"/>
              </w:rPr>
              <w:t>542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67E804A" w14:textId="15A24249"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73</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355</w:t>
            </w:r>
          </w:p>
        </w:tc>
      </w:tr>
      <w:tr w:rsidR="00C3305B" w:rsidRPr="00C3305B" w14:paraId="354FD7E4"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8EAADB"/>
            <w:noWrap/>
            <w:vAlign w:val="bottom"/>
            <w:hideMark/>
          </w:tcPr>
          <w:p w14:paraId="5E69F996" w14:textId="77777777" w:rsidR="00C3305B" w:rsidRPr="00C3305B" w:rsidRDefault="00C3305B" w:rsidP="000E69BD">
            <w:pPr>
              <w:spacing w:after="0" w:line="240" w:lineRule="auto"/>
              <w:ind w:right="-1"/>
              <w:rPr>
                <w:rFonts w:ascii="Times New Roman" w:eastAsia="Times New Roman" w:hAnsi="Times New Roman" w:cs="Times New Roman"/>
                <w:b/>
                <w:bCs/>
                <w:sz w:val="18"/>
                <w:szCs w:val="18"/>
                <w:lang w:eastAsia="lv-LV"/>
              </w:rPr>
            </w:pPr>
            <w:r w:rsidRPr="00C3305B">
              <w:rPr>
                <w:rFonts w:ascii="Times New Roman" w:eastAsia="Times New Roman" w:hAnsi="Times New Roman" w:cs="Times New Roman"/>
                <w:b/>
                <w:bCs/>
                <w:sz w:val="18"/>
                <w:szCs w:val="18"/>
                <w:lang w:eastAsia="lv-LV"/>
              </w:rPr>
              <w:t>Iegūtie PZMG</w:t>
            </w:r>
          </w:p>
        </w:tc>
        <w:tc>
          <w:tcPr>
            <w:tcW w:w="795" w:type="dxa"/>
            <w:tcBorders>
              <w:top w:val="nil"/>
              <w:left w:val="nil"/>
              <w:bottom w:val="single" w:sz="4" w:space="0" w:color="auto"/>
              <w:right w:val="single" w:sz="4" w:space="0" w:color="auto"/>
            </w:tcBorders>
            <w:shd w:val="clear" w:color="auto" w:fill="8EAADB"/>
            <w:noWrap/>
            <w:vAlign w:val="bottom"/>
            <w:hideMark/>
          </w:tcPr>
          <w:p w14:paraId="2298C609" w14:textId="77777777" w:rsidR="00C3305B" w:rsidRPr="00C3305B" w:rsidRDefault="00C3305B" w:rsidP="000E69BD">
            <w:pPr>
              <w:spacing w:after="0" w:line="240" w:lineRule="auto"/>
              <w:ind w:right="-1"/>
              <w:jc w:val="right"/>
              <w:rPr>
                <w:rFonts w:ascii="Times New Roman" w:eastAsia="Times New Roman" w:hAnsi="Times New Roman" w:cs="Times New Roman"/>
                <w:b/>
                <w:bCs/>
                <w:sz w:val="18"/>
                <w:szCs w:val="18"/>
                <w:lang w:eastAsia="lv-LV"/>
              </w:rPr>
            </w:pPr>
            <w:r w:rsidRPr="00C3305B">
              <w:rPr>
                <w:rFonts w:ascii="Times New Roman" w:eastAsia="Times New Roman" w:hAnsi="Times New Roman" w:cs="Times New Roman"/>
                <w:b/>
                <w:bCs/>
                <w:sz w:val="18"/>
                <w:szCs w:val="18"/>
                <w:lang w:eastAsia="lv-LV"/>
              </w:rPr>
              <w:t> </w:t>
            </w:r>
          </w:p>
        </w:tc>
        <w:tc>
          <w:tcPr>
            <w:tcW w:w="764" w:type="dxa"/>
            <w:tcBorders>
              <w:top w:val="nil"/>
              <w:left w:val="nil"/>
              <w:bottom w:val="single" w:sz="4" w:space="0" w:color="auto"/>
              <w:right w:val="single" w:sz="4" w:space="0" w:color="auto"/>
            </w:tcBorders>
            <w:shd w:val="clear" w:color="auto" w:fill="8EAADB"/>
            <w:noWrap/>
            <w:vAlign w:val="bottom"/>
            <w:hideMark/>
          </w:tcPr>
          <w:p w14:paraId="59F2193D" w14:textId="77777777" w:rsidR="00C3305B" w:rsidRPr="00C3305B" w:rsidRDefault="00C3305B" w:rsidP="000E69BD">
            <w:pPr>
              <w:spacing w:after="0" w:line="240" w:lineRule="auto"/>
              <w:ind w:right="-1"/>
              <w:jc w:val="right"/>
              <w:rPr>
                <w:rFonts w:ascii="Times New Roman" w:eastAsia="Times New Roman" w:hAnsi="Times New Roman" w:cs="Times New Roman"/>
                <w:b/>
                <w:bCs/>
                <w:sz w:val="18"/>
                <w:szCs w:val="18"/>
                <w:lang w:eastAsia="lv-LV"/>
              </w:rPr>
            </w:pPr>
            <w:r w:rsidRPr="00C3305B">
              <w:rPr>
                <w:rFonts w:ascii="Times New Roman" w:eastAsia="Times New Roman" w:hAnsi="Times New Roman" w:cs="Times New Roman"/>
                <w:b/>
                <w:bCs/>
                <w:sz w:val="18"/>
                <w:szCs w:val="18"/>
                <w:lang w:eastAsia="lv-LV"/>
              </w:rPr>
              <w:t> </w:t>
            </w:r>
          </w:p>
        </w:tc>
        <w:tc>
          <w:tcPr>
            <w:tcW w:w="795" w:type="dxa"/>
            <w:tcBorders>
              <w:top w:val="nil"/>
              <w:left w:val="nil"/>
              <w:bottom w:val="single" w:sz="4" w:space="0" w:color="auto"/>
              <w:right w:val="single" w:sz="4" w:space="0" w:color="auto"/>
            </w:tcBorders>
            <w:shd w:val="clear" w:color="auto" w:fill="8EAADB"/>
            <w:noWrap/>
            <w:vAlign w:val="bottom"/>
            <w:hideMark/>
          </w:tcPr>
          <w:p w14:paraId="37BF2E6C" w14:textId="77777777" w:rsidR="00C3305B" w:rsidRPr="00C3305B" w:rsidRDefault="00C3305B" w:rsidP="000E69BD">
            <w:pPr>
              <w:spacing w:after="0" w:line="240" w:lineRule="auto"/>
              <w:ind w:right="-1"/>
              <w:jc w:val="right"/>
              <w:rPr>
                <w:rFonts w:ascii="Times New Roman" w:eastAsia="Times New Roman" w:hAnsi="Times New Roman" w:cs="Times New Roman"/>
                <w:b/>
                <w:bCs/>
                <w:sz w:val="18"/>
                <w:szCs w:val="18"/>
                <w:lang w:eastAsia="lv-LV"/>
              </w:rPr>
            </w:pPr>
            <w:r w:rsidRPr="00C3305B">
              <w:rPr>
                <w:rFonts w:ascii="Times New Roman" w:eastAsia="Times New Roman" w:hAnsi="Times New Roman" w:cs="Times New Roman"/>
                <w:b/>
                <w:bCs/>
                <w:sz w:val="18"/>
                <w:szCs w:val="18"/>
                <w:lang w:eastAsia="lv-LV"/>
              </w:rPr>
              <w:t> </w:t>
            </w:r>
          </w:p>
        </w:tc>
        <w:tc>
          <w:tcPr>
            <w:tcW w:w="764" w:type="dxa"/>
            <w:tcBorders>
              <w:top w:val="nil"/>
              <w:left w:val="nil"/>
              <w:bottom w:val="single" w:sz="4" w:space="0" w:color="auto"/>
              <w:right w:val="single" w:sz="4" w:space="0" w:color="auto"/>
            </w:tcBorders>
            <w:shd w:val="clear" w:color="auto" w:fill="8EAADB"/>
            <w:noWrap/>
            <w:vAlign w:val="bottom"/>
            <w:hideMark/>
          </w:tcPr>
          <w:p w14:paraId="3C64C957" w14:textId="77777777" w:rsidR="00C3305B" w:rsidRPr="00C3305B" w:rsidRDefault="00C3305B" w:rsidP="000E69BD">
            <w:pPr>
              <w:spacing w:after="0" w:line="240" w:lineRule="auto"/>
              <w:ind w:right="-1"/>
              <w:jc w:val="right"/>
              <w:rPr>
                <w:rFonts w:ascii="Times New Roman" w:eastAsia="Times New Roman" w:hAnsi="Times New Roman" w:cs="Times New Roman"/>
                <w:b/>
                <w:bCs/>
                <w:sz w:val="18"/>
                <w:szCs w:val="18"/>
                <w:lang w:eastAsia="lv-LV"/>
              </w:rPr>
            </w:pPr>
            <w:r w:rsidRPr="00C3305B">
              <w:rPr>
                <w:rFonts w:ascii="Times New Roman" w:eastAsia="Times New Roman" w:hAnsi="Times New Roman" w:cs="Times New Roman"/>
                <w:b/>
                <w:bCs/>
                <w:sz w:val="18"/>
                <w:szCs w:val="18"/>
                <w:lang w:eastAsia="lv-LV"/>
              </w:rPr>
              <w:t> </w:t>
            </w:r>
          </w:p>
        </w:tc>
        <w:tc>
          <w:tcPr>
            <w:tcW w:w="1134" w:type="dxa"/>
            <w:tcBorders>
              <w:top w:val="nil"/>
              <w:left w:val="nil"/>
              <w:bottom w:val="single" w:sz="4" w:space="0" w:color="auto"/>
              <w:right w:val="single" w:sz="4" w:space="0" w:color="auto"/>
            </w:tcBorders>
            <w:shd w:val="clear" w:color="auto" w:fill="8EAADB"/>
            <w:noWrap/>
            <w:vAlign w:val="bottom"/>
            <w:hideMark/>
          </w:tcPr>
          <w:p w14:paraId="018CDBDC" w14:textId="3B7955F1"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2</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425</w:t>
            </w:r>
          </w:p>
        </w:tc>
        <w:tc>
          <w:tcPr>
            <w:tcW w:w="1134" w:type="dxa"/>
            <w:tcBorders>
              <w:top w:val="nil"/>
              <w:left w:val="nil"/>
              <w:bottom w:val="single" w:sz="4" w:space="0" w:color="auto"/>
              <w:right w:val="single" w:sz="4" w:space="0" w:color="auto"/>
            </w:tcBorders>
            <w:shd w:val="clear" w:color="auto" w:fill="8EAADB"/>
            <w:noWrap/>
            <w:vAlign w:val="bottom"/>
            <w:hideMark/>
          </w:tcPr>
          <w:p w14:paraId="13DB44D1" w14:textId="1AD1FC4F"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3</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984</w:t>
            </w:r>
          </w:p>
        </w:tc>
        <w:tc>
          <w:tcPr>
            <w:tcW w:w="1134" w:type="dxa"/>
            <w:tcBorders>
              <w:top w:val="single" w:sz="4" w:space="0" w:color="auto"/>
              <w:left w:val="nil"/>
              <w:bottom w:val="single" w:sz="4" w:space="0" w:color="auto"/>
              <w:right w:val="single" w:sz="4" w:space="0" w:color="auto"/>
            </w:tcBorders>
            <w:shd w:val="clear" w:color="auto" w:fill="8EAADB"/>
            <w:vAlign w:val="bottom"/>
          </w:tcPr>
          <w:p w14:paraId="5DEBBAC0" w14:textId="711D73DF"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5</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843</w:t>
            </w:r>
          </w:p>
        </w:tc>
        <w:tc>
          <w:tcPr>
            <w:tcW w:w="993" w:type="dxa"/>
            <w:tcBorders>
              <w:top w:val="nil"/>
              <w:left w:val="single" w:sz="4" w:space="0" w:color="auto"/>
              <w:bottom w:val="single" w:sz="4" w:space="0" w:color="auto"/>
              <w:right w:val="single" w:sz="4" w:space="0" w:color="auto"/>
            </w:tcBorders>
            <w:shd w:val="clear" w:color="auto" w:fill="8EAADB"/>
            <w:noWrap/>
            <w:vAlign w:val="bottom"/>
          </w:tcPr>
          <w:p w14:paraId="37683F44" w14:textId="4342D5B2"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7</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216</w:t>
            </w:r>
          </w:p>
        </w:tc>
      </w:tr>
      <w:tr w:rsidR="00C3305B" w:rsidRPr="00C3305B" w14:paraId="3F772F13"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31A048B" w14:textId="77777777" w:rsidR="00C3305B" w:rsidRPr="00C3305B" w:rsidRDefault="00C3305B" w:rsidP="000E69BD">
            <w:pPr>
              <w:spacing w:after="0" w:line="240" w:lineRule="auto"/>
              <w:ind w:right="-1"/>
              <w:jc w:val="right"/>
              <w:rPr>
                <w:rFonts w:ascii="Times New Roman" w:eastAsia="Times New Roman" w:hAnsi="Times New Roman" w:cs="Times New Roman"/>
                <w:i/>
                <w:iCs/>
                <w:sz w:val="18"/>
                <w:szCs w:val="18"/>
                <w:lang w:eastAsia="lv-LV"/>
              </w:rPr>
            </w:pPr>
            <w:r w:rsidRPr="00C3305B">
              <w:rPr>
                <w:rFonts w:ascii="Times New Roman" w:eastAsia="Calibri" w:hAnsi="Times New Roman" w:cs="Times New Roman"/>
                <w:i/>
                <w:iCs/>
                <w:sz w:val="18"/>
                <w:szCs w:val="18"/>
              </w:rPr>
              <w:t>Veselības aprūpes pakalpojumu pieejamības uzlabošana</w:t>
            </w:r>
          </w:p>
        </w:tc>
        <w:tc>
          <w:tcPr>
            <w:tcW w:w="795" w:type="dxa"/>
            <w:tcBorders>
              <w:top w:val="nil"/>
              <w:left w:val="nil"/>
              <w:bottom w:val="single" w:sz="4" w:space="0" w:color="auto"/>
              <w:right w:val="single" w:sz="4" w:space="0" w:color="auto"/>
            </w:tcBorders>
            <w:shd w:val="clear" w:color="auto" w:fill="auto"/>
            <w:noWrap/>
            <w:vAlign w:val="bottom"/>
          </w:tcPr>
          <w:p w14:paraId="282D239C"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66BBECB7"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5275088A"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6ED56AB9"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0C6C3E2F"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518</w:t>
            </w:r>
          </w:p>
        </w:tc>
        <w:tc>
          <w:tcPr>
            <w:tcW w:w="1134" w:type="dxa"/>
            <w:tcBorders>
              <w:top w:val="nil"/>
              <w:left w:val="nil"/>
              <w:bottom w:val="single" w:sz="4" w:space="0" w:color="auto"/>
              <w:right w:val="single" w:sz="4" w:space="0" w:color="auto"/>
            </w:tcBorders>
            <w:shd w:val="clear" w:color="auto" w:fill="auto"/>
            <w:noWrap/>
            <w:vAlign w:val="bottom"/>
          </w:tcPr>
          <w:p w14:paraId="2F9A5808"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932</w:t>
            </w:r>
          </w:p>
        </w:tc>
        <w:tc>
          <w:tcPr>
            <w:tcW w:w="1134" w:type="dxa"/>
            <w:tcBorders>
              <w:top w:val="single" w:sz="4" w:space="0" w:color="auto"/>
              <w:left w:val="nil"/>
              <w:bottom w:val="single" w:sz="4" w:space="0" w:color="auto"/>
              <w:right w:val="single" w:sz="4" w:space="0" w:color="auto"/>
            </w:tcBorders>
            <w:vAlign w:val="bottom"/>
          </w:tcPr>
          <w:p w14:paraId="4F300545" w14:textId="45EF951D"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553</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0470428" w14:textId="572F09CB"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631</w:t>
            </w:r>
          </w:p>
        </w:tc>
      </w:tr>
      <w:tr w:rsidR="00C3305B" w:rsidRPr="00C3305B" w14:paraId="49B73295"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A55BCC0" w14:textId="77777777" w:rsidR="00C3305B" w:rsidRPr="00C3305B" w:rsidRDefault="00C3305B" w:rsidP="000E69BD">
            <w:pPr>
              <w:spacing w:after="0" w:line="240" w:lineRule="auto"/>
              <w:ind w:right="-1"/>
              <w:jc w:val="right"/>
              <w:rPr>
                <w:rFonts w:ascii="Times New Roman" w:eastAsia="Times New Roman" w:hAnsi="Times New Roman" w:cs="Times New Roman"/>
                <w:i/>
                <w:iCs/>
                <w:sz w:val="18"/>
                <w:szCs w:val="18"/>
                <w:lang w:eastAsia="lv-LV"/>
              </w:rPr>
            </w:pPr>
            <w:r w:rsidRPr="00C3305B">
              <w:rPr>
                <w:rFonts w:ascii="Times New Roman" w:eastAsia="Calibri" w:hAnsi="Times New Roman" w:cs="Times New Roman"/>
                <w:i/>
                <w:iCs/>
                <w:sz w:val="18"/>
                <w:szCs w:val="18"/>
              </w:rPr>
              <w:t>Onkoloģisko saslimšanu diagnostikas un ārstēšanas pieejamības uzlabošana</w:t>
            </w:r>
          </w:p>
        </w:tc>
        <w:tc>
          <w:tcPr>
            <w:tcW w:w="795" w:type="dxa"/>
            <w:tcBorders>
              <w:top w:val="nil"/>
              <w:left w:val="nil"/>
              <w:bottom w:val="single" w:sz="4" w:space="0" w:color="auto"/>
              <w:right w:val="single" w:sz="4" w:space="0" w:color="auto"/>
            </w:tcBorders>
            <w:shd w:val="clear" w:color="auto" w:fill="auto"/>
            <w:noWrap/>
            <w:vAlign w:val="bottom"/>
          </w:tcPr>
          <w:p w14:paraId="2636F99A"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26125958"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28FA5AFD"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27816378"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29D1B7FB"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578</w:t>
            </w:r>
          </w:p>
        </w:tc>
        <w:tc>
          <w:tcPr>
            <w:tcW w:w="1134" w:type="dxa"/>
            <w:tcBorders>
              <w:top w:val="nil"/>
              <w:left w:val="nil"/>
              <w:bottom w:val="single" w:sz="4" w:space="0" w:color="auto"/>
              <w:right w:val="single" w:sz="4" w:space="0" w:color="auto"/>
            </w:tcBorders>
            <w:shd w:val="clear" w:color="auto" w:fill="auto"/>
            <w:noWrap/>
            <w:vAlign w:val="bottom"/>
          </w:tcPr>
          <w:p w14:paraId="6D8BD34D"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751</w:t>
            </w:r>
          </w:p>
        </w:tc>
        <w:tc>
          <w:tcPr>
            <w:tcW w:w="1134" w:type="dxa"/>
            <w:tcBorders>
              <w:top w:val="single" w:sz="4" w:space="0" w:color="auto"/>
              <w:left w:val="nil"/>
              <w:bottom w:val="single" w:sz="4" w:space="0" w:color="auto"/>
              <w:right w:val="single" w:sz="4" w:space="0" w:color="auto"/>
            </w:tcBorders>
            <w:vAlign w:val="bottom"/>
          </w:tcPr>
          <w:p w14:paraId="283616E0" w14:textId="049B926E"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251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E186A6A" w14:textId="6E47A866"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314</w:t>
            </w:r>
          </w:p>
        </w:tc>
      </w:tr>
      <w:tr w:rsidR="00C3305B" w:rsidRPr="00C3305B" w14:paraId="33214844"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41C6250" w14:textId="77777777" w:rsidR="00C3305B" w:rsidRPr="00C3305B" w:rsidRDefault="00C3305B" w:rsidP="000E69BD">
            <w:pPr>
              <w:spacing w:after="0" w:line="240" w:lineRule="auto"/>
              <w:ind w:right="-1"/>
              <w:jc w:val="right"/>
              <w:rPr>
                <w:rFonts w:ascii="Times New Roman" w:eastAsia="Times New Roman" w:hAnsi="Times New Roman" w:cs="Times New Roman"/>
                <w:i/>
                <w:iCs/>
                <w:sz w:val="18"/>
                <w:szCs w:val="18"/>
                <w:lang w:eastAsia="lv-LV"/>
              </w:rPr>
            </w:pPr>
            <w:r w:rsidRPr="00C3305B">
              <w:rPr>
                <w:rFonts w:ascii="Times New Roman" w:eastAsia="Calibri" w:hAnsi="Times New Roman" w:cs="Times New Roman"/>
                <w:i/>
                <w:iCs/>
                <w:sz w:val="18"/>
                <w:szCs w:val="18"/>
              </w:rPr>
              <w:t>Infekcijas slimību izplatības mazināšana</w:t>
            </w:r>
          </w:p>
        </w:tc>
        <w:tc>
          <w:tcPr>
            <w:tcW w:w="795" w:type="dxa"/>
            <w:tcBorders>
              <w:top w:val="nil"/>
              <w:left w:val="nil"/>
              <w:bottom w:val="single" w:sz="4" w:space="0" w:color="auto"/>
              <w:right w:val="single" w:sz="4" w:space="0" w:color="auto"/>
            </w:tcBorders>
            <w:shd w:val="clear" w:color="auto" w:fill="auto"/>
            <w:noWrap/>
            <w:vAlign w:val="bottom"/>
          </w:tcPr>
          <w:p w14:paraId="1FF444EC"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7904CB80"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47FFEF6D"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4091013D" w14:textId="77777777" w:rsidR="00C3305B" w:rsidRPr="00C3305B" w:rsidRDefault="00C3305B" w:rsidP="000E69BD">
            <w:pPr>
              <w:spacing w:after="0" w:line="240" w:lineRule="auto"/>
              <w:ind w:right="-1"/>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15E9566E" w14:textId="77777777"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534</w:t>
            </w:r>
          </w:p>
        </w:tc>
        <w:tc>
          <w:tcPr>
            <w:tcW w:w="1134" w:type="dxa"/>
            <w:tcBorders>
              <w:top w:val="nil"/>
              <w:left w:val="nil"/>
              <w:bottom w:val="single" w:sz="4" w:space="0" w:color="auto"/>
              <w:right w:val="single" w:sz="4" w:space="0" w:color="auto"/>
            </w:tcBorders>
            <w:shd w:val="clear" w:color="auto" w:fill="auto"/>
            <w:noWrap/>
            <w:vAlign w:val="bottom"/>
          </w:tcPr>
          <w:p w14:paraId="33A58890" w14:textId="45A4E4AC"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181</w:t>
            </w:r>
          </w:p>
        </w:tc>
        <w:tc>
          <w:tcPr>
            <w:tcW w:w="1134" w:type="dxa"/>
            <w:tcBorders>
              <w:top w:val="single" w:sz="4" w:space="0" w:color="auto"/>
              <w:left w:val="nil"/>
              <w:bottom w:val="single" w:sz="4" w:space="0" w:color="auto"/>
              <w:right w:val="single" w:sz="4" w:space="0" w:color="auto"/>
            </w:tcBorders>
            <w:vAlign w:val="bottom"/>
          </w:tcPr>
          <w:p w14:paraId="7074C48A" w14:textId="30F166A9"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645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AA4E63B" w14:textId="4E476FE2" w:rsidR="00C3305B" w:rsidRPr="00C3305B" w:rsidRDefault="00C3305B" w:rsidP="000E69BD">
            <w:pPr>
              <w:spacing w:after="0" w:line="240" w:lineRule="auto"/>
              <w:ind w:right="-1"/>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2</w:t>
            </w:r>
            <w:r w:rsidR="000E69BD" w:rsidRPr="00C3305B">
              <w:rPr>
                <w:rFonts w:ascii="Times New Roman" w:eastAsia="Times New Roman" w:hAnsi="Times New Roman" w:cs="Times New Roman"/>
                <w:sz w:val="24"/>
                <w:szCs w:val="24"/>
                <w:lang w:eastAsia="lv-LV"/>
              </w:rPr>
              <w:t> </w:t>
            </w:r>
            <w:r w:rsidRPr="00C3305B">
              <w:rPr>
                <w:rFonts w:ascii="Times New Roman" w:eastAsia="Calibri" w:hAnsi="Times New Roman" w:cs="Times New Roman"/>
                <w:sz w:val="18"/>
                <w:szCs w:val="18"/>
              </w:rPr>
              <w:t>748</w:t>
            </w:r>
          </w:p>
        </w:tc>
      </w:tr>
      <w:tr w:rsidR="00C3305B" w:rsidRPr="00C3305B" w14:paraId="6D391805"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EDE2296" w14:textId="77777777" w:rsidR="00C3305B" w:rsidRPr="00C3305B" w:rsidRDefault="00C3305B" w:rsidP="00C3305B">
            <w:pPr>
              <w:spacing w:after="0" w:line="240" w:lineRule="auto"/>
              <w:jc w:val="right"/>
              <w:rPr>
                <w:rFonts w:ascii="Times New Roman" w:eastAsia="Times New Roman" w:hAnsi="Times New Roman" w:cs="Times New Roman"/>
                <w:i/>
                <w:iCs/>
                <w:sz w:val="18"/>
                <w:szCs w:val="18"/>
                <w:lang w:eastAsia="lv-LV"/>
              </w:rPr>
            </w:pPr>
            <w:r w:rsidRPr="00C3305B">
              <w:rPr>
                <w:rFonts w:ascii="Times New Roman" w:eastAsia="Calibri" w:hAnsi="Times New Roman" w:cs="Times New Roman"/>
                <w:i/>
                <w:iCs/>
                <w:sz w:val="18"/>
                <w:szCs w:val="18"/>
              </w:rPr>
              <w:t>Primārās veselības aprūpes sistēmas kvalitātes un pieejamības uzlabošana</w:t>
            </w:r>
          </w:p>
        </w:tc>
        <w:tc>
          <w:tcPr>
            <w:tcW w:w="795" w:type="dxa"/>
            <w:tcBorders>
              <w:top w:val="nil"/>
              <w:left w:val="nil"/>
              <w:bottom w:val="single" w:sz="4" w:space="0" w:color="auto"/>
              <w:right w:val="single" w:sz="4" w:space="0" w:color="auto"/>
            </w:tcBorders>
            <w:shd w:val="clear" w:color="auto" w:fill="auto"/>
            <w:noWrap/>
            <w:vAlign w:val="bottom"/>
          </w:tcPr>
          <w:p w14:paraId="4AE18BB7"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49B9C04D"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7613151F"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551E4D95"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069328C5"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102</w:t>
            </w:r>
          </w:p>
        </w:tc>
        <w:tc>
          <w:tcPr>
            <w:tcW w:w="1134" w:type="dxa"/>
            <w:tcBorders>
              <w:top w:val="nil"/>
              <w:left w:val="nil"/>
              <w:bottom w:val="single" w:sz="4" w:space="0" w:color="auto"/>
              <w:right w:val="single" w:sz="4" w:space="0" w:color="auto"/>
            </w:tcBorders>
            <w:shd w:val="clear" w:color="auto" w:fill="auto"/>
            <w:noWrap/>
            <w:vAlign w:val="bottom"/>
          </w:tcPr>
          <w:p w14:paraId="568FC6A9"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114</w:t>
            </w:r>
          </w:p>
        </w:tc>
        <w:tc>
          <w:tcPr>
            <w:tcW w:w="1134" w:type="dxa"/>
            <w:tcBorders>
              <w:top w:val="single" w:sz="4" w:space="0" w:color="auto"/>
              <w:left w:val="nil"/>
              <w:bottom w:val="single" w:sz="4" w:space="0" w:color="auto"/>
              <w:right w:val="single" w:sz="4" w:space="0" w:color="auto"/>
            </w:tcBorders>
            <w:vAlign w:val="bottom"/>
          </w:tcPr>
          <w:p w14:paraId="64C52AF7"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216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B0E434F"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227</w:t>
            </w:r>
          </w:p>
        </w:tc>
      </w:tr>
      <w:tr w:rsidR="00C3305B" w:rsidRPr="00C3305B" w14:paraId="1FE492B6"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25B6E6E" w14:textId="77777777" w:rsidR="00C3305B" w:rsidRPr="00C3305B" w:rsidRDefault="00C3305B" w:rsidP="00C3305B">
            <w:pPr>
              <w:spacing w:after="0" w:line="240" w:lineRule="auto"/>
              <w:jc w:val="right"/>
              <w:rPr>
                <w:rFonts w:ascii="Times New Roman" w:eastAsia="Times New Roman" w:hAnsi="Times New Roman" w:cs="Times New Roman"/>
                <w:i/>
                <w:iCs/>
                <w:sz w:val="18"/>
                <w:szCs w:val="18"/>
                <w:lang w:eastAsia="lv-LV"/>
              </w:rPr>
            </w:pPr>
            <w:r w:rsidRPr="00C3305B">
              <w:rPr>
                <w:rFonts w:ascii="Times New Roman" w:eastAsia="Calibri" w:hAnsi="Times New Roman" w:cs="Times New Roman"/>
                <w:i/>
                <w:iCs/>
                <w:sz w:val="18"/>
                <w:szCs w:val="18"/>
              </w:rPr>
              <w:t>Kardiovaskulārās saslimstības mazināšanai un slimību ārstēšanas efektivitātes uzlabošana</w:t>
            </w:r>
          </w:p>
        </w:tc>
        <w:tc>
          <w:tcPr>
            <w:tcW w:w="795" w:type="dxa"/>
            <w:tcBorders>
              <w:top w:val="nil"/>
              <w:left w:val="nil"/>
              <w:bottom w:val="single" w:sz="4" w:space="0" w:color="auto"/>
              <w:right w:val="single" w:sz="4" w:space="0" w:color="auto"/>
            </w:tcBorders>
            <w:shd w:val="clear" w:color="auto" w:fill="auto"/>
            <w:noWrap/>
            <w:vAlign w:val="bottom"/>
          </w:tcPr>
          <w:p w14:paraId="48A83A1E"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78CA67AA"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07F7CBA3"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484BEED3"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241600DA"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693</w:t>
            </w:r>
          </w:p>
        </w:tc>
        <w:tc>
          <w:tcPr>
            <w:tcW w:w="1134" w:type="dxa"/>
            <w:tcBorders>
              <w:top w:val="nil"/>
              <w:left w:val="nil"/>
              <w:bottom w:val="single" w:sz="4" w:space="0" w:color="auto"/>
              <w:right w:val="single" w:sz="4" w:space="0" w:color="auto"/>
            </w:tcBorders>
            <w:shd w:val="clear" w:color="auto" w:fill="auto"/>
            <w:noWrap/>
            <w:vAlign w:val="bottom"/>
          </w:tcPr>
          <w:p w14:paraId="7B2B69C2"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836</w:t>
            </w:r>
          </w:p>
        </w:tc>
        <w:tc>
          <w:tcPr>
            <w:tcW w:w="1134" w:type="dxa"/>
            <w:tcBorders>
              <w:top w:val="single" w:sz="4" w:space="0" w:color="auto"/>
              <w:left w:val="nil"/>
              <w:bottom w:val="single" w:sz="4" w:space="0" w:color="auto"/>
              <w:right w:val="single" w:sz="4" w:space="0" w:color="auto"/>
            </w:tcBorders>
            <w:vAlign w:val="bottom"/>
          </w:tcPr>
          <w:p w14:paraId="4B852B04"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929</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ED015E3"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975</w:t>
            </w:r>
          </w:p>
        </w:tc>
      </w:tr>
      <w:tr w:rsidR="00C3305B" w:rsidRPr="00C3305B" w14:paraId="5775986B"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EDD2384" w14:textId="77777777" w:rsidR="00C3305B" w:rsidRPr="00C3305B" w:rsidRDefault="00C3305B" w:rsidP="00C3305B">
            <w:pPr>
              <w:spacing w:after="0" w:line="240" w:lineRule="auto"/>
              <w:jc w:val="right"/>
              <w:rPr>
                <w:rFonts w:ascii="Times New Roman" w:eastAsia="Calibri" w:hAnsi="Times New Roman" w:cs="Times New Roman"/>
                <w:i/>
                <w:iCs/>
                <w:sz w:val="18"/>
                <w:szCs w:val="18"/>
              </w:rPr>
            </w:pPr>
            <w:r w:rsidRPr="00C3305B">
              <w:rPr>
                <w:rFonts w:ascii="Times New Roman" w:eastAsia="Times New Roman" w:hAnsi="Times New Roman" w:cs="Times New Roman"/>
                <w:i/>
                <w:iCs/>
                <w:sz w:val="18"/>
                <w:szCs w:val="18"/>
                <w:lang w:eastAsia="lv-LV"/>
              </w:rPr>
              <w:t>Rehabilitācijas pakalpojumu  stratēģiskais iepirkums</w:t>
            </w:r>
          </w:p>
        </w:tc>
        <w:tc>
          <w:tcPr>
            <w:tcW w:w="795" w:type="dxa"/>
            <w:tcBorders>
              <w:top w:val="nil"/>
              <w:left w:val="nil"/>
              <w:bottom w:val="single" w:sz="4" w:space="0" w:color="auto"/>
              <w:right w:val="single" w:sz="4" w:space="0" w:color="auto"/>
            </w:tcBorders>
            <w:shd w:val="clear" w:color="auto" w:fill="auto"/>
            <w:noWrap/>
            <w:vAlign w:val="bottom"/>
          </w:tcPr>
          <w:p w14:paraId="24A838CD"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6497CCA3"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2E9283F3"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45DCC8FC"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42173EDE" w14:textId="77777777" w:rsidR="00C3305B" w:rsidRPr="00C3305B" w:rsidRDefault="00C3305B" w:rsidP="00C3305B">
            <w:pPr>
              <w:spacing w:after="0" w:line="240" w:lineRule="auto"/>
              <w:jc w:val="right"/>
              <w:rPr>
                <w:rFonts w:ascii="Times New Roman" w:eastAsia="Calibri"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10D3A3E4"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104</w:t>
            </w:r>
          </w:p>
        </w:tc>
        <w:tc>
          <w:tcPr>
            <w:tcW w:w="1134" w:type="dxa"/>
            <w:tcBorders>
              <w:top w:val="single" w:sz="4" w:space="0" w:color="auto"/>
              <w:left w:val="nil"/>
              <w:bottom w:val="single" w:sz="4" w:space="0" w:color="auto"/>
              <w:right w:val="single" w:sz="4" w:space="0" w:color="auto"/>
            </w:tcBorders>
            <w:vAlign w:val="bottom"/>
          </w:tcPr>
          <w:p w14:paraId="2243221E"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116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480ACE6"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122</w:t>
            </w:r>
          </w:p>
        </w:tc>
      </w:tr>
      <w:tr w:rsidR="00C3305B" w:rsidRPr="00C3305B" w14:paraId="78B85028" w14:textId="77777777" w:rsidTr="005152BF">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56528CC" w14:textId="77777777" w:rsidR="00C3305B" w:rsidRPr="00C3305B" w:rsidRDefault="00C3305B" w:rsidP="00C3305B">
            <w:pPr>
              <w:spacing w:after="0" w:line="240" w:lineRule="auto"/>
              <w:jc w:val="right"/>
              <w:rPr>
                <w:rFonts w:ascii="Times New Roman" w:eastAsia="Calibri" w:hAnsi="Times New Roman" w:cs="Times New Roman"/>
                <w:i/>
                <w:iCs/>
                <w:sz w:val="18"/>
                <w:szCs w:val="18"/>
              </w:rPr>
            </w:pPr>
            <w:r w:rsidRPr="00C3305B">
              <w:rPr>
                <w:rFonts w:ascii="Times New Roman" w:eastAsia="Times New Roman" w:hAnsi="Times New Roman" w:cs="Times New Roman"/>
                <w:i/>
                <w:iCs/>
                <w:sz w:val="18"/>
                <w:szCs w:val="18"/>
                <w:lang w:eastAsia="lv-LV"/>
              </w:rPr>
              <w:t>Psihiskās veselības aprūpes uzlabošana</w:t>
            </w:r>
          </w:p>
        </w:tc>
        <w:tc>
          <w:tcPr>
            <w:tcW w:w="795" w:type="dxa"/>
            <w:tcBorders>
              <w:top w:val="nil"/>
              <w:left w:val="nil"/>
              <w:bottom w:val="single" w:sz="4" w:space="0" w:color="auto"/>
              <w:right w:val="single" w:sz="4" w:space="0" w:color="auto"/>
            </w:tcBorders>
            <w:shd w:val="clear" w:color="auto" w:fill="auto"/>
            <w:noWrap/>
            <w:vAlign w:val="bottom"/>
          </w:tcPr>
          <w:p w14:paraId="24DAF17A"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7E6EA737"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95" w:type="dxa"/>
            <w:tcBorders>
              <w:top w:val="nil"/>
              <w:left w:val="nil"/>
              <w:bottom w:val="single" w:sz="4" w:space="0" w:color="auto"/>
              <w:right w:val="single" w:sz="4" w:space="0" w:color="auto"/>
            </w:tcBorders>
            <w:shd w:val="clear" w:color="auto" w:fill="auto"/>
            <w:noWrap/>
            <w:vAlign w:val="bottom"/>
          </w:tcPr>
          <w:p w14:paraId="7611D746"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764" w:type="dxa"/>
            <w:tcBorders>
              <w:top w:val="nil"/>
              <w:left w:val="nil"/>
              <w:bottom w:val="single" w:sz="4" w:space="0" w:color="auto"/>
              <w:right w:val="single" w:sz="4" w:space="0" w:color="auto"/>
            </w:tcBorders>
            <w:shd w:val="clear" w:color="auto" w:fill="auto"/>
            <w:noWrap/>
            <w:vAlign w:val="bottom"/>
          </w:tcPr>
          <w:p w14:paraId="257C80A8" w14:textId="77777777" w:rsidR="00C3305B" w:rsidRPr="00C3305B" w:rsidRDefault="00C3305B" w:rsidP="00C3305B">
            <w:pPr>
              <w:spacing w:after="0" w:line="240" w:lineRule="auto"/>
              <w:jc w:val="right"/>
              <w:rPr>
                <w:rFonts w:ascii="Times New Roman" w:eastAsia="Times New Roman" w:hAnsi="Times New Roman" w:cs="Times New Roman"/>
                <w:i/>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bottom"/>
          </w:tcPr>
          <w:p w14:paraId="346079FC" w14:textId="77777777" w:rsidR="00C3305B" w:rsidRPr="00C3305B" w:rsidRDefault="00C3305B" w:rsidP="00C3305B">
            <w:pPr>
              <w:spacing w:after="0" w:line="240" w:lineRule="auto"/>
              <w:jc w:val="right"/>
              <w:rPr>
                <w:rFonts w:ascii="Times New Roman" w:eastAsia="Calibri"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743480ED"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66</w:t>
            </w:r>
          </w:p>
        </w:tc>
        <w:tc>
          <w:tcPr>
            <w:tcW w:w="1134" w:type="dxa"/>
            <w:tcBorders>
              <w:top w:val="single" w:sz="4" w:space="0" w:color="auto"/>
              <w:left w:val="nil"/>
              <w:bottom w:val="single" w:sz="4" w:space="0" w:color="auto"/>
              <w:right w:val="single" w:sz="4" w:space="0" w:color="auto"/>
            </w:tcBorders>
            <w:vAlign w:val="bottom"/>
          </w:tcPr>
          <w:p w14:paraId="1D42EFC6"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133</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BF53328" w14:textId="77777777" w:rsidR="00C3305B" w:rsidRPr="00C3305B" w:rsidRDefault="00C3305B" w:rsidP="00C3305B">
            <w:pPr>
              <w:spacing w:after="0" w:line="240" w:lineRule="auto"/>
              <w:jc w:val="right"/>
              <w:rPr>
                <w:rFonts w:ascii="Times New Roman" w:eastAsia="Calibri" w:hAnsi="Times New Roman" w:cs="Times New Roman"/>
                <w:sz w:val="18"/>
                <w:szCs w:val="18"/>
              </w:rPr>
            </w:pPr>
            <w:r w:rsidRPr="00C3305B">
              <w:rPr>
                <w:rFonts w:ascii="Times New Roman" w:eastAsia="Calibri" w:hAnsi="Times New Roman" w:cs="Times New Roman"/>
                <w:sz w:val="18"/>
                <w:szCs w:val="18"/>
              </w:rPr>
              <w:t>199</w:t>
            </w:r>
          </w:p>
        </w:tc>
      </w:tr>
    </w:tbl>
    <w:p w14:paraId="51E80B70" w14:textId="21520F76" w:rsidR="00C3305B" w:rsidRPr="00C3305B" w:rsidRDefault="00C3305B" w:rsidP="000E69BD">
      <w:pPr>
        <w:autoSpaceDE w:val="0"/>
        <w:autoSpaceDN w:val="0"/>
        <w:adjustRightInd w:val="0"/>
        <w:spacing w:after="0" w:line="240" w:lineRule="auto"/>
        <w:ind w:right="-1" w:firstLine="720"/>
        <w:jc w:val="right"/>
        <w:rPr>
          <w:rFonts w:ascii="Times New Roman" w:eastAsia="Times New Roman" w:hAnsi="Times New Roman" w:cs="Times New Roman"/>
          <w:i/>
          <w:iCs/>
          <w:sz w:val="20"/>
          <w:szCs w:val="20"/>
        </w:rPr>
      </w:pPr>
      <w:r w:rsidRPr="00C3305B">
        <w:rPr>
          <w:rFonts w:ascii="Times New Roman" w:eastAsia="Times New Roman" w:hAnsi="Times New Roman" w:cs="Times New Roman"/>
          <w:i/>
          <w:iCs/>
          <w:sz w:val="20"/>
          <w:szCs w:val="20"/>
        </w:rPr>
        <w:t>Avots: V</w:t>
      </w:r>
      <w:r w:rsidR="007F6EE6">
        <w:rPr>
          <w:rFonts w:ascii="Times New Roman" w:eastAsia="Times New Roman" w:hAnsi="Times New Roman" w:cs="Times New Roman"/>
          <w:i/>
          <w:iCs/>
          <w:sz w:val="20"/>
          <w:szCs w:val="20"/>
        </w:rPr>
        <w:t>M</w:t>
      </w:r>
      <w:r w:rsidRPr="00C3305B">
        <w:rPr>
          <w:rFonts w:ascii="Times New Roman" w:eastAsia="Times New Roman" w:hAnsi="Times New Roman" w:cs="Times New Roman"/>
          <w:i/>
          <w:iCs/>
          <w:sz w:val="20"/>
          <w:szCs w:val="20"/>
        </w:rPr>
        <w:t xml:space="preserve"> un Slimību profilakses un kontroles centrs</w:t>
      </w:r>
      <w:r w:rsidRPr="00C3305B" w:rsidDel="00A44A19">
        <w:rPr>
          <w:rFonts w:ascii="Times New Roman" w:eastAsia="Times New Roman" w:hAnsi="Times New Roman" w:cs="Times New Roman"/>
          <w:i/>
          <w:iCs/>
          <w:sz w:val="20"/>
          <w:szCs w:val="20"/>
        </w:rPr>
        <w:t xml:space="preserve"> </w:t>
      </w:r>
    </w:p>
    <w:p w14:paraId="4E0B99BC" w14:textId="77777777" w:rsidR="00C3305B" w:rsidRPr="00C3305B" w:rsidRDefault="00C3305B" w:rsidP="000E69BD">
      <w:pPr>
        <w:autoSpaceDE w:val="0"/>
        <w:autoSpaceDN w:val="0"/>
        <w:adjustRightInd w:val="0"/>
        <w:spacing w:after="0" w:line="240" w:lineRule="auto"/>
        <w:ind w:right="-1" w:firstLine="720"/>
        <w:jc w:val="right"/>
        <w:rPr>
          <w:rFonts w:ascii="Times New Roman" w:eastAsia="Times New Roman" w:hAnsi="Times New Roman" w:cs="Times New Roman"/>
          <w:i/>
          <w:iCs/>
          <w:sz w:val="20"/>
          <w:szCs w:val="20"/>
        </w:rPr>
      </w:pPr>
    </w:p>
    <w:p w14:paraId="2E15972B" w14:textId="0515F4B1" w:rsidR="00C3305B" w:rsidRPr="00C3305B" w:rsidRDefault="00C3305B" w:rsidP="000E69BD">
      <w:pPr>
        <w:autoSpaceDE w:val="0"/>
        <w:autoSpaceDN w:val="0"/>
        <w:adjustRightInd w:val="0"/>
        <w:spacing w:after="0" w:line="240" w:lineRule="auto"/>
        <w:ind w:right="-1" w:firstLine="720"/>
        <w:jc w:val="both"/>
        <w:rPr>
          <w:rFonts w:ascii="Times New Roman" w:eastAsia="Times New Roman" w:hAnsi="Times New Roman" w:cs="Times New Roman"/>
          <w:noProof/>
          <w:sz w:val="24"/>
          <w:szCs w:val="24"/>
          <w:lang w:eastAsia="lv-LV"/>
        </w:rPr>
      </w:pPr>
      <w:r w:rsidRPr="00C3305B">
        <w:rPr>
          <w:rFonts w:ascii="Times New Roman" w:eastAsia="Times New Roman" w:hAnsi="Times New Roman" w:cs="Times New Roman"/>
          <w:noProof/>
          <w:sz w:val="24"/>
          <w:szCs w:val="24"/>
          <w:lang w:eastAsia="lv-LV"/>
        </w:rPr>
        <w:t xml:space="preserve">Iepriekšējās Stabilitātes programmās tika iekļauts </w:t>
      </w:r>
      <w:r w:rsidRPr="00C3305B">
        <w:rPr>
          <w:rFonts w:ascii="Times New Roman" w:eastAsia="Times New Roman" w:hAnsi="Times New Roman" w:cs="Times New Roman"/>
          <w:sz w:val="24"/>
          <w:szCs w:val="24"/>
        </w:rPr>
        <w:t>“Sabiedrības veselības pamatnostādnēm 2014.</w:t>
      </w:r>
      <w:r w:rsidR="00486B49">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sz w:val="24"/>
          <w:szCs w:val="24"/>
        </w:rPr>
        <w:t xml:space="preserve">2020.gadam” </w:t>
      </w:r>
      <w:r w:rsidRPr="00C3305B">
        <w:rPr>
          <w:rFonts w:ascii="Times New Roman" w:eastAsia="Times New Roman" w:hAnsi="Times New Roman" w:cs="Times New Roman"/>
          <w:noProof/>
          <w:sz w:val="24"/>
          <w:szCs w:val="24"/>
          <w:lang w:eastAsia="lv-LV"/>
        </w:rPr>
        <w:t>fiskālās ietekmes novērtējums. Atbilstoši šajā Stabilitātes programmā tiek aktualizēts fiskālās ietekmes novērtējums, ņemot vērā precizēto izdevumu apjomu 2019.gadā un precizētās prognozes 2020.</w:t>
      </w:r>
      <w:r w:rsidR="00486B49">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noProof/>
          <w:sz w:val="24"/>
          <w:szCs w:val="24"/>
          <w:lang w:eastAsia="lv-LV"/>
        </w:rPr>
        <w:t>2023.gadiem.</w:t>
      </w:r>
    </w:p>
    <w:p w14:paraId="0D55063F" w14:textId="77777777" w:rsidR="00C3305B" w:rsidRPr="00C3305B" w:rsidRDefault="00C3305B" w:rsidP="000E69BD">
      <w:pPr>
        <w:autoSpaceDE w:val="0"/>
        <w:autoSpaceDN w:val="0"/>
        <w:adjustRightInd w:val="0"/>
        <w:spacing w:after="0" w:line="240" w:lineRule="auto"/>
        <w:ind w:right="-1" w:firstLine="720"/>
        <w:jc w:val="both"/>
        <w:rPr>
          <w:rFonts w:ascii="Times New Roman" w:eastAsia="Times New Roman" w:hAnsi="Times New Roman" w:cs="Times New Roman"/>
          <w:noProof/>
          <w:sz w:val="24"/>
          <w:szCs w:val="24"/>
          <w:lang w:eastAsia="lv-LV"/>
        </w:rPr>
      </w:pPr>
    </w:p>
    <w:p w14:paraId="11DD4627" w14:textId="437E3EA8" w:rsidR="00C3305B" w:rsidRPr="00C3305B" w:rsidRDefault="00C3305B" w:rsidP="000E69BD">
      <w:pPr>
        <w:autoSpaceDE w:val="0"/>
        <w:autoSpaceDN w:val="0"/>
        <w:adjustRightInd w:val="0"/>
        <w:spacing w:after="0" w:line="240" w:lineRule="auto"/>
        <w:ind w:right="-1" w:firstLine="720"/>
        <w:jc w:val="right"/>
        <w:rPr>
          <w:rFonts w:ascii="Times New Roman" w:eastAsia="Times New Roman" w:hAnsi="Times New Roman" w:cs="Times New Roman"/>
          <w:b/>
          <w:sz w:val="24"/>
          <w:szCs w:val="24"/>
        </w:rPr>
      </w:pPr>
      <w:r w:rsidRPr="004F1479">
        <w:rPr>
          <w:rFonts w:ascii="Times New Roman" w:eastAsia="Times New Roman" w:hAnsi="Times New Roman" w:cs="Times New Roman"/>
          <w:b/>
          <w:noProof/>
          <w:sz w:val="24"/>
          <w:szCs w:val="24"/>
          <w:lang w:eastAsia="lv-LV"/>
        </w:rPr>
        <w:t>3.</w:t>
      </w:r>
      <w:r w:rsidR="004F1479" w:rsidRPr="004F1479">
        <w:rPr>
          <w:rFonts w:ascii="Times New Roman" w:eastAsia="Times New Roman" w:hAnsi="Times New Roman" w:cs="Times New Roman"/>
          <w:b/>
          <w:noProof/>
          <w:sz w:val="24"/>
          <w:szCs w:val="24"/>
          <w:lang w:eastAsia="lv-LV"/>
        </w:rPr>
        <w:t>4</w:t>
      </w:r>
      <w:r w:rsidRPr="004F1479">
        <w:rPr>
          <w:rFonts w:ascii="Times New Roman" w:eastAsia="Times New Roman" w:hAnsi="Times New Roman" w:cs="Times New Roman"/>
          <w:b/>
          <w:noProof/>
          <w:sz w:val="24"/>
          <w:szCs w:val="24"/>
          <w:lang w:eastAsia="lv-LV"/>
        </w:rPr>
        <w:t>.tabula.</w:t>
      </w:r>
      <w:r w:rsidRPr="00C3305B">
        <w:rPr>
          <w:rFonts w:ascii="Times New Roman" w:eastAsia="Times New Roman" w:hAnsi="Times New Roman" w:cs="Times New Roman"/>
          <w:b/>
          <w:noProof/>
          <w:sz w:val="24"/>
          <w:szCs w:val="24"/>
          <w:lang w:eastAsia="lv-LV"/>
        </w:rPr>
        <w:t xml:space="preserve"> </w:t>
      </w:r>
      <w:r w:rsidRPr="00C3305B">
        <w:rPr>
          <w:rFonts w:ascii="Times New Roman" w:eastAsia="Times New Roman" w:hAnsi="Times New Roman" w:cs="Times New Roman"/>
          <w:b/>
          <w:sz w:val="24"/>
          <w:szCs w:val="24"/>
        </w:rPr>
        <w:t>“Sabiedrības veselības pamatnostādnēm 2014.</w:t>
      </w:r>
      <w:r w:rsidR="004220BF">
        <w:rPr>
          <w:rFonts w:ascii="Times New Roman" w:eastAsia="Times New Roman" w:hAnsi="Times New Roman" w:cs="Times New Roman"/>
          <w:noProof/>
          <w:color w:val="000000"/>
          <w:sz w:val="24"/>
          <w:szCs w:val="24"/>
        </w:rPr>
        <w:t>–</w:t>
      </w:r>
      <w:r w:rsidRPr="00C3305B">
        <w:rPr>
          <w:rFonts w:ascii="Times New Roman" w:eastAsia="Times New Roman" w:hAnsi="Times New Roman" w:cs="Times New Roman"/>
          <w:b/>
          <w:sz w:val="24"/>
          <w:szCs w:val="24"/>
        </w:rPr>
        <w:t>2020.gadam” makroekonomiskās ietekmes aktualizētais novērtējums</w:t>
      </w:r>
    </w:p>
    <w:tbl>
      <w:tblPr>
        <w:tblStyle w:val="GridTable6Colorful-Accent18"/>
        <w:tblW w:w="9344" w:type="dxa"/>
        <w:tblLayout w:type="fixed"/>
        <w:tblLook w:val="04A0" w:firstRow="1" w:lastRow="0" w:firstColumn="1" w:lastColumn="0" w:noHBand="0" w:noVBand="1"/>
      </w:tblPr>
      <w:tblGrid>
        <w:gridCol w:w="3432"/>
        <w:gridCol w:w="1190"/>
        <w:gridCol w:w="1191"/>
        <w:gridCol w:w="1190"/>
        <w:gridCol w:w="1191"/>
        <w:gridCol w:w="1150"/>
      </w:tblGrid>
      <w:tr w:rsidR="00C3305B" w:rsidRPr="00C3305B" w14:paraId="3CE86E84" w14:textId="77777777" w:rsidTr="000E69BD">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32" w:type="dxa"/>
            <w:tcBorders>
              <w:left w:val="single" w:sz="4" w:space="0" w:color="9CC2E5"/>
              <w:bottom w:val="single" w:sz="4" w:space="0" w:color="9CC2E5"/>
              <w:right w:val="single" w:sz="4" w:space="0" w:color="9CC2E5"/>
            </w:tcBorders>
            <w:shd w:val="clear" w:color="auto" w:fill="auto"/>
            <w:vAlign w:val="center"/>
          </w:tcPr>
          <w:p w14:paraId="70D90089" w14:textId="77777777" w:rsidR="00C3305B" w:rsidRPr="00C3305B" w:rsidRDefault="00C3305B" w:rsidP="00C3305B">
            <w:pPr>
              <w:ind w:right="-90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Makroekonomiskie rādītāji</w:t>
            </w:r>
          </w:p>
        </w:tc>
        <w:tc>
          <w:tcPr>
            <w:tcW w:w="5912" w:type="dxa"/>
            <w:gridSpan w:val="5"/>
            <w:tcBorders>
              <w:left w:val="single" w:sz="4" w:space="0" w:color="9CC2E5"/>
              <w:bottom w:val="single" w:sz="4" w:space="0" w:color="9CC2E5"/>
            </w:tcBorders>
            <w:shd w:val="clear" w:color="auto" w:fill="auto"/>
            <w:vAlign w:val="center"/>
          </w:tcPr>
          <w:p w14:paraId="4FF674B7" w14:textId="77777777" w:rsidR="00C3305B" w:rsidRPr="00C3305B" w:rsidRDefault="00C3305B" w:rsidP="00C330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Ikgadējā un kumulatīvā ietekme uz IKP un citiem galvenajiem makroekonomiskajiem mainīgajiem</w:t>
            </w:r>
            <w:r w:rsidRPr="00C3305B">
              <w:rPr>
                <w:rFonts w:ascii="Times New Roman" w:eastAsia="Times New Roman" w:hAnsi="Times New Roman" w:cs="Times New Roman"/>
                <w:color w:val="000000"/>
                <w:sz w:val="20"/>
                <w:szCs w:val="20"/>
                <w:vertAlign w:val="superscript"/>
              </w:rPr>
              <w:footnoteReference w:id="13"/>
            </w:r>
          </w:p>
        </w:tc>
      </w:tr>
      <w:tr w:rsidR="00C3305B" w:rsidRPr="00C3305B" w14:paraId="4843C791" w14:textId="77777777" w:rsidTr="000E69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2" w:type="dxa"/>
            <w:tcBorders>
              <w:top w:val="single" w:sz="4" w:space="0" w:color="9CC2E5"/>
            </w:tcBorders>
          </w:tcPr>
          <w:p w14:paraId="3BE49638" w14:textId="77777777" w:rsidR="00C3305B" w:rsidRPr="00C3305B" w:rsidRDefault="00C3305B" w:rsidP="00C3305B">
            <w:pPr>
              <w:ind w:right="-908"/>
              <w:rPr>
                <w:rFonts w:ascii="Times New Roman" w:eastAsia="Times New Roman" w:hAnsi="Times New Roman" w:cs="Times New Roman"/>
                <w:color w:val="000000"/>
                <w:sz w:val="20"/>
                <w:szCs w:val="20"/>
              </w:rPr>
            </w:pPr>
          </w:p>
        </w:tc>
        <w:tc>
          <w:tcPr>
            <w:tcW w:w="1190" w:type="dxa"/>
            <w:tcBorders>
              <w:top w:val="single" w:sz="4" w:space="0" w:color="9CC2E5"/>
            </w:tcBorders>
            <w:vAlign w:val="center"/>
          </w:tcPr>
          <w:p w14:paraId="4B63BB22"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b/>
                <w:bCs/>
                <w:color w:val="000000"/>
                <w:sz w:val="20"/>
                <w:szCs w:val="20"/>
              </w:rPr>
              <w:t>X</w:t>
            </w:r>
            <w:r w:rsidRPr="00C3305B">
              <w:rPr>
                <w:rFonts w:ascii="Times New Roman" w:eastAsia="Times New Roman" w:hAnsi="Times New Roman" w:cs="Times New Roman"/>
                <w:color w:val="000000"/>
                <w:sz w:val="20"/>
                <w:szCs w:val="20"/>
                <w:vertAlign w:val="superscript"/>
              </w:rPr>
              <w:footnoteReference w:id="14"/>
            </w:r>
            <w:r w:rsidRPr="00C3305B">
              <w:rPr>
                <w:rFonts w:ascii="Times New Roman" w:eastAsia="Times New Roman" w:hAnsi="Times New Roman" w:cs="Times New Roman"/>
                <w:b/>
                <w:bCs/>
                <w:color w:val="000000"/>
                <w:sz w:val="20"/>
                <w:szCs w:val="20"/>
              </w:rPr>
              <w:t>+5 gadi</w:t>
            </w:r>
          </w:p>
        </w:tc>
        <w:tc>
          <w:tcPr>
            <w:tcW w:w="1191" w:type="dxa"/>
            <w:tcBorders>
              <w:top w:val="single" w:sz="4" w:space="0" w:color="9CC2E5"/>
            </w:tcBorders>
            <w:vAlign w:val="center"/>
          </w:tcPr>
          <w:p w14:paraId="4C0EEA8E"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b/>
                <w:bCs/>
                <w:color w:val="000000"/>
                <w:sz w:val="20"/>
                <w:szCs w:val="20"/>
              </w:rPr>
              <w:t>X+10 gadi</w:t>
            </w:r>
          </w:p>
        </w:tc>
        <w:tc>
          <w:tcPr>
            <w:tcW w:w="1190" w:type="dxa"/>
            <w:tcBorders>
              <w:top w:val="single" w:sz="4" w:space="0" w:color="9CC2E5"/>
            </w:tcBorders>
            <w:vAlign w:val="center"/>
          </w:tcPr>
          <w:p w14:paraId="7349364E"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3305B">
              <w:rPr>
                <w:rFonts w:ascii="Times New Roman" w:eastAsia="Times New Roman" w:hAnsi="Times New Roman" w:cs="Times New Roman"/>
                <w:b/>
                <w:bCs/>
                <w:color w:val="000000"/>
                <w:sz w:val="20"/>
                <w:szCs w:val="20"/>
              </w:rPr>
              <w:t>X+15 gadi</w:t>
            </w:r>
          </w:p>
        </w:tc>
        <w:tc>
          <w:tcPr>
            <w:tcW w:w="1191" w:type="dxa"/>
            <w:tcBorders>
              <w:top w:val="single" w:sz="4" w:space="0" w:color="9CC2E5"/>
            </w:tcBorders>
            <w:vAlign w:val="center"/>
          </w:tcPr>
          <w:p w14:paraId="5AB53DAE"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b/>
                <w:bCs/>
                <w:color w:val="000000"/>
                <w:sz w:val="20"/>
                <w:szCs w:val="20"/>
              </w:rPr>
              <w:t>X+20 gadi</w:t>
            </w:r>
          </w:p>
        </w:tc>
        <w:tc>
          <w:tcPr>
            <w:tcW w:w="1150" w:type="dxa"/>
            <w:tcBorders>
              <w:top w:val="single" w:sz="4" w:space="0" w:color="9CC2E5"/>
            </w:tcBorders>
            <w:vAlign w:val="center"/>
          </w:tcPr>
          <w:p w14:paraId="760C130D" w14:textId="77777777" w:rsidR="00C3305B" w:rsidRPr="00C3305B" w:rsidRDefault="00C3305B" w:rsidP="00C3305B">
            <w:pPr>
              <w:ind w:right="-1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b/>
                <w:bCs/>
                <w:color w:val="000000"/>
                <w:sz w:val="20"/>
                <w:szCs w:val="20"/>
              </w:rPr>
              <w:t>X+25 gadi</w:t>
            </w:r>
          </w:p>
        </w:tc>
      </w:tr>
      <w:tr w:rsidR="00C3305B" w:rsidRPr="00C3305B" w14:paraId="50ABE1BC" w14:textId="77777777" w:rsidTr="000E69BD">
        <w:trPr>
          <w:trHeight w:val="25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B4BEA9A" w14:textId="77777777" w:rsidR="00C3305B" w:rsidRPr="00C3305B" w:rsidRDefault="00C3305B" w:rsidP="00C3305B">
            <w:pPr>
              <w:ind w:right="-6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IKP</w:t>
            </w:r>
            <w:r w:rsidRPr="00C3305B">
              <w:rPr>
                <w:rFonts w:ascii="Times New Roman" w:eastAsia="Times New Roman" w:hAnsi="Times New Roman" w:cs="Times New Roman"/>
                <w:color w:val="000000"/>
                <w:sz w:val="20"/>
                <w:szCs w:val="20"/>
                <w:vertAlign w:val="superscript"/>
              </w:rPr>
              <w:footnoteReference w:id="15"/>
            </w:r>
          </w:p>
        </w:tc>
        <w:tc>
          <w:tcPr>
            <w:tcW w:w="1190" w:type="dxa"/>
            <w:vAlign w:val="center"/>
          </w:tcPr>
          <w:p w14:paraId="5A74097C"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0,55%</w:t>
            </w:r>
          </w:p>
        </w:tc>
        <w:tc>
          <w:tcPr>
            <w:tcW w:w="1191" w:type="dxa"/>
            <w:vAlign w:val="center"/>
          </w:tcPr>
          <w:p w14:paraId="309CB77C"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+2,21%</w:t>
            </w:r>
          </w:p>
        </w:tc>
        <w:tc>
          <w:tcPr>
            <w:tcW w:w="1190" w:type="dxa"/>
            <w:vAlign w:val="center"/>
          </w:tcPr>
          <w:p w14:paraId="0737D6EF"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+4,77%</w:t>
            </w:r>
          </w:p>
        </w:tc>
        <w:tc>
          <w:tcPr>
            <w:tcW w:w="1191" w:type="dxa"/>
            <w:vAlign w:val="center"/>
          </w:tcPr>
          <w:p w14:paraId="043D3BDC"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+7,87%</w:t>
            </w:r>
          </w:p>
        </w:tc>
        <w:tc>
          <w:tcPr>
            <w:tcW w:w="1150" w:type="dxa"/>
            <w:vAlign w:val="center"/>
          </w:tcPr>
          <w:p w14:paraId="3C2E20C4"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+11,24%</w:t>
            </w:r>
          </w:p>
        </w:tc>
      </w:tr>
      <w:tr w:rsidR="00C3305B" w:rsidRPr="00C3305B" w14:paraId="523E92C2" w14:textId="77777777" w:rsidTr="000E69B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CFFBDAA" w14:textId="77777777" w:rsidR="00C3305B" w:rsidRPr="00C3305B" w:rsidRDefault="00C3305B" w:rsidP="00C3305B">
            <w:pPr>
              <w:ind w:right="-6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Bruto pamatkapitāla veidošanās</w:t>
            </w:r>
          </w:p>
        </w:tc>
        <w:tc>
          <w:tcPr>
            <w:tcW w:w="1190" w:type="dxa"/>
            <w:vAlign w:val="center"/>
          </w:tcPr>
          <w:p w14:paraId="2A1C10D4"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w:t>
            </w:r>
          </w:p>
        </w:tc>
        <w:tc>
          <w:tcPr>
            <w:tcW w:w="1191" w:type="dxa"/>
            <w:vAlign w:val="center"/>
          </w:tcPr>
          <w:p w14:paraId="11BE686A"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w:t>
            </w:r>
          </w:p>
        </w:tc>
        <w:tc>
          <w:tcPr>
            <w:tcW w:w="1190" w:type="dxa"/>
            <w:vAlign w:val="center"/>
          </w:tcPr>
          <w:p w14:paraId="50B8645A"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w:t>
            </w:r>
          </w:p>
        </w:tc>
        <w:tc>
          <w:tcPr>
            <w:tcW w:w="1191" w:type="dxa"/>
            <w:vAlign w:val="center"/>
          </w:tcPr>
          <w:p w14:paraId="4CEEB33A"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w:t>
            </w:r>
          </w:p>
        </w:tc>
        <w:tc>
          <w:tcPr>
            <w:tcW w:w="1150" w:type="dxa"/>
            <w:vAlign w:val="center"/>
          </w:tcPr>
          <w:p w14:paraId="7C5E8C70"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w:t>
            </w:r>
          </w:p>
        </w:tc>
      </w:tr>
      <w:tr w:rsidR="00C3305B" w:rsidRPr="00C3305B" w14:paraId="6A3958DF" w14:textId="77777777" w:rsidTr="000E69BD">
        <w:trPr>
          <w:trHeight w:val="25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590EFDF" w14:textId="77777777" w:rsidR="00C3305B" w:rsidRPr="00C3305B" w:rsidRDefault="00C3305B" w:rsidP="00C3305B">
            <w:pPr>
              <w:ind w:right="-6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Nodarbinātība</w:t>
            </w:r>
            <w:r w:rsidRPr="00C3305B">
              <w:rPr>
                <w:rFonts w:ascii="Times New Roman" w:eastAsia="Times New Roman" w:hAnsi="Times New Roman" w:cs="Times New Roman"/>
                <w:color w:val="000000"/>
                <w:sz w:val="20"/>
                <w:szCs w:val="20"/>
                <w:vertAlign w:val="superscript"/>
              </w:rPr>
              <w:footnoteReference w:id="16"/>
            </w:r>
          </w:p>
        </w:tc>
        <w:tc>
          <w:tcPr>
            <w:tcW w:w="1190" w:type="dxa"/>
            <w:vAlign w:val="center"/>
          </w:tcPr>
          <w:p w14:paraId="644F1E38"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+0,24%</w:t>
            </w:r>
          </w:p>
        </w:tc>
        <w:tc>
          <w:tcPr>
            <w:tcW w:w="1191" w:type="dxa"/>
            <w:vAlign w:val="center"/>
          </w:tcPr>
          <w:p w14:paraId="4A472CE0"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+0,62%</w:t>
            </w:r>
          </w:p>
        </w:tc>
        <w:tc>
          <w:tcPr>
            <w:tcW w:w="1190" w:type="dxa"/>
            <w:vAlign w:val="center"/>
          </w:tcPr>
          <w:p w14:paraId="279161BF"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+1,02%</w:t>
            </w:r>
          </w:p>
        </w:tc>
        <w:tc>
          <w:tcPr>
            <w:tcW w:w="1191" w:type="dxa"/>
            <w:vAlign w:val="center"/>
          </w:tcPr>
          <w:p w14:paraId="0F5FA419"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+1,41%</w:t>
            </w:r>
          </w:p>
        </w:tc>
        <w:tc>
          <w:tcPr>
            <w:tcW w:w="1150" w:type="dxa"/>
            <w:vAlign w:val="center"/>
          </w:tcPr>
          <w:p w14:paraId="6327000A"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+1,81%</w:t>
            </w:r>
          </w:p>
        </w:tc>
      </w:tr>
      <w:tr w:rsidR="00C3305B" w:rsidRPr="00C3305B" w14:paraId="084933B1" w14:textId="77777777" w:rsidTr="000E69B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51349AA" w14:textId="77777777" w:rsidR="00C3305B" w:rsidRPr="00C3305B" w:rsidRDefault="00C3305B" w:rsidP="00C3305B">
            <w:pPr>
              <w:ind w:right="-6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Tiešā fiskālā ietekme uz primāro bilanci (10)</w:t>
            </w:r>
            <w:r w:rsidRPr="00C3305B">
              <w:rPr>
                <w:rFonts w:ascii="Times New Roman" w:eastAsia="Times New Roman" w:hAnsi="Times New Roman" w:cs="Times New Roman"/>
                <w:color w:val="000000"/>
                <w:sz w:val="20"/>
                <w:szCs w:val="20"/>
                <w:vertAlign w:val="superscript"/>
              </w:rPr>
              <w:footnoteReference w:id="17"/>
            </w:r>
          </w:p>
        </w:tc>
        <w:tc>
          <w:tcPr>
            <w:tcW w:w="1190" w:type="dxa"/>
            <w:vAlign w:val="center"/>
          </w:tcPr>
          <w:p w14:paraId="3FFDD2C1"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-0,36%</w:t>
            </w:r>
          </w:p>
        </w:tc>
        <w:tc>
          <w:tcPr>
            <w:tcW w:w="1191" w:type="dxa"/>
            <w:vAlign w:val="center"/>
          </w:tcPr>
          <w:p w14:paraId="078B0158"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-1,04%</w:t>
            </w:r>
          </w:p>
        </w:tc>
        <w:tc>
          <w:tcPr>
            <w:tcW w:w="1190" w:type="dxa"/>
            <w:vAlign w:val="center"/>
          </w:tcPr>
          <w:p w14:paraId="7ABF4E87"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-1,07%</w:t>
            </w:r>
          </w:p>
        </w:tc>
        <w:tc>
          <w:tcPr>
            <w:tcW w:w="1191" w:type="dxa"/>
            <w:vAlign w:val="center"/>
          </w:tcPr>
          <w:p w14:paraId="18348EC7"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-0,62%</w:t>
            </w:r>
          </w:p>
        </w:tc>
        <w:tc>
          <w:tcPr>
            <w:tcW w:w="1150" w:type="dxa"/>
            <w:vAlign w:val="center"/>
          </w:tcPr>
          <w:p w14:paraId="335613FA" w14:textId="77777777" w:rsidR="00C3305B" w:rsidRPr="00C3305B" w:rsidRDefault="00C3305B" w:rsidP="00C3305B">
            <w:pPr>
              <w:ind w:right="-9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+0,18%</w:t>
            </w:r>
          </w:p>
        </w:tc>
      </w:tr>
      <w:tr w:rsidR="00C3305B" w:rsidRPr="00C3305B" w14:paraId="7B601857" w14:textId="77777777" w:rsidTr="000E69BD">
        <w:trPr>
          <w:trHeight w:val="395"/>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B50C6EB" w14:textId="77777777" w:rsidR="00C3305B" w:rsidRPr="00C3305B" w:rsidRDefault="00C3305B" w:rsidP="00C3305B">
            <w:pPr>
              <w:ind w:right="-68"/>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Kopējā ietekme uz primāro bilanci (11)</w:t>
            </w:r>
            <w:r w:rsidRPr="00C3305B">
              <w:rPr>
                <w:rFonts w:ascii="Times New Roman" w:eastAsia="Times New Roman" w:hAnsi="Times New Roman" w:cs="Times New Roman"/>
                <w:color w:val="000000"/>
                <w:sz w:val="20"/>
                <w:szCs w:val="20"/>
                <w:vertAlign w:val="superscript"/>
              </w:rPr>
              <w:footnoteReference w:id="18"/>
            </w:r>
          </w:p>
        </w:tc>
        <w:tc>
          <w:tcPr>
            <w:tcW w:w="1190" w:type="dxa"/>
            <w:vAlign w:val="center"/>
          </w:tcPr>
          <w:p w14:paraId="64EC195C"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-0,12%</w:t>
            </w:r>
          </w:p>
        </w:tc>
        <w:tc>
          <w:tcPr>
            <w:tcW w:w="1191" w:type="dxa"/>
            <w:vAlign w:val="center"/>
          </w:tcPr>
          <w:p w14:paraId="5095BF27"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-0,09%</w:t>
            </w:r>
          </w:p>
        </w:tc>
        <w:tc>
          <w:tcPr>
            <w:tcW w:w="1190" w:type="dxa"/>
            <w:vAlign w:val="center"/>
          </w:tcPr>
          <w:p w14:paraId="1BD3281E"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+0,93%</w:t>
            </w:r>
          </w:p>
        </w:tc>
        <w:tc>
          <w:tcPr>
            <w:tcW w:w="1191" w:type="dxa"/>
            <w:vAlign w:val="center"/>
          </w:tcPr>
          <w:p w14:paraId="0EB6BE6C"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+2,65%</w:t>
            </w:r>
          </w:p>
        </w:tc>
        <w:tc>
          <w:tcPr>
            <w:tcW w:w="1150" w:type="dxa"/>
            <w:vAlign w:val="center"/>
          </w:tcPr>
          <w:p w14:paraId="13B3FF91" w14:textId="77777777" w:rsidR="00C3305B" w:rsidRPr="00C3305B" w:rsidRDefault="00C3305B" w:rsidP="00C3305B">
            <w:pPr>
              <w:ind w:right="-9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3305B">
              <w:rPr>
                <w:rFonts w:ascii="Times New Roman" w:eastAsia="Times New Roman" w:hAnsi="Times New Roman" w:cs="Times New Roman"/>
                <w:color w:val="000000"/>
                <w:sz w:val="20"/>
                <w:szCs w:val="20"/>
              </w:rPr>
              <w:t>+4,84%</w:t>
            </w:r>
          </w:p>
        </w:tc>
      </w:tr>
    </w:tbl>
    <w:p w14:paraId="3092CA6D" w14:textId="77777777" w:rsidR="00C3305B" w:rsidRPr="00C3305B" w:rsidRDefault="00C3305B" w:rsidP="00C3305B">
      <w:pPr>
        <w:ind w:right="-908"/>
        <w:rPr>
          <w:rFonts w:ascii="Times New Roman" w:eastAsia="Times New Roman" w:hAnsi="Times New Roman" w:cs="Times New Roman"/>
          <w:b/>
          <w:sz w:val="24"/>
          <w:szCs w:val="24"/>
        </w:rPr>
      </w:pPr>
    </w:p>
    <w:p w14:paraId="66622006" w14:textId="77777777" w:rsidR="00124554" w:rsidRPr="007130E8" w:rsidRDefault="00124554" w:rsidP="005E344C">
      <w:pPr>
        <w:pStyle w:val="Heading2"/>
        <w:numPr>
          <w:ilvl w:val="1"/>
          <w:numId w:val="1"/>
        </w:numPr>
        <w:spacing w:before="240" w:after="120"/>
        <w:ind w:left="993" w:hanging="284"/>
        <w:rPr>
          <w:rFonts w:ascii="Times New Roman" w:hAnsi="Times New Roman" w:cs="Times New Roman"/>
          <w:sz w:val="24"/>
        </w:rPr>
      </w:pPr>
      <w:bookmarkStart w:id="38" w:name="_Toc38887974"/>
      <w:r w:rsidRPr="007130E8">
        <w:rPr>
          <w:rFonts w:ascii="Times New Roman" w:hAnsi="Times New Roman" w:cs="Times New Roman"/>
          <w:sz w:val="24"/>
        </w:rPr>
        <w:t>Pašreizējā fiskālā situācija</w:t>
      </w:r>
      <w:bookmarkEnd w:id="35"/>
      <w:bookmarkEnd w:id="36"/>
      <w:bookmarkEnd w:id="38"/>
    </w:p>
    <w:p w14:paraId="5D736DF4" w14:textId="75D41CD7" w:rsidR="007130E8" w:rsidRDefault="007130E8" w:rsidP="00B324A9">
      <w:pPr>
        <w:pStyle w:val="teksts"/>
        <w:spacing w:after="0"/>
        <w:ind w:firstLine="720"/>
        <w:rPr>
          <w:rFonts w:ascii="Times New Roman" w:eastAsia="Calibri" w:hAnsi="Times New Roman"/>
          <w:szCs w:val="24"/>
        </w:rPr>
      </w:pPr>
      <w:bookmarkStart w:id="39" w:name="_Toc5627371"/>
      <w:r w:rsidRPr="005E0F83">
        <w:rPr>
          <w:rFonts w:ascii="Times New Roman" w:eastAsia="Calibri" w:hAnsi="Times New Roman"/>
          <w:szCs w:val="24"/>
        </w:rPr>
        <w:t xml:space="preserve">Atbilstoši </w:t>
      </w:r>
      <w:r w:rsidRPr="004F485D">
        <w:rPr>
          <w:rFonts w:ascii="Times New Roman" w:eastAsia="Calibri" w:hAnsi="Times New Roman"/>
          <w:noProof/>
          <w:szCs w:val="24"/>
        </w:rPr>
        <w:t>Centrālās statistikas pārvaldes</w:t>
      </w:r>
      <w:r w:rsidRPr="005E0F83">
        <w:rPr>
          <w:rFonts w:ascii="Times New Roman" w:eastAsia="Calibri" w:hAnsi="Times New Roman"/>
          <w:szCs w:val="24"/>
        </w:rPr>
        <w:t xml:space="preserve"> datiem vi</w:t>
      </w:r>
      <w:r w:rsidR="00B324A9">
        <w:rPr>
          <w:rFonts w:ascii="Times New Roman" w:eastAsia="Calibri" w:hAnsi="Times New Roman"/>
          <w:szCs w:val="24"/>
        </w:rPr>
        <w:t>spārējās valdības budžetā 2019.</w:t>
      </w:r>
      <w:r w:rsidRPr="005E0F83">
        <w:rPr>
          <w:rFonts w:ascii="Times New Roman" w:eastAsia="Calibri" w:hAnsi="Times New Roman"/>
          <w:szCs w:val="24"/>
        </w:rPr>
        <w:t>gadā bija deficīts 63,2 mil</w:t>
      </w:r>
      <w:r>
        <w:rPr>
          <w:rFonts w:ascii="Times New Roman" w:eastAsia="Calibri" w:hAnsi="Times New Roman"/>
          <w:szCs w:val="24"/>
        </w:rPr>
        <w:t xml:space="preserve">j. </w:t>
      </w:r>
      <w:r w:rsidRPr="00B324A9">
        <w:rPr>
          <w:rFonts w:ascii="Times New Roman" w:eastAsia="Calibri" w:hAnsi="Times New Roman"/>
          <w:i/>
          <w:szCs w:val="24"/>
        </w:rPr>
        <w:t>e</w:t>
      </w:r>
      <w:r w:rsidR="00B324A9" w:rsidRPr="00B324A9">
        <w:rPr>
          <w:rFonts w:ascii="Times New Roman" w:eastAsia="Calibri" w:hAnsi="Times New Roman"/>
          <w:i/>
          <w:szCs w:val="24"/>
        </w:rPr>
        <w:t>u</w:t>
      </w:r>
      <w:r w:rsidRPr="00B324A9">
        <w:rPr>
          <w:rFonts w:ascii="Times New Roman" w:eastAsia="Calibri" w:hAnsi="Times New Roman"/>
          <w:i/>
          <w:szCs w:val="24"/>
        </w:rPr>
        <w:t>ro</w:t>
      </w:r>
      <w:r>
        <w:rPr>
          <w:rFonts w:ascii="Times New Roman" w:eastAsia="Calibri" w:hAnsi="Times New Roman"/>
          <w:szCs w:val="24"/>
        </w:rPr>
        <w:t xml:space="preserve"> apmērā jeb 0,2% no IKP, </w:t>
      </w:r>
      <w:r w:rsidRPr="004B1791">
        <w:rPr>
          <w:rFonts w:ascii="Times New Roman" w:hAnsi="Times New Roman"/>
          <w:szCs w:val="24"/>
        </w:rPr>
        <w:t>kas ir vērtējama kā labāka izpilde nekā l</w:t>
      </w:r>
      <w:r w:rsidR="00B324A9">
        <w:rPr>
          <w:rFonts w:ascii="Times New Roman" w:hAnsi="Times New Roman"/>
          <w:szCs w:val="24"/>
        </w:rPr>
        <w:t>ikumā “Par valsts budžetu 2019.</w:t>
      </w:r>
      <w:r w:rsidRPr="004B1791">
        <w:rPr>
          <w:rFonts w:ascii="Times New Roman" w:hAnsi="Times New Roman"/>
          <w:szCs w:val="24"/>
        </w:rPr>
        <w:t>gadam” noteiktais pieļaujamais vispārējās valdības budžeta deficīts</w:t>
      </w:r>
      <w:r w:rsidRPr="004B1791">
        <w:rPr>
          <w:rFonts w:ascii="Times New Roman" w:eastAsia="Calibri" w:hAnsi="Times New Roman"/>
          <w:szCs w:val="24"/>
        </w:rPr>
        <w:t xml:space="preserve"> </w:t>
      </w:r>
      <w:r>
        <w:rPr>
          <w:rFonts w:ascii="Times New Roman" w:eastAsia="Calibri" w:hAnsi="Times New Roman"/>
          <w:szCs w:val="24"/>
        </w:rPr>
        <w:t>0,5% no IKP un labāka, salīdzinot arī ar Stabilitātes programmu</w:t>
      </w:r>
      <w:r w:rsidR="00B324A9">
        <w:rPr>
          <w:rFonts w:ascii="Times New Roman" w:eastAsia="Calibri" w:hAnsi="Times New Roman"/>
          <w:szCs w:val="24"/>
        </w:rPr>
        <w:t xml:space="preserve"> 2019.</w:t>
      </w:r>
      <w:r w:rsidR="00B324A9" w:rsidRPr="00B324A9">
        <w:rPr>
          <w:rFonts w:ascii="Times New Roman" w:hAnsi="Times New Roman"/>
          <w:noProof/>
          <w:color w:val="000000"/>
          <w:szCs w:val="24"/>
        </w:rPr>
        <w:t>–</w:t>
      </w:r>
      <w:r w:rsidR="00B324A9">
        <w:rPr>
          <w:rFonts w:ascii="Times New Roman" w:eastAsia="Calibri" w:hAnsi="Times New Roman"/>
          <w:szCs w:val="24"/>
        </w:rPr>
        <w:t>2022.</w:t>
      </w:r>
      <w:r w:rsidRPr="005E0F83">
        <w:rPr>
          <w:rFonts w:ascii="Times New Roman" w:eastAsia="Calibri" w:hAnsi="Times New Roman"/>
          <w:szCs w:val="24"/>
        </w:rPr>
        <w:t>gadam</w:t>
      </w:r>
      <w:r w:rsidR="00B324A9">
        <w:rPr>
          <w:rFonts w:ascii="Times New Roman" w:eastAsia="Calibri" w:hAnsi="Times New Roman"/>
          <w:szCs w:val="24"/>
        </w:rPr>
        <w:t>, kur 2019.</w:t>
      </w:r>
      <w:r>
        <w:rPr>
          <w:rFonts w:ascii="Times New Roman" w:eastAsia="Calibri" w:hAnsi="Times New Roman"/>
          <w:szCs w:val="24"/>
        </w:rPr>
        <w:t>gadā, ņemot vērā abu dokumentu vienlaicīgo izstrādes laiku, bija atspoguļots likumā noteiktais deficīts. Zemāku vispārējās valdības budžeta deficītu, salīdzinot ar iepriekš plānoto, noteica a</w:t>
      </w:r>
      <w:r w:rsidRPr="005E0F83">
        <w:rPr>
          <w:rFonts w:ascii="Times New Roman" w:eastAsia="Calibri" w:hAnsi="Times New Roman"/>
          <w:szCs w:val="24"/>
        </w:rPr>
        <w:t>ugstāki nodokļu ieņēmumi un ieņēmumi no maksas pakalpojumiem, kā arī zemāki izdevumi vietējās valdības un</w:t>
      </w:r>
      <w:r>
        <w:rPr>
          <w:rFonts w:ascii="Times New Roman" w:eastAsia="Calibri" w:hAnsi="Times New Roman"/>
          <w:szCs w:val="24"/>
        </w:rPr>
        <w:t xml:space="preserve"> sociālās apdrošināšanas budžetā. </w:t>
      </w:r>
      <w:r w:rsidR="00B324A9">
        <w:rPr>
          <w:rFonts w:ascii="Times New Roman" w:eastAsia="Calibri" w:hAnsi="Times New Roman"/>
          <w:szCs w:val="24"/>
        </w:rPr>
        <w:t>Jāatzīmē, ka 2019.</w:t>
      </w:r>
      <w:r w:rsidRPr="005E0F83">
        <w:rPr>
          <w:rFonts w:ascii="Times New Roman" w:eastAsia="Calibri" w:hAnsi="Times New Roman"/>
          <w:szCs w:val="24"/>
        </w:rPr>
        <w:t xml:space="preserve">gada deficīta apjoms var tikt precizēts, CSP iesniedzot </w:t>
      </w:r>
      <w:r w:rsidRPr="005E0F83">
        <w:rPr>
          <w:rFonts w:ascii="Times New Roman" w:eastAsia="Calibri" w:hAnsi="Times New Roman"/>
          <w:i/>
          <w:noProof/>
          <w:szCs w:val="24"/>
        </w:rPr>
        <w:t>Eurostat</w:t>
      </w:r>
      <w:r w:rsidRPr="005E0F83">
        <w:rPr>
          <w:rFonts w:ascii="Times New Roman" w:eastAsia="Calibri" w:hAnsi="Times New Roman"/>
          <w:szCs w:val="24"/>
        </w:rPr>
        <w:t xml:space="preserve"> notifikāciju šā gada oktobrī.</w:t>
      </w:r>
    </w:p>
    <w:p w14:paraId="304E196F" w14:textId="66F49E24" w:rsidR="007130E8" w:rsidRPr="003A4FC9" w:rsidRDefault="007130E8" w:rsidP="00B324A9">
      <w:pPr>
        <w:pStyle w:val="teksts"/>
        <w:spacing w:after="0"/>
        <w:ind w:firstLine="720"/>
        <w:rPr>
          <w:rFonts w:ascii="Times New Roman" w:eastAsia="Calibri" w:hAnsi="Times New Roman"/>
          <w:szCs w:val="24"/>
        </w:rPr>
      </w:pPr>
      <w:r w:rsidRPr="005E0F83">
        <w:rPr>
          <w:rFonts w:ascii="Times New Roman" w:hAnsi="Times New Roman"/>
          <w:noProof/>
          <w:szCs w:val="24"/>
        </w:rPr>
        <w:t xml:space="preserve">Analizējot vispārējās valdības apakšsektoru ieguldījumu kopējā fiskālajā bilancē, jāsecina, ka lielākais deficīts galvenokārt veidojās centrālajā valdībā </w:t>
      </w:r>
      <w:r w:rsidR="00B324A9">
        <w:rPr>
          <w:rFonts w:ascii="Times New Roman" w:hAnsi="Times New Roman"/>
          <w:szCs w:val="24"/>
        </w:rPr>
        <w:t>un 2019.</w:t>
      </w:r>
      <w:r w:rsidRPr="005E0F83">
        <w:rPr>
          <w:rFonts w:ascii="Times New Roman" w:hAnsi="Times New Roman"/>
          <w:szCs w:val="24"/>
        </w:rPr>
        <w:t>gadā tas bija 1,7% no IKP. Savukārt sociālās nodrošināšanas fonda un viet</w:t>
      </w:r>
      <w:r w:rsidR="00666A04">
        <w:rPr>
          <w:rFonts w:ascii="Times New Roman" w:hAnsi="Times New Roman"/>
          <w:szCs w:val="24"/>
        </w:rPr>
        <w:t>ējās valdības pārpalikums 2019.</w:t>
      </w:r>
      <w:r w:rsidRPr="005E0F83">
        <w:rPr>
          <w:rFonts w:ascii="Times New Roman" w:hAnsi="Times New Roman"/>
          <w:szCs w:val="24"/>
        </w:rPr>
        <w:t xml:space="preserve">gadā veidoja 0,9% un 0,6% no IKP attiecīgi (skat. </w:t>
      </w:r>
      <w:r w:rsidRPr="004F1479">
        <w:rPr>
          <w:rFonts w:ascii="Times New Roman" w:hAnsi="Times New Roman"/>
          <w:szCs w:val="24"/>
        </w:rPr>
        <w:t>3.</w:t>
      </w:r>
      <w:r w:rsidR="004F1479" w:rsidRPr="004F1479">
        <w:rPr>
          <w:rFonts w:ascii="Times New Roman" w:hAnsi="Times New Roman"/>
          <w:szCs w:val="24"/>
        </w:rPr>
        <w:t>2</w:t>
      </w:r>
      <w:r w:rsidRPr="004F1479">
        <w:rPr>
          <w:rFonts w:ascii="Times New Roman" w:hAnsi="Times New Roman"/>
          <w:szCs w:val="24"/>
        </w:rPr>
        <w:t>.</w:t>
      </w:r>
      <w:r w:rsidR="004F1479">
        <w:rPr>
          <w:rFonts w:ascii="Times New Roman" w:hAnsi="Times New Roman"/>
          <w:szCs w:val="24"/>
        </w:rPr>
        <w:t>attēlu</w:t>
      </w:r>
      <w:r w:rsidRPr="005E0F83">
        <w:rPr>
          <w:rFonts w:ascii="Times New Roman" w:hAnsi="Times New Roman"/>
          <w:szCs w:val="24"/>
        </w:rPr>
        <w:t>).</w:t>
      </w:r>
    </w:p>
    <w:p w14:paraId="3F329177" w14:textId="77777777" w:rsidR="007130E8" w:rsidRPr="005E0F83" w:rsidRDefault="007130E8" w:rsidP="007130E8">
      <w:pPr>
        <w:pStyle w:val="teksts"/>
        <w:spacing w:before="120" w:after="60"/>
        <w:jc w:val="center"/>
        <w:rPr>
          <w:rFonts w:ascii="Times New Roman" w:hAnsi="Times New Roman"/>
          <w:szCs w:val="24"/>
        </w:rPr>
      </w:pPr>
      <w:r w:rsidRPr="005E0F83">
        <w:rPr>
          <w:rFonts w:ascii="Times New Roman" w:hAnsi="Times New Roman"/>
          <w:noProof/>
          <w:szCs w:val="24"/>
          <w:lang w:eastAsia="lv-LV"/>
        </w:rPr>
        <w:drawing>
          <wp:inline distT="0" distB="0" distL="0" distR="0" wp14:anchorId="4FFCA526" wp14:editId="2A586FFC">
            <wp:extent cx="4558505" cy="30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543"/>
                    <a:stretch/>
                  </pic:blipFill>
                  <pic:spPr bwMode="auto">
                    <a:xfrm>
                      <a:off x="0" y="0"/>
                      <a:ext cx="4558505"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03496A" w14:textId="3E03C79C" w:rsidR="007130E8" w:rsidRPr="005E0F83" w:rsidRDefault="007130E8" w:rsidP="007130E8">
      <w:pPr>
        <w:pStyle w:val="teksts"/>
        <w:ind w:firstLine="720"/>
        <w:jc w:val="center"/>
        <w:rPr>
          <w:rFonts w:ascii="Times New Roman" w:hAnsi="Times New Roman"/>
          <w:b/>
          <w:noProof/>
          <w:szCs w:val="24"/>
        </w:rPr>
      </w:pPr>
      <w:r w:rsidRPr="004F1479">
        <w:rPr>
          <w:rFonts w:ascii="Times New Roman" w:eastAsia="Calibri" w:hAnsi="Times New Roman"/>
          <w:b/>
          <w:szCs w:val="24"/>
        </w:rPr>
        <w:t>3.</w:t>
      </w:r>
      <w:r w:rsidR="004F1479">
        <w:rPr>
          <w:rFonts w:ascii="Times New Roman" w:eastAsia="Calibri" w:hAnsi="Times New Roman"/>
          <w:b/>
          <w:szCs w:val="24"/>
        </w:rPr>
        <w:t>2</w:t>
      </w:r>
      <w:r w:rsidRPr="005E0F83">
        <w:rPr>
          <w:rFonts w:ascii="Times New Roman" w:eastAsia="Calibri" w:hAnsi="Times New Roman"/>
          <w:b/>
          <w:szCs w:val="24"/>
        </w:rPr>
        <w:t>.att</w:t>
      </w:r>
      <w:r w:rsidR="004F1479">
        <w:rPr>
          <w:rFonts w:ascii="Times New Roman" w:eastAsia="Calibri" w:hAnsi="Times New Roman"/>
          <w:b/>
          <w:szCs w:val="24"/>
        </w:rPr>
        <w:t>ēls</w:t>
      </w:r>
      <w:r w:rsidRPr="005E0F83">
        <w:rPr>
          <w:rFonts w:ascii="Times New Roman" w:eastAsia="Calibri" w:hAnsi="Times New Roman"/>
          <w:b/>
          <w:szCs w:val="24"/>
        </w:rPr>
        <w:t xml:space="preserve">. Vispārējās valdības budžeta bilance </w:t>
      </w:r>
      <w:r w:rsidRPr="005E0F83">
        <w:rPr>
          <w:rFonts w:ascii="Times New Roman" w:eastAsia="Calibri" w:hAnsi="Times New Roman"/>
          <w:b/>
          <w:noProof/>
          <w:szCs w:val="24"/>
        </w:rPr>
        <w:t xml:space="preserve">sadalījumā pa apakšsektoriem, </w:t>
      </w:r>
      <w:r w:rsidR="006063A7">
        <w:rPr>
          <w:rFonts w:ascii="Times New Roman" w:eastAsia="Calibri" w:hAnsi="Times New Roman"/>
          <w:b/>
          <w:noProof/>
          <w:szCs w:val="24"/>
        </w:rPr>
        <w:br/>
      </w:r>
      <w:r w:rsidRPr="005E0F83">
        <w:rPr>
          <w:rFonts w:ascii="Times New Roman" w:eastAsia="Calibri" w:hAnsi="Times New Roman"/>
          <w:b/>
          <w:noProof/>
          <w:szCs w:val="24"/>
        </w:rPr>
        <w:t xml:space="preserve">% no IKP (Datu avots: </w:t>
      </w:r>
      <w:r w:rsidRPr="005E0F83">
        <w:rPr>
          <w:rFonts w:ascii="Times New Roman" w:eastAsia="Calibri" w:hAnsi="Times New Roman"/>
          <w:b/>
          <w:i/>
          <w:noProof/>
          <w:szCs w:val="24"/>
        </w:rPr>
        <w:t>Eurostat</w:t>
      </w:r>
      <w:r w:rsidRPr="005E0F83">
        <w:rPr>
          <w:rFonts w:ascii="Times New Roman" w:eastAsia="Calibri" w:hAnsi="Times New Roman"/>
          <w:b/>
          <w:noProof/>
          <w:szCs w:val="24"/>
        </w:rPr>
        <w:t>)</w:t>
      </w:r>
    </w:p>
    <w:p w14:paraId="2324306A" w14:textId="7EF72047" w:rsidR="007130E8" w:rsidRDefault="007130E8" w:rsidP="00B324A9">
      <w:pPr>
        <w:spacing w:after="0"/>
        <w:ind w:firstLine="567"/>
        <w:jc w:val="both"/>
        <w:rPr>
          <w:rFonts w:ascii="Times New Roman" w:hAnsi="Times New Roman"/>
          <w:sz w:val="24"/>
          <w:szCs w:val="24"/>
          <w:lang w:eastAsia="lv-LV"/>
        </w:rPr>
      </w:pPr>
      <w:r w:rsidRPr="005E0F83">
        <w:rPr>
          <w:rFonts w:ascii="Times New Roman" w:hAnsi="Times New Roman"/>
          <w:sz w:val="24"/>
          <w:szCs w:val="24"/>
        </w:rPr>
        <w:t>Salīdzinājumā ar 2018. gadu</w:t>
      </w:r>
      <w:r w:rsidRPr="005E0F83">
        <w:rPr>
          <w:rFonts w:ascii="Times New Roman" w:eastAsia="Calibri" w:hAnsi="Times New Roman"/>
          <w:sz w:val="24"/>
          <w:szCs w:val="24"/>
        </w:rPr>
        <w:t xml:space="preserve"> vispārējās valdības budžeta deficīts ir samazinājies par 0,6 procentpunktiem. Jāatzīmē, ka to būtiski uzlaboja </w:t>
      </w:r>
      <w:r w:rsidRPr="005E0F83">
        <w:rPr>
          <w:rFonts w:ascii="Times New Roman" w:hAnsi="Times New Roman"/>
          <w:sz w:val="24"/>
          <w:szCs w:val="24"/>
        </w:rPr>
        <w:t>vietējās valdības</w:t>
      </w:r>
      <w:r w:rsidR="00B324A9">
        <w:rPr>
          <w:rFonts w:ascii="Times New Roman" w:hAnsi="Times New Roman"/>
          <w:sz w:val="24"/>
          <w:szCs w:val="24"/>
        </w:rPr>
        <w:t xml:space="preserve"> budžeta bilance, kas vēl 2018.</w:t>
      </w:r>
      <w:r w:rsidRPr="005E0F83">
        <w:rPr>
          <w:rFonts w:ascii="Times New Roman" w:hAnsi="Times New Roman"/>
          <w:sz w:val="24"/>
          <w:szCs w:val="24"/>
        </w:rPr>
        <w:t xml:space="preserve">gadā bija ar </w:t>
      </w:r>
      <w:r w:rsidR="00B324A9">
        <w:rPr>
          <w:rFonts w:ascii="Times New Roman" w:hAnsi="Times New Roman"/>
          <w:sz w:val="24"/>
          <w:szCs w:val="24"/>
        </w:rPr>
        <w:t>deficītu 0,7% no IKP, bet 2019.</w:t>
      </w:r>
      <w:r w:rsidRPr="005E0F83">
        <w:rPr>
          <w:rFonts w:ascii="Times New Roman" w:hAnsi="Times New Roman"/>
          <w:sz w:val="24"/>
          <w:szCs w:val="24"/>
        </w:rPr>
        <w:t>gadā šajā budžetā bija vērojams pārpalikums 0,6% no IKP. Pateicoties darba spēka nodokļu ieņēmumu straujam pieaugumam, vietējās valdības kopējie ieņēmumi pieauguši</w:t>
      </w:r>
      <w:r w:rsidR="00B324A9">
        <w:rPr>
          <w:rFonts w:ascii="Times New Roman" w:hAnsi="Times New Roman"/>
          <w:sz w:val="24"/>
          <w:szCs w:val="24"/>
        </w:rPr>
        <w:t xml:space="preserve"> par 12,5%, salīdzinot ar 2018.</w:t>
      </w:r>
      <w:r w:rsidRPr="005E0F83">
        <w:rPr>
          <w:rFonts w:ascii="Times New Roman" w:hAnsi="Times New Roman"/>
          <w:sz w:val="24"/>
          <w:szCs w:val="24"/>
        </w:rPr>
        <w:t>gadu, savukārt izdevum</w:t>
      </w:r>
      <w:r w:rsidR="00B324A9">
        <w:rPr>
          <w:rFonts w:ascii="Times New Roman" w:hAnsi="Times New Roman"/>
          <w:sz w:val="24"/>
          <w:szCs w:val="24"/>
        </w:rPr>
        <w:t>i pieauguši tikai par 0,5%, kas ir skaidrojams ar to, ka 2019.</w:t>
      </w:r>
      <w:r w:rsidRPr="005E0F83">
        <w:rPr>
          <w:rFonts w:ascii="Times New Roman" w:hAnsi="Times New Roman"/>
          <w:sz w:val="24"/>
          <w:szCs w:val="24"/>
        </w:rPr>
        <w:t xml:space="preserve">gada pirmajā ceturksnī pašvaldības, ievērojot pagaidu budžeta nosacījumus, varēja aizņemties tikai ES un pārējās ārvalstu finanšu palīdzības līdzfinansēto projektu realizācijai. Savukārt, pieņemot </w:t>
      </w:r>
      <w:r w:rsidRPr="005E0F83">
        <w:rPr>
          <w:rFonts w:ascii="Times New Roman" w:hAnsi="Times New Roman"/>
          <w:sz w:val="24"/>
          <w:szCs w:val="24"/>
          <w:lang w:eastAsia="lv-LV"/>
        </w:rPr>
        <w:t xml:space="preserve">likumu “Par valsts budžetu 2019.gadam”, tika noteikti </w:t>
      </w:r>
      <w:r w:rsidRPr="005E0F83">
        <w:rPr>
          <w:rFonts w:ascii="Times New Roman" w:hAnsi="Times New Roman"/>
          <w:sz w:val="24"/>
          <w:szCs w:val="24"/>
        </w:rPr>
        <w:t xml:space="preserve">pašvaldību aizņemšanās nosacījumi, pašvaldību </w:t>
      </w:r>
      <w:r w:rsidRPr="005E0F83">
        <w:rPr>
          <w:rFonts w:ascii="Times New Roman" w:hAnsi="Times New Roman"/>
          <w:sz w:val="24"/>
          <w:szCs w:val="24"/>
          <w:lang w:eastAsia="lv-LV"/>
        </w:rPr>
        <w:t>aizņēmumu kopējais pieļaujamais palielinājums un kritēriji, kuri bija jāievēro, nodrošinot pašvaldībām pieejamos resursus, tajā skaitā jaunu inv</w:t>
      </w:r>
      <w:r>
        <w:rPr>
          <w:rFonts w:ascii="Times New Roman" w:hAnsi="Times New Roman"/>
          <w:sz w:val="24"/>
          <w:szCs w:val="24"/>
          <w:lang w:eastAsia="lv-LV"/>
        </w:rPr>
        <w:t>estīciju projektu īstenošanai.</w:t>
      </w:r>
    </w:p>
    <w:p w14:paraId="3E62223B" w14:textId="7A2B1450" w:rsidR="007130E8" w:rsidRPr="003A4FC9" w:rsidRDefault="00B324A9" w:rsidP="00B324A9">
      <w:pPr>
        <w:spacing w:after="0"/>
        <w:ind w:firstLine="567"/>
        <w:jc w:val="both"/>
        <w:rPr>
          <w:rFonts w:ascii="Times New Roman" w:hAnsi="Times New Roman"/>
          <w:sz w:val="24"/>
          <w:szCs w:val="24"/>
          <w:lang w:eastAsia="lv-LV"/>
        </w:rPr>
      </w:pPr>
      <w:r>
        <w:rPr>
          <w:rFonts w:ascii="Times New Roman" w:eastAsia="Calibri" w:hAnsi="Times New Roman"/>
          <w:sz w:val="24"/>
          <w:szCs w:val="24"/>
        </w:rPr>
        <w:t>2019.gadā, salīdzinot ar 2018.g</w:t>
      </w:r>
      <w:r w:rsidR="007130E8" w:rsidRPr="005E0F83">
        <w:rPr>
          <w:rFonts w:ascii="Times New Roman" w:eastAsia="Calibri" w:hAnsi="Times New Roman"/>
          <w:sz w:val="24"/>
          <w:szCs w:val="24"/>
        </w:rPr>
        <w:t xml:space="preserve">adu, vispārējās valdības budžeta ieņēmumi pieauguši par 560 milj. </w:t>
      </w:r>
      <w:r w:rsidRPr="00B324A9">
        <w:rPr>
          <w:rFonts w:ascii="Times New Roman" w:eastAsia="Calibri" w:hAnsi="Times New Roman"/>
          <w:i/>
          <w:sz w:val="24"/>
          <w:szCs w:val="24"/>
        </w:rPr>
        <w:t>euro</w:t>
      </w:r>
      <w:r w:rsidR="007130E8" w:rsidRPr="005E0F83">
        <w:rPr>
          <w:rFonts w:ascii="Times New Roman" w:eastAsia="Calibri" w:hAnsi="Times New Roman"/>
          <w:sz w:val="24"/>
          <w:szCs w:val="24"/>
        </w:rPr>
        <w:t xml:space="preserve"> jeb 5,0%, sasniedzot 11,8 miljardus </w:t>
      </w:r>
      <w:r w:rsidR="007130E8" w:rsidRPr="00B324A9">
        <w:rPr>
          <w:rFonts w:ascii="Times New Roman" w:eastAsia="Calibri" w:hAnsi="Times New Roman"/>
          <w:i/>
          <w:sz w:val="24"/>
          <w:szCs w:val="24"/>
        </w:rPr>
        <w:t>e</w:t>
      </w:r>
      <w:r w:rsidRPr="00B324A9">
        <w:rPr>
          <w:rFonts w:ascii="Times New Roman" w:eastAsia="Calibri" w:hAnsi="Times New Roman"/>
          <w:i/>
          <w:sz w:val="24"/>
          <w:szCs w:val="24"/>
        </w:rPr>
        <w:t>u</w:t>
      </w:r>
      <w:r w:rsidR="007130E8" w:rsidRPr="00B324A9">
        <w:rPr>
          <w:rFonts w:ascii="Times New Roman" w:eastAsia="Calibri" w:hAnsi="Times New Roman"/>
          <w:i/>
          <w:sz w:val="24"/>
          <w:szCs w:val="24"/>
        </w:rPr>
        <w:t>ro</w:t>
      </w:r>
      <w:r w:rsidR="007130E8" w:rsidRPr="005E0F83">
        <w:rPr>
          <w:rFonts w:ascii="Times New Roman" w:eastAsia="Calibri" w:hAnsi="Times New Roman"/>
          <w:sz w:val="24"/>
          <w:szCs w:val="24"/>
        </w:rPr>
        <w:t xml:space="preserve"> jeb 38,7% no IKP (skat. </w:t>
      </w:r>
      <w:r w:rsidR="007130E8" w:rsidRPr="004F1479">
        <w:rPr>
          <w:rFonts w:ascii="Times New Roman" w:eastAsia="Calibri" w:hAnsi="Times New Roman"/>
          <w:sz w:val="24"/>
          <w:szCs w:val="24"/>
        </w:rPr>
        <w:t>3.</w:t>
      </w:r>
      <w:r w:rsidR="004F1479">
        <w:rPr>
          <w:rFonts w:ascii="Times New Roman" w:eastAsia="Calibri" w:hAnsi="Times New Roman"/>
          <w:sz w:val="24"/>
          <w:szCs w:val="24"/>
        </w:rPr>
        <w:t>3</w:t>
      </w:r>
      <w:r w:rsidR="007130E8" w:rsidRPr="005E0F83">
        <w:rPr>
          <w:rFonts w:ascii="Times New Roman" w:eastAsia="Calibri" w:hAnsi="Times New Roman"/>
          <w:sz w:val="24"/>
          <w:szCs w:val="24"/>
        </w:rPr>
        <w:t>.att.).</w:t>
      </w:r>
    </w:p>
    <w:p w14:paraId="55C81576" w14:textId="77777777" w:rsidR="007130E8" w:rsidRPr="005E0F83" w:rsidRDefault="007130E8" w:rsidP="007130E8">
      <w:pPr>
        <w:pStyle w:val="teksts"/>
        <w:spacing w:before="120" w:after="60"/>
        <w:jc w:val="center"/>
        <w:rPr>
          <w:rFonts w:ascii="Times New Roman" w:eastAsia="Calibri" w:hAnsi="Times New Roman"/>
          <w:szCs w:val="24"/>
        </w:rPr>
      </w:pPr>
      <w:r w:rsidRPr="005E0F83">
        <w:rPr>
          <w:rFonts w:ascii="Times New Roman" w:eastAsia="Calibri" w:hAnsi="Times New Roman"/>
          <w:noProof/>
          <w:szCs w:val="24"/>
          <w:lang w:eastAsia="lv-LV"/>
        </w:rPr>
        <w:drawing>
          <wp:inline distT="0" distB="0" distL="0" distR="0" wp14:anchorId="1DCCCD79" wp14:editId="54F353E7">
            <wp:extent cx="4798584" cy="30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01" b="4768"/>
                    <a:stretch/>
                  </pic:blipFill>
                  <pic:spPr bwMode="auto">
                    <a:xfrm>
                      <a:off x="0" y="0"/>
                      <a:ext cx="4798584"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77EC3C83" w14:textId="739C0769" w:rsidR="007130E8" w:rsidRPr="005E0F83" w:rsidRDefault="007130E8" w:rsidP="007130E8">
      <w:pPr>
        <w:pStyle w:val="teksts"/>
        <w:jc w:val="center"/>
        <w:rPr>
          <w:rFonts w:ascii="Times New Roman" w:hAnsi="Times New Roman"/>
          <w:b/>
          <w:szCs w:val="24"/>
        </w:rPr>
      </w:pPr>
      <w:r w:rsidRPr="004F1479">
        <w:rPr>
          <w:rFonts w:ascii="Times New Roman" w:eastAsia="Calibri" w:hAnsi="Times New Roman"/>
          <w:b/>
          <w:szCs w:val="24"/>
        </w:rPr>
        <w:t>3.</w:t>
      </w:r>
      <w:r w:rsidR="004F1479" w:rsidRPr="004F1479">
        <w:rPr>
          <w:rFonts w:ascii="Times New Roman" w:eastAsia="Calibri" w:hAnsi="Times New Roman"/>
          <w:b/>
          <w:szCs w:val="24"/>
        </w:rPr>
        <w:t>3</w:t>
      </w:r>
      <w:r w:rsidRPr="004F1479">
        <w:rPr>
          <w:rFonts w:ascii="Times New Roman" w:eastAsia="Calibri" w:hAnsi="Times New Roman"/>
          <w:b/>
          <w:szCs w:val="24"/>
        </w:rPr>
        <w:t>.</w:t>
      </w:r>
      <w:r w:rsidRPr="005E0F83">
        <w:rPr>
          <w:rFonts w:ascii="Times New Roman" w:eastAsia="Calibri" w:hAnsi="Times New Roman"/>
          <w:b/>
          <w:szCs w:val="24"/>
        </w:rPr>
        <w:t>att</w:t>
      </w:r>
      <w:r w:rsidR="004F1479">
        <w:rPr>
          <w:rFonts w:ascii="Times New Roman" w:eastAsia="Calibri" w:hAnsi="Times New Roman"/>
          <w:b/>
          <w:szCs w:val="24"/>
        </w:rPr>
        <w:t>ēls</w:t>
      </w:r>
      <w:r w:rsidRPr="005E0F83">
        <w:rPr>
          <w:rFonts w:ascii="Times New Roman" w:eastAsia="Calibri" w:hAnsi="Times New Roman"/>
          <w:b/>
          <w:szCs w:val="24"/>
        </w:rPr>
        <w:t>. Vispārējās valdības ieņēmumi un izdevumi, % no IKP</w:t>
      </w:r>
      <w:r w:rsidRPr="005E0F83">
        <w:rPr>
          <w:rFonts w:ascii="Times New Roman" w:eastAsia="Calibri" w:hAnsi="Times New Roman"/>
          <w:b/>
          <w:szCs w:val="24"/>
        </w:rPr>
        <w:br/>
        <w:t xml:space="preserve">(Datu </w:t>
      </w:r>
      <w:r w:rsidRPr="005E0F83">
        <w:rPr>
          <w:rFonts w:ascii="Times New Roman" w:eastAsia="Calibri" w:hAnsi="Times New Roman"/>
          <w:b/>
          <w:noProof/>
          <w:szCs w:val="24"/>
        </w:rPr>
        <w:t xml:space="preserve">avots: </w:t>
      </w:r>
      <w:r w:rsidRPr="005E0F83">
        <w:rPr>
          <w:rFonts w:ascii="Times New Roman" w:eastAsia="Calibri" w:hAnsi="Times New Roman"/>
          <w:b/>
          <w:i/>
          <w:noProof/>
          <w:szCs w:val="24"/>
        </w:rPr>
        <w:t>Eurostat</w:t>
      </w:r>
      <w:r w:rsidRPr="005E0F83">
        <w:rPr>
          <w:rFonts w:ascii="Times New Roman" w:eastAsia="Calibri" w:hAnsi="Times New Roman"/>
          <w:b/>
          <w:szCs w:val="24"/>
        </w:rPr>
        <w:t>)</w:t>
      </w:r>
    </w:p>
    <w:p w14:paraId="3CDA55F7" w14:textId="497304E6" w:rsidR="007130E8" w:rsidRPr="005E0F83" w:rsidRDefault="007130E8" w:rsidP="00B324A9">
      <w:pPr>
        <w:pStyle w:val="teksts"/>
        <w:spacing w:after="0"/>
        <w:ind w:firstLine="567"/>
        <w:rPr>
          <w:rFonts w:ascii="Times New Roman" w:eastAsia="Calibri" w:hAnsi="Times New Roman"/>
          <w:color w:val="000000"/>
          <w:szCs w:val="24"/>
        </w:rPr>
      </w:pPr>
      <w:r w:rsidRPr="005E0F83">
        <w:rPr>
          <w:rFonts w:ascii="Times New Roman" w:eastAsia="Calibri" w:hAnsi="Times New Roman"/>
          <w:szCs w:val="24"/>
        </w:rPr>
        <w:t xml:space="preserve">Ieņēmumu pieaugumu veicināja nodokļu ieņēmumu pieaugums. </w:t>
      </w:r>
      <w:r w:rsidRPr="005E0F83">
        <w:rPr>
          <w:rFonts w:ascii="Times New Roman" w:eastAsia="Calibri" w:hAnsi="Times New Roman"/>
          <w:color w:val="000000"/>
          <w:szCs w:val="24"/>
        </w:rPr>
        <w:t>Nodokļu ieņēmumi</w:t>
      </w:r>
      <w:r w:rsidRPr="003A4FC9">
        <w:rPr>
          <w:rStyle w:val="FootnoteReference"/>
          <w:rFonts w:ascii="Times New Roman" w:eastAsia="Calibri" w:hAnsi="Times New Roman"/>
        </w:rPr>
        <w:footnoteReference w:id="19"/>
      </w:r>
      <w:r w:rsidR="00B324A9">
        <w:rPr>
          <w:rFonts w:ascii="Times New Roman" w:eastAsia="Calibri" w:hAnsi="Times New Roman"/>
          <w:color w:val="000000"/>
          <w:szCs w:val="24"/>
        </w:rPr>
        <w:t xml:space="preserve"> 2019.</w:t>
      </w:r>
      <w:r w:rsidRPr="005E0F83">
        <w:rPr>
          <w:rFonts w:ascii="Times New Roman" w:eastAsia="Calibri" w:hAnsi="Times New Roman"/>
          <w:color w:val="000000"/>
          <w:szCs w:val="24"/>
        </w:rPr>
        <w:t xml:space="preserve">gadā sasniedza 31,4% no IKP, kas ir par 0,1 procentpunktu mazāk kā </w:t>
      </w:r>
      <w:r w:rsidR="00B324A9">
        <w:rPr>
          <w:rFonts w:ascii="Times New Roman" w:eastAsia="Calibri" w:hAnsi="Times New Roman"/>
          <w:color w:val="000000"/>
          <w:szCs w:val="24"/>
        </w:rPr>
        <w:t>2018.gadā. Salīdzinot ar 2018.</w:t>
      </w:r>
      <w:r w:rsidRPr="005E0F83">
        <w:rPr>
          <w:rFonts w:ascii="Times New Roman" w:eastAsia="Calibri" w:hAnsi="Times New Roman"/>
          <w:color w:val="000000"/>
          <w:szCs w:val="24"/>
        </w:rPr>
        <w:t xml:space="preserve">gadu, nodokļu ieņēmumi pieauguši par 424,5 milj. </w:t>
      </w:r>
      <w:r w:rsidR="00B324A9" w:rsidRPr="00B324A9">
        <w:rPr>
          <w:rFonts w:ascii="Times New Roman" w:eastAsia="Calibri" w:hAnsi="Times New Roman"/>
          <w:i/>
          <w:szCs w:val="24"/>
        </w:rPr>
        <w:t>euro</w:t>
      </w:r>
      <w:r w:rsidRPr="005E0F83">
        <w:rPr>
          <w:rFonts w:ascii="Times New Roman" w:eastAsia="Calibri" w:hAnsi="Times New Roman"/>
          <w:color w:val="000000"/>
          <w:szCs w:val="24"/>
        </w:rPr>
        <w:t xml:space="preserve"> jeb 4,6%. Lielāko pieaugumu nodrošināja sociālās apdrošināšanas iemaksas (D.61), kas, salīdzinot ar 2018. gadu, pieaugušas par 285,5 milj. </w:t>
      </w:r>
      <w:r w:rsidR="00B324A9" w:rsidRPr="00B324A9">
        <w:rPr>
          <w:rFonts w:ascii="Times New Roman" w:eastAsia="Calibri" w:hAnsi="Times New Roman"/>
          <w:i/>
          <w:szCs w:val="24"/>
        </w:rPr>
        <w:t>euro</w:t>
      </w:r>
      <w:r w:rsidRPr="005E0F83">
        <w:rPr>
          <w:rFonts w:ascii="Times New Roman" w:eastAsia="Calibri" w:hAnsi="Times New Roman"/>
          <w:color w:val="000000"/>
          <w:szCs w:val="24"/>
        </w:rPr>
        <w:t xml:space="preserve"> jeb 10,3%. Sociālās apdrošināšanas iemaksu pieaugumu veicināja labvēlīg</w:t>
      </w:r>
      <w:r w:rsidR="006621B4">
        <w:rPr>
          <w:rFonts w:ascii="Times New Roman" w:eastAsia="Calibri" w:hAnsi="Times New Roman"/>
          <w:color w:val="000000"/>
          <w:szCs w:val="24"/>
        </w:rPr>
        <w:t>a situācija darba tirgū – 2019.</w:t>
      </w:r>
      <w:r w:rsidRPr="005E0F83">
        <w:rPr>
          <w:rFonts w:ascii="Times New Roman" w:eastAsia="Calibri" w:hAnsi="Times New Roman"/>
          <w:color w:val="000000"/>
          <w:szCs w:val="24"/>
        </w:rPr>
        <w:t xml:space="preserve">gadā pieauga gan nodarbināto skaits, gan darba samaksas vidējais apmērs. </w:t>
      </w:r>
    </w:p>
    <w:p w14:paraId="1F20BF9F" w14:textId="3D6AA14F" w:rsidR="007130E8" w:rsidRDefault="007130E8" w:rsidP="00B324A9">
      <w:pPr>
        <w:pStyle w:val="teksts"/>
        <w:spacing w:after="0"/>
        <w:ind w:firstLine="567"/>
        <w:rPr>
          <w:rFonts w:ascii="Times New Roman" w:eastAsia="Calibri" w:hAnsi="Times New Roman"/>
          <w:color w:val="000000"/>
          <w:szCs w:val="24"/>
        </w:rPr>
      </w:pPr>
      <w:r w:rsidRPr="005E0F83">
        <w:rPr>
          <w:rFonts w:ascii="Times New Roman" w:eastAsia="Calibri" w:hAnsi="Times New Roman"/>
          <w:color w:val="000000"/>
          <w:szCs w:val="24"/>
        </w:rPr>
        <w:t>Ražošanas un importa nod</w:t>
      </w:r>
      <w:r w:rsidR="00B324A9">
        <w:rPr>
          <w:rFonts w:ascii="Times New Roman" w:eastAsia="Calibri" w:hAnsi="Times New Roman"/>
          <w:color w:val="000000"/>
          <w:szCs w:val="24"/>
        </w:rPr>
        <w:t>okļi (D.2), salīdzinot ar 2018.</w:t>
      </w:r>
      <w:r w:rsidRPr="005E0F83">
        <w:rPr>
          <w:rFonts w:ascii="Times New Roman" w:eastAsia="Calibri" w:hAnsi="Times New Roman"/>
          <w:color w:val="000000"/>
          <w:szCs w:val="24"/>
        </w:rPr>
        <w:t xml:space="preserve">gadu, auguši par 162,2 milj. </w:t>
      </w:r>
      <w:r w:rsidR="00B324A9" w:rsidRPr="00B324A9">
        <w:rPr>
          <w:rFonts w:ascii="Times New Roman" w:eastAsia="Calibri" w:hAnsi="Times New Roman"/>
          <w:i/>
          <w:szCs w:val="24"/>
        </w:rPr>
        <w:t>euro</w:t>
      </w:r>
      <w:r w:rsidRPr="005E0F83">
        <w:rPr>
          <w:rFonts w:ascii="Times New Roman" w:eastAsia="Calibri" w:hAnsi="Times New Roman"/>
          <w:color w:val="000000"/>
          <w:szCs w:val="24"/>
        </w:rPr>
        <w:t xml:space="preserve"> jeb 3,9%. Palielinoties ekonomiskai aktivitātei, par 191,4 milj. </w:t>
      </w:r>
      <w:r w:rsidR="00B324A9" w:rsidRPr="00B324A9">
        <w:rPr>
          <w:rFonts w:ascii="Times New Roman" w:eastAsia="Calibri" w:hAnsi="Times New Roman"/>
          <w:i/>
          <w:szCs w:val="24"/>
        </w:rPr>
        <w:t>euro</w:t>
      </w:r>
      <w:r w:rsidRPr="005E0F83">
        <w:rPr>
          <w:rFonts w:ascii="Times New Roman" w:eastAsia="Calibri" w:hAnsi="Times New Roman"/>
          <w:color w:val="000000"/>
          <w:szCs w:val="24"/>
        </w:rPr>
        <w:t xml:space="preserve"> jeb 7,8% pieauguši PVN ieņēmumi, savukārt akcīzes nodokļa ieņēmumi auguši par 34,8 milj. </w:t>
      </w:r>
      <w:r w:rsidR="00B324A9" w:rsidRPr="00B324A9">
        <w:rPr>
          <w:rFonts w:ascii="Times New Roman" w:eastAsia="Calibri" w:hAnsi="Times New Roman"/>
          <w:i/>
          <w:szCs w:val="24"/>
        </w:rPr>
        <w:t>euro</w:t>
      </w:r>
      <w:r w:rsidRPr="005E0F83">
        <w:rPr>
          <w:rFonts w:ascii="Times New Roman" w:eastAsia="Calibri" w:hAnsi="Times New Roman"/>
          <w:color w:val="000000"/>
          <w:szCs w:val="24"/>
        </w:rPr>
        <w:t xml:space="preserve"> jeb 3,4%. Atbilstoši </w:t>
      </w:r>
      <w:r w:rsidR="0089342E">
        <w:rPr>
          <w:rFonts w:ascii="Times New Roman" w:eastAsia="Calibri" w:hAnsi="Times New Roman"/>
          <w:color w:val="000000"/>
          <w:szCs w:val="24"/>
        </w:rPr>
        <w:t>VID</w:t>
      </w:r>
      <w:r w:rsidRPr="005E0F83">
        <w:rPr>
          <w:rFonts w:ascii="Times New Roman" w:eastAsia="Calibri" w:hAnsi="Times New Roman"/>
          <w:color w:val="000000"/>
          <w:szCs w:val="24"/>
        </w:rPr>
        <w:t xml:space="preserve"> sniegtajai informācija</w:t>
      </w:r>
      <w:r w:rsidR="00486B49">
        <w:rPr>
          <w:rFonts w:ascii="Times New Roman" w:eastAsia="Calibri" w:hAnsi="Times New Roman"/>
          <w:color w:val="000000"/>
          <w:szCs w:val="24"/>
        </w:rPr>
        <w:t>i kopējā darījumu vērtība 2019.</w:t>
      </w:r>
      <w:r w:rsidRPr="005E0F83">
        <w:rPr>
          <w:rFonts w:ascii="Times New Roman" w:eastAsia="Calibri" w:hAnsi="Times New Roman"/>
          <w:color w:val="000000"/>
          <w:szCs w:val="24"/>
        </w:rPr>
        <w:t>gadā visvairāk pieauga nodokļu maksātājiem, kuri darbojas būvniecības nozarē un apstrādes rūpniecībā, savukārt samazinājās nodokļu maksātājiem, kuri darbojās transporta un uzglabāšanas nozarē. Akcīzes nodokļa ieņēmumu pieaugumu ierobežoja akcīzes nodokļa politika Baltijas valstīs – neplānotā akcīzes nodokļa likmju samazināšana alkoholiskajiem dzērieniem un alum Igaunijā, kas būtiski ierobežoja pēdējos gados attīstījušos alkohola tirdzniecību pierobežā, un degvielas patērētāju plūsmas pārorientēšanās no Latvijas uz Lietuvu, ņemot vērā zemāku degvielas cenu.</w:t>
      </w:r>
    </w:p>
    <w:p w14:paraId="4663F6E6" w14:textId="38FADDF2" w:rsidR="007130E8" w:rsidRDefault="007130E8" w:rsidP="00B324A9">
      <w:pPr>
        <w:pStyle w:val="teksts"/>
        <w:spacing w:after="0"/>
        <w:ind w:firstLine="567"/>
        <w:rPr>
          <w:rFonts w:ascii="Times New Roman" w:hAnsi="Times New Roman"/>
          <w:noProof/>
          <w:szCs w:val="24"/>
        </w:rPr>
      </w:pPr>
      <w:r w:rsidRPr="005E0F83">
        <w:rPr>
          <w:rFonts w:ascii="Times New Roman" w:eastAsia="Calibri" w:hAnsi="Times New Roman"/>
          <w:color w:val="000000"/>
          <w:szCs w:val="24"/>
        </w:rPr>
        <w:t>Vienīgā nodokļu ieņēmumu pozīcija, kura ir piedzīvojusi ieņēmu</w:t>
      </w:r>
      <w:r w:rsidR="00B324A9">
        <w:rPr>
          <w:rFonts w:ascii="Times New Roman" w:eastAsia="Calibri" w:hAnsi="Times New Roman"/>
          <w:color w:val="000000"/>
          <w:szCs w:val="24"/>
        </w:rPr>
        <w:t>mu kritumu, salīdzinot ar 2018.</w:t>
      </w:r>
      <w:r w:rsidRPr="005E0F83">
        <w:rPr>
          <w:rFonts w:ascii="Times New Roman" w:eastAsia="Calibri" w:hAnsi="Times New Roman"/>
          <w:color w:val="000000"/>
          <w:szCs w:val="24"/>
        </w:rPr>
        <w:t xml:space="preserve">gadu, ir </w:t>
      </w:r>
      <w:r w:rsidRPr="005E0F83">
        <w:rPr>
          <w:rFonts w:ascii="Times New Roman" w:eastAsia="Calibri" w:hAnsi="Times New Roman"/>
          <w:szCs w:val="24"/>
        </w:rPr>
        <w:t>ienākuma un mantas kārtējie nodokļi (D.5), kas samazinājušies par 20,1 milj. eiro. Samazinājums ir ska</w:t>
      </w:r>
      <w:r w:rsidR="00B324A9">
        <w:rPr>
          <w:rFonts w:ascii="Times New Roman" w:eastAsia="Calibri" w:hAnsi="Times New Roman"/>
          <w:szCs w:val="24"/>
        </w:rPr>
        <w:t>idrojams ar UIN izpildi – 2019.</w:t>
      </w:r>
      <w:r w:rsidRPr="005E0F83">
        <w:rPr>
          <w:rFonts w:ascii="Times New Roman" w:eastAsia="Calibri" w:hAnsi="Times New Roman"/>
          <w:szCs w:val="24"/>
        </w:rPr>
        <w:t xml:space="preserve">gadā UIN ieņēmumi samazinājušies par 259,2 milj. </w:t>
      </w:r>
      <w:r w:rsidR="00B324A9" w:rsidRPr="00B324A9">
        <w:rPr>
          <w:rFonts w:ascii="Times New Roman" w:eastAsia="Calibri" w:hAnsi="Times New Roman"/>
          <w:i/>
          <w:szCs w:val="24"/>
        </w:rPr>
        <w:t>euro</w:t>
      </w:r>
      <w:r w:rsidRPr="005E0F83">
        <w:rPr>
          <w:rFonts w:ascii="Times New Roman" w:eastAsia="Calibri" w:hAnsi="Times New Roman"/>
          <w:szCs w:val="24"/>
        </w:rPr>
        <w:t xml:space="preserve"> jeb par </w:t>
      </w:r>
      <w:r w:rsidR="00B324A9">
        <w:rPr>
          <w:rFonts w:ascii="Times New Roman" w:eastAsia="Calibri" w:hAnsi="Times New Roman"/>
          <w:szCs w:val="24"/>
        </w:rPr>
        <w:t>85,3%. Tas skaidrojams ar 2018.gada 1.</w:t>
      </w:r>
      <w:r w:rsidRPr="005E0F83">
        <w:rPr>
          <w:rFonts w:ascii="Times New Roman" w:eastAsia="Calibri" w:hAnsi="Times New Roman"/>
          <w:szCs w:val="24"/>
        </w:rPr>
        <w:t xml:space="preserve">janvārī spēkā stājušos nodokļu reformu, kurā tika noteikts, ka </w:t>
      </w:r>
      <w:r w:rsidRPr="005E0F83">
        <w:rPr>
          <w:rFonts w:ascii="Times New Roman" w:hAnsi="Times New Roman"/>
          <w:szCs w:val="24"/>
        </w:rPr>
        <w:t>2018.gada pirmajā pusgadā bija veicami avansa maksājumi saskaņā ar iepriekšējo nodokļa</w:t>
      </w:r>
      <w:r w:rsidR="006621B4">
        <w:rPr>
          <w:rFonts w:ascii="Times New Roman" w:hAnsi="Times New Roman"/>
          <w:szCs w:val="24"/>
        </w:rPr>
        <w:t xml:space="preserve"> maksāšanas kārtību, taču 2019.</w:t>
      </w:r>
      <w:r w:rsidRPr="005E0F83">
        <w:rPr>
          <w:rFonts w:ascii="Times New Roman" w:hAnsi="Times New Roman"/>
          <w:szCs w:val="24"/>
        </w:rPr>
        <w:t xml:space="preserve">gadā šādi avansa maksājumi nebija jāveic, bet tika veiktas UIN atmaksas 125,1 milj. </w:t>
      </w:r>
      <w:r w:rsidRPr="00EE4325">
        <w:rPr>
          <w:rFonts w:ascii="Times New Roman" w:hAnsi="Times New Roman"/>
          <w:i/>
          <w:szCs w:val="24"/>
        </w:rPr>
        <w:t>e</w:t>
      </w:r>
      <w:r w:rsidR="00EE4325" w:rsidRPr="00EE4325">
        <w:rPr>
          <w:rFonts w:ascii="Times New Roman" w:hAnsi="Times New Roman"/>
          <w:i/>
          <w:szCs w:val="24"/>
        </w:rPr>
        <w:t>u</w:t>
      </w:r>
      <w:r w:rsidRPr="00EE4325">
        <w:rPr>
          <w:rFonts w:ascii="Times New Roman" w:hAnsi="Times New Roman"/>
          <w:i/>
          <w:szCs w:val="24"/>
        </w:rPr>
        <w:t>ro</w:t>
      </w:r>
      <w:r w:rsidRPr="005E0F83">
        <w:rPr>
          <w:rFonts w:ascii="Times New Roman" w:hAnsi="Times New Roman"/>
          <w:szCs w:val="24"/>
        </w:rPr>
        <w:t xml:space="preserve"> apmērā, k</w:t>
      </w:r>
      <w:r w:rsidR="00B324A9">
        <w:rPr>
          <w:rFonts w:ascii="Times New Roman" w:hAnsi="Times New Roman"/>
          <w:szCs w:val="24"/>
        </w:rPr>
        <w:t>as ir 2,1 reizi vairāk kā 2018.</w:t>
      </w:r>
      <w:r w:rsidRPr="005E0F83">
        <w:rPr>
          <w:rFonts w:ascii="Times New Roman" w:hAnsi="Times New Roman"/>
          <w:szCs w:val="24"/>
        </w:rPr>
        <w:t xml:space="preserve">gadā. Nodokļu reforma </w:t>
      </w:r>
      <w:r w:rsidR="00B324A9">
        <w:rPr>
          <w:rFonts w:ascii="Times New Roman" w:hAnsi="Times New Roman"/>
          <w:szCs w:val="24"/>
        </w:rPr>
        <w:t>ietekmēja arī IIN izpildi 2019.</w:t>
      </w:r>
      <w:r w:rsidRPr="005E0F83">
        <w:rPr>
          <w:rFonts w:ascii="Times New Roman" w:hAnsi="Times New Roman"/>
          <w:szCs w:val="24"/>
        </w:rPr>
        <w:t>gadā</w:t>
      </w:r>
      <w:r w:rsidR="00B324A9">
        <w:rPr>
          <w:rFonts w:ascii="Times New Roman" w:hAnsi="Times New Roman"/>
          <w:szCs w:val="24"/>
        </w:rPr>
        <w:t>. Ar 2019.gada 1.</w:t>
      </w:r>
      <w:r w:rsidRPr="005E0F83">
        <w:rPr>
          <w:rFonts w:ascii="Times New Roman" w:hAnsi="Times New Roman"/>
          <w:szCs w:val="24"/>
        </w:rPr>
        <w:t xml:space="preserve">janvāri tika paaugstināts diferencētais neapliekamais minimums no 200 līdz 230 </w:t>
      </w:r>
      <w:r w:rsidR="00B324A9" w:rsidRPr="00B324A9">
        <w:rPr>
          <w:rFonts w:ascii="Times New Roman" w:eastAsia="Calibri" w:hAnsi="Times New Roman"/>
          <w:i/>
          <w:szCs w:val="24"/>
        </w:rPr>
        <w:t>euro</w:t>
      </w:r>
      <w:r w:rsidRPr="005E0F83">
        <w:rPr>
          <w:rFonts w:ascii="Times New Roman" w:hAnsi="Times New Roman"/>
          <w:szCs w:val="24"/>
        </w:rPr>
        <w:t xml:space="preserve">, neapliekamais minimums pensionāriem no 250 līdz 270 </w:t>
      </w:r>
      <w:r w:rsidR="00B324A9" w:rsidRPr="00B324A9">
        <w:rPr>
          <w:rFonts w:ascii="Times New Roman" w:eastAsia="Calibri" w:hAnsi="Times New Roman"/>
          <w:i/>
          <w:szCs w:val="24"/>
        </w:rPr>
        <w:t>euro</w:t>
      </w:r>
      <w:r w:rsidRPr="005E0F83">
        <w:rPr>
          <w:rFonts w:ascii="Times New Roman" w:hAnsi="Times New Roman"/>
          <w:szCs w:val="24"/>
        </w:rPr>
        <w:t xml:space="preserve">, kā arī atvieglojumi par apgādājamo no 200 līdz 230 </w:t>
      </w:r>
      <w:r w:rsidR="00B324A9" w:rsidRPr="00B324A9">
        <w:rPr>
          <w:rFonts w:ascii="Times New Roman" w:eastAsia="Calibri" w:hAnsi="Times New Roman"/>
          <w:i/>
          <w:szCs w:val="24"/>
        </w:rPr>
        <w:t>euro</w:t>
      </w:r>
      <w:r w:rsidRPr="005E0F83">
        <w:rPr>
          <w:rFonts w:ascii="Times New Roman" w:hAnsi="Times New Roman"/>
          <w:szCs w:val="24"/>
        </w:rPr>
        <w:t xml:space="preserve">. </w:t>
      </w:r>
      <w:r w:rsidRPr="005E0F83">
        <w:rPr>
          <w:rFonts w:ascii="Times New Roman" w:hAnsi="Times New Roman"/>
          <w:noProof/>
          <w:szCs w:val="24"/>
        </w:rPr>
        <w:t xml:space="preserve">Taču, neskatoties uz izmaiņām, pozitīvais efekts no darba tirgus attīstības pilnībā kompensēja negūtos ieņēmumus no atvieglojumu pieauguma. IIN </w:t>
      </w:r>
      <w:r w:rsidR="00B324A9">
        <w:rPr>
          <w:rFonts w:ascii="Times New Roman" w:hAnsi="Times New Roman"/>
          <w:noProof/>
          <w:szCs w:val="24"/>
        </w:rPr>
        <w:t>ieņēmumi 2019.gadā, salīdzinot ar 2018.</w:t>
      </w:r>
      <w:r w:rsidRPr="005E0F83">
        <w:rPr>
          <w:rFonts w:ascii="Times New Roman" w:hAnsi="Times New Roman"/>
          <w:noProof/>
          <w:szCs w:val="24"/>
        </w:rPr>
        <w:t>gadu, pieauga par 201,2 milj.</w:t>
      </w:r>
      <w:r w:rsidR="00B324A9" w:rsidRPr="00B324A9">
        <w:rPr>
          <w:rFonts w:ascii="Times New Roman" w:eastAsia="Calibri" w:hAnsi="Times New Roman"/>
          <w:i/>
          <w:szCs w:val="24"/>
        </w:rPr>
        <w:t xml:space="preserve"> euro</w:t>
      </w:r>
      <w:r w:rsidRPr="005E0F83">
        <w:rPr>
          <w:rFonts w:ascii="Times New Roman" w:hAnsi="Times New Roman"/>
          <w:noProof/>
          <w:szCs w:val="24"/>
        </w:rPr>
        <w:t xml:space="preserve"> jeb 11,6%, lielāko pozitīvo efektu nodrošinot vietējās valdības budžetā. Saskaņā ar iesniegtajiem paziņojumiem par fiziskām personām izmaksātajām summām</w:t>
      </w:r>
      <w:r w:rsidRPr="008006D7">
        <w:rPr>
          <w:rStyle w:val="FootnoteReference"/>
          <w:rFonts w:ascii="Times New Roman" w:hAnsi="Times New Roman"/>
          <w:noProof/>
          <w:szCs w:val="24"/>
        </w:rPr>
        <w:footnoteReference w:id="20"/>
      </w:r>
      <w:r w:rsidRPr="005E0F83">
        <w:rPr>
          <w:rFonts w:ascii="Times New Roman" w:hAnsi="Times New Roman"/>
          <w:noProof/>
          <w:szCs w:val="24"/>
        </w:rPr>
        <w:t xml:space="preserve"> ieturētais IIN no dividendēm 2019. gadā bija 12</w:t>
      </w:r>
      <w:r>
        <w:rPr>
          <w:rFonts w:ascii="Times New Roman" w:hAnsi="Times New Roman"/>
          <w:noProof/>
          <w:szCs w:val="24"/>
        </w:rPr>
        <w:t>2</w:t>
      </w:r>
      <w:r w:rsidRPr="005E0F83">
        <w:rPr>
          <w:rFonts w:ascii="Times New Roman" w:hAnsi="Times New Roman"/>
          <w:noProof/>
          <w:szCs w:val="24"/>
        </w:rPr>
        <w:t>,</w:t>
      </w:r>
      <w:r>
        <w:rPr>
          <w:rFonts w:ascii="Times New Roman" w:hAnsi="Times New Roman"/>
          <w:noProof/>
          <w:szCs w:val="24"/>
        </w:rPr>
        <w:t>1</w:t>
      </w:r>
      <w:r w:rsidRPr="005E0F83">
        <w:rPr>
          <w:rFonts w:ascii="Times New Roman" w:hAnsi="Times New Roman"/>
          <w:noProof/>
          <w:szCs w:val="24"/>
        </w:rPr>
        <w:t xml:space="preserve"> milj.</w:t>
      </w:r>
      <w:r w:rsidR="00B324A9" w:rsidRPr="00B324A9">
        <w:rPr>
          <w:rFonts w:ascii="Times New Roman" w:eastAsia="Calibri" w:hAnsi="Times New Roman"/>
          <w:i/>
          <w:szCs w:val="24"/>
        </w:rPr>
        <w:t xml:space="preserve"> euro</w:t>
      </w:r>
      <w:r w:rsidRPr="005E0F83">
        <w:rPr>
          <w:rFonts w:ascii="Times New Roman" w:hAnsi="Times New Roman"/>
          <w:noProof/>
          <w:szCs w:val="24"/>
        </w:rPr>
        <w:t>, kas ir par 3</w:t>
      </w:r>
      <w:r>
        <w:rPr>
          <w:rFonts w:ascii="Times New Roman" w:hAnsi="Times New Roman"/>
          <w:noProof/>
          <w:szCs w:val="24"/>
        </w:rPr>
        <w:t>8</w:t>
      </w:r>
      <w:r w:rsidRPr="005E0F83">
        <w:rPr>
          <w:rFonts w:ascii="Times New Roman" w:hAnsi="Times New Roman"/>
          <w:noProof/>
          <w:szCs w:val="24"/>
        </w:rPr>
        <w:t>,</w:t>
      </w:r>
      <w:r>
        <w:rPr>
          <w:rFonts w:ascii="Times New Roman" w:hAnsi="Times New Roman"/>
          <w:noProof/>
          <w:szCs w:val="24"/>
        </w:rPr>
        <w:t>7</w:t>
      </w:r>
      <w:r w:rsidR="00B324A9">
        <w:rPr>
          <w:rFonts w:ascii="Times New Roman" w:hAnsi="Times New Roman"/>
          <w:noProof/>
          <w:szCs w:val="24"/>
        </w:rPr>
        <w:t>% vairāk kā 2018.</w:t>
      </w:r>
      <w:r w:rsidRPr="005E0F83">
        <w:rPr>
          <w:rFonts w:ascii="Times New Roman" w:hAnsi="Times New Roman"/>
          <w:noProof/>
          <w:szCs w:val="24"/>
        </w:rPr>
        <w:t>gadā, kas skaidrojams ar pār</w:t>
      </w:r>
      <w:r w:rsidR="003A7750">
        <w:rPr>
          <w:rFonts w:ascii="Times New Roman" w:hAnsi="Times New Roman"/>
          <w:noProof/>
          <w:szCs w:val="24"/>
        </w:rPr>
        <w:t>e</w:t>
      </w:r>
      <w:r w:rsidRPr="005E0F83">
        <w:rPr>
          <w:rFonts w:ascii="Times New Roman" w:hAnsi="Times New Roman"/>
          <w:noProof/>
          <w:szCs w:val="24"/>
        </w:rPr>
        <w:t>jas perioda beigām – uzņēmumi, kas bija guvuši peļņu līdz 31.12.2017, to varēja sadalīt, nemaksājot UIN, bet samaksājot IIN 10% apmērā.</w:t>
      </w:r>
    </w:p>
    <w:p w14:paraId="0403C1FB" w14:textId="1EC53162" w:rsidR="007130E8" w:rsidRDefault="007130E8" w:rsidP="00B324A9">
      <w:pPr>
        <w:pStyle w:val="teksts"/>
        <w:spacing w:after="0"/>
        <w:ind w:firstLine="567"/>
        <w:rPr>
          <w:rFonts w:ascii="Times New Roman" w:hAnsi="Times New Roman"/>
          <w:szCs w:val="24"/>
          <w:highlight w:val="white"/>
        </w:rPr>
      </w:pPr>
      <w:r w:rsidRPr="005E0F83">
        <w:rPr>
          <w:rFonts w:ascii="Times New Roman" w:hAnsi="Times New Roman"/>
          <w:szCs w:val="24"/>
          <w:highlight w:val="white"/>
        </w:rPr>
        <w:t xml:space="preserve">Vispārējās valdības budžeta izdevumi pieauga par 379,9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3,3%, sasniedzot 11,9 miljardus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38,9% no IKP. Lielāko pieaugumu nodrošināja izdevumi sociālajiem pabalstiem (D.632 un D.62), kas pieauguši par 233,2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6,9%, ko noteica izdevumu pieaugums pensijām un pārējiem sociālajiem pabalstiem. Izdevumu kāpumu ietekmēja vidējās pensijas un pabalstu apmēra kāpums, bezdarbnieku un slimības pabalstu saņēmēju skaita pieaugums, kā a</w:t>
      </w:r>
      <w:r w:rsidR="00B324A9">
        <w:rPr>
          <w:rFonts w:ascii="Times New Roman" w:hAnsi="Times New Roman"/>
          <w:szCs w:val="24"/>
          <w:highlight w:val="white"/>
        </w:rPr>
        <w:t>rī pensiju indeksācija ar 2019.gada 1.</w:t>
      </w:r>
      <w:r w:rsidRPr="005E0F83">
        <w:rPr>
          <w:rFonts w:ascii="Times New Roman" w:hAnsi="Times New Roman"/>
          <w:szCs w:val="24"/>
          <w:highlight w:val="white"/>
        </w:rPr>
        <w:t>oktobri, piemērojot lielākus indeksus.</w:t>
      </w:r>
    </w:p>
    <w:p w14:paraId="1F35674B" w14:textId="17349288" w:rsidR="007130E8" w:rsidRDefault="007130E8" w:rsidP="00B324A9">
      <w:pPr>
        <w:pStyle w:val="teksts"/>
        <w:spacing w:after="0"/>
        <w:ind w:firstLine="567"/>
        <w:rPr>
          <w:rFonts w:ascii="Times New Roman" w:hAnsi="Times New Roman"/>
          <w:szCs w:val="24"/>
        </w:rPr>
      </w:pPr>
      <w:r w:rsidRPr="005E0F83">
        <w:rPr>
          <w:rFonts w:ascii="Times New Roman" w:hAnsi="Times New Roman"/>
          <w:szCs w:val="24"/>
          <w:highlight w:val="white"/>
        </w:rPr>
        <w:t>Kopējie i</w:t>
      </w:r>
      <w:r w:rsidR="00B324A9">
        <w:rPr>
          <w:rFonts w:ascii="Times New Roman" w:hAnsi="Times New Roman"/>
          <w:szCs w:val="24"/>
          <w:highlight w:val="white"/>
        </w:rPr>
        <w:t>zdevumi atalgojumam (D.1) 2019.</w:t>
      </w:r>
      <w:r w:rsidRPr="005E0F83">
        <w:rPr>
          <w:rFonts w:ascii="Times New Roman" w:hAnsi="Times New Roman"/>
          <w:szCs w:val="24"/>
          <w:highlight w:val="white"/>
        </w:rPr>
        <w:t xml:space="preserve">gadā pieauguši par 220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7,1% un pieaugumu pamatā noteica </w:t>
      </w:r>
      <w:r w:rsidRPr="005E0F83">
        <w:rPr>
          <w:rFonts w:ascii="Times New Roman" w:hAnsi="Times New Roman"/>
          <w:iCs/>
          <w:szCs w:val="24"/>
        </w:rPr>
        <w:t xml:space="preserve">gada sākumā veiktās pabalstu </w:t>
      </w:r>
      <w:r w:rsidRPr="005E0F83">
        <w:rPr>
          <w:rFonts w:ascii="Times New Roman" w:hAnsi="Times New Roman"/>
          <w:iCs/>
          <w:noProof/>
          <w:szCs w:val="24"/>
        </w:rPr>
        <w:t xml:space="preserve">izmaksas </w:t>
      </w:r>
      <w:r w:rsidRPr="005E0F83">
        <w:rPr>
          <w:rFonts w:ascii="Times New Roman" w:hAnsi="Times New Roman"/>
          <w:noProof/>
          <w:szCs w:val="24"/>
          <w:lang w:eastAsia="lv-LV"/>
        </w:rPr>
        <w:t>iekšlietu</w:t>
      </w:r>
      <w:r w:rsidRPr="005E0F83">
        <w:rPr>
          <w:rFonts w:ascii="Times New Roman" w:hAnsi="Times New Roman"/>
          <w:szCs w:val="24"/>
          <w:lang w:eastAsia="lv-LV"/>
        </w:rPr>
        <w:t xml:space="preserve"> un tieslietu resora amatpersonām </w:t>
      </w:r>
      <w:r w:rsidRPr="005E0F83">
        <w:rPr>
          <w:rFonts w:ascii="Times New Roman" w:hAnsi="Times New Roman"/>
          <w:szCs w:val="24"/>
        </w:rPr>
        <w:t>ar speciālajām dienesta pakāpēm, kas atbilstoši Valsts un pašvaldību amatpersonu un darbinieku atlīdzības likumam tiek izmaksāta pēc katriem pieciem nepārtrauktas izdienas gadiem. Tāpat vērojams izdevumu pieaugums aizsardzības un veselības nozarē strādājošajiem, kā arī pedagogiem un nodarbinātajiem augstskolās.</w:t>
      </w:r>
    </w:p>
    <w:p w14:paraId="5EC8690F" w14:textId="76C700A2" w:rsidR="007130E8" w:rsidRDefault="007130E8" w:rsidP="00B324A9">
      <w:pPr>
        <w:pStyle w:val="teksts"/>
        <w:spacing w:after="0"/>
        <w:ind w:firstLine="567"/>
        <w:rPr>
          <w:rFonts w:ascii="Times New Roman" w:hAnsi="Times New Roman"/>
          <w:szCs w:val="24"/>
        </w:rPr>
      </w:pPr>
      <w:r w:rsidRPr="005E0F83">
        <w:rPr>
          <w:rFonts w:ascii="Times New Roman" w:hAnsi="Times New Roman"/>
          <w:szCs w:val="24"/>
          <w:highlight w:val="white"/>
        </w:rPr>
        <w:t xml:space="preserve">Izdevumi starppatēriņam (P.2) pieauguši par 190,7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10,9% un galvenie iemesli kāpumam bija </w:t>
      </w:r>
      <w:r w:rsidRPr="005E0F83">
        <w:rPr>
          <w:rFonts w:ascii="Times New Roman" w:hAnsi="Times New Roman"/>
          <w:szCs w:val="24"/>
        </w:rPr>
        <w:t>izdevumu pieaugums autoceļu un ielu pārvaldīšanas izdevumiem, izdevumi informācijas sistēmu uzturēšanai un pieklasificēto komersantu izdevumi starppatēriņam.</w:t>
      </w:r>
    </w:p>
    <w:p w14:paraId="497342DC" w14:textId="3B1FB297" w:rsidR="007130E8" w:rsidRDefault="007130E8" w:rsidP="00B324A9">
      <w:pPr>
        <w:pStyle w:val="teksts"/>
        <w:spacing w:after="0"/>
        <w:ind w:firstLine="567"/>
        <w:rPr>
          <w:rFonts w:ascii="Times New Roman" w:hAnsi="Times New Roman"/>
          <w:szCs w:val="24"/>
          <w:highlight w:val="white"/>
        </w:rPr>
      </w:pPr>
      <w:r w:rsidRPr="005E0F83">
        <w:rPr>
          <w:rFonts w:ascii="Times New Roman" w:hAnsi="Times New Roman"/>
          <w:szCs w:val="24"/>
          <w:highlight w:val="white"/>
        </w:rPr>
        <w:t xml:space="preserve">Subsīdijas (D.3) pieaugušas par 15,1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5,1%, kas saistīts ar papildus subsīdijām komersantiem, kas sniedz sabiedriskā transporta pakalpojumus, kā arī subsīdijām komersantiem, kas ražo atjaunojamos energoresursus.</w:t>
      </w:r>
    </w:p>
    <w:p w14:paraId="65D8C6AA" w14:textId="031BF547" w:rsidR="007130E8" w:rsidRDefault="007130E8" w:rsidP="00B324A9">
      <w:pPr>
        <w:pStyle w:val="teksts"/>
        <w:spacing w:after="0"/>
        <w:ind w:firstLine="567"/>
        <w:rPr>
          <w:rFonts w:ascii="Times New Roman" w:hAnsi="Times New Roman"/>
          <w:szCs w:val="24"/>
          <w:highlight w:val="white"/>
        </w:rPr>
      </w:pPr>
      <w:r w:rsidRPr="005E0F83">
        <w:rPr>
          <w:rFonts w:ascii="Times New Roman" w:hAnsi="Times New Roman"/>
          <w:szCs w:val="24"/>
          <w:highlight w:val="white"/>
        </w:rPr>
        <w:t xml:space="preserve">Lielākais vispārējās valdības budžeta izdevumu samazinājums novērojams izdevumiem pamatkapitāla veidošanai (P.51G), kas samazinājušies par 115,1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7,1%. Samazinājums saistīts ar zemākiem izdevumiem militārā inventāra iegādei, kas samazinājies par 121,8 milj. </w:t>
      </w:r>
      <w:r w:rsidR="00B324A9" w:rsidRPr="00B324A9">
        <w:rPr>
          <w:rFonts w:ascii="Times New Roman" w:eastAsia="Calibri" w:hAnsi="Times New Roman"/>
          <w:i/>
          <w:szCs w:val="24"/>
        </w:rPr>
        <w:t>euro</w:t>
      </w:r>
      <w:r w:rsidRPr="005E0F83">
        <w:rPr>
          <w:rFonts w:ascii="Times New Roman" w:hAnsi="Times New Roman"/>
          <w:szCs w:val="24"/>
          <w:highlight w:val="white"/>
        </w:rPr>
        <w:t>, kā arī ar zemākiem izdevumiem pamatkapitāla veidošanai vietējo valdību budžetā.</w:t>
      </w:r>
    </w:p>
    <w:p w14:paraId="484A524E" w14:textId="32312858" w:rsidR="007130E8" w:rsidRDefault="007130E8" w:rsidP="00B324A9">
      <w:pPr>
        <w:pStyle w:val="teksts"/>
        <w:spacing w:after="0"/>
        <w:ind w:firstLine="567"/>
        <w:rPr>
          <w:rFonts w:ascii="Times New Roman" w:hAnsi="Times New Roman"/>
          <w:noProof/>
          <w:szCs w:val="24"/>
          <w:highlight w:val="white"/>
        </w:rPr>
      </w:pPr>
      <w:r w:rsidRPr="005E0F83">
        <w:rPr>
          <w:rFonts w:ascii="Times New Roman" w:hAnsi="Times New Roman"/>
          <w:noProof/>
          <w:szCs w:val="24"/>
          <w:highlight w:val="white"/>
        </w:rPr>
        <w:t xml:space="preserve">Kapitālo </w:t>
      </w:r>
      <w:r w:rsidR="00B324A9">
        <w:rPr>
          <w:rFonts w:ascii="Times New Roman" w:hAnsi="Times New Roman"/>
          <w:noProof/>
          <w:szCs w:val="24"/>
          <w:highlight w:val="white"/>
        </w:rPr>
        <w:t>transfertu (D.9) izdevumi 2019.</w:t>
      </w:r>
      <w:r w:rsidRPr="005E0F83">
        <w:rPr>
          <w:rFonts w:ascii="Times New Roman" w:hAnsi="Times New Roman"/>
          <w:noProof/>
          <w:szCs w:val="24"/>
          <w:highlight w:val="white"/>
        </w:rPr>
        <w:t xml:space="preserve">gadā samazinājušies par 46,7 milj. </w:t>
      </w:r>
      <w:r w:rsidR="00B324A9" w:rsidRPr="00B324A9">
        <w:rPr>
          <w:rFonts w:ascii="Times New Roman" w:eastAsia="Calibri" w:hAnsi="Times New Roman"/>
          <w:i/>
          <w:szCs w:val="24"/>
        </w:rPr>
        <w:t>euro</w:t>
      </w:r>
      <w:r w:rsidRPr="005E0F83">
        <w:rPr>
          <w:rFonts w:ascii="Times New Roman" w:hAnsi="Times New Roman"/>
          <w:noProof/>
          <w:szCs w:val="24"/>
          <w:highlight w:val="white"/>
        </w:rPr>
        <w:t xml:space="preserve"> jeb 7</w:t>
      </w:r>
      <w:r w:rsidR="00B324A9">
        <w:rPr>
          <w:rFonts w:ascii="Times New Roman" w:hAnsi="Times New Roman"/>
          <w:noProof/>
          <w:szCs w:val="24"/>
          <w:highlight w:val="white"/>
        </w:rPr>
        <w:t>9,7% ko būtiski ietekmēja 2018.</w:t>
      </w:r>
      <w:r w:rsidRPr="005E0F83">
        <w:rPr>
          <w:rFonts w:ascii="Times New Roman" w:hAnsi="Times New Roman"/>
          <w:noProof/>
          <w:szCs w:val="24"/>
          <w:highlight w:val="white"/>
        </w:rPr>
        <w:t xml:space="preserve">gadā veiktais diskontētās atlīdzības maksājums 51,7 milj. </w:t>
      </w:r>
      <w:r w:rsidR="00B324A9" w:rsidRPr="00B324A9">
        <w:rPr>
          <w:rFonts w:ascii="Times New Roman" w:eastAsia="Calibri" w:hAnsi="Times New Roman"/>
          <w:i/>
          <w:szCs w:val="24"/>
        </w:rPr>
        <w:t>euro</w:t>
      </w:r>
      <w:r w:rsidRPr="005E0F83">
        <w:rPr>
          <w:rFonts w:ascii="Times New Roman" w:hAnsi="Times New Roman"/>
          <w:noProof/>
          <w:szCs w:val="24"/>
          <w:highlight w:val="white"/>
        </w:rPr>
        <w:t xml:space="preserve"> apmērā par uzstādītajām elektroenerģijas jaudām atjaunojamā</w:t>
      </w:r>
      <w:r w:rsidR="00B324A9">
        <w:rPr>
          <w:rFonts w:ascii="Times New Roman" w:hAnsi="Times New Roman"/>
          <w:noProof/>
          <w:szCs w:val="24"/>
          <w:highlight w:val="white"/>
        </w:rPr>
        <w:t xml:space="preserve">s elektroenerģijas ražotājiem, </w:t>
      </w:r>
      <w:r w:rsidRPr="005E0F83">
        <w:rPr>
          <w:rFonts w:ascii="Times New Roman" w:hAnsi="Times New Roman"/>
          <w:noProof/>
          <w:szCs w:val="24"/>
          <w:highlight w:val="white"/>
        </w:rPr>
        <w:t>kas vidējā termi</w:t>
      </w:r>
      <w:r w:rsidR="004C1988">
        <w:rPr>
          <w:rFonts w:ascii="Times New Roman" w:hAnsi="Times New Roman"/>
          <w:noProof/>
          <w:szCs w:val="24"/>
          <w:highlight w:val="white"/>
        </w:rPr>
        <w:t>ņ</w:t>
      </w:r>
      <w:r w:rsidRPr="005E0F83">
        <w:rPr>
          <w:rFonts w:ascii="Times New Roman" w:hAnsi="Times New Roman"/>
          <w:noProof/>
          <w:szCs w:val="24"/>
          <w:highlight w:val="white"/>
        </w:rPr>
        <w:t>ā ļaus ietaupīt valsts budžeta līdzekļus.</w:t>
      </w:r>
      <w:r w:rsidR="00480CF6">
        <w:rPr>
          <w:rStyle w:val="FootnoteReference"/>
          <w:noProof/>
          <w:szCs w:val="24"/>
          <w:highlight w:val="white"/>
        </w:rPr>
        <w:footnoteReference w:id="21"/>
      </w:r>
    </w:p>
    <w:p w14:paraId="66445F6A" w14:textId="556FB88F" w:rsidR="007130E8" w:rsidRDefault="007130E8" w:rsidP="00B324A9">
      <w:pPr>
        <w:pStyle w:val="teksts"/>
        <w:spacing w:after="0"/>
        <w:ind w:firstLine="567"/>
        <w:rPr>
          <w:rFonts w:ascii="Times New Roman" w:hAnsi="Times New Roman"/>
          <w:szCs w:val="24"/>
          <w:highlight w:val="white"/>
        </w:rPr>
      </w:pPr>
      <w:r w:rsidRPr="005E0F83">
        <w:rPr>
          <w:rFonts w:ascii="Times New Roman" w:hAnsi="Times New Roman"/>
          <w:szCs w:val="24"/>
          <w:highlight w:val="white"/>
        </w:rPr>
        <w:t xml:space="preserve">Ņemot vērā veiksmīgo valsts parāda vadību un zemas procentu likmes, procentu izdevumi (D.41) samazinājušies par 2,6 milj. </w:t>
      </w:r>
      <w:r w:rsidR="00B324A9" w:rsidRPr="00B324A9">
        <w:rPr>
          <w:rFonts w:ascii="Times New Roman" w:eastAsia="Calibri" w:hAnsi="Times New Roman"/>
          <w:i/>
          <w:szCs w:val="24"/>
        </w:rPr>
        <w:t>euro</w:t>
      </w:r>
      <w:r w:rsidRPr="005E0F83">
        <w:rPr>
          <w:rFonts w:ascii="Times New Roman" w:hAnsi="Times New Roman"/>
          <w:szCs w:val="24"/>
          <w:highlight w:val="white"/>
        </w:rPr>
        <w:t xml:space="preserve"> jeb 1,2</w:t>
      </w:r>
      <w:r>
        <w:rPr>
          <w:rFonts w:ascii="Times New Roman" w:hAnsi="Times New Roman"/>
          <w:szCs w:val="24"/>
          <w:highlight w:val="white"/>
        </w:rPr>
        <w:t>%.</w:t>
      </w:r>
    </w:p>
    <w:p w14:paraId="680D409E" w14:textId="4F3678B8" w:rsidR="007130E8" w:rsidRDefault="00B324A9" w:rsidP="00B324A9">
      <w:pPr>
        <w:pStyle w:val="teksts"/>
        <w:spacing w:after="0"/>
        <w:ind w:firstLine="567"/>
        <w:rPr>
          <w:rFonts w:ascii="Times New Roman" w:hAnsi="Times New Roman"/>
          <w:szCs w:val="24"/>
        </w:rPr>
      </w:pPr>
      <w:r>
        <w:rPr>
          <w:rFonts w:ascii="Times New Roman" w:hAnsi="Times New Roman"/>
          <w:szCs w:val="24"/>
        </w:rPr>
        <w:t>2020.</w:t>
      </w:r>
      <w:r w:rsidR="007130E8" w:rsidRPr="005E0F83">
        <w:rPr>
          <w:rFonts w:ascii="Times New Roman" w:hAnsi="Times New Roman"/>
          <w:szCs w:val="24"/>
        </w:rPr>
        <w:t xml:space="preserve">gada pirmajos divos mēnešos </w:t>
      </w:r>
      <w:r w:rsidR="007130E8" w:rsidRPr="005E0F83">
        <w:rPr>
          <w:rFonts w:ascii="Times New Roman" w:hAnsi="Times New Roman"/>
          <w:noProof/>
          <w:szCs w:val="24"/>
        </w:rPr>
        <w:t>koronavīrusa</w:t>
      </w:r>
      <w:r w:rsidR="007130E8" w:rsidRPr="005E0F83">
        <w:rPr>
          <w:rFonts w:ascii="Times New Roman" w:hAnsi="Times New Roman"/>
          <w:szCs w:val="24"/>
        </w:rPr>
        <w:t xml:space="preserve"> Covid-19 ietekme uz nodokļu ieņēmumiem vēl nebija novērojama. IIN ieņēmumi un sociālās apdrošināšana</w:t>
      </w:r>
      <w:r>
        <w:rPr>
          <w:rFonts w:ascii="Times New Roman" w:hAnsi="Times New Roman"/>
          <w:szCs w:val="24"/>
        </w:rPr>
        <w:t>s iemaksas, salīdzinot ar 2019.</w:t>
      </w:r>
      <w:r w:rsidR="007130E8" w:rsidRPr="005E0F83">
        <w:rPr>
          <w:rFonts w:ascii="Times New Roman" w:hAnsi="Times New Roman"/>
          <w:szCs w:val="24"/>
        </w:rPr>
        <w:t>gada pirmajiem diviem mēnešiem, pēc naudas plūsmas, pieauga par 20,7% un 6,6% attiecīgi, savukārt PVN un akcīzes nodoklis uzrādīja 3,7% un 0,7% pieaugumu. Taču, kā</w:t>
      </w:r>
      <w:r>
        <w:rPr>
          <w:rFonts w:ascii="Times New Roman" w:hAnsi="Times New Roman"/>
          <w:szCs w:val="24"/>
        </w:rPr>
        <w:t xml:space="preserve"> liecina operatīvie dati, 2020.</w:t>
      </w:r>
      <w:r w:rsidR="007130E8" w:rsidRPr="005E0F83">
        <w:rPr>
          <w:rFonts w:ascii="Times New Roman" w:hAnsi="Times New Roman"/>
          <w:szCs w:val="24"/>
        </w:rPr>
        <w:t>gada martā jau ir vērojams PVN un akcīzes nodokļa ieņēmumu samazinājums. Akcīze</w:t>
      </w:r>
      <w:r>
        <w:rPr>
          <w:rFonts w:ascii="Times New Roman" w:hAnsi="Times New Roman"/>
          <w:szCs w:val="24"/>
        </w:rPr>
        <w:t>s nodoklis, salīdzinot ar 2019.</w:t>
      </w:r>
      <w:r w:rsidR="007130E8" w:rsidRPr="005E0F83">
        <w:rPr>
          <w:rFonts w:ascii="Times New Roman" w:hAnsi="Times New Roman"/>
          <w:szCs w:val="24"/>
        </w:rPr>
        <w:t xml:space="preserve">gada martu, samazinājies par 8,7 milj. </w:t>
      </w:r>
      <w:r w:rsidRPr="00B324A9">
        <w:rPr>
          <w:rFonts w:ascii="Times New Roman" w:eastAsia="Calibri" w:hAnsi="Times New Roman"/>
          <w:i/>
          <w:szCs w:val="24"/>
        </w:rPr>
        <w:t>euro</w:t>
      </w:r>
      <w:r w:rsidR="007130E8" w:rsidRPr="005E0F83">
        <w:rPr>
          <w:rFonts w:ascii="Times New Roman" w:hAnsi="Times New Roman"/>
          <w:szCs w:val="24"/>
        </w:rPr>
        <w:t xml:space="preserve"> jeb 10,</w:t>
      </w:r>
      <w:r w:rsidR="007130E8">
        <w:rPr>
          <w:rFonts w:ascii="Times New Roman" w:hAnsi="Times New Roman"/>
          <w:szCs w:val="24"/>
        </w:rPr>
        <w:t>8</w:t>
      </w:r>
      <w:r w:rsidR="007130E8" w:rsidRPr="005E0F83">
        <w:rPr>
          <w:rFonts w:ascii="Times New Roman" w:hAnsi="Times New Roman"/>
          <w:szCs w:val="24"/>
        </w:rPr>
        <w:t>%</w:t>
      </w:r>
      <w:r w:rsidR="007130E8">
        <w:rPr>
          <w:rFonts w:ascii="Times New Roman" w:hAnsi="Times New Roman"/>
          <w:szCs w:val="24"/>
        </w:rPr>
        <w:t>.</w:t>
      </w:r>
      <w:r w:rsidR="007130E8" w:rsidRPr="005E0F83">
        <w:rPr>
          <w:rFonts w:ascii="Times New Roman" w:hAnsi="Times New Roman"/>
          <w:szCs w:val="24"/>
        </w:rPr>
        <w:t xml:space="preserve"> PVN ieņēmumi samazinājušies par 19,6 milj. </w:t>
      </w:r>
      <w:r w:rsidRPr="00B324A9">
        <w:rPr>
          <w:rFonts w:ascii="Times New Roman" w:eastAsia="Calibri" w:hAnsi="Times New Roman"/>
          <w:i/>
          <w:szCs w:val="24"/>
        </w:rPr>
        <w:t>euro</w:t>
      </w:r>
      <w:r w:rsidR="007130E8" w:rsidRPr="005E0F83">
        <w:rPr>
          <w:rFonts w:ascii="Times New Roman" w:hAnsi="Times New Roman"/>
          <w:szCs w:val="24"/>
        </w:rPr>
        <w:t xml:space="preserve"> jeb 10,7%, bet šā gada martā PVN atmaksas pieaugušas par 13,2 milj. </w:t>
      </w:r>
      <w:r w:rsidRPr="00B324A9">
        <w:rPr>
          <w:rFonts w:ascii="Times New Roman" w:eastAsia="Calibri" w:hAnsi="Times New Roman"/>
          <w:i/>
          <w:szCs w:val="24"/>
        </w:rPr>
        <w:t>euro</w:t>
      </w:r>
      <w:r w:rsidR="007130E8" w:rsidRPr="005E0F83">
        <w:rPr>
          <w:rFonts w:ascii="Times New Roman" w:hAnsi="Times New Roman"/>
          <w:szCs w:val="24"/>
        </w:rPr>
        <w:t xml:space="preserve">. IIN ieņēmumi samazinājušies par 13,2 milj. </w:t>
      </w:r>
      <w:r w:rsidRPr="00B324A9">
        <w:rPr>
          <w:rFonts w:ascii="Times New Roman" w:eastAsia="Calibri" w:hAnsi="Times New Roman"/>
          <w:i/>
          <w:szCs w:val="24"/>
        </w:rPr>
        <w:t>euro</w:t>
      </w:r>
      <w:r w:rsidR="007130E8" w:rsidRPr="005E0F83">
        <w:rPr>
          <w:rFonts w:ascii="Times New Roman" w:hAnsi="Times New Roman"/>
          <w:szCs w:val="24"/>
        </w:rPr>
        <w:t xml:space="preserve"> jeb 12,1%, </w:t>
      </w:r>
      <w:r w:rsidR="007130E8">
        <w:rPr>
          <w:rFonts w:ascii="Times New Roman" w:hAnsi="Times New Roman"/>
          <w:szCs w:val="24"/>
        </w:rPr>
        <w:t>kas saistīts ar to, ka</w:t>
      </w:r>
      <w:r w:rsidR="007130E8" w:rsidRPr="005E0F83">
        <w:rPr>
          <w:rFonts w:ascii="Times New Roman" w:hAnsi="Times New Roman"/>
          <w:szCs w:val="24"/>
        </w:rPr>
        <w:t xml:space="preserve"> IIN atmaksas šā gada mart</w:t>
      </w:r>
      <w:r>
        <w:rPr>
          <w:rFonts w:ascii="Times New Roman" w:hAnsi="Times New Roman"/>
          <w:szCs w:val="24"/>
        </w:rPr>
        <w:t xml:space="preserve">ā ir pieaugušas par 16,3 milj. </w:t>
      </w:r>
      <w:r w:rsidRPr="00B324A9">
        <w:rPr>
          <w:rFonts w:ascii="Times New Roman" w:eastAsia="Calibri" w:hAnsi="Times New Roman"/>
          <w:i/>
          <w:szCs w:val="24"/>
        </w:rPr>
        <w:t>euro</w:t>
      </w:r>
      <w:r w:rsidR="007130E8" w:rsidRPr="005E0F83">
        <w:rPr>
          <w:rFonts w:ascii="Times New Roman" w:hAnsi="Times New Roman"/>
          <w:szCs w:val="24"/>
        </w:rPr>
        <w:t xml:space="preserve">. Sociālās apdrošināšanas iemaksas arī martā </w:t>
      </w:r>
      <w:r w:rsidR="008B2147" w:rsidRPr="005E0F83">
        <w:rPr>
          <w:rFonts w:ascii="Times New Roman" w:hAnsi="Times New Roman"/>
          <w:szCs w:val="24"/>
        </w:rPr>
        <w:t xml:space="preserve">turpina </w:t>
      </w:r>
      <w:r w:rsidR="007130E8" w:rsidRPr="005E0F83">
        <w:rPr>
          <w:rFonts w:ascii="Times New Roman" w:hAnsi="Times New Roman"/>
          <w:szCs w:val="24"/>
        </w:rPr>
        <w:t xml:space="preserve">uzrādīt </w:t>
      </w:r>
      <w:r w:rsidR="007130E8">
        <w:rPr>
          <w:rFonts w:ascii="Times New Roman" w:hAnsi="Times New Roman"/>
          <w:szCs w:val="24"/>
        </w:rPr>
        <w:t xml:space="preserve">nelielu </w:t>
      </w:r>
      <w:r w:rsidR="007130E8" w:rsidRPr="005E0F83">
        <w:rPr>
          <w:rFonts w:ascii="Times New Roman" w:hAnsi="Times New Roman"/>
          <w:szCs w:val="24"/>
        </w:rPr>
        <w:t>pieaugumu pret pērnā gada ieņēmumiem. Prognozējams, ka turpmākajos mēnešos būs vērojams izteiktāks nodokļu ieņēmumu kritums Covid-19 ietekmes rezultātā.</w:t>
      </w:r>
    </w:p>
    <w:p w14:paraId="77C207D4" w14:textId="77777777" w:rsidR="00C30516" w:rsidRDefault="00C30516" w:rsidP="00B324A9">
      <w:pPr>
        <w:pStyle w:val="teksts"/>
        <w:spacing w:after="0"/>
        <w:ind w:firstLine="567"/>
        <w:rPr>
          <w:rFonts w:ascii="Times New Roman" w:hAnsi="Times New Roman"/>
          <w:szCs w:val="24"/>
        </w:rPr>
      </w:pPr>
    </w:p>
    <w:p w14:paraId="5F74E8CE" w14:textId="77777777" w:rsidR="00A34463" w:rsidRPr="007130E8" w:rsidRDefault="00A34463" w:rsidP="005E344C">
      <w:pPr>
        <w:pStyle w:val="Heading2"/>
        <w:numPr>
          <w:ilvl w:val="1"/>
          <w:numId w:val="1"/>
        </w:numPr>
        <w:spacing w:before="240" w:after="120"/>
        <w:ind w:left="993" w:hanging="284"/>
        <w:rPr>
          <w:rFonts w:ascii="Times New Roman" w:hAnsi="Times New Roman" w:cs="Times New Roman"/>
          <w:sz w:val="24"/>
        </w:rPr>
      </w:pPr>
      <w:bookmarkStart w:id="40" w:name="_Toc38887975"/>
      <w:r w:rsidRPr="007130E8">
        <w:rPr>
          <w:rFonts w:ascii="Times New Roman" w:hAnsi="Times New Roman" w:cs="Times New Roman"/>
          <w:sz w:val="24"/>
        </w:rPr>
        <w:t>Fiskālās attīstības scenārijs</w:t>
      </w:r>
      <w:bookmarkEnd w:id="37"/>
      <w:bookmarkEnd w:id="39"/>
      <w:bookmarkEnd w:id="40"/>
    </w:p>
    <w:p w14:paraId="231406E5" w14:textId="77777777" w:rsidR="007130E8" w:rsidRPr="007130E8" w:rsidRDefault="007130E8" w:rsidP="00430107">
      <w:pPr>
        <w:ind w:left="576" w:firstLine="133"/>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3.3.1.Bāzes scenārijs pie nemainīgas politikas</w:t>
      </w:r>
    </w:p>
    <w:p w14:paraId="15D80DA9" w14:textId="77777777" w:rsidR="008B2147" w:rsidRPr="007130E8" w:rsidRDefault="008B2147" w:rsidP="008B2147">
      <w:pPr>
        <w:spacing w:after="0" w:line="240" w:lineRule="auto"/>
        <w:ind w:firstLine="709"/>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Vispārējās valdības budžeta prognozes pie nemainīgas politikas vidējam termiņam tika sagatavotas un </w:t>
      </w:r>
      <w:r w:rsidRPr="007130E8">
        <w:rPr>
          <w:rFonts w:ascii="Times New Roman" w:eastAsia="Times New Roman" w:hAnsi="Times New Roman" w:cs="Times New Roman"/>
          <w:noProof/>
          <w:color w:val="000000"/>
          <w:sz w:val="24"/>
          <w:szCs w:val="24"/>
        </w:rPr>
        <w:t>finalizētas</w:t>
      </w:r>
      <w:r w:rsidRPr="007130E8">
        <w:rPr>
          <w:rFonts w:ascii="Times New Roman" w:eastAsia="Times New Roman" w:hAnsi="Times New Roman" w:cs="Times New Roman"/>
          <w:color w:val="000000"/>
          <w:sz w:val="24"/>
          <w:szCs w:val="24"/>
        </w:rPr>
        <w:t xml:space="preserve"> šā gada martā, ņemot vērā makroekonomiskās attīstības scenā</w:t>
      </w:r>
      <w:r>
        <w:rPr>
          <w:rFonts w:ascii="Times New Roman" w:eastAsia="Times New Roman" w:hAnsi="Times New Roman" w:cs="Times New Roman"/>
          <w:color w:val="000000"/>
          <w:sz w:val="24"/>
          <w:szCs w:val="24"/>
        </w:rPr>
        <w:t>riju, kas tika sagatavots 2020.</w:t>
      </w:r>
      <w:r w:rsidRPr="007130E8">
        <w:rPr>
          <w:rFonts w:ascii="Times New Roman" w:eastAsia="Times New Roman" w:hAnsi="Times New Roman" w:cs="Times New Roman"/>
          <w:color w:val="000000"/>
          <w:sz w:val="24"/>
          <w:szCs w:val="24"/>
        </w:rPr>
        <w:t>gada februārī un apstiprināts Fiskālās disciplīnas padomē. Ņemot vērā bāzes scenārija izstrādes laiku, tajā nav iekļauta globālā koronavīrusa Covid-19 pandēmijas ietekme. Prognozēs tika ņemti vērā aktualizētie ieņēmumi</w:t>
      </w:r>
      <w:r>
        <w:rPr>
          <w:rFonts w:ascii="Times New Roman" w:eastAsia="Times New Roman" w:hAnsi="Times New Roman" w:cs="Times New Roman"/>
          <w:color w:val="000000"/>
          <w:sz w:val="24"/>
          <w:szCs w:val="24"/>
        </w:rPr>
        <w:t>,</w:t>
      </w:r>
      <w:r w:rsidRPr="007130E8">
        <w:rPr>
          <w:rFonts w:ascii="Times New Roman" w:eastAsia="Times New Roman" w:hAnsi="Times New Roman" w:cs="Times New Roman"/>
          <w:color w:val="000000"/>
          <w:sz w:val="24"/>
          <w:szCs w:val="24"/>
        </w:rPr>
        <w:t xml:space="preserve"> atbilstoši apstiprinātajam makroekonomiskās attīstības scenārijam, apstiprinātie valsts pamatbud</w:t>
      </w:r>
      <w:r>
        <w:rPr>
          <w:rFonts w:ascii="Times New Roman" w:eastAsia="Times New Roman" w:hAnsi="Times New Roman" w:cs="Times New Roman"/>
          <w:color w:val="000000"/>
          <w:sz w:val="24"/>
          <w:szCs w:val="24"/>
        </w:rPr>
        <w:t>žeta bāzes izdevumi 2021.</w:t>
      </w:r>
      <w:r w:rsidRPr="005E0F83">
        <w:rPr>
          <w:rFonts w:ascii="Times New Roman" w:hAnsi="Times New Roman"/>
          <w:noProof/>
          <w:szCs w:val="24"/>
        </w:rPr>
        <w:t>–</w:t>
      </w:r>
      <w:r>
        <w:rPr>
          <w:rFonts w:ascii="Times New Roman" w:eastAsia="Times New Roman" w:hAnsi="Times New Roman" w:cs="Times New Roman"/>
          <w:color w:val="000000"/>
          <w:sz w:val="24"/>
          <w:szCs w:val="24"/>
        </w:rPr>
        <w:t>2022.</w:t>
      </w:r>
      <w:r w:rsidRPr="007130E8">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adam un prognoze 2023.</w:t>
      </w:r>
      <w:r w:rsidRPr="007130E8">
        <w:rPr>
          <w:rFonts w:ascii="Times New Roman" w:eastAsia="Times New Roman" w:hAnsi="Times New Roman" w:cs="Times New Roman"/>
          <w:color w:val="000000"/>
          <w:sz w:val="24"/>
          <w:szCs w:val="24"/>
        </w:rPr>
        <w:t>gadam, kā arī sagaidāmā attīstība vietējās valdības budžetā, ņemot vērā aktuālās tendences.</w:t>
      </w:r>
    </w:p>
    <w:p w14:paraId="47F022A1" w14:textId="4EC20935" w:rsidR="007130E8" w:rsidRPr="007130E8" w:rsidRDefault="007130E8" w:rsidP="00430107">
      <w:pPr>
        <w:spacing w:after="0" w:line="240" w:lineRule="auto"/>
        <w:ind w:firstLine="709"/>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b/>
          <w:color w:val="000000"/>
          <w:sz w:val="24"/>
          <w:szCs w:val="24"/>
        </w:rPr>
        <w:t xml:space="preserve">Bāzes scenārijā vispārējās </w:t>
      </w:r>
      <w:r w:rsidR="00B324A9">
        <w:rPr>
          <w:rFonts w:ascii="Times New Roman" w:eastAsia="Times New Roman" w:hAnsi="Times New Roman" w:cs="Times New Roman"/>
          <w:b/>
          <w:color w:val="000000"/>
          <w:sz w:val="24"/>
          <w:szCs w:val="24"/>
        </w:rPr>
        <w:t>valdības budžeta deficīts 2020.</w:t>
      </w:r>
      <w:r w:rsidRPr="007130E8">
        <w:rPr>
          <w:rFonts w:ascii="Times New Roman" w:eastAsia="Times New Roman" w:hAnsi="Times New Roman" w:cs="Times New Roman"/>
          <w:b/>
          <w:color w:val="000000"/>
          <w:sz w:val="24"/>
          <w:szCs w:val="24"/>
        </w:rPr>
        <w:t>gadā tiek prognozēts 0,4% no IKP</w:t>
      </w:r>
      <w:r w:rsidRPr="007130E8">
        <w:rPr>
          <w:rFonts w:ascii="Times New Roman" w:eastAsia="Times New Roman" w:hAnsi="Times New Roman" w:cs="Times New Roman"/>
          <w:color w:val="000000"/>
          <w:sz w:val="24"/>
          <w:szCs w:val="24"/>
        </w:rPr>
        <w:t xml:space="preserve"> un tas ir par 0,1 procentpunktu augstāks nekā tika plā</w:t>
      </w:r>
      <w:r w:rsidR="00B324A9">
        <w:rPr>
          <w:rFonts w:ascii="Times New Roman" w:eastAsia="Times New Roman" w:hAnsi="Times New Roman" w:cs="Times New Roman"/>
          <w:color w:val="000000"/>
          <w:sz w:val="24"/>
          <w:szCs w:val="24"/>
        </w:rPr>
        <w:t>nots, sagatavojot budžetu 2020.</w:t>
      </w:r>
      <w:r w:rsidRPr="007130E8">
        <w:rPr>
          <w:rFonts w:ascii="Times New Roman" w:eastAsia="Times New Roman" w:hAnsi="Times New Roman" w:cs="Times New Roman"/>
          <w:color w:val="000000"/>
          <w:sz w:val="24"/>
          <w:szCs w:val="24"/>
        </w:rPr>
        <w:t xml:space="preserve">gadam. Bilances pasliktināšanos pamatā ietekmētu augstāka izdevumu prognoze sociālajiem pabalstiem sociālās nodrošināšanas fondā. </w:t>
      </w:r>
      <w:r w:rsidRPr="007130E8">
        <w:rPr>
          <w:rFonts w:ascii="Times New Roman" w:eastAsia="Times New Roman" w:hAnsi="Times New Roman" w:cs="Times New Roman"/>
          <w:b/>
          <w:color w:val="000000"/>
          <w:sz w:val="24"/>
          <w:szCs w:val="24"/>
        </w:rPr>
        <w:t>Vispārējās valdības budžetā bāzes scenārijā</w:t>
      </w:r>
      <w:r w:rsidR="00B324A9">
        <w:rPr>
          <w:rFonts w:ascii="Times New Roman" w:eastAsia="Times New Roman" w:hAnsi="Times New Roman" w:cs="Times New Roman"/>
          <w:b/>
          <w:color w:val="000000"/>
          <w:sz w:val="24"/>
          <w:szCs w:val="24"/>
        </w:rPr>
        <w:t xml:space="preserve"> pie nemainīgas politikas 2021.</w:t>
      </w:r>
      <w:r w:rsidRPr="007130E8">
        <w:rPr>
          <w:rFonts w:ascii="Times New Roman" w:eastAsia="Times New Roman" w:hAnsi="Times New Roman" w:cs="Times New Roman"/>
          <w:b/>
          <w:color w:val="000000"/>
          <w:sz w:val="24"/>
          <w:szCs w:val="24"/>
        </w:rPr>
        <w:t>gadā tiek prognozēts deficīts 0,1%</w:t>
      </w:r>
      <w:r w:rsidR="00B324A9">
        <w:rPr>
          <w:rFonts w:ascii="Times New Roman" w:eastAsia="Times New Roman" w:hAnsi="Times New Roman" w:cs="Times New Roman"/>
          <w:b/>
          <w:color w:val="000000"/>
          <w:sz w:val="24"/>
          <w:szCs w:val="24"/>
        </w:rPr>
        <w:t xml:space="preserve"> </w:t>
      </w:r>
      <w:r w:rsidRPr="007130E8">
        <w:rPr>
          <w:rFonts w:ascii="Times New Roman" w:eastAsia="Times New Roman" w:hAnsi="Times New Roman" w:cs="Times New Roman"/>
          <w:b/>
          <w:color w:val="000000"/>
          <w:sz w:val="24"/>
          <w:szCs w:val="24"/>
        </w:rPr>
        <w:t>no IKP, 2022.</w:t>
      </w:r>
      <w:r w:rsidR="00B324A9" w:rsidRPr="007130E8">
        <w:rPr>
          <w:rFonts w:ascii="Times New Roman" w:eastAsia="Times New Roman" w:hAnsi="Times New Roman" w:cs="Times New Roman"/>
          <w:b/>
          <w:color w:val="000000"/>
          <w:sz w:val="24"/>
          <w:szCs w:val="24"/>
        </w:rPr>
        <w:t xml:space="preserve"> </w:t>
      </w:r>
      <w:r w:rsidRPr="007130E8">
        <w:rPr>
          <w:rFonts w:ascii="Times New Roman" w:eastAsia="Times New Roman" w:hAnsi="Times New Roman" w:cs="Times New Roman"/>
          <w:b/>
          <w:color w:val="000000"/>
          <w:sz w:val="24"/>
          <w:szCs w:val="24"/>
        </w:rPr>
        <w:t>gadā defic</w:t>
      </w:r>
      <w:r w:rsidR="00B324A9">
        <w:rPr>
          <w:rFonts w:ascii="Times New Roman" w:eastAsia="Times New Roman" w:hAnsi="Times New Roman" w:cs="Times New Roman"/>
          <w:b/>
          <w:color w:val="000000"/>
          <w:sz w:val="24"/>
          <w:szCs w:val="24"/>
        </w:rPr>
        <w:t>īts 0,1% apmērā no IKP un 2023.</w:t>
      </w:r>
      <w:r w:rsidRPr="007130E8">
        <w:rPr>
          <w:rFonts w:ascii="Times New Roman" w:eastAsia="Times New Roman" w:hAnsi="Times New Roman" w:cs="Times New Roman"/>
          <w:b/>
          <w:color w:val="000000"/>
          <w:sz w:val="24"/>
          <w:szCs w:val="24"/>
        </w:rPr>
        <w:t>gadā pārpalikums 1,0% apmērā no IKP.</w:t>
      </w:r>
      <w:r w:rsidRPr="007130E8">
        <w:rPr>
          <w:rFonts w:ascii="Times New Roman" w:eastAsia="Times New Roman" w:hAnsi="Times New Roman" w:cs="Times New Roman"/>
          <w:b/>
          <w:sz w:val="24"/>
          <w:szCs w:val="24"/>
        </w:rPr>
        <w:t xml:space="preserve"> </w:t>
      </w:r>
    </w:p>
    <w:p w14:paraId="433A33C2" w14:textId="0436F7B1" w:rsidR="00294DCB" w:rsidRPr="007130E8" w:rsidRDefault="00294DCB" w:rsidP="00294DCB">
      <w:pPr>
        <w:spacing w:after="120" w:line="240" w:lineRule="auto"/>
        <w:ind w:firstLine="720"/>
        <w:jc w:val="both"/>
        <w:rPr>
          <w:rFonts w:ascii="Times New Roman" w:eastAsiaTheme="minorHAnsi" w:hAnsi="Times New Roman" w:cs="Times New Roman"/>
          <w:sz w:val="24"/>
          <w:szCs w:val="24"/>
          <w:highlight w:val="yellow"/>
        </w:rPr>
      </w:pPr>
      <w:r w:rsidRPr="007130E8">
        <w:rPr>
          <w:rFonts w:ascii="Times New Roman" w:eastAsia="Times New Roman" w:hAnsi="Times New Roman" w:cs="Times New Roman"/>
          <w:sz w:val="24"/>
          <w:szCs w:val="24"/>
        </w:rPr>
        <w:t xml:space="preserve">Atbilstoši bāzes scenārijam tiek prognozēts, ka vispārējās valdības ieņēmumu īpatsvars </w:t>
      </w:r>
      <w:r>
        <w:rPr>
          <w:rFonts w:ascii="Times New Roman" w:eastAsia="Times New Roman" w:hAnsi="Times New Roman" w:cs="Times New Roman"/>
          <w:sz w:val="24"/>
          <w:szCs w:val="24"/>
        </w:rPr>
        <w:t>IKP 2020.</w:t>
      </w:r>
      <w:r w:rsidRPr="007130E8">
        <w:rPr>
          <w:rFonts w:ascii="Times New Roman" w:eastAsia="Times New Roman" w:hAnsi="Times New Roman" w:cs="Times New Roman"/>
          <w:sz w:val="24"/>
          <w:szCs w:val="24"/>
        </w:rPr>
        <w:t>gadā būs 38,2% no IKP. Z</w:t>
      </w:r>
      <w:r>
        <w:rPr>
          <w:rFonts w:ascii="Times New Roman" w:eastAsia="Times New Roman" w:hAnsi="Times New Roman" w:cs="Times New Roman"/>
          <w:sz w:val="24"/>
          <w:szCs w:val="24"/>
        </w:rPr>
        <w:t>emāks ieņēmumu līmenis kā 2019.</w:t>
      </w:r>
      <w:r w:rsidRPr="007130E8">
        <w:rPr>
          <w:rFonts w:ascii="Times New Roman" w:eastAsia="Times New Roman" w:hAnsi="Times New Roman" w:cs="Times New Roman"/>
          <w:sz w:val="24"/>
          <w:szCs w:val="24"/>
        </w:rPr>
        <w:t>gadā saistīts ar procentuāli no IKP zemākiem IIN ieņēmum</w:t>
      </w:r>
      <w:r>
        <w:rPr>
          <w:rFonts w:ascii="Times New Roman" w:eastAsia="Times New Roman" w:hAnsi="Times New Roman" w:cs="Times New Roman"/>
          <w:sz w:val="24"/>
          <w:szCs w:val="24"/>
        </w:rPr>
        <w:t>iem. 2021.gadā, 2022. un 2023.</w:t>
      </w:r>
      <w:r w:rsidRPr="007130E8">
        <w:rPr>
          <w:rFonts w:ascii="Times New Roman" w:eastAsia="Times New Roman" w:hAnsi="Times New Roman" w:cs="Times New Roman"/>
          <w:sz w:val="24"/>
          <w:szCs w:val="24"/>
        </w:rPr>
        <w:t>gadā vispārējās valdības ieņēmumu īpatsvars samazināsies attiecīgi līdz 37,5%, 37,1% un 36,9% no IKP. Ieņēmumu īpatsvara samazināšanos ietekmē</w:t>
      </w:r>
      <w:r>
        <w:rPr>
          <w:rFonts w:ascii="Times New Roman" w:eastAsia="Times New Roman" w:hAnsi="Times New Roman" w:cs="Times New Roman"/>
          <w:sz w:val="24"/>
          <w:szCs w:val="24"/>
        </w:rPr>
        <w:t xml:space="preserve"> vidējā termiņā zemāks kā 2020.</w:t>
      </w:r>
      <w:r w:rsidRPr="007130E8">
        <w:rPr>
          <w:rFonts w:ascii="Times New Roman" w:eastAsia="Times New Roman" w:hAnsi="Times New Roman" w:cs="Times New Roman"/>
          <w:sz w:val="24"/>
          <w:szCs w:val="24"/>
        </w:rPr>
        <w:t xml:space="preserve">gadā plānotais saņemto dividenžu apmērs no publiskā sektora kapitālsabiedrībām, tāpat arī vairākas citas ieņēmumu pozīcijas (pašu ieņēmumi, ne-nodokļu ieņēmumi, pieklasificēto komersantu ieņēmumi) nomināli plānotas ar mērenu pieaugumu, bet procentuāli pret IKP tās sarūk. Sagaidāms, ka vidējā termiņā vispārējās valdības izdevumu īpatsvars </w:t>
      </w:r>
      <w:r>
        <w:rPr>
          <w:rFonts w:ascii="Times New Roman" w:eastAsia="Times New Roman" w:hAnsi="Times New Roman" w:cs="Times New Roman"/>
          <w:sz w:val="24"/>
          <w:szCs w:val="24"/>
        </w:rPr>
        <w:t>IKP</w:t>
      </w:r>
      <w:r w:rsidRPr="007130E8">
        <w:rPr>
          <w:rFonts w:ascii="Times New Roman" w:eastAsia="Times New Roman" w:hAnsi="Times New Roman" w:cs="Times New Roman"/>
          <w:sz w:val="24"/>
          <w:szCs w:val="24"/>
        </w:rPr>
        <w:t xml:space="preserve"> līdzīgi kā ieņēmumi ik gadu samazināsies, lai gan nominālā izteiksmē</w:t>
      </w:r>
      <w:r>
        <w:rPr>
          <w:rFonts w:ascii="Times New Roman" w:eastAsia="Times New Roman" w:hAnsi="Times New Roman" w:cs="Times New Roman"/>
          <w:sz w:val="24"/>
          <w:szCs w:val="24"/>
        </w:rPr>
        <w:t xml:space="preserve"> izdevumu apjoms pieaugs. 2023.</w:t>
      </w:r>
      <w:r w:rsidRPr="007130E8">
        <w:rPr>
          <w:rFonts w:ascii="Times New Roman" w:eastAsia="Times New Roman" w:hAnsi="Times New Roman" w:cs="Times New Roman"/>
          <w:sz w:val="24"/>
          <w:szCs w:val="24"/>
        </w:rPr>
        <w:t>gadā tieši centrālās valdības budžeta bāzes izdevumi, k</w:t>
      </w:r>
      <w:r>
        <w:rPr>
          <w:rFonts w:ascii="Times New Roman" w:eastAsia="Times New Roman" w:hAnsi="Times New Roman" w:cs="Times New Roman"/>
          <w:sz w:val="24"/>
          <w:szCs w:val="24"/>
        </w:rPr>
        <w:t>as pamatā tiek prognozēti 2022.</w:t>
      </w:r>
      <w:r w:rsidRPr="007130E8">
        <w:rPr>
          <w:rFonts w:ascii="Times New Roman" w:eastAsia="Times New Roman" w:hAnsi="Times New Roman" w:cs="Times New Roman"/>
          <w:sz w:val="24"/>
          <w:szCs w:val="24"/>
        </w:rPr>
        <w:t>gada līmenī – bez būtiska papildus finansējuma, ietekmē pārpalikuma veidošanos vispārējās valdības budžetā.</w:t>
      </w:r>
    </w:p>
    <w:p w14:paraId="334C245E" w14:textId="77777777" w:rsidR="00B324A9" w:rsidRPr="00A402FA" w:rsidRDefault="00B324A9" w:rsidP="007130E8">
      <w:pPr>
        <w:spacing w:after="120" w:line="276" w:lineRule="auto"/>
        <w:ind w:firstLine="720"/>
        <w:jc w:val="right"/>
        <w:rPr>
          <w:rFonts w:ascii="Times New Roman" w:eastAsiaTheme="minorHAnsi" w:hAnsi="Times New Roman" w:cs="Times New Roman"/>
          <w:b/>
          <w:sz w:val="16"/>
          <w:szCs w:val="16"/>
        </w:rPr>
      </w:pPr>
    </w:p>
    <w:p w14:paraId="60EBD803" w14:textId="77777777" w:rsidR="00294DCB" w:rsidRDefault="00294DCB">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626D67CF" w14:textId="7E60C17D" w:rsidR="007130E8" w:rsidRPr="007130E8" w:rsidRDefault="007130E8" w:rsidP="007130E8">
      <w:pPr>
        <w:spacing w:after="120" w:line="276" w:lineRule="auto"/>
        <w:ind w:firstLine="720"/>
        <w:jc w:val="right"/>
        <w:rPr>
          <w:rFonts w:ascii="Times New Roman" w:eastAsiaTheme="minorHAnsi" w:hAnsi="Times New Roman" w:cs="Times New Roman"/>
          <w:b/>
          <w:sz w:val="24"/>
          <w:szCs w:val="24"/>
        </w:rPr>
      </w:pPr>
      <w:r w:rsidRPr="007130E8">
        <w:rPr>
          <w:rFonts w:ascii="Times New Roman" w:eastAsiaTheme="minorHAnsi" w:hAnsi="Times New Roman" w:cs="Times New Roman"/>
          <w:b/>
          <w:sz w:val="24"/>
          <w:szCs w:val="24"/>
        </w:rPr>
        <w:t>3.</w:t>
      </w:r>
      <w:r w:rsidR="004F1479">
        <w:rPr>
          <w:rFonts w:ascii="Times New Roman" w:eastAsiaTheme="minorHAnsi" w:hAnsi="Times New Roman" w:cs="Times New Roman"/>
          <w:b/>
          <w:sz w:val="24"/>
          <w:szCs w:val="24"/>
        </w:rPr>
        <w:t>5</w:t>
      </w:r>
      <w:r w:rsidRPr="007130E8">
        <w:rPr>
          <w:rFonts w:ascii="Times New Roman" w:eastAsiaTheme="minorHAnsi" w:hAnsi="Times New Roman" w:cs="Times New Roman"/>
          <w:b/>
          <w:sz w:val="24"/>
          <w:szCs w:val="24"/>
        </w:rPr>
        <w:t>. tabula. Fiskālās attīstības bāzes scenārijs pie nemainīgas politikas</w:t>
      </w:r>
    </w:p>
    <w:tbl>
      <w:tblPr>
        <w:tblStyle w:val="TableGrid7"/>
        <w:tblW w:w="8784" w:type="dxa"/>
        <w:jc w:val="center"/>
        <w:tblLayout w:type="fixed"/>
        <w:tblLook w:val="0000" w:firstRow="0" w:lastRow="0" w:firstColumn="0" w:lastColumn="0" w:noHBand="0" w:noVBand="0"/>
      </w:tblPr>
      <w:tblGrid>
        <w:gridCol w:w="2547"/>
        <w:gridCol w:w="850"/>
        <w:gridCol w:w="993"/>
        <w:gridCol w:w="1134"/>
        <w:gridCol w:w="1134"/>
        <w:gridCol w:w="992"/>
        <w:gridCol w:w="1134"/>
      </w:tblGrid>
      <w:tr w:rsidR="007130E8" w:rsidRPr="007130E8" w14:paraId="52D320A2" w14:textId="77777777" w:rsidTr="00560DBE">
        <w:trPr>
          <w:jc w:val="center"/>
        </w:trPr>
        <w:tc>
          <w:tcPr>
            <w:tcW w:w="2547" w:type="dxa"/>
            <w:shd w:val="clear" w:color="auto" w:fill="BDD6EE" w:themeFill="accent1" w:themeFillTint="66"/>
          </w:tcPr>
          <w:p w14:paraId="1A344A91" w14:textId="77777777" w:rsidR="007130E8" w:rsidRPr="007130E8" w:rsidRDefault="007130E8" w:rsidP="007130E8">
            <w:pPr>
              <w:jc w:val="both"/>
              <w:rPr>
                <w:rFonts w:eastAsia="Times New Roman" w:cs="Times New Roman"/>
                <w:b/>
                <w:sz w:val="21"/>
                <w:szCs w:val="21"/>
              </w:rPr>
            </w:pPr>
          </w:p>
        </w:tc>
        <w:tc>
          <w:tcPr>
            <w:tcW w:w="850" w:type="dxa"/>
            <w:shd w:val="clear" w:color="auto" w:fill="BDD6EE" w:themeFill="accent1" w:themeFillTint="66"/>
          </w:tcPr>
          <w:p w14:paraId="631D5266" w14:textId="77777777" w:rsidR="007130E8" w:rsidRPr="007130E8" w:rsidRDefault="007130E8" w:rsidP="007130E8">
            <w:pPr>
              <w:jc w:val="both"/>
              <w:rPr>
                <w:rFonts w:eastAsia="Times New Roman" w:cs="Times New Roman"/>
                <w:b/>
                <w:sz w:val="21"/>
                <w:szCs w:val="21"/>
              </w:rPr>
            </w:pPr>
          </w:p>
        </w:tc>
        <w:tc>
          <w:tcPr>
            <w:tcW w:w="993" w:type="dxa"/>
            <w:shd w:val="clear" w:color="auto" w:fill="BDD6EE" w:themeFill="accent1" w:themeFillTint="66"/>
          </w:tcPr>
          <w:p w14:paraId="76EEF5F5" w14:textId="77777777" w:rsidR="007130E8" w:rsidRPr="007130E8" w:rsidRDefault="007130E8" w:rsidP="007130E8">
            <w:pPr>
              <w:jc w:val="center"/>
              <w:rPr>
                <w:rFonts w:eastAsia="Times New Roman" w:cs="Times New Roman"/>
                <w:b/>
                <w:sz w:val="21"/>
                <w:szCs w:val="21"/>
              </w:rPr>
            </w:pPr>
            <w:r w:rsidRPr="007130E8">
              <w:rPr>
                <w:rFonts w:eastAsia="Times New Roman" w:cs="Times New Roman"/>
                <w:b/>
                <w:sz w:val="21"/>
                <w:szCs w:val="21"/>
              </w:rPr>
              <w:t>2019</w:t>
            </w:r>
          </w:p>
        </w:tc>
        <w:tc>
          <w:tcPr>
            <w:tcW w:w="1134" w:type="dxa"/>
            <w:shd w:val="clear" w:color="auto" w:fill="BDD6EE" w:themeFill="accent1" w:themeFillTint="66"/>
          </w:tcPr>
          <w:p w14:paraId="485EAF37" w14:textId="77777777" w:rsidR="007130E8" w:rsidRPr="007130E8" w:rsidRDefault="007130E8" w:rsidP="007130E8">
            <w:pPr>
              <w:jc w:val="center"/>
              <w:rPr>
                <w:rFonts w:eastAsia="Times New Roman" w:cs="Times New Roman"/>
                <w:b/>
                <w:sz w:val="21"/>
                <w:szCs w:val="21"/>
              </w:rPr>
            </w:pPr>
            <w:r w:rsidRPr="007130E8">
              <w:rPr>
                <w:rFonts w:eastAsia="Times New Roman" w:cs="Times New Roman"/>
                <w:b/>
                <w:sz w:val="21"/>
                <w:szCs w:val="21"/>
              </w:rPr>
              <w:t>2020</w:t>
            </w:r>
          </w:p>
        </w:tc>
        <w:tc>
          <w:tcPr>
            <w:tcW w:w="1134" w:type="dxa"/>
            <w:shd w:val="clear" w:color="auto" w:fill="BDD6EE" w:themeFill="accent1" w:themeFillTint="66"/>
          </w:tcPr>
          <w:p w14:paraId="7374AA84" w14:textId="77777777" w:rsidR="007130E8" w:rsidRPr="007130E8" w:rsidRDefault="007130E8" w:rsidP="007130E8">
            <w:pPr>
              <w:jc w:val="center"/>
              <w:rPr>
                <w:rFonts w:eastAsia="Times New Roman" w:cs="Times New Roman"/>
                <w:b/>
                <w:sz w:val="21"/>
                <w:szCs w:val="21"/>
              </w:rPr>
            </w:pPr>
            <w:r w:rsidRPr="007130E8">
              <w:rPr>
                <w:rFonts w:eastAsia="Times New Roman" w:cs="Times New Roman"/>
                <w:b/>
                <w:sz w:val="21"/>
                <w:szCs w:val="21"/>
              </w:rPr>
              <w:t>2021</w:t>
            </w:r>
          </w:p>
        </w:tc>
        <w:tc>
          <w:tcPr>
            <w:tcW w:w="992" w:type="dxa"/>
            <w:shd w:val="clear" w:color="auto" w:fill="BDD6EE" w:themeFill="accent1" w:themeFillTint="66"/>
          </w:tcPr>
          <w:p w14:paraId="5DBE8C7A" w14:textId="77777777" w:rsidR="007130E8" w:rsidRPr="007130E8" w:rsidRDefault="007130E8" w:rsidP="007130E8">
            <w:pPr>
              <w:jc w:val="center"/>
              <w:rPr>
                <w:rFonts w:eastAsia="Times New Roman" w:cs="Times New Roman"/>
                <w:b/>
                <w:sz w:val="21"/>
                <w:szCs w:val="21"/>
              </w:rPr>
            </w:pPr>
            <w:r w:rsidRPr="007130E8">
              <w:rPr>
                <w:rFonts w:eastAsia="Times New Roman" w:cs="Times New Roman"/>
                <w:b/>
                <w:sz w:val="21"/>
                <w:szCs w:val="21"/>
              </w:rPr>
              <w:t>2022</w:t>
            </w:r>
          </w:p>
        </w:tc>
        <w:tc>
          <w:tcPr>
            <w:tcW w:w="1134" w:type="dxa"/>
            <w:shd w:val="clear" w:color="auto" w:fill="BDD6EE" w:themeFill="accent1" w:themeFillTint="66"/>
          </w:tcPr>
          <w:p w14:paraId="72200E57" w14:textId="77777777" w:rsidR="007130E8" w:rsidRPr="007130E8" w:rsidRDefault="007130E8" w:rsidP="007130E8">
            <w:pPr>
              <w:jc w:val="center"/>
              <w:rPr>
                <w:rFonts w:eastAsia="Times New Roman" w:cs="Times New Roman"/>
                <w:b/>
                <w:sz w:val="21"/>
                <w:szCs w:val="21"/>
              </w:rPr>
            </w:pPr>
            <w:r w:rsidRPr="007130E8">
              <w:rPr>
                <w:rFonts w:eastAsia="Times New Roman" w:cs="Times New Roman"/>
                <w:b/>
                <w:sz w:val="21"/>
                <w:szCs w:val="21"/>
              </w:rPr>
              <w:t>2023</w:t>
            </w:r>
          </w:p>
        </w:tc>
      </w:tr>
      <w:tr w:rsidR="007130E8" w:rsidRPr="007130E8" w14:paraId="495F7128" w14:textId="77777777" w:rsidTr="00560DBE">
        <w:trPr>
          <w:jc w:val="center"/>
        </w:trPr>
        <w:tc>
          <w:tcPr>
            <w:tcW w:w="2547" w:type="dxa"/>
          </w:tcPr>
          <w:p w14:paraId="0897B89A" w14:textId="77777777" w:rsidR="007130E8" w:rsidRPr="007130E8" w:rsidRDefault="007130E8" w:rsidP="007130E8">
            <w:pPr>
              <w:jc w:val="both"/>
              <w:rPr>
                <w:rFonts w:eastAsia="Times New Roman" w:cs="Times New Roman"/>
                <w:sz w:val="21"/>
                <w:szCs w:val="21"/>
              </w:rPr>
            </w:pPr>
          </w:p>
        </w:tc>
        <w:tc>
          <w:tcPr>
            <w:tcW w:w="850" w:type="dxa"/>
          </w:tcPr>
          <w:p w14:paraId="3F91A5F1" w14:textId="77777777" w:rsidR="007130E8" w:rsidRPr="00B324A9" w:rsidRDefault="007130E8" w:rsidP="007130E8">
            <w:pPr>
              <w:jc w:val="center"/>
              <w:rPr>
                <w:rFonts w:eastAsia="Times New Roman" w:cs="Times New Roman"/>
                <w:b/>
                <w:sz w:val="21"/>
                <w:szCs w:val="21"/>
              </w:rPr>
            </w:pPr>
            <w:r w:rsidRPr="00B324A9">
              <w:rPr>
                <w:rFonts w:eastAsia="Times New Roman" w:cs="Times New Roman"/>
                <w:b/>
                <w:sz w:val="21"/>
                <w:szCs w:val="21"/>
              </w:rPr>
              <w:t>EKS kods</w:t>
            </w:r>
          </w:p>
        </w:tc>
        <w:tc>
          <w:tcPr>
            <w:tcW w:w="5387" w:type="dxa"/>
            <w:gridSpan w:val="5"/>
            <w:vAlign w:val="center"/>
          </w:tcPr>
          <w:p w14:paraId="5197D8A7" w14:textId="77777777" w:rsidR="007130E8" w:rsidRPr="00B324A9" w:rsidRDefault="007130E8" w:rsidP="00B324A9">
            <w:pPr>
              <w:jc w:val="center"/>
              <w:rPr>
                <w:rFonts w:eastAsia="Times New Roman" w:cs="Times New Roman"/>
                <w:b/>
                <w:sz w:val="21"/>
                <w:szCs w:val="21"/>
              </w:rPr>
            </w:pPr>
            <w:r w:rsidRPr="00B324A9">
              <w:rPr>
                <w:rFonts w:eastAsia="Times New Roman" w:cs="Times New Roman"/>
                <w:b/>
                <w:sz w:val="21"/>
                <w:szCs w:val="21"/>
              </w:rPr>
              <w:t>% no IKP</w:t>
            </w:r>
          </w:p>
        </w:tc>
      </w:tr>
      <w:tr w:rsidR="007130E8" w:rsidRPr="007130E8" w14:paraId="21851AF9" w14:textId="77777777" w:rsidTr="00560DBE">
        <w:trPr>
          <w:jc w:val="center"/>
        </w:trPr>
        <w:tc>
          <w:tcPr>
            <w:tcW w:w="8784" w:type="dxa"/>
            <w:gridSpan w:val="7"/>
            <w:shd w:val="clear" w:color="auto" w:fill="BDD6EE" w:themeFill="accent1" w:themeFillTint="66"/>
          </w:tcPr>
          <w:p w14:paraId="6D84FA59" w14:textId="77777777" w:rsidR="007130E8" w:rsidRPr="007130E8" w:rsidRDefault="007130E8" w:rsidP="007130E8">
            <w:pPr>
              <w:ind w:firstLine="720"/>
              <w:jc w:val="both"/>
              <w:rPr>
                <w:rFonts w:eastAsia="Times New Roman" w:cs="Times New Roman"/>
                <w:b/>
                <w:noProof/>
                <w:snapToGrid w:val="0"/>
                <w:sz w:val="21"/>
                <w:szCs w:val="21"/>
              </w:rPr>
            </w:pPr>
            <w:r w:rsidRPr="007130E8">
              <w:rPr>
                <w:rFonts w:eastAsia="Times New Roman" w:cs="Times New Roman"/>
                <w:b/>
                <w:snapToGrid w:val="0"/>
                <w:sz w:val="21"/>
                <w:szCs w:val="21"/>
              </w:rPr>
              <w:t xml:space="preserve">Neto </w:t>
            </w:r>
            <w:r w:rsidRPr="00B324A9">
              <w:rPr>
                <w:rFonts w:eastAsia="Times New Roman" w:cs="Times New Roman"/>
                <w:b/>
                <w:snapToGrid w:val="0"/>
                <w:sz w:val="21"/>
                <w:szCs w:val="21"/>
                <w:shd w:val="clear" w:color="auto" w:fill="DEEAF6" w:themeFill="accent1" w:themeFillTint="33"/>
              </w:rPr>
              <w:t xml:space="preserve">aizdevumi (+) vai aizņēmumi (-) (B.9) pa </w:t>
            </w:r>
            <w:r w:rsidRPr="00B324A9">
              <w:rPr>
                <w:rFonts w:eastAsia="Times New Roman" w:cs="Times New Roman"/>
                <w:b/>
                <w:noProof/>
                <w:snapToGrid w:val="0"/>
                <w:sz w:val="21"/>
                <w:szCs w:val="21"/>
                <w:shd w:val="clear" w:color="auto" w:fill="DEEAF6" w:themeFill="accent1" w:themeFillTint="33"/>
              </w:rPr>
              <w:t>apakšsektoriem</w:t>
            </w:r>
          </w:p>
        </w:tc>
      </w:tr>
      <w:tr w:rsidR="007130E8" w:rsidRPr="007130E8" w14:paraId="680EBB06" w14:textId="77777777" w:rsidTr="00560DBE">
        <w:trPr>
          <w:jc w:val="center"/>
        </w:trPr>
        <w:tc>
          <w:tcPr>
            <w:tcW w:w="2547" w:type="dxa"/>
          </w:tcPr>
          <w:p w14:paraId="0A689901"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Vispārējā valdība</w:t>
            </w:r>
          </w:p>
        </w:tc>
        <w:tc>
          <w:tcPr>
            <w:tcW w:w="850" w:type="dxa"/>
            <w:tcBorders>
              <w:right w:val="single" w:sz="4" w:space="0" w:color="auto"/>
            </w:tcBorders>
          </w:tcPr>
          <w:p w14:paraId="69C266F8"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S.13</w:t>
            </w:r>
          </w:p>
        </w:tc>
        <w:tc>
          <w:tcPr>
            <w:tcW w:w="993" w:type="dxa"/>
            <w:tcBorders>
              <w:top w:val="nil"/>
              <w:left w:val="nil"/>
              <w:bottom w:val="single" w:sz="4" w:space="0" w:color="auto"/>
              <w:right w:val="single" w:sz="8" w:space="0" w:color="auto"/>
            </w:tcBorders>
            <w:shd w:val="clear" w:color="auto" w:fill="auto"/>
            <w:vAlign w:val="center"/>
          </w:tcPr>
          <w:p w14:paraId="61F52D5B"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-0,2</w:t>
            </w:r>
          </w:p>
        </w:tc>
        <w:tc>
          <w:tcPr>
            <w:tcW w:w="1134" w:type="dxa"/>
            <w:tcBorders>
              <w:top w:val="nil"/>
              <w:left w:val="nil"/>
              <w:bottom w:val="single" w:sz="4" w:space="0" w:color="auto"/>
              <w:right w:val="single" w:sz="8" w:space="0" w:color="auto"/>
            </w:tcBorders>
            <w:shd w:val="clear" w:color="auto" w:fill="auto"/>
            <w:vAlign w:val="center"/>
          </w:tcPr>
          <w:p w14:paraId="15D9E02A"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-0,4</w:t>
            </w:r>
          </w:p>
        </w:tc>
        <w:tc>
          <w:tcPr>
            <w:tcW w:w="1134" w:type="dxa"/>
            <w:tcBorders>
              <w:top w:val="nil"/>
              <w:left w:val="nil"/>
              <w:bottom w:val="single" w:sz="4" w:space="0" w:color="auto"/>
              <w:right w:val="single" w:sz="8" w:space="0" w:color="auto"/>
            </w:tcBorders>
            <w:shd w:val="clear" w:color="auto" w:fill="auto"/>
            <w:vAlign w:val="center"/>
          </w:tcPr>
          <w:p w14:paraId="62797882"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-0,1</w:t>
            </w:r>
          </w:p>
        </w:tc>
        <w:tc>
          <w:tcPr>
            <w:tcW w:w="992" w:type="dxa"/>
            <w:tcBorders>
              <w:top w:val="nil"/>
              <w:left w:val="nil"/>
              <w:bottom w:val="single" w:sz="4" w:space="0" w:color="auto"/>
              <w:right w:val="single" w:sz="8" w:space="0" w:color="auto"/>
            </w:tcBorders>
            <w:shd w:val="clear" w:color="auto" w:fill="auto"/>
            <w:vAlign w:val="center"/>
          </w:tcPr>
          <w:p w14:paraId="6910F77A"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-0,1</w:t>
            </w:r>
          </w:p>
        </w:tc>
        <w:tc>
          <w:tcPr>
            <w:tcW w:w="1134" w:type="dxa"/>
            <w:tcBorders>
              <w:top w:val="nil"/>
              <w:left w:val="nil"/>
              <w:bottom w:val="single" w:sz="4" w:space="0" w:color="auto"/>
              <w:right w:val="single" w:sz="8" w:space="0" w:color="auto"/>
            </w:tcBorders>
            <w:shd w:val="clear" w:color="auto" w:fill="auto"/>
            <w:vAlign w:val="center"/>
          </w:tcPr>
          <w:p w14:paraId="4AF304DF"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1,0</w:t>
            </w:r>
          </w:p>
        </w:tc>
      </w:tr>
      <w:tr w:rsidR="007130E8" w:rsidRPr="007130E8" w14:paraId="3794FDBD" w14:textId="77777777" w:rsidTr="00560DBE">
        <w:trPr>
          <w:jc w:val="center"/>
        </w:trPr>
        <w:tc>
          <w:tcPr>
            <w:tcW w:w="2547" w:type="dxa"/>
            <w:shd w:val="clear" w:color="auto" w:fill="DEEAF6" w:themeFill="accent1" w:themeFillTint="33"/>
          </w:tcPr>
          <w:p w14:paraId="1829B11F" w14:textId="77777777" w:rsidR="007130E8" w:rsidRPr="007130E8" w:rsidRDefault="007130E8" w:rsidP="007130E8">
            <w:pPr>
              <w:jc w:val="right"/>
              <w:rPr>
                <w:rFonts w:eastAsia="Times New Roman" w:cs="Times New Roman"/>
                <w:snapToGrid w:val="0"/>
                <w:sz w:val="18"/>
                <w:szCs w:val="18"/>
              </w:rPr>
            </w:pPr>
            <w:r w:rsidRPr="007130E8">
              <w:rPr>
                <w:rFonts w:eastAsia="Times New Roman" w:cs="Times New Roman"/>
                <w:snapToGrid w:val="0"/>
                <w:sz w:val="18"/>
                <w:szCs w:val="18"/>
              </w:rPr>
              <w:t>t.sk. komersanti</w:t>
            </w:r>
            <w:r w:rsidRPr="007130E8">
              <w:rPr>
                <w:rFonts w:eastAsia="Times New Roman" w:cs="Times New Roman"/>
                <w:snapToGrid w:val="0"/>
                <w:sz w:val="18"/>
                <w:szCs w:val="18"/>
                <w:vertAlign w:val="superscript"/>
              </w:rPr>
              <w:footnoteReference w:id="22"/>
            </w:r>
          </w:p>
        </w:tc>
        <w:tc>
          <w:tcPr>
            <w:tcW w:w="850" w:type="dxa"/>
            <w:tcBorders>
              <w:right w:val="single" w:sz="4" w:space="0" w:color="auto"/>
            </w:tcBorders>
            <w:shd w:val="clear" w:color="auto" w:fill="DEEAF6" w:themeFill="accent1" w:themeFillTint="33"/>
          </w:tcPr>
          <w:p w14:paraId="127CA0DF" w14:textId="77777777" w:rsidR="007130E8" w:rsidRPr="007130E8" w:rsidRDefault="007130E8" w:rsidP="007130E8">
            <w:pPr>
              <w:jc w:val="right"/>
              <w:rPr>
                <w:rFonts w:eastAsia="Times New Roman" w:cs="Times New Roman"/>
                <w:sz w:val="18"/>
                <w:szCs w:val="18"/>
              </w:rPr>
            </w:pPr>
          </w:p>
        </w:tc>
        <w:tc>
          <w:tcPr>
            <w:tcW w:w="99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2343DBD"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315460"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7EC31D"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0FFA03"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7340F"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0,0</w:t>
            </w:r>
          </w:p>
        </w:tc>
      </w:tr>
      <w:tr w:rsidR="007130E8" w:rsidRPr="007130E8" w14:paraId="3C9D917D" w14:textId="77777777" w:rsidTr="00560DBE">
        <w:trPr>
          <w:jc w:val="center"/>
        </w:trPr>
        <w:tc>
          <w:tcPr>
            <w:tcW w:w="2547" w:type="dxa"/>
          </w:tcPr>
          <w:p w14:paraId="69D710C7"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Centrālā valdība</w:t>
            </w:r>
          </w:p>
        </w:tc>
        <w:tc>
          <w:tcPr>
            <w:tcW w:w="850" w:type="dxa"/>
            <w:tcBorders>
              <w:right w:val="single" w:sz="4" w:space="0" w:color="auto"/>
            </w:tcBorders>
          </w:tcPr>
          <w:p w14:paraId="7AAB8951"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S.1311</w:t>
            </w:r>
          </w:p>
        </w:tc>
        <w:tc>
          <w:tcPr>
            <w:tcW w:w="993" w:type="dxa"/>
            <w:tcBorders>
              <w:top w:val="single" w:sz="4" w:space="0" w:color="auto"/>
              <w:left w:val="single" w:sz="8" w:space="0" w:color="auto"/>
              <w:bottom w:val="single" w:sz="8" w:space="0" w:color="auto"/>
              <w:right w:val="single" w:sz="8" w:space="0" w:color="auto"/>
            </w:tcBorders>
            <w:shd w:val="clear" w:color="auto" w:fill="auto"/>
            <w:vAlign w:val="center"/>
          </w:tcPr>
          <w:p w14:paraId="21BFDF44"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-1,7</w:t>
            </w:r>
          </w:p>
        </w:tc>
        <w:tc>
          <w:tcPr>
            <w:tcW w:w="1134" w:type="dxa"/>
            <w:tcBorders>
              <w:top w:val="single" w:sz="4" w:space="0" w:color="auto"/>
              <w:left w:val="nil"/>
              <w:bottom w:val="single" w:sz="8" w:space="0" w:color="auto"/>
              <w:right w:val="single" w:sz="8" w:space="0" w:color="auto"/>
            </w:tcBorders>
            <w:shd w:val="clear" w:color="auto" w:fill="auto"/>
            <w:vAlign w:val="center"/>
          </w:tcPr>
          <w:p w14:paraId="58E4EA79"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-0,9</w:t>
            </w:r>
          </w:p>
        </w:tc>
        <w:tc>
          <w:tcPr>
            <w:tcW w:w="1134" w:type="dxa"/>
            <w:tcBorders>
              <w:top w:val="single" w:sz="4" w:space="0" w:color="auto"/>
              <w:left w:val="nil"/>
              <w:bottom w:val="single" w:sz="8" w:space="0" w:color="auto"/>
              <w:right w:val="single" w:sz="8" w:space="0" w:color="auto"/>
            </w:tcBorders>
            <w:shd w:val="clear" w:color="auto" w:fill="auto"/>
            <w:vAlign w:val="center"/>
          </w:tcPr>
          <w:p w14:paraId="61041BB1"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992" w:type="dxa"/>
            <w:tcBorders>
              <w:top w:val="single" w:sz="4" w:space="0" w:color="auto"/>
              <w:left w:val="nil"/>
              <w:bottom w:val="single" w:sz="8" w:space="0" w:color="auto"/>
              <w:right w:val="single" w:sz="8" w:space="0" w:color="auto"/>
            </w:tcBorders>
            <w:shd w:val="clear" w:color="auto" w:fill="auto"/>
            <w:vAlign w:val="center"/>
          </w:tcPr>
          <w:p w14:paraId="75A7392D"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1134" w:type="dxa"/>
            <w:tcBorders>
              <w:top w:val="single" w:sz="4" w:space="0" w:color="auto"/>
              <w:left w:val="single" w:sz="8" w:space="0" w:color="auto"/>
              <w:bottom w:val="single" w:sz="8" w:space="0" w:color="auto"/>
              <w:right w:val="single" w:sz="8" w:space="0" w:color="auto"/>
            </w:tcBorders>
            <w:shd w:val="clear" w:color="auto" w:fill="auto"/>
            <w:vAlign w:val="center"/>
          </w:tcPr>
          <w:p w14:paraId="2B49786C"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0,4</w:t>
            </w:r>
          </w:p>
        </w:tc>
      </w:tr>
      <w:tr w:rsidR="007130E8" w:rsidRPr="007130E8" w14:paraId="0E35636E" w14:textId="77777777" w:rsidTr="00560DBE">
        <w:trPr>
          <w:jc w:val="center"/>
        </w:trPr>
        <w:tc>
          <w:tcPr>
            <w:tcW w:w="2547" w:type="dxa"/>
            <w:shd w:val="clear" w:color="auto" w:fill="DEEAF6" w:themeFill="accent1" w:themeFillTint="33"/>
          </w:tcPr>
          <w:p w14:paraId="03E3427A" w14:textId="77777777" w:rsidR="007130E8" w:rsidRPr="007130E8" w:rsidRDefault="007130E8" w:rsidP="007130E8">
            <w:pPr>
              <w:jc w:val="right"/>
              <w:rPr>
                <w:rFonts w:eastAsia="Times New Roman" w:cs="Times New Roman"/>
                <w:snapToGrid w:val="0"/>
                <w:sz w:val="18"/>
                <w:szCs w:val="18"/>
              </w:rPr>
            </w:pPr>
            <w:r w:rsidRPr="007130E8">
              <w:rPr>
                <w:rFonts w:eastAsia="Times New Roman" w:cs="Times New Roman"/>
                <w:snapToGrid w:val="0"/>
                <w:sz w:val="18"/>
                <w:szCs w:val="18"/>
              </w:rPr>
              <w:t>t.sk. komersanti</w:t>
            </w:r>
          </w:p>
        </w:tc>
        <w:tc>
          <w:tcPr>
            <w:tcW w:w="850" w:type="dxa"/>
            <w:tcBorders>
              <w:right w:val="single" w:sz="4" w:space="0" w:color="auto"/>
            </w:tcBorders>
            <w:shd w:val="clear" w:color="auto" w:fill="DEEAF6" w:themeFill="accent1" w:themeFillTint="33"/>
          </w:tcPr>
          <w:p w14:paraId="407A0289" w14:textId="77777777" w:rsidR="007130E8" w:rsidRPr="007130E8" w:rsidRDefault="007130E8" w:rsidP="007130E8">
            <w:pPr>
              <w:jc w:val="right"/>
              <w:rPr>
                <w:rFonts w:eastAsia="Times New Roman" w:cs="Times New Roman"/>
                <w:sz w:val="18"/>
                <w:szCs w:val="18"/>
              </w:rPr>
            </w:pPr>
          </w:p>
        </w:tc>
        <w:tc>
          <w:tcPr>
            <w:tcW w:w="99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3C00ECC"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-0,2</w:t>
            </w:r>
          </w:p>
        </w:tc>
        <w:tc>
          <w:tcPr>
            <w:tcW w:w="113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A047776"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0,0</w:t>
            </w:r>
          </w:p>
        </w:tc>
        <w:tc>
          <w:tcPr>
            <w:tcW w:w="113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867AB0E"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0,0</w:t>
            </w:r>
          </w:p>
        </w:tc>
        <w:tc>
          <w:tcPr>
            <w:tcW w:w="99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C1A12F8"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F56C0F6"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r>
      <w:tr w:rsidR="007130E8" w:rsidRPr="007130E8" w14:paraId="36DF7A21" w14:textId="77777777" w:rsidTr="00560DBE">
        <w:trPr>
          <w:jc w:val="center"/>
        </w:trPr>
        <w:tc>
          <w:tcPr>
            <w:tcW w:w="2547" w:type="dxa"/>
          </w:tcPr>
          <w:p w14:paraId="31342012"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Vietējā valdība</w:t>
            </w:r>
          </w:p>
        </w:tc>
        <w:tc>
          <w:tcPr>
            <w:tcW w:w="850" w:type="dxa"/>
            <w:tcBorders>
              <w:right w:val="single" w:sz="4" w:space="0" w:color="auto"/>
            </w:tcBorders>
          </w:tcPr>
          <w:p w14:paraId="37BF135A"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S.1313</w:t>
            </w:r>
          </w:p>
        </w:tc>
        <w:tc>
          <w:tcPr>
            <w:tcW w:w="993" w:type="dxa"/>
            <w:tcBorders>
              <w:top w:val="nil"/>
              <w:left w:val="single" w:sz="8" w:space="0" w:color="auto"/>
              <w:bottom w:val="single" w:sz="8" w:space="0" w:color="auto"/>
              <w:right w:val="single" w:sz="8" w:space="0" w:color="auto"/>
            </w:tcBorders>
            <w:shd w:val="clear" w:color="auto" w:fill="auto"/>
            <w:vAlign w:val="center"/>
          </w:tcPr>
          <w:p w14:paraId="3856421B"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0,6</w:t>
            </w:r>
          </w:p>
        </w:tc>
        <w:tc>
          <w:tcPr>
            <w:tcW w:w="1134" w:type="dxa"/>
            <w:tcBorders>
              <w:top w:val="nil"/>
              <w:left w:val="nil"/>
              <w:bottom w:val="single" w:sz="8" w:space="0" w:color="auto"/>
              <w:right w:val="single" w:sz="8" w:space="0" w:color="auto"/>
            </w:tcBorders>
            <w:shd w:val="clear" w:color="auto" w:fill="auto"/>
            <w:vAlign w:val="center"/>
          </w:tcPr>
          <w:p w14:paraId="6032DA8D"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-0,2</w:t>
            </w:r>
          </w:p>
        </w:tc>
        <w:tc>
          <w:tcPr>
            <w:tcW w:w="1134" w:type="dxa"/>
            <w:tcBorders>
              <w:top w:val="nil"/>
              <w:left w:val="nil"/>
              <w:bottom w:val="single" w:sz="8" w:space="0" w:color="auto"/>
              <w:right w:val="single" w:sz="8" w:space="0" w:color="auto"/>
            </w:tcBorders>
            <w:shd w:val="clear" w:color="auto" w:fill="auto"/>
            <w:vAlign w:val="center"/>
          </w:tcPr>
          <w:p w14:paraId="19F73DC6"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-0,1</w:t>
            </w:r>
          </w:p>
        </w:tc>
        <w:tc>
          <w:tcPr>
            <w:tcW w:w="992" w:type="dxa"/>
            <w:tcBorders>
              <w:top w:val="nil"/>
              <w:left w:val="nil"/>
              <w:bottom w:val="single" w:sz="8" w:space="0" w:color="auto"/>
              <w:right w:val="single" w:sz="8" w:space="0" w:color="auto"/>
            </w:tcBorders>
            <w:shd w:val="clear" w:color="auto" w:fill="auto"/>
            <w:vAlign w:val="center"/>
          </w:tcPr>
          <w:p w14:paraId="3D0993A5"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0,0</w:t>
            </w:r>
          </w:p>
        </w:tc>
        <w:tc>
          <w:tcPr>
            <w:tcW w:w="1134" w:type="dxa"/>
            <w:tcBorders>
              <w:top w:val="nil"/>
              <w:left w:val="single" w:sz="8" w:space="0" w:color="auto"/>
              <w:bottom w:val="single" w:sz="8" w:space="0" w:color="auto"/>
              <w:right w:val="single" w:sz="8" w:space="0" w:color="auto"/>
            </w:tcBorders>
            <w:shd w:val="clear" w:color="auto" w:fill="auto"/>
            <w:vAlign w:val="center"/>
          </w:tcPr>
          <w:p w14:paraId="3371FC0E"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0,1</w:t>
            </w:r>
          </w:p>
        </w:tc>
      </w:tr>
      <w:tr w:rsidR="007130E8" w:rsidRPr="007130E8" w14:paraId="3FDD1C6A" w14:textId="77777777" w:rsidTr="00560DBE">
        <w:trPr>
          <w:jc w:val="center"/>
        </w:trPr>
        <w:tc>
          <w:tcPr>
            <w:tcW w:w="2547" w:type="dxa"/>
            <w:shd w:val="clear" w:color="auto" w:fill="DEEAF6" w:themeFill="accent1" w:themeFillTint="33"/>
          </w:tcPr>
          <w:p w14:paraId="365D240C" w14:textId="77777777" w:rsidR="007130E8" w:rsidRPr="007130E8" w:rsidRDefault="007130E8" w:rsidP="007130E8">
            <w:pPr>
              <w:jc w:val="right"/>
              <w:rPr>
                <w:rFonts w:eastAsia="Times New Roman" w:cs="Times New Roman"/>
                <w:snapToGrid w:val="0"/>
                <w:sz w:val="18"/>
                <w:szCs w:val="18"/>
              </w:rPr>
            </w:pPr>
            <w:r w:rsidRPr="007130E8">
              <w:rPr>
                <w:rFonts w:eastAsia="Times New Roman" w:cs="Times New Roman"/>
                <w:snapToGrid w:val="0"/>
                <w:sz w:val="18"/>
                <w:szCs w:val="18"/>
              </w:rPr>
              <w:t>t.sk. komersanti</w:t>
            </w:r>
          </w:p>
        </w:tc>
        <w:tc>
          <w:tcPr>
            <w:tcW w:w="850" w:type="dxa"/>
            <w:tcBorders>
              <w:right w:val="single" w:sz="4" w:space="0" w:color="auto"/>
            </w:tcBorders>
            <w:shd w:val="clear" w:color="auto" w:fill="DEEAF6" w:themeFill="accent1" w:themeFillTint="33"/>
          </w:tcPr>
          <w:p w14:paraId="2E3CB4F4" w14:textId="77777777" w:rsidR="007130E8" w:rsidRPr="007130E8" w:rsidRDefault="007130E8" w:rsidP="007130E8">
            <w:pPr>
              <w:jc w:val="right"/>
              <w:rPr>
                <w:rFonts w:eastAsia="Times New Roman" w:cs="Times New Roman"/>
                <w:sz w:val="18"/>
                <w:szCs w:val="18"/>
              </w:rPr>
            </w:pPr>
          </w:p>
        </w:tc>
        <w:tc>
          <w:tcPr>
            <w:tcW w:w="993"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69F6D140"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3CC67192"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23FFC868"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992" w:type="dxa"/>
            <w:tcBorders>
              <w:top w:val="nil"/>
              <w:left w:val="nil"/>
              <w:bottom w:val="single" w:sz="8" w:space="0" w:color="auto"/>
              <w:right w:val="single" w:sz="8" w:space="0" w:color="auto"/>
            </w:tcBorders>
            <w:shd w:val="clear" w:color="auto" w:fill="DEEAF6" w:themeFill="accent1" w:themeFillTint="33"/>
            <w:vAlign w:val="center"/>
          </w:tcPr>
          <w:p w14:paraId="26B7F382"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c>
          <w:tcPr>
            <w:tcW w:w="1134"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7A057EC4" w14:textId="77777777" w:rsidR="007130E8" w:rsidRPr="007130E8" w:rsidRDefault="007130E8" w:rsidP="007130E8">
            <w:pPr>
              <w:jc w:val="right"/>
              <w:rPr>
                <w:rFonts w:eastAsia="Times New Roman" w:cs="Times New Roman"/>
                <w:color w:val="000000"/>
                <w:sz w:val="18"/>
                <w:szCs w:val="18"/>
              </w:rPr>
            </w:pPr>
            <w:r w:rsidRPr="007130E8">
              <w:rPr>
                <w:rFonts w:eastAsia="Times New Roman" w:cs="Times New Roman"/>
                <w:color w:val="000000"/>
                <w:sz w:val="18"/>
                <w:szCs w:val="18"/>
              </w:rPr>
              <w:t>0,1</w:t>
            </w:r>
          </w:p>
        </w:tc>
      </w:tr>
      <w:tr w:rsidR="007130E8" w:rsidRPr="007130E8" w14:paraId="324827A9" w14:textId="77777777" w:rsidTr="00560DBE">
        <w:trPr>
          <w:jc w:val="center"/>
        </w:trPr>
        <w:tc>
          <w:tcPr>
            <w:tcW w:w="2547" w:type="dxa"/>
          </w:tcPr>
          <w:p w14:paraId="2097E80D" w14:textId="77777777" w:rsidR="007130E8" w:rsidRPr="007130E8" w:rsidRDefault="007130E8" w:rsidP="007130E8">
            <w:pPr>
              <w:rPr>
                <w:rFonts w:eastAsia="Times New Roman" w:cs="Times New Roman"/>
                <w:snapToGrid w:val="0"/>
                <w:sz w:val="21"/>
                <w:szCs w:val="21"/>
              </w:rPr>
            </w:pPr>
            <w:r w:rsidRPr="007130E8">
              <w:rPr>
                <w:rFonts w:eastAsia="Times New Roman" w:cs="Times New Roman"/>
                <w:snapToGrid w:val="0"/>
                <w:sz w:val="21"/>
                <w:szCs w:val="21"/>
              </w:rPr>
              <w:t>Sociālās nodrošināšanas fondi</w:t>
            </w:r>
          </w:p>
        </w:tc>
        <w:tc>
          <w:tcPr>
            <w:tcW w:w="850" w:type="dxa"/>
            <w:tcBorders>
              <w:right w:val="single" w:sz="4" w:space="0" w:color="auto"/>
            </w:tcBorders>
          </w:tcPr>
          <w:p w14:paraId="7EADF085"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S.1314</w:t>
            </w:r>
          </w:p>
        </w:tc>
        <w:tc>
          <w:tcPr>
            <w:tcW w:w="993" w:type="dxa"/>
            <w:tcBorders>
              <w:top w:val="nil"/>
              <w:left w:val="single" w:sz="8" w:space="0" w:color="auto"/>
              <w:bottom w:val="single" w:sz="8" w:space="0" w:color="auto"/>
              <w:right w:val="single" w:sz="8" w:space="0" w:color="auto"/>
            </w:tcBorders>
            <w:shd w:val="clear" w:color="auto" w:fill="auto"/>
            <w:vAlign w:val="center"/>
          </w:tcPr>
          <w:p w14:paraId="71F10830"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0,9</w:t>
            </w:r>
          </w:p>
        </w:tc>
        <w:tc>
          <w:tcPr>
            <w:tcW w:w="1134" w:type="dxa"/>
            <w:tcBorders>
              <w:top w:val="nil"/>
              <w:left w:val="nil"/>
              <w:bottom w:val="single" w:sz="8" w:space="0" w:color="auto"/>
              <w:right w:val="single" w:sz="8" w:space="0" w:color="auto"/>
            </w:tcBorders>
            <w:shd w:val="clear" w:color="auto" w:fill="auto"/>
            <w:vAlign w:val="center"/>
          </w:tcPr>
          <w:p w14:paraId="46D40C9A"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1134" w:type="dxa"/>
            <w:tcBorders>
              <w:top w:val="nil"/>
              <w:left w:val="nil"/>
              <w:bottom w:val="single" w:sz="8" w:space="0" w:color="auto"/>
              <w:right w:val="single" w:sz="8" w:space="0" w:color="auto"/>
            </w:tcBorders>
            <w:shd w:val="clear" w:color="auto" w:fill="auto"/>
            <w:vAlign w:val="center"/>
          </w:tcPr>
          <w:p w14:paraId="4FF450D4"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992" w:type="dxa"/>
            <w:tcBorders>
              <w:top w:val="nil"/>
              <w:left w:val="nil"/>
              <w:bottom w:val="single" w:sz="8" w:space="0" w:color="auto"/>
              <w:right w:val="single" w:sz="8" w:space="0" w:color="auto"/>
            </w:tcBorders>
            <w:shd w:val="clear" w:color="auto" w:fill="auto"/>
            <w:vAlign w:val="center"/>
          </w:tcPr>
          <w:p w14:paraId="6ACDA988"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0,6</w:t>
            </w:r>
          </w:p>
        </w:tc>
        <w:tc>
          <w:tcPr>
            <w:tcW w:w="1134" w:type="dxa"/>
            <w:tcBorders>
              <w:top w:val="nil"/>
              <w:left w:val="single" w:sz="8" w:space="0" w:color="auto"/>
              <w:bottom w:val="single" w:sz="8" w:space="0" w:color="auto"/>
              <w:right w:val="single" w:sz="8" w:space="0" w:color="auto"/>
            </w:tcBorders>
            <w:shd w:val="clear" w:color="auto" w:fill="auto"/>
            <w:vAlign w:val="center"/>
          </w:tcPr>
          <w:p w14:paraId="6EEDC269"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0,5</w:t>
            </w:r>
          </w:p>
        </w:tc>
      </w:tr>
      <w:tr w:rsidR="007130E8" w:rsidRPr="007130E8" w14:paraId="7C27BB0D" w14:textId="77777777" w:rsidTr="00560DBE">
        <w:trPr>
          <w:jc w:val="center"/>
        </w:trPr>
        <w:tc>
          <w:tcPr>
            <w:tcW w:w="8784" w:type="dxa"/>
            <w:gridSpan w:val="7"/>
            <w:shd w:val="clear" w:color="auto" w:fill="BDD6EE" w:themeFill="accent1" w:themeFillTint="66"/>
          </w:tcPr>
          <w:p w14:paraId="15265F6E" w14:textId="77777777" w:rsidR="007130E8" w:rsidRPr="007130E8" w:rsidRDefault="007130E8" w:rsidP="007130E8">
            <w:pPr>
              <w:ind w:firstLine="720"/>
              <w:jc w:val="both"/>
              <w:rPr>
                <w:rFonts w:eastAsia="Times New Roman" w:cs="Times New Roman"/>
                <w:b/>
                <w:snapToGrid w:val="0"/>
                <w:sz w:val="21"/>
                <w:szCs w:val="21"/>
              </w:rPr>
            </w:pPr>
            <w:r w:rsidRPr="007130E8">
              <w:rPr>
                <w:rFonts w:eastAsia="Times New Roman" w:cs="Times New Roman"/>
                <w:b/>
                <w:snapToGrid w:val="0"/>
                <w:sz w:val="21"/>
                <w:szCs w:val="21"/>
              </w:rPr>
              <w:t>Vispārējā valdība (S.13)</w:t>
            </w:r>
          </w:p>
        </w:tc>
      </w:tr>
      <w:tr w:rsidR="007130E8" w:rsidRPr="007130E8" w14:paraId="075077C5" w14:textId="77777777" w:rsidTr="00560DBE">
        <w:trPr>
          <w:jc w:val="center"/>
        </w:trPr>
        <w:tc>
          <w:tcPr>
            <w:tcW w:w="2547" w:type="dxa"/>
          </w:tcPr>
          <w:p w14:paraId="1B3FD57D"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 xml:space="preserve">Kopējie ieņēmumi </w:t>
            </w:r>
          </w:p>
        </w:tc>
        <w:tc>
          <w:tcPr>
            <w:tcW w:w="850" w:type="dxa"/>
            <w:shd w:val="clear" w:color="auto" w:fill="auto"/>
          </w:tcPr>
          <w:p w14:paraId="7AEDE84F"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TR</w:t>
            </w:r>
          </w:p>
        </w:tc>
        <w:tc>
          <w:tcPr>
            <w:tcW w:w="993" w:type="dxa"/>
            <w:tcBorders>
              <w:top w:val="nil"/>
              <w:left w:val="nil"/>
              <w:bottom w:val="single" w:sz="8" w:space="0" w:color="auto"/>
              <w:right w:val="single" w:sz="8" w:space="0" w:color="auto"/>
            </w:tcBorders>
            <w:shd w:val="clear" w:color="auto" w:fill="auto"/>
            <w:vAlign w:val="center"/>
          </w:tcPr>
          <w:p w14:paraId="13F61EFB"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38,7</w:t>
            </w:r>
          </w:p>
        </w:tc>
        <w:tc>
          <w:tcPr>
            <w:tcW w:w="1134" w:type="dxa"/>
            <w:tcBorders>
              <w:top w:val="nil"/>
              <w:left w:val="nil"/>
              <w:bottom w:val="single" w:sz="8" w:space="0" w:color="auto"/>
              <w:right w:val="single" w:sz="8" w:space="0" w:color="auto"/>
            </w:tcBorders>
            <w:shd w:val="clear" w:color="auto" w:fill="auto"/>
            <w:vAlign w:val="center"/>
          </w:tcPr>
          <w:p w14:paraId="640F3575"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38,2</w:t>
            </w:r>
          </w:p>
        </w:tc>
        <w:tc>
          <w:tcPr>
            <w:tcW w:w="1134" w:type="dxa"/>
            <w:tcBorders>
              <w:top w:val="nil"/>
              <w:left w:val="nil"/>
              <w:bottom w:val="single" w:sz="8" w:space="0" w:color="auto"/>
              <w:right w:val="single" w:sz="8" w:space="0" w:color="auto"/>
            </w:tcBorders>
            <w:shd w:val="clear" w:color="auto" w:fill="auto"/>
            <w:vAlign w:val="center"/>
          </w:tcPr>
          <w:p w14:paraId="3682C523"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37,5</w:t>
            </w:r>
          </w:p>
        </w:tc>
        <w:tc>
          <w:tcPr>
            <w:tcW w:w="992" w:type="dxa"/>
            <w:tcBorders>
              <w:top w:val="nil"/>
              <w:left w:val="nil"/>
              <w:bottom w:val="single" w:sz="8" w:space="0" w:color="auto"/>
              <w:right w:val="single" w:sz="8" w:space="0" w:color="auto"/>
            </w:tcBorders>
            <w:shd w:val="clear" w:color="auto" w:fill="auto"/>
            <w:vAlign w:val="center"/>
          </w:tcPr>
          <w:p w14:paraId="51D19E50"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37,1</w:t>
            </w:r>
          </w:p>
        </w:tc>
        <w:tc>
          <w:tcPr>
            <w:tcW w:w="1134" w:type="dxa"/>
            <w:tcBorders>
              <w:top w:val="nil"/>
              <w:left w:val="nil"/>
              <w:bottom w:val="single" w:sz="8" w:space="0" w:color="auto"/>
              <w:right w:val="single" w:sz="8" w:space="0" w:color="auto"/>
            </w:tcBorders>
            <w:shd w:val="clear" w:color="auto" w:fill="auto"/>
            <w:vAlign w:val="center"/>
          </w:tcPr>
          <w:p w14:paraId="71B351A7"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36,9</w:t>
            </w:r>
          </w:p>
        </w:tc>
      </w:tr>
      <w:tr w:rsidR="007130E8" w:rsidRPr="007130E8" w14:paraId="70DD2627" w14:textId="77777777" w:rsidTr="00560DBE">
        <w:trPr>
          <w:trHeight w:val="158"/>
          <w:jc w:val="center"/>
        </w:trPr>
        <w:tc>
          <w:tcPr>
            <w:tcW w:w="2547" w:type="dxa"/>
            <w:shd w:val="clear" w:color="auto" w:fill="DEEAF6" w:themeFill="accent1" w:themeFillTint="33"/>
          </w:tcPr>
          <w:p w14:paraId="350F7D09"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Kopējie izdevumi</w:t>
            </w:r>
          </w:p>
        </w:tc>
        <w:tc>
          <w:tcPr>
            <w:tcW w:w="850" w:type="dxa"/>
            <w:shd w:val="clear" w:color="auto" w:fill="DEEAF6" w:themeFill="accent1" w:themeFillTint="33"/>
          </w:tcPr>
          <w:p w14:paraId="2E3C8C26"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TE</w:t>
            </w:r>
          </w:p>
        </w:tc>
        <w:tc>
          <w:tcPr>
            <w:tcW w:w="993" w:type="dxa"/>
            <w:tcBorders>
              <w:top w:val="nil"/>
              <w:left w:val="nil"/>
              <w:bottom w:val="single" w:sz="8" w:space="0" w:color="auto"/>
              <w:right w:val="single" w:sz="8" w:space="0" w:color="auto"/>
            </w:tcBorders>
            <w:shd w:val="clear" w:color="auto" w:fill="DEEAF6" w:themeFill="accent1" w:themeFillTint="33"/>
            <w:vAlign w:val="center"/>
          </w:tcPr>
          <w:p w14:paraId="63D96B63"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38,9</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26F9B026"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38,6</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53E76CF5"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37,6</w:t>
            </w:r>
          </w:p>
        </w:tc>
        <w:tc>
          <w:tcPr>
            <w:tcW w:w="992" w:type="dxa"/>
            <w:tcBorders>
              <w:top w:val="nil"/>
              <w:left w:val="nil"/>
              <w:bottom w:val="single" w:sz="8" w:space="0" w:color="auto"/>
              <w:right w:val="single" w:sz="8" w:space="0" w:color="auto"/>
            </w:tcBorders>
            <w:shd w:val="clear" w:color="auto" w:fill="DEEAF6" w:themeFill="accent1" w:themeFillTint="33"/>
            <w:vAlign w:val="center"/>
          </w:tcPr>
          <w:p w14:paraId="704BD3F5"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37,1</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280F5FDB"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35,9</w:t>
            </w:r>
          </w:p>
        </w:tc>
      </w:tr>
      <w:tr w:rsidR="007130E8" w:rsidRPr="007130E8" w14:paraId="4C70192E" w14:textId="77777777" w:rsidTr="00560DBE">
        <w:trPr>
          <w:trHeight w:val="70"/>
          <w:jc w:val="center"/>
        </w:trPr>
        <w:tc>
          <w:tcPr>
            <w:tcW w:w="2547" w:type="dxa"/>
          </w:tcPr>
          <w:p w14:paraId="6F0D9EF3"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Procentu izdevumi</w:t>
            </w:r>
          </w:p>
        </w:tc>
        <w:tc>
          <w:tcPr>
            <w:tcW w:w="850" w:type="dxa"/>
          </w:tcPr>
          <w:p w14:paraId="7897C8FC" w14:textId="77777777" w:rsidR="007130E8" w:rsidRPr="007130E8" w:rsidRDefault="007130E8" w:rsidP="007130E8">
            <w:pPr>
              <w:jc w:val="center"/>
              <w:rPr>
                <w:rFonts w:eastAsia="Times New Roman" w:cs="Times New Roman"/>
                <w:sz w:val="21"/>
                <w:szCs w:val="21"/>
              </w:rPr>
            </w:pPr>
            <w:r w:rsidRPr="007130E8">
              <w:rPr>
                <w:rFonts w:eastAsia="Times New Roman" w:cs="Times New Roman"/>
                <w:sz w:val="21"/>
                <w:szCs w:val="21"/>
              </w:rPr>
              <w:t>D.41</w:t>
            </w:r>
          </w:p>
        </w:tc>
        <w:tc>
          <w:tcPr>
            <w:tcW w:w="993" w:type="dxa"/>
            <w:tcBorders>
              <w:top w:val="nil"/>
              <w:left w:val="nil"/>
              <w:bottom w:val="single" w:sz="8" w:space="0" w:color="auto"/>
              <w:right w:val="single" w:sz="8" w:space="0" w:color="auto"/>
            </w:tcBorders>
            <w:shd w:val="clear" w:color="auto" w:fill="auto"/>
            <w:vAlign w:val="center"/>
          </w:tcPr>
          <w:p w14:paraId="72065D5C"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1134" w:type="dxa"/>
            <w:tcBorders>
              <w:top w:val="nil"/>
              <w:left w:val="nil"/>
              <w:bottom w:val="single" w:sz="8" w:space="0" w:color="auto"/>
              <w:right w:val="single" w:sz="8" w:space="0" w:color="auto"/>
            </w:tcBorders>
            <w:shd w:val="clear" w:color="auto" w:fill="auto"/>
            <w:vAlign w:val="center"/>
          </w:tcPr>
          <w:p w14:paraId="79388F53"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0,8</w:t>
            </w:r>
          </w:p>
        </w:tc>
        <w:tc>
          <w:tcPr>
            <w:tcW w:w="1134" w:type="dxa"/>
            <w:tcBorders>
              <w:top w:val="nil"/>
              <w:left w:val="nil"/>
              <w:bottom w:val="single" w:sz="8" w:space="0" w:color="auto"/>
              <w:right w:val="single" w:sz="8" w:space="0" w:color="auto"/>
            </w:tcBorders>
            <w:shd w:val="clear" w:color="auto" w:fill="auto"/>
            <w:vAlign w:val="center"/>
          </w:tcPr>
          <w:p w14:paraId="09DF5B91"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0,8</w:t>
            </w:r>
          </w:p>
        </w:tc>
        <w:tc>
          <w:tcPr>
            <w:tcW w:w="992" w:type="dxa"/>
            <w:tcBorders>
              <w:top w:val="nil"/>
              <w:left w:val="nil"/>
              <w:bottom w:val="single" w:sz="8" w:space="0" w:color="auto"/>
              <w:right w:val="single" w:sz="8" w:space="0" w:color="auto"/>
            </w:tcBorders>
            <w:shd w:val="clear" w:color="auto" w:fill="auto"/>
            <w:vAlign w:val="center"/>
          </w:tcPr>
          <w:p w14:paraId="58C87941"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0,8</w:t>
            </w:r>
          </w:p>
        </w:tc>
        <w:tc>
          <w:tcPr>
            <w:tcW w:w="1134" w:type="dxa"/>
            <w:tcBorders>
              <w:top w:val="nil"/>
              <w:left w:val="nil"/>
              <w:bottom w:val="single" w:sz="8" w:space="0" w:color="auto"/>
              <w:right w:val="single" w:sz="8" w:space="0" w:color="auto"/>
            </w:tcBorders>
            <w:shd w:val="clear" w:color="auto" w:fill="auto"/>
            <w:vAlign w:val="center"/>
          </w:tcPr>
          <w:p w14:paraId="1DE09991" w14:textId="77777777" w:rsidR="007130E8" w:rsidRPr="007130E8" w:rsidRDefault="007130E8" w:rsidP="007130E8">
            <w:pPr>
              <w:jc w:val="center"/>
              <w:rPr>
                <w:rFonts w:eastAsia="Times New Roman" w:cs="Times New Roman"/>
                <w:snapToGrid w:val="0"/>
                <w:sz w:val="21"/>
                <w:szCs w:val="21"/>
                <w:highlight w:val="yellow"/>
              </w:rPr>
            </w:pPr>
            <w:r w:rsidRPr="007130E8">
              <w:rPr>
                <w:rFonts w:eastAsia="Times New Roman" w:cs="Times New Roman"/>
                <w:color w:val="000000"/>
                <w:sz w:val="21"/>
                <w:szCs w:val="21"/>
              </w:rPr>
              <w:t>0,8</w:t>
            </w:r>
          </w:p>
        </w:tc>
      </w:tr>
      <w:tr w:rsidR="007130E8" w:rsidRPr="007130E8" w14:paraId="4E116D59" w14:textId="77777777" w:rsidTr="00560DBE">
        <w:trPr>
          <w:jc w:val="center"/>
        </w:trPr>
        <w:tc>
          <w:tcPr>
            <w:tcW w:w="8784" w:type="dxa"/>
            <w:gridSpan w:val="7"/>
            <w:shd w:val="clear" w:color="auto" w:fill="BDD6EE" w:themeFill="accent1" w:themeFillTint="66"/>
          </w:tcPr>
          <w:p w14:paraId="0382DAD2" w14:textId="77777777" w:rsidR="007130E8" w:rsidRPr="007130E8" w:rsidRDefault="007130E8" w:rsidP="007130E8">
            <w:pPr>
              <w:ind w:firstLine="720"/>
              <w:jc w:val="both"/>
              <w:rPr>
                <w:rFonts w:eastAsia="Times New Roman" w:cs="Times New Roman"/>
                <w:b/>
                <w:snapToGrid w:val="0"/>
                <w:sz w:val="21"/>
                <w:szCs w:val="21"/>
              </w:rPr>
            </w:pPr>
            <w:r w:rsidRPr="007130E8">
              <w:rPr>
                <w:rFonts w:eastAsia="Times New Roman" w:cs="Times New Roman"/>
                <w:b/>
                <w:snapToGrid w:val="0"/>
                <w:sz w:val="21"/>
                <w:szCs w:val="21"/>
              </w:rPr>
              <w:t>Cikliskā attīstība</w:t>
            </w:r>
          </w:p>
        </w:tc>
      </w:tr>
      <w:tr w:rsidR="007130E8" w:rsidRPr="007130E8" w14:paraId="4EB2D2A3" w14:textId="77777777" w:rsidTr="00560DBE">
        <w:trPr>
          <w:jc w:val="center"/>
        </w:trPr>
        <w:tc>
          <w:tcPr>
            <w:tcW w:w="2547" w:type="dxa"/>
            <w:shd w:val="clear" w:color="auto" w:fill="auto"/>
          </w:tcPr>
          <w:p w14:paraId="0D9CDEFB" w14:textId="77777777" w:rsidR="007130E8" w:rsidRPr="007130E8" w:rsidRDefault="007130E8" w:rsidP="007130E8">
            <w:pPr>
              <w:rPr>
                <w:rFonts w:eastAsia="Times New Roman" w:cs="Times New Roman"/>
                <w:snapToGrid w:val="0"/>
                <w:sz w:val="21"/>
                <w:szCs w:val="21"/>
              </w:rPr>
            </w:pPr>
            <w:r w:rsidRPr="007130E8">
              <w:rPr>
                <w:rFonts w:eastAsia="Times New Roman" w:cs="Times New Roman"/>
                <w:snapToGrid w:val="0"/>
                <w:sz w:val="21"/>
                <w:szCs w:val="21"/>
              </w:rPr>
              <w:t>Budžeta bilances cikliskā komponente</w:t>
            </w:r>
            <w:r w:rsidRPr="007130E8">
              <w:rPr>
                <w:rFonts w:eastAsia="Times New Roman" w:cs="Times New Roman"/>
                <w:snapToGrid w:val="0"/>
                <w:sz w:val="21"/>
                <w:szCs w:val="21"/>
                <w:vertAlign w:val="superscript"/>
              </w:rPr>
              <w:footnoteReference w:id="23"/>
            </w:r>
          </w:p>
        </w:tc>
        <w:tc>
          <w:tcPr>
            <w:tcW w:w="850" w:type="dxa"/>
            <w:tcBorders>
              <w:right w:val="single" w:sz="4" w:space="0" w:color="auto"/>
            </w:tcBorders>
            <w:shd w:val="clear" w:color="auto" w:fill="auto"/>
          </w:tcPr>
          <w:p w14:paraId="5622E905" w14:textId="77777777" w:rsidR="007130E8" w:rsidRPr="007130E8" w:rsidRDefault="007130E8" w:rsidP="007130E8">
            <w:pPr>
              <w:jc w:val="both"/>
              <w:rPr>
                <w:rFonts w:eastAsia="Times New Roman" w:cs="Times New Roman"/>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525A9B"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snapToGrid w:val="0"/>
                <w:sz w:val="21"/>
                <w:szCs w:val="21"/>
              </w:rPr>
              <w:t>0,3</w:t>
            </w:r>
          </w:p>
        </w:tc>
        <w:tc>
          <w:tcPr>
            <w:tcW w:w="1134" w:type="dxa"/>
            <w:tcBorders>
              <w:top w:val="nil"/>
              <w:left w:val="nil"/>
              <w:bottom w:val="single" w:sz="8" w:space="0" w:color="auto"/>
              <w:right w:val="single" w:sz="8" w:space="0" w:color="auto"/>
            </w:tcBorders>
            <w:shd w:val="clear" w:color="auto" w:fill="auto"/>
            <w:vAlign w:val="center"/>
          </w:tcPr>
          <w:p w14:paraId="366AB477"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c>
          <w:tcPr>
            <w:tcW w:w="1134" w:type="dxa"/>
            <w:tcBorders>
              <w:top w:val="nil"/>
              <w:left w:val="nil"/>
              <w:bottom w:val="single" w:sz="8" w:space="0" w:color="auto"/>
              <w:right w:val="single" w:sz="8" w:space="0" w:color="auto"/>
            </w:tcBorders>
            <w:shd w:val="clear" w:color="auto" w:fill="auto"/>
            <w:vAlign w:val="center"/>
          </w:tcPr>
          <w:p w14:paraId="369A1000"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c>
          <w:tcPr>
            <w:tcW w:w="992" w:type="dxa"/>
            <w:tcBorders>
              <w:top w:val="nil"/>
              <w:left w:val="nil"/>
              <w:bottom w:val="single" w:sz="8" w:space="0" w:color="auto"/>
              <w:right w:val="single" w:sz="8" w:space="0" w:color="auto"/>
            </w:tcBorders>
            <w:shd w:val="clear" w:color="auto" w:fill="auto"/>
            <w:vAlign w:val="center"/>
          </w:tcPr>
          <w:p w14:paraId="4F649083"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c>
          <w:tcPr>
            <w:tcW w:w="1134" w:type="dxa"/>
            <w:tcBorders>
              <w:top w:val="nil"/>
              <w:left w:val="nil"/>
              <w:bottom w:val="single" w:sz="8" w:space="0" w:color="auto"/>
              <w:right w:val="single" w:sz="8" w:space="0" w:color="auto"/>
            </w:tcBorders>
            <w:shd w:val="clear" w:color="auto" w:fill="auto"/>
            <w:vAlign w:val="center"/>
          </w:tcPr>
          <w:p w14:paraId="6008DA7D"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r>
      <w:tr w:rsidR="007130E8" w:rsidRPr="007130E8" w14:paraId="410084F2" w14:textId="77777777" w:rsidTr="00560DBE">
        <w:trPr>
          <w:jc w:val="center"/>
        </w:trPr>
        <w:tc>
          <w:tcPr>
            <w:tcW w:w="2547" w:type="dxa"/>
            <w:shd w:val="clear" w:color="auto" w:fill="DEEAF6" w:themeFill="accent1" w:themeFillTint="33"/>
          </w:tcPr>
          <w:p w14:paraId="3D47A044" w14:textId="77777777" w:rsidR="007130E8" w:rsidRPr="007130E8" w:rsidRDefault="007130E8" w:rsidP="007130E8">
            <w:pPr>
              <w:rPr>
                <w:rFonts w:eastAsia="Times New Roman" w:cs="Times New Roman"/>
                <w:snapToGrid w:val="0"/>
                <w:sz w:val="21"/>
                <w:szCs w:val="21"/>
              </w:rPr>
            </w:pPr>
            <w:r w:rsidRPr="007130E8">
              <w:rPr>
                <w:rFonts w:eastAsia="Times New Roman" w:cs="Times New Roman"/>
                <w:snapToGrid w:val="0"/>
                <w:sz w:val="21"/>
                <w:szCs w:val="21"/>
              </w:rPr>
              <w:t>Vienreizējie pasākumi</w:t>
            </w:r>
            <w:r w:rsidRPr="007130E8">
              <w:rPr>
                <w:rFonts w:eastAsia="Times New Roman" w:cs="Times New Roman"/>
                <w:snapToGrid w:val="0"/>
                <w:sz w:val="21"/>
                <w:szCs w:val="21"/>
                <w:vertAlign w:val="superscript"/>
              </w:rPr>
              <w:footnoteReference w:id="24"/>
            </w:r>
          </w:p>
        </w:tc>
        <w:tc>
          <w:tcPr>
            <w:tcW w:w="850" w:type="dxa"/>
            <w:tcBorders>
              <w:right w:val="single" w:sz="4" w:space="0" w:color="auto"/>
            </w:tcBorders>
            <w:shd w:val="clear" w:color="auto" w:fill="DEEAF6" w:themeFill="accent1" w:themeFillTint="33"/>
          </w:tcPr>
          <w:p w14:paraId="7FDC1D80" w14:textId="77777777" w:rsidR="007130E8" w:rsidRPr="007130E8" w:rsidRDefault="007130E8" w:rsidP="007130E8">
            <w:pPr>
              <w:jc w:val="both"/>
              <w:rPr>
                <w:rFonts w:eastAsia="Times New Roman" w:cs="Times New Roman"/>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64BEAC"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snapToGrid w:val="0"/>
                <w:sz w:val="21"/>
                <w:szCs w:val="21"/>
              </w:rPr>
              <w:t>0,2</w:t>
            </w: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45F39A09" w14:textId="77777777" w:rsidR="007130E8" w:rsidRPr="007130E8" w:rsidRDefault="007130E8" w:rsidP="007130E8">
            <w:pPr>
              <w:jc w:val="center"/>
              <w:rPr>
                <w:rFonts w:eastAsia="Times New Roman" w:cs="Times New Roman"/>
                <w:snapToGrid w:val="0"/>
                <w:sz w:val="21"/>
                <w:szCs w:val="21"/>
              </w:rPr>
            </w:pP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2D692509" w14:textId="77777777" w:rsidR="007130E8" w:rsidRPr="007130E8" w:rsidRDefault="007130E8" w:rsidP="007130E8">
            <w:pPr>
              <w:jc w:val="center"/>
              <w:rPr>
                <w:rFonts w:eastAsia="Times New Roman" w:cs="Times New Roman"/>
                <w:snapToGrid w:val="0"/>
                <w:sz w:val="21"/>
                <w:szCs w:val="21"/>
                <w:highlight w:val="yellow"/>
              </w:rPr>
            </w:pPr>
          </w:p>
        </w:tc>
        <w:tc>
          <w:tcPr>
            <w:tcW w:w="992" w:type="dxa"/>
            <w:tcBorders>
              <w:top w:val="nil"/>
              <w:left w:val="nil"/>
              <w:bottom w:val="single" w:sz="8" w:space="0" w:color="auto"/>
              <w:right w:val="single" w:sz="8" w:space="0" w:color="auto"/>
            </w:tcBorders>
            <w:shd w:val="clear" w:color="auto" w:fill="DEEAF6" w:themeFill="accent1" w:themeFillTint="33"/>
            <w:vAlign w:val="center"/>
          </w:tcPr>
          <w:p w14:paraId="35BE94F9" w14:textId="77777777" w:rsidR="007130E8" w:rsidRPr="007130E8" w:rsidRDefault="007130E8" w:rsidP="007130E8">
            <w:pPr>
              <w:jc w:val="center"/>
              <w:rPr>
                <w:rFonts w:eastAsia="Times New Roman" w:cs="Times New Roman"/>
                <w:snapToGrid w:val="0"/>
                <w:sz w:val="21"/>
                <w:szCs w:val="21"/>
                <w:highlight w:val="yellow"/>
              </w:rPr>
            </w:pPr>
          </w:p>
        </w:tc>
        <w:tc>
          <w:tcPr>
            <w:tcW w:w="1134" w:type="dxa"/>
            <w:tcBorders>
              <w:top w:val="nil"/>
              <w:left w:val="nil"/>
              <w:bottom w:val="single" w:sz="8" w:space="0" w:color="auto"/>
              <w:right w:val="single" w:sz="8" w:space="0" w:color="auto"/>
            </w:tcBorders>
            <w:shd w:val="clear" w:color="auto" w:fill="DEEAF6" w:themeFill="accent1" w:themeFillTint="33"/>
            <w:vAlign w:val="center"/>
          </w:tcPr>
          <w:p w14:paraId="6B65F1F7" w14:textId="77777777" w:rsidR="007130E8" w:rsidRPr="007130E8" w:rsidRDefault="007130E8" w:rsidP="007130E8">
            <w:pPr>
              <w:jc w:val="center"/>
              <w:rPr>
                <w:rFonts w:eastAsia="Times New Roman" w:cs="Times New Roman"/>
                <w:snapToGrid w:val="0"/>
                <w:sz w:val="21"/>
                <w:szCs w:val="21"/>
                <w:highlight w:val="yellow"/>
              </w:rPr>
            </w:pPr>
          </w:p>
        </w:tc>
      </w:tr>
      <w:tr w:rsidR="007130E8" w:rsidRPr="007130E8" w14:paraId="2ECC5FBF" w14:textId="77777777" w:rsidTr="00560DBE">
        <w:trPr>
          <w:jc w:val="center"/>
        </w:trPr>
        <w:tc>
          <w:tcPr>
            <w:tcW w:w="2547" w:type="dxa"/>
            <w:shd w:val="clear" w:color="auto" w:fill="auto"/>
          </w:tcPr>
          <w:p w14:paraId="4BF90743" w14:textId="77777777" w:rsidR="007130E8" w:rsidRPr="007130E8" w:rsidRDefault="007130E8" w:rsidP="007130E8">
            <w:pPr>
              <w:rPr>
                <w:rFonts w:eastAsia="Times New Roman" w:cs="Times New Roman"/>
                <w:snapToGrid w:val="0"/>
                <w:sz w:val="21"/>
                <w:szCs w:val="21"/>
              </w:rPr>
            </w:pPr>
            <w:r w:rsidRPr="007130E8">
              <w:rPr>
                <w:rFonts w:eastAsia="Times New Roman" w:cs="Times New Roman"/>
                <w:snapToGrid w:val="0"/>
                <w:sz w:val="21"/>
                <w:szCs w:val="21"/>
              </w:rPr>
              <w:t>Cikliski koriģētā bilance</w:t>
            </w:r>
          </w:p>
        </w:tc>
        <w:tc>
          <w:tcPr>
            <w:tcW w:w="850" w:type="dxa"/>
            <w:tcBorders>
              <w:right w:val="single" w:sz="4" w:space="0" w:color="auto"/>
            </w:tcBorders>
            <w:shd w:val="clear" w:color="auto" w:fill="auto"/>
          </w:tcPr>
          <w:p w14:paraId="2B987CE4" w14:textId="77777777" w:rsidR="007130E8" w:rsidRPr="007130E8" w:rsidRDefault="007130E8" w:rsidP="007130E8">
            <w:pPr>
              <w:jc w:val="both"/>
              <w:rPr>
                <w:rFonts w:eastAsia="Times New Roman" w:cs="Times New Roman"/>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FC11B8"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snapToGrid w:val="0"/>
                <w:color w:val="000000"/>
                <w:sz w:val="21"/>
                <w:szCs w:val="21"/>
              </w:rPr>
              <w:t>-0,6</w:t>
            </w:r>
          </w:p>
        </w:tc>
        <w:tc>
          <w:tcPr>
            <w:tcW w:w="1134" w:type="dxa"/>
            <w:tcBorders>
              <w:top w:val="nil"/>
              <w:left w:val="nil"/>
              <w:bottom w:val="single" w:sz="8" w:space="0" w:color="auto"/>
              <w:right w:val="single" w:sz="8" w:space="0" w:color="auto"/>
            </w:tcBorders>
            <w:shd w:val="clear" w:color="auto" w:fill="auto"/>
            <w:vAlign w:val="center"/>
          </w:tcPr>
          <w:p w14:paraId="48407FFB"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-0,5</w:t>
            </w:r>
          </w:p>
        </w:tc>
        <w:tc>
          <w:tcPr>
            <w:tcW w:w="1134" w:type="dxa"/>
            <w:tcBorders>
              <w:top w:val="nil"/>
              <w:left w:val="nil"/>
              <w:bottom w:val="single" w:sz="8" w:space="0" w:color="auto"/>
              <w:right w:val="single" w:sz="8" w:space="0" w:color="auto"/>
            </w:tcBorders>
            <w:shd w:val="clear" w:color="auto" w:fill="auto"/>
            <w:vAlign w:val="center"/>
          </w:tcPr>
          <w:p w14:paraId="6D7AAC9A"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-0,2</w:t>
            </w:r>
          </w:p>
        </w:tc>
        <w:tc>
          <w:tcPr>
            <w:tcW w:w="992" w:type="dxa"/>
            <w:tcBorders>
              <w:top w:val="nil"/>
              <w:left w:val="nil"/>
              <w:bottom w:val="single" w:sz="8" w:space="0" w:color="auto"/>
              <w:right w:val="single" w:sz="8" w:space="0" w:color="auto"/>
            </w:tcBorders>
            <w:shd w:val="clear" w:color="auto" w:fill="auto"/>
            <w:vAlign w:val="center"/>
          </w:tcPr>
          <w:p w14:paraId="163C89C8"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c>
          <w:tcPr>
            <w:tcW w:w="1134" w:type="dxa"/>
            <w:tcBorders>
              <w:top w:val="nil"/>
              <w:left w:val="nil"/>
              <w:bottom w:val="single" w:sz="8" w:space="0" w:color="auto"/>
              <w:right w:val="single" w:sz="8" w:space="0" w:color="auto"/>
            </w:tcBorders>
            <w:shd w:val="clear" w:color="auto" w:fill="auto"/>
            <w:vAlign w:val="center"/>
          </w:tcPr>
          <w:p w14:paraId="2B7E7E9F"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1,1</w:t>
            </w:r>
          </w:p>
        </w:tc>
      </w:tr>
      <w:tr w:rsidR="007130E8" w:rsidRPr="007130E8" w14:paraId="6ACFF1BD" w14:textId="77777777" w:rsidTr="00560DBE">
        <w:trPr>
          <w:trHeight w:val="158"/>
          <w:jc w:val="center"/>
        </w:trPr>
        <w:tc>
          <w:tcPr>
            <w:tcW w:w="2547" w:type="dxa"/>
            <w:shd w:val="clear" w:color="auto" w:fill="auto"/>
          </w:tcPr>
          <w:p w14:paraId="7181EEE3" w14:textId="77777777" w:rsidR="007130E8" w:rsidRPr="007130E8" w:rsidRDefault="007130E8" w:rsidP="007130E8">
            <w:pPr>
              <w:rPr>
                <w:rFonts w:eastAsia="Times New Roman" w:cs="Times New Roman"/>
                <w:snapToGrid w:val="0"/>
                <w:sz w:val="21"/>
                <w:szCs w:val="21"/>
              </w:rPr>
            </w:pPr>
            <w:r w:rsidRPr="007130E8">
              <w:rPr>
                <w:rFonts w:eastAsia="Times New Roman" w:cs="Times New Roman"/>
                <w:snapToGrid w:val="0"/>
                <w:sz w:val="21"/>
                <w:szCs w:val="21"/>
              </w:rPr>
              <w:t>Cikliski koriģētā primārā bilance</w:t>
            </w:r>
          </w:p>
        </w:tc>
        <w:tc>
          <w:tcPr>
            <w:tcW w:w="850" w:type="dxa"/>
            <w:tcBorders>
              <w:right w:val="single" w:sz="4" w:space="0" w:color="auto"/>
            </w:tcBorders>
            <w:shd w:val="clear" w:color="auto" w:fill="auto"/>
          </w:tcPr>
          <w:p w14:paraId="20B665C4" w14:textId="77777777" w:rsidR="007130E8" w:rsidRPr="007130E8" w:rsidRDefault="007130E8" w:rsidP="007130E8">
            <w:pPr>
              <w:jc w:val="both"/>
              <w:rPr>
                <w:rFonts w:eastAsia="Times New Roman" w:cs="Times New Roman"/>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6AC7E1"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snapToGrid w:val="0"/>
                <w:color w:val="000000"/>
                <w:sz w:val="21"/>
                <w:szCs w:val="21"/>
              </w:rPr>
              <w:t>0,1</w:t>
            </w:r>
          </w:p>
        </w:tc>
        <w:tc>
          <w:tcPr>
            <w:tcW w:w="1134" w:type="dxa"/>
            <w:tcBorders>
              <w:top w:val="nil"/>
              <w:left w:val="nil"/>
              <w:bottom w:val="single" w:sz="8" w:space="0" w:color="auto"/>
              <w:right w:val="single" w:sz="8" w:space="0" w:color="auto"/>
            </w:tcBorders>
            <w:shd w:val="clear" w:color="auto" w:fill="auto"/>
            <w:vAlign w:val="center"/>
          </w:tcPr>
          <w:p w14:paraId="6B82B4A3"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0,3</w:t>
            </w:r>
          </w:p>
        </w:tc>
        <w:tc>
          <w:tcPr>
            <w:tcW w:w="1134" w:type="dxa"/>
            <w:tcBorders>
              <w:top w:val="nil"/>
              <w:left w:val="nil"/>
              <w:bottom w:val="single" w:sz="8" w:space="0" w:color="auto"/>
              <w:right w:val="single" w:sz="8" w:space="0" w:color="auto"/>
            </w:tcBorders>
            <w:shd w:val="clear" w:color="auto" w:fill="auto"/>
            <w:vAlign w:val="center"/>
          </w:tcPr>
          <w:p w14:paraId="1058D05F"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0,6</w:t>
            </w:r>
          </w:p>
        </w:tc>
        <w:tc>
          <w:tcPr>
            <w:tcW w:w="992" w:type="dxa"/>
            <w:tcBorders>
              <w:top w:val="nil"/>
              <w:left w:val="nil"/>
              <w:bottom w:val="single" w:sz="8" w:space="0" w:color="auto"/>
              <w:right w:val="single" w:sz="8" w:space="0" w:color="auto"/>
            </w:tcBorders>
            <w:shd w:val="clear" w:color="auto" w:fill="auto"/>
            <w:vAlign w:val="center"/>
          </w:tcPr>
          <w:p w14:paraId="3A3E896E"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0,6</w:t>
            </w:r>
          </w:p>
        </w:tc>
        <w:tc>
          <w:tcPr>
            <w:tcW w:w="1134" w:type="dxa"/>
            <w:tcBorders>
              <w:top w:val="nil"/>
              <w:left w:val="nil"/>
              <w:bottom w:val="single" w:sz="8" w:space="0" w:color="auto"/>
              <w:right w:val="single" w:sz="8" w:space="0" w:color="auto"/>
            </w:tcBorders>
            <w:shd w:val="clear" w:color="auto" w:fill="auto"/>
            <w:vAlign w:val="center"/>
          </w:tcPr>
          <w:p w14:paraId="0C2B0E4A"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1,8</w:t>
            </w:r>
          </w:p>
        </w:tc>
      </w:tr>
      <w:tr w:rsidR="007130E8" w:rsidRPr="007130E8" w14:paraId="2E6A3FD7" w14:textId="77777777" w:rsidTr="00560DBE">
        <w:trPr>
          <w:trHeight w:val="158"/>
          <w:jc w:val="center"/>
        </w:trPr>
        <w:tc>
          <w:tcPr>
            <w:tcW w:w="2547" w:type="dxa"/>
            <w:shd w:val="clear" w:color="auto" w:fill="auto"/>
          </w:tcPr>
          <w:p w14:paraId="4679DD17" w14:textId="77777777" w:rsidR="007130E8" w:rsidRPr="007130E8" w:rsidRDefault="007130E8" w:rsidP="007130E8">
            <w:pPr>
              <w:jc w:val="both"/>
              <w:rPr>
                <w:rFonts w:eastAsia="Times New Roman" w:cs="Times New Roman"/>
                <w:snapToGrid w:val="0"/>
                <w:sz w:val="21"/>
                <w:szCs w:val="21"/>
              </w:rPr>
            </w:pPr>
            <w:r w:rsidRPr="007130E8">
              <w:rPr>
                <w:rFonts w:eastAsia="Times New Roman" w:cs="Times New Roman"/>
                <w:snapToGrid w:val="0"/>
                <w:sz w:val="21"/>
                <w:szCs w:val="21"/>
              </w:rPr>
              <w:t>Strukturālā bilance</w:t>
            </w:r>
          </w:p>
        </w:tc>
        <w:tc>
          <w:tcPr>
            <w:tcW w:w="850" w:type="dxa"/>
            <w:tcBorders>
              <w:right w:val="single" w:sz="4" w:space="0" w:color="auto"/>
            </w:tcBorders>
            <w:shd w:val="clear" w:color="auto" w:fill="auto"/>
          </w:tcPr>
          <w:p w14:paraId="4C2397E4" w14:textId="77777777" w:rsidR="007130E8" w:rsidRPr="007130E8" w:rsidRDefault="007130E8" w:rsidP="007130E8">
            <w:pPr>
              <w:jc w:val="both"/>
              <w:rPr>
                <w:rFonts w:eastAsia="Times New Roman" w:cs="Times New Roman"/>
                <w:sz w:val="21"/>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86EC2F"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snapToGrid w:val="0"/>
                <w:color w:val="000000"/>
                <w:sz w:val="21"/>
                <w:szCs w:val="21"/>
              </w:rPr>
              <w:t>-0,7</w:t>
            </w:r>
          </w:p>
        </w:tc>
        <w:tc>
          <w:tcPr>
            <w:tcW w:w="1134" w:type="dxa"/>
            <w:tcBorders>
              <w:top w:val="nil"/>
              <w:left w:val="nil"/>
              <w:bottom w:val="single" w:sz="8" w:space="0" w:color="auto"/>
              <w:right w:val="single" w:sz="8" w:space="0" w:color="auto"/>
            </w:tcBorders>
            <w:shd w:val="clear" w:color="auto" w:fill="auto"/>
            <w:vAlign w:val="center"/>
          </w:tcPr>
          <w:p w14:paraId="2F1F7F32"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-0,5</w:t>
            </w:r>
          </w:p>
        </w:tc>
        <w:tc>
          <w:tcPr>
            <w:tcW w:w="1134" w:type="dxa"/>
            <w:tcBorders>
              <w:top w:val="nil"/>
              <w:left w:val="nil"/>
              <w:bottom w:val="single" w:sz="8" w:space="0" w:color="auto"/>
              <w:right w:val="single" w:sz="8" w:space="0" w:color="auto"/>
            </w:tcBorders>
            <w:shd w:val="clear" w:color="auto" w:fill="auto"/>
            <w:vAlign w:val="center"/>
          </w:tcPr>
          <w:p w14:paraId="665F7CE0"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-0,2</w:t>
            </w:r>
          </w:p>
        </w:tc>
        <w:tc>
          <w:tcPr>
            <w:tcW w:w="992" w:type="dxa"/>
            <w:tcBorders>
              <w:top w:val="nil"/>
              <w:left w:val="nil"/>
              <w:bottom w:val="single" w:sz="8" w:space="0" w:color="auto"/>
              <w:right w:val="single" w:sz="8" w:space="0" w:color="auto"/>
            </w:tcBorders>
            <w:shd w:val="clear" w:color="auto" w:fill="auto"/>
            <w:vAlign w:val="center"/>
          </w:tcPr>
          <w:p w14:paraId="784683CD"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-0,1</w:t>
            </w:r>
          </w:p>
        </w:tc>
        <w:tc>
          <w:tcPr>
            <w:tcW w:w="1134" w:type="dxa"/>
            <w:tcBorders>
              <w:top w:val="nil"/>
              <w:left w:val="nil"/>
              <w:bottom w:val="single" w:sz="8" w:space="0" w:color="auto"/>
              <w:right w:val="single" w:sz="8" w:space="0" w:color="auto"/>
            </w:tcBorders>
            <w:shd w:val="clear" w:color="auto" w:fill="auto"/>
            <w:vAlign w:val="center"/>
          </w:tcPr>
          <w:p w14:paraId="443B34ED" w14:textId="77777777" w:rsidR="007130E8" w:rsidRPr="007130E8" w:rsidRDefault="007130E8" w:rsidP="007130E8">
            <w:pPr>
              <w:jc w:val="center"/>
              <w:rPr>
                <w:rFonts w:eastAsia="Times New Roman" w:cs="Times New Roman"/>
                <w:snapToGrid w:val="0"/>
                <w:sz w:val="21"/>
                <w:szCs w:val="21"/>
              </w:rPr>
            </w:pPr>
            <w:r w:rsidRPr="007130E8">
              <w:rPr>
                <w:rFonts w:eastAsia="Times New Roman" w:cs="Times New Roman"/>
                <w:color w:val="000000"/>
                <w:sz w:val="21"/>
                <w:szCs w:val="21"/>
              </w:rPr>
              <w:t>1,1</w:t>
            </w:r>
          </w:p>
        </w:tc>
      </w:tr>
    </w:tbl>
    <w:p w14:paraId="431241EC" w14:textId="77777777" w:rsidR="00B324A9" w:rsidRDefault="00B324A9" w:rsidP="007130E8">
      <w:pPr>
        <w:spacing w:after="120" w:line="240" w:lineRule="auto"/>
        <w:ind w:firstLine="720"/>
        <w:jc w:val="both"/>
        <w:rPr>
          <w:rFonts w:ascii="Times New Roman" w:eastAsia="Times New Roman" w:hAnsi="Times New Roman" w:cs="Times New Roman"/>
          <w:sz w:val="24"/>
          <w:szCs w:val="24"/>
        </w:rPr>
      </w:pPr>
    </w:p>
    <w:p w14:paraId="0C4CED60" w14:textId="77777777" w:rsidR="007130E8" w:rsidRPr="007130E8" w:rsidRDefault="007130E8" w:rsidP="007130E8">
      <w:pPr>
        <w:spacing w:before="120" w:after="120"/>
        <w:ind w:firstLine="426"/>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Centrālās valdības budžets</w:t>
      </w:r>
    </w:p>
    <w:p w14:paraId="7E3B3F9B" w14:textId="70FBD4DE" w:rsidR="007130E8" w:rsidRPr="007130E8" w:rsidRDefault="007130E8" w:rsidP="00A402FA">
      <w:pPr>
        <w:numPr>
          <w:ilvl w:val="0"/>
          <w:numId w:val="6"/>
        </w:numPr>
        <w:spacing w:after="0" w:line="240" w:lineRule="auto"/>
        <w:ind w:left="851" w:hanging="283"/>
        <w:jc w:val="both"/>
        <w:rPr>
          <w:rFonts w:ascii="Times New Roman" w:eastAsia="Calibri" w:hAnsi="Times New Roman" w:cs="Times New Roman"/>
          <w:strike/>
          <w:color w:val="000000"/>
          <w:sz w:val="24"/>
          <w:szCs w:val="24"/>
        </w:rPr>
      </w:pPr>
      <w:r w:rsidRPr="007130E8">
        <w:rPr>
          <w:rFonts w:ascii="Times New Roman" w:eastAsia="Calibri" w:hAnsi="Times New Roman" w:cs="Times New Roman"/>
          <w:color w:val="000000"/>
          <w:sz w:val="24"/>
          <w:szCs w:val="24"/>
        </w:rPr>
        <w:t>20</w:t>
      </w:r>
      <w:r w:rsidR="00430107">
        <w:rPr>
          <w:rFonts w:ascii="Times New Roman" w:eastAsia="Calibri" w:hAnsi="Times New Roman" w:cs="Times New Roman"/>
          <w:color w:val="000000"/>
          <w:sz w:val="24"/>
          <w:szCs w:val="24"/>
        </w:rPr>
        <w:t>20.</w:t>
      </w:r>
      <w:r w:rsidRPr="007130E8">
        <w:rPr>
          <w:rFonts w:ascii="Times New Roman" w:eastAsia="Calibri" w:hAnsi="Times New Roman" w:cs="Times New Roman"/>
          <w:color w:val="000000"/>
          <w:sz w:val="24"/>
          <w:szCs w:val="24"/>
        </w:rPr>
        <w:t xml:space="preserve">gadā centrālās valdības budžetā pie nemainīgas politikas tiek plānots deficīts 0,9% </w:t>
      </w:r>
      <w:r w:rsidR="00430107">
        <w:rPr>
          <w:rFonts w:ascii="Times New Roman" w:eastAsia="Calibri" w:hAnsi="Times New Roman" w:cs="Times New Roman"/>
          <w:color w:val="000000"/>
          <w:sz w:val="24"/>
          <w:szCs w:val="24"/>
        </w:rPr>
        <w:t>no IKP, savukārt 2021. un 2022.</w:t>
      </w:r>
      <w:r w:rsidRPr="007130E8">
        <w:rPr>
          <w:rFonts w:ascii="Times New Roman" w:eastAsia="Calibri" w:hAnsi="Times New Roman" w:cs="Times New Roman"/>
          <w:color w:val="000000"/>
          <w:sz w:val="24"/>
          <w:szCs w:val="24"/>
        </w:rPr>
        <w:t xml:space="preserve">gadā deficīts 0,7% no IKP, bet 2023.gadā pārpalikums 0,4% apmērā no IKP. Atlīdzības izdevumi centrālās valdības budžetā tiek prognozēti ar lēzenu pieaugumu, tai skaitā izdevumi atlīdzībai </w:t>
      </w:r>
      <w:r w:rsidRPr="007130E8">
        <w:rPr>
          <w:rFonts w:ascii="Times New Roman" w:eastAsia="Calibri" w:hAnsi="Times New Roman" w:cs="Times New Roman"/>
          <w:sz w:val="24"/>
          <w:szCs w:val="24"/>
        </w:rPr>
        <w:t xml:space="preserve">mediķiem un pedagogiem vidējā </w:t>
      </w:r>
      <w:r w:rsidR="00430107">
        <w:rPr>
          <w:rFonts w:ascii="Times New Roman" w:eastAsia="Calibri" w:hAnsi="Times New Roman" w:cs="Times New Roman"/>
          <w:sz w:val="24"/>
          <w:szCs w:val="24"/>
        </w:rPr>
        <w:t>termiņā pamatā saglabājas 2020.</w:t>
      </w:r>
      <w:r w:rsidRPr="007130E8">
        <w:rPr>
          <w:rFonts w:ascii="Times New Roman" w:eastAsia="Calibri" w:hAnsi="Times New Roman" w:cs="Times New Roman"/>
          <w:sz w:val="24"/>
          <w:szCs w:val="24"/>
        </w:rPr>
        <w:t xml:space="preserve">gada līmenī, jo atbilstoši lēmumi par </w:t>
      </w:r>
      <w:r w:rsidR="00430107">
        <w:rPr>
          <w:rFonts w:ascii="Times New Roman" w:eastAsia="Calibri" w:hAnsi="Times New Roman" w:cs="Times New Roman"/>
          <w:sz w:val="24"/>
          <w:szCs w:val="24"/>
        </w:rPr>
        <w:t>finansējuma celšanu 2021.</w:t>
      </w:r>
      <w:r w:rsidR="00430107" w:rsidRPr="007130E8">
        <w:rPr>
          <w:rFonts w:ascii="Times New Roman" w:eastAsia="Times New Roman" w:hAnsi="Times New Roman" w:cs="Times New Roman"/>
          <w:sz w:val="24"/>
          <w:szCs w:val="24"/>
        </w:rPr>
        <w:t>–</w:t>
      </w:r>
      <w:r w:rsidR="00430107">
        <w:rPr>
          <w:rFonts w:ascii="Times New Roman" w:eastAsia="Calibri" w:hAnsi="Times New Roman" w:cs="Times New Roman"/>
          <w:sz w:val="24"/>
          <w:szCs w:val="24"/>
        </w:rPr>
        <w:t>2023.</w:t>
      </w:r>
      <w:r w:rsidRPr="007130E8">
        <w:rPr>
          <w:rFonts w:ascii="Times New Roman" w:eastAsia="Calibri" w:hAnsi="Times New Roman" w:cs="Times New Roman"/>
          <w:sz w:val="24"/>
          <w:szCs w:val="24"/>
        </w:rPr>
        <w:t xml:space="preserve">gadā nav pieņemti. </w:t>
      </w:r>
      <w:r w:rsidRPr="007130E8">
        <w:rPr>
          <w:rFonts w:ascii="Times New Roman" w:eastAsia="Calibri" w:hAnsi="Times New Roman" w:cs="Times New Roman"/>
          <w:noProof/>
          <w:sz w:val="24"/>
          <w:szCs w:val="24"/>
        </w:rPr>
        <w:t>Izdevumu līmenis aizsardzībai turpina saglabāties vismaz 2% no IKP apmērā, kas vidējā termiņā nozīmē izdevumu kāpumu šajā nozarē.</w:t>
      </w:r>
    </w:p>
    <w:p w14:paraId="4204254E" w14:textId="0B3DF6D9" w:rsidR="007130E8" w:rsidRPr="007130E8" w:rsidRDefault="00430107" w:rsidP="00A402FA">
      <w:pPr>
        <w:numPr>
          <w:ilvl w:val="0"/>
          <w:numId w:val="6"/>
        </w:numPr>
        <w:spacing w:after="0" w:line="240" w:lineRule="auto"/>
        <w:ind w:left="851" w:hanging="284"/>
        <w:jc w:val="both"/>
        <w:rPr>
          <w:rFonts w:ascii="Times New Roman" w:eastAsia="Calibri" w:hAnsi="Times New Roman" w:cs="Times New Roman"/>
          <w:strike/>
          <w:color w:val="000000"/>
          <w:sz w:val="24"/>
          <w:szCs w:val="24"/>
        </w:rPr>
      </w:pPr>
      <w:r>
        <w:rPr>
          <w:rFonts w:ascii="Times New Roman" w:eastAsia="Calibri" w:hAnsi="Times New Roman" w:cs="Times New Roman"/>
          <w:noProof/>
          <w:sz w:val="24"/>
          <w:szCs w:val="24"/>
        </w:rPr>
        <w:t>2020.g</w:t>
      </w:r>
      <w:r w:rsidR="007130E8" w:rsidRPr="007130E8">
        <w:rPr>
          <w:rFonts w:ascii="Times New Roman" w:eastAsia="Calibri" w:hAnsi="Times New Roman" w:cs="Times New Roman"/>
          <w:noProof/>
          <w:sz w:val="24"/>
          <w:szCs w:val="24"/>
        </w:rPr>
        <w:t>adā prognozēts straujāks nodokļu ieņēmumu palielinājums, ko ietekmē UIN ieņēmumu pieaugums, noslēdzoties reformas ietekmei, kas noteica</w:t>
      </w:r>
      <w:r>
        <w:rPr>
          <w:rFonts w:ascii="Times New Roman" w:eastAsia="Calibri" w:hAnsi="Times New Roman" w:cs="Times New Roman"/>
          <w:noProof/>
          <w:sz w:val="24"/>
          <w:szCs w:val="24"/>
        </w:rPr>
        <w:t xml:space="preserve"> zemu UIN ieņēmumu apjomu 2019.</w:t>
      </w:r>
      <w:r w:rsidR="007130E8" w:rsidRPr="007130E8">
        <w:rPr>
          <w:rFonts w:ascii="Times New Roman" w:eastAsia="Calibri" w:hAnsi="Times New Roman" w:cs="Times New Roman"/>
          <w:noProof/>
          <w:sz w:val="24"/>
          <w:szCs w:val="24"/>
        </w:rPr>
        <w:t>gadā.</w:t>
      </w:r>
      <w:r>
        <w:rPr>
          <w:rFonts w:ascii="Times New Roman" w:eastAsia="Calibri" w:hAnsi="Times New Roman" w:cs="Times New Roman"/>
          <w:noProof/>
          <w:sz w:val="24"/>
          <w:szCs w:val="24"/>
        </w:rPr>
        <w:t xml:space="preserve"> No 2021.</w:t>
      </w:r>
      <w:r w:rsidR="007130E8" w:rsidRPr="007130E8">
        <w:rPr>
          <w:rFonts w:ascii="Times New Roman" w:eastAsia="Calibri" w:hAnsi="Times New Roman" w:cs="Times New Roman"/>
          <w:noProof/>
          <w:sz w:val="24"/>
          <w:szCs w:val="24"/>
        </w:rPr>
        <w:t xml:space="preserve">gada paredzēta minimālās algas palielināšana līdz 500 </w:t>
      </w:r>
      <w:r w:rsidRPr="00430107">
        <w:rPr>
          <w:rFonts w:ascii="Times New Roman" w:eastAsia="Calibri" w:hAnsi="Times New Roman" w:cs="Times New Roman"/>
          <w:i/>
          <w:noProof/>
          <w:sz w:val="24"/>
          <w:szCs w:val="24"/>
        </w:rPr>
        <w:t>euro</w:t>
      </w:r>
      <w:r w:rsidR="007130E8" w:rsidRPr="007130E8">
        <w:rPr>
          <w:rFonts w:ascii="Times New Roman" w:eastAsia="Calibri" w:hAnsi="Times New Roman" w:cs="Times New Roman"/>
          <w:noProof/>
          <w:sz w:val="24"/>
          <w:szCs w:val="24"/>
        </w:rPr>
        <w:t>, kas pozitīvi ietekmēs nodokļu ieņēmumus, vienlaikus palielinot arī valsts pamatbudžeta izdevumus atalgojuma nodrošināšanai attiecī</w:t>
      </w:r>
      <w:r>
        <w:rPr>
          <w:rFonts w:ascii="Times New Roman" w:eastAsia="Calibri" w:hAnsi="Times New Roman" w:cs="Times New Roman"/>
          <w:noProof/>
          <w:sz w:val="24"/>
          <w:szCs w:val="24"/>
        </w:rPr>
        <w:t>gajā līmenī. IIN ieņēmumi 2020.</w:t>
      </w:r>
      <w:r w:rsidR="007130E8" w:rsidRPr="007130E8">
        <w:rPr>
          <w:rFonts w:ascii="Times New Roman" w:eastAsia="Calibri" w:hAnsi="Times New Roman" w:cs="Times New Roman"/>
          <w:noProof/>
          <w:sz w:val="24"/>
          <w:szCs w:val="24"/>
        </w:rPr>
        <w:t>gadā būs zemāki kā 2019.gadā, kas saistīts ar neapliekamā minimu</w:t>
      </w:r>
      <w:r>
        <w:rPr>
          <w:rFonts w:ascii="Times New Roman" w:eastAsia="Calibri" w:hAnsi="Times New Roman" w:cs="Times New Roman"/>
          <w:noProof/>
          <w:sz w:val="24"/>
          <w:szCs w:val="24"/>
        </w:rPr>
        <w:t>ma paaugstināšanu ar šā gada 1.</w:t>
      </w:r>
      <w:r w:rsidR="007130E8" w:rsidRPr="007130E8">
        <w:rPr>
          <w:rFonts w:ascii="Times New Roman" w:eastAsia="Calibri" w:hAnsi="Times New Roman" w:cs="Times New Roman"/>
          <w:noProof/>
          <w:sz w:val="24"/>
          <w:szCs w:val="24"/>
        </w:rPr>
        <w:t>janvāri un</w:t>
      </w:r>
      <w:r>
        <w:rPr>
          <w:rFonts w:ascii="Times New Roman" w:eastAsia="Calibri" w:hAnsi="Times New Roman" w:cs="Times New Roman"/>
          <w:noProof/>
          <w:sz w:val="24"/>
          <w:szCs w:val="24"/>
        </w:rPr>
        <w:t xml:space="preserve"> augstu dividenžu izmaksu 2019.</w:t>
      </w:r>
      <w:r w:rsidR="007130E8" w:rsidRPr="007130E8">
        <w:rPr>
          <w:rFonts w:ascii="Times New Roman" w:eastAsia="Calibri" w:hAnsi="Times New Roman" w:cs="Times New Roman"/>
          <w:noProof/>
          <w:sz w:val="24"/>
          <w:szCs w:val="24"/>
        </w:rPr>
        <w:t>gadā. Nākamos gados, kopējam algu fondam palielinoties, IIN ieņēmumi stabili palielināsies.</w:t>
      </w:r>
    </w:p>
    <w:p w14:paraId="3417EEE3" w14:textId="1337B8BB" w:rsidR="007130E8" w:rsidRPr="007130E8" w:rsidRDefault="007130E8" w:rsidP="00A402FA">
      <w:pPr>
        <w:numPr>
          <w:ilvl w:val="0"/>
          <w:numId w:val="6"/>
        </w:numPr>
        <w:spacing w:after="0" w:line="240" w:lineRule="auto"/>
        <w:ind w:left="851" w:hanging="283"/>
        <w:jc w:val="both"/>
        <w:rPr>
          <w:rFonts w:ascii="Times New Roman" w:eastAsia="Calibri" w:hAnsi="Times New Roman" w:cs="Times New Roman"/>
          <w:color w:val="000000"/>
          <w:sz w:val="24"/>
          <w:szCs w:val="24"/>
        </w:rPr>
      </w:pPr>
      <w:r w:rsidRPr="007130E8">
        <w:rPr>
          <w:rFonts w:ascii="Times New Roman" w:eastAsia="Calibri" w:hAnsi="Times New Roman" w:cs="Times New Roman"/>
          <w:sz w:val="24"/>
          <w:szCs w:val="24"/>
        </w:rPr>
        <w:t>Nodokļu ieņēmumu pieaugumu tempu ietekmēs prognozētais samazinājums ieņēmumos no īpašuma, ko galvenokārt veido saņemtie maksājumi par valsts kapitāla izmantošanu, kas skaidrojams ar to, ka 2021.</w:t>
      </w:r>
      <w:r w:rsidR="00430107" w:rsidRPr="007130E8">
        <w:rPr>
          <w:rFonts w:ascii="Times New Roman" w:eastAsia="Times New Roman" w:hAnsi="Times New Roman" w:cs="Times New Roman"/>
          <w:sz w:val="24"/>
          <w:szCs w:val="24"/>
        </w:rPr>
        <w:t>–</w:t>
      </w:r>
      <w:r w:rsidR="00430107">
        <w:rPr>
          <w:rFonts w:ascii="Times New Roman" w:eastAsia="Calibri" w:hAnsi="Times New Roman" w:cs="Times New Roman"/>
          <w:sz w:val="24"/>
          <w:szCs w:val="24"/>
        </w:rPr>
        <w:t>2023.</w:t>
      </w:r>
      <w:r w:rsidRPr="007130E8">
        <w:rPr>
          <w:rFonts w:ascii="Times New Roman" w:eastAsia="Calibri" w:hAnsi="Times New Roman" w:cs="Times New Roman"/>
          <w:sz w:val="24"/>
          <w:szCs w:val="24"/>
        </w:rPr>
        <w:t>gados prognozēs nav iekļauti ieņēmumi no AS “Latvenergo” dividendēm, tos plānojot likumā par valsts budžetu kārtējam gadam.</w:t>
      </w:r>
    </w:p>
    <w:p w14:paraId="1534543B" w14:textId="05D4B25B" w:rsidR="007130E8" w:rsidRPr="007130E8" w:rsidRDefault="007130E8" w:rsidP="00A402FA">
      <w:pPr>
        <w:numPr>
          <w:ilvl w:val="0"/>
          <w:numId w:val="6"/>
        </w:numPr>
        <w:spacing w:after="0" w:line="240" w:lineRule="auto"/>
        <w:ind w:left="851" w:hanging="283"/>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ES fondu investīcijas centrā</w:t>
      </w:r>
      <w:r w:rsidR="00430107">
        <w:rPr>
          <w:rFonts w:ascii="Times New Roman" w:eastAsia="Calibri" w:hAnsi="Times New Roman" w:cs="Times New Roman"/>
          <w:color w:val="000000"/>
          <w:sz w:val="24"/>
          <w:szCs w:val="24"/>
        </w:rPr>
        <w:t>lās valdības budžetā kopš 2018.</w:t>
      </w:r>
      <w:r w:rsidRPr="007130E8">
        <w:rPr>
          <w:rFonts w:ascii="Times New Roman" w:eastAsia="Calibri" w:hAnsi="Times New Roman" w:cs="Times New Roman"/>
          <w:color w:val="000000"/>
          <w:sz w:val="24"/>
          <w:szCs w:val="24"/>
        </w:rPr>
        <w:t xml:space="preserve">gada veiktas konstanti augstā līmenī (virs 700 milj. </w:t>
      </w:r>
      <w:r w:rsidR="00430107" w:rsidRPr="00430107">
        <w:rPr>
          <w:rFonts w:ascii="Times New Roman" w:eastAsia="Calibri" w:hAnsi="Times New Roman" w:cs="Times New Roman"/>
          <w:i/>
          <w:noProof/>
          <w:sz w:val="24"/>
          <w:szCs w:val="24"/>
        </w:rPr>
        <w:t>euro</w:t>
      </w:r>
      <w:r w:rsidRPr="007130E8">
        <w:rPr>
          <w:rFonts w:ascii="Times New Roman" w:eastAsia="Calibri" w:hAnsi="Times New Roman" w:cs="Times New Roman"/>
          <w:color w:val="000000"/>
          <w:sz w:val="24"/>
          <w:szCs w:val="24"/>
        </w:rPr>
        <w:t>) un līdzīgā ap</w:t>
      </w:r>
      <w:r w:rsidR="00430107">
        <w:rPr>
          <w:rFonts w:ascii="Times New Roman" w:eastAsia="Calibri" w:hAnsi="Times New Roman" w:cs="Times New Roman"/>
          <w:color w:val="000000"/>
          <w:sz w:val="24"/>
          <w:szCs w:val="24"/>
        </w:rPr>
        <w:t>mērā tiek prognozētas arī 2020.</w:t>
      </w:r>
      <w:r w:rsidR="0019182A">
        <w:rPr>
          <w:rFonts w:ascii="Times New Roman" w:eastAsia="Calibri" w:hAnsi="Times New Roman" w:cs="Times New Roman"/>
          <w:color w:val="000000"/>
          <w:sz w:val="24"/>
          <w:szCs w:val="24"/>
        </w:rPr>
        <w:t>gadā. Savukārt no 2021.</w:t>
      </w:r>
      <w:r w:rsidRPr="007130E8">
        <w:rPr>
          <w:rFonts w:ascii="Times New Roman" w:eastAsia="Calibri" w:hAnsi="Times New Roman" w:cs="Times New Roman"/>
          <w:color w:val="000000"/>
          <w:sz w:val="24"/>
          <w:szCs w:val="24"/>
        </w:rPr>
        <w:t>gada sagaidāms investīciju apmēra pieaugums, jo vienlaiku</w:t>
      </w:r>
      <w:r w:rsidR="00430107">
        <w:rPr>
          <w:rFonts w:ascii="Times New Roman" w:eastAsia="Calibri" w:hAnsi="Times New Roman" w:cs="Times New Roman"/>
          <w:color w:val="000000"/>
          <w:sz w:val="24"/>
          <w:szCs w:val="24"/>
        </w:rPr>
        <w:t>s tiek īstenoti gan 2014.</w:t>
      </w:r>
      <w:r w:rsidR="00430107" w:rsidRPr="007130E8">
        <w:rPr>
          <w:rFonts w:ascii="Times New Roman" w:eastAsia="Times New Roman" w:hAnsi="Times New Roman" w:cs="Times New Roman"/>
          <w:sz w:val="24"/>
          <w:szCs w:val="24"/>
        </w:rPr>
        <w:t>–</w:t>
      </w:r>
      <w:r w:rsidR="00430107">
        <w:rPr>
          <w:rFonts w:ascii="Times New Roman" w:eastAsia="Calibri" w:hAnsi="Times New Roman" w:cs="Times New Roman"/>
          <w:color w:val="000000"/>
          <w:sz w:val="24"/>
          <w:szCs w:val="24"/>
        </w:rPr>
        <w:t>2020.</w:t>
      </w:r>
      <w:r w:rsidRPr="007130E8">
        <w:rPr>
          <w:rFonts w:ascii="Times New Roman" w:eastAsia="Calibri" w:hAnsi="Times New Roman" w:cs="Times New Roman"/>
          <w:color w:val="000000"/>
          <w:sz w:val="24"/>
          <w:szCs w:val="24"/>
        </w:rPr>
        <w:t>gada plān</w:t>
      </w:r>
      <w:r w:rsidR="00430107">
        <w:rPr>
          <w:rFonts w:ascii="Times New Roman" w:eastAsia="Calibri" w:hAnsi="Times New Roman" w:cs="Times New Roman"/>
          <w:color w:val="000000"/>
          <w:sz w:val="24"/>
          <w:szCs w:val="24"/>
        </w:rPr>
        <w:t>ošanas perioda, gan 2021.</w:t>
      </w:r>
      <w:r w:rsidR="00430107" w:rsidRPr="007130E8">
        <w:rPr>
          <w:rFonts w:ascii="Times New Roman" w:eastAsia="Times New Roman" w:hAnsi="Times New Roman" w:cs="Times New Roman"/>
          <w:sz w:val="24"/>
          <w:szCs w:val="24"/>
        </w:rPr>
        <w:t>–</w:t>
      </w:r>
      <w:r w:rsidR="00430107">
        <w:rPr>
          <w:rFonts w:ascii="Times New Roman" w:eastAsia="Calibri" w:hAnsi="Times New Roman" w:cs="Times New Roman"/>
          <w:color w:val="000000"/>
          <w:sz w:val="24"/>
          <w:szCs w:val="24"/>
        </w:rPr>
        <w:t>2027.</w:t>
      </w:r>
      <w:r w:rsidRPr="007130E8">
        <w:rPr>
          <w:rFonts w:ascii="Times New Roman" w:eastAsia="Calibri" w:hAnsi="Times New Roman" w:cs="Times New Roman"/>
          <w:color w:val="000000"/>
          <w:sz w:val="24"/>
          <w:szCs w:val="24"/>
        </w:rPr>
        <w:t>gada plānošanas perioda ES fondu investīciju projekti.</w:t>
      </w:r>
    </w:p>
    <w:p w14:paraId="13902624" w14:textId="64F8B9A9" w:rsidR="007130E8" w:rsidRPr="007130E8" w:rsidRDefault="00430107" w:rsidP="00A402FA">
      <w:pPr>
        <w:numPr>
          <w:ilvl w:val="0"/>
          <w:numId w:val="6"/>
        </w:numPr>
        <w:spacing w:after="0" w:line="240" w:lineRule="auto"/>
        <w:ind w:left="851" w:hanging="283"/>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2023.</w:t>
      </w:r>
      <w:r w:rsidR="007130E8" w:rsidRPr="007130E8">
        <w:rPr>
          <w:rFonts w:ascii="Times New Roman" w:eastAsia="Calibri" w:hAnsi="Times New Roman" w:cs="Times New Roman"/>
          <w:color w:val="000000"/>
          <w:sz w:val="24"/>
          <w:szCs w:val="24"/>
        </w:rPr>
        <w:t>gadā centrālās valdības budžetā tiek plānots, ka kopējais izdevumu apmē</w:t>
      </w:r>
      <w:r>
        <w:rPr>
          <w:rFonts w:ascii="Times New Roman" w:eastAsia="Calibri" w:hAnsi="Times New Roman" w:cs="Times New Roman"/>
          <w:color w:val="000000"/>
          <w:sz w:val="24"/>
          <w:szCs w:val="24"/>
        </w:rPr>
        <w:t>rs nomināli būs zemāks kā 2022.</w:t>
      </w:r>
      <w:r w:rsidR="007130E8" w:rsidRPr="007130E8">
        <w:rPr>
          <w:rFonts w:ascii="Times New Roman" w:eastAsia="Calibri" w:hAnsi="Times New Roman" w:cs="Times New Roman"/>
          <w:color w:val="000000"/>
          <w:sz w:val="24"/>
          <w:szCs w:val="24"/>
        </w:rPr>
        <w:t>gadā, kas skaidroja</w:t>
      </w:r>
      <w:r>
        <w:rPr>
          <w:rFonts w:ascii="Times New Roman" w:eastAsia="Calibri" w:hAnsi="Times New Roman" w:cs="Times New Roman"/>
          <w:color w:val="000000"/>
          <w:sz w:val="24"/>
          <w:szCs w:val="24"/>
        </w:rPr>
        <w:t>ms ar to, ka attiecībā uz 2023.</w:t>
      </w:r>
      <w:r w:rsidR="007130E8" w:rsidRPr="007130E8">
        <w:rPr>
          <w:rFonts w:ascii="Times New Roman" w:eastAsia="Calibri" w:hAnsi="Times New Roman" w:cs="Times New Roman"/>
          <w:color w:val="000000"/>
          <w:sz w:val="24"/>
          <w:szCs w:val="24"/>
        </w:rPr>
        <w:t>gadu šobrīd nav pieņemti lēmumi par papildus resursu piešķiršanu. Attiecīgi centrālās valdības budžeta bilance pie nemainīgas</w:t>
      </w:r>
      <w:r>
        <w:rPr>
          <w:rFonts w:ascii="Times New Roman" w:eastAsia="Calibri" w:hAnsi="Times New Roman" w:cs="Times New Roman"/>
          <w:color w:val="000000"/>
          <w:sz w:val="24"/>
          <w:szCs w:val="24"/>
        </w:rPr>
        <w:t xml:space="preserve"> politikas, salīdzinot ar 2022.</w:t>
      </w:r>
      <w:r w:rsidR="007130E8" w:rsidRPr="007130E8">
        <w:rPr>
          <w:rFonts w:ascii="Times New Roman" w:eastAsia="Calibri" w:hAnsi="Times New Roman" w:cs="Times New Roman"/>
          <w:color w:val="000000"/>
          <w:sz w:val="24"/>
          <w:szCs w:val="24"/>
        </w:rPr>
        <w:t>gadu, būtiski uzlabosies.</w:t>
      </w:r>
    </w:p>
    <w:p w14:paraId="7817AD01" w14:textId="77777777" w:rsidR="007130E8" w:rsidRPr="007130E8" w:rsidRDefault="007130E8" w:rsidP="007130E8">
      <w:pPr>
        <w:spacing w:before="120" w:after="120" w:line="240" w:lineRule="auto"/>
        <w:ind w:firstLine="426"/>
        <w:jc w:val="both"/>
        <w:rPr>
          <w:rFonts w:ascii="Times New Roman" w:eastAsia="Times New Roman" w:hAnsi="Times New Roman" w:cs="Times New Roman"/>
          <w:sz w:val="24"/>
          <w:szCs w:val="24"/>
        </w:rPr>
      </w:pPr>
      <w:r w:rsidRPr="007130E8">
        <w:rPr>
          <w:rFonts w:ascii="Times New Roman" w:eastAsia="Times New Roman" w:hAnsi="Times New Roman" w:cs="Times New Roman"/>
          <w:b/>
          <w:sz w:val="24"/>
          <w:szCs w:val="24"/>
        </w:rPr>
        <w:t>Sociālās nodrošināšanas fonds</w:t>
      </w:r>
    </w:p>
    <w:p w14:paraId="3F55064F" w14:textId="73D28565" w:rsidR="007130E8" w:rsidRPr="007130E8" w:rsidRDefault="007130E8" w:rsidP="00A402FA">
      <w:pPr>
        <w:numPr>
          <w:ilvl w:val="0"/>
          <w:numId w:val="6"/>
        </w:numPr>
        <w:spacing w:after="0" w:line="240" w:lineRule="auto"/>
        <w:ind w:left="851" w:hanging="283"/>
        <w:jc w:val="both"/>
        <w:rPr>
          <w:rFonts w:ascii="Times New Roman" w:eastAsia="Calibri" w:hAnsi="Times New Roman" w:cs="Times New Roman"/>
          <w:color w:val="000000" w:themeColor="text1"/>
          <w:sz w:val="24"/>
          <w:szCs w:val="24"/>
        </w:rPr>
      </w:pPr>
      <w:r w:rsidRPr="007130E8">
        <w:rPr>
          <w:rFonts w:ascii="Times New Roman" w:eastAsia="Calibri" w:hAnsi="Times New Roman" w:cs="Times New Roman"/>
          <w:color w:val="000000" w:themeColor="text1"/>
          <w:sz w:val="24"/>
          <w:szCs w:val="24"/>
        </w:rPr>
        <w:t xml:space="preserve">Sociālās </w:t>
      </w:r>
      <w:r w:rsidR="00430107">
        <w:rPr>
          <w:rFonts w:ascii="Times New Roman" w:eastAsia="Calibri" w:hAnsi="Times New Roman" w:cs="Times New Roman"/>
          <w:color w:val="000000" w:themeColor="text1"/>
          <w:sz w:val="24"/>
          <w:szCs w:val="24"/>
        </w:rPr>
        <w:t>nodrošināšanas fondā kopš 2014.</w:t>
      </w:r>
      <w:r w:rsidRPr="007130E8">
        <w:rPr>
          <w:rFonts w:ascii="Times New Roman" w:eastAsia="Calibri" w:hAnsi="Times New Roman" w:cs="Times New Roman"/>
          <w:color w:val="000000" w:themeColor="text1"/>
          <w:sz w:val="24"/>
          <w:szCs w:val="24"/>
        </w:rPr>
        <w:t xml:space="preserve">gada katru gadu veidojas pārpalikums </w:t>
      </w:r>
      <w:r w:rsidRPr="007130E8">
        <w:rPr>
          <w:rFonts w:ascii="Times New Roman" w:eastAsia="Calibri" w:hAnsi="Times New Roman" w:cs="Times New Roman"/>
          <w:color w:val="000000"/>
          <w:sz w:val="24"/>
          <w:szCs w:val="24"/>
        </w:rPr>
        <w:t>–</w:t>
      </w:r>
      <w:r w:rsidR="00430107">
        <w:rPr>
          <w:rFonts w:ascii="Times New Roman" w:eastAsia="Calibri" w:hAnsi="Times New Roman" w:cs="Times New Roman"/>
          <w:color w:val="000000" w:themeColor="text1"/>
          <w:sz w:val="24"/>
          <w:szCs w:val="24"/>
        </w:rPr>
        <w:t>2019.</w:t>
      </w:r>
      <w:r w:rsidRPr="007130E8">
        <w:rPr>
          <w:rFonts w:ascii="Times New Roman" w:eastAsia="Calibri" w:hAnsi="Times New Roman" w:cs="Times New Roman"/>
          <w:color w:val="000000" w:themeColor="text1"/>
          <w:sz w:val="24"/>
          <w:szCs w:val="24"/>
        </w:rPr>
        <w:t>gadā tas sasniedza 0,9% no IKP, pateicoties labvēlīgai situācijai darba tirgū un augstam nodarbinātības līmenim. Taču vidējā termiņā pārpalikuma apmērs samazināsies un 202</w:t>
      </w:r>
      <w:r w:rsidR="00430107">
        <w:rPr>
          <w:rFonts w:ascii="Times New Roman" w:eastAsia="Calibri" w:hAnsi="Times New Roman" w:cs="Times New Roman"/>
          <w:color w:val="000000" w:themeColor="text1"/>
          <w:sz w:val="24"/>
          <w:szCs w:val="24"/>
        </w:rPr>
        <w:t>3.</w:t>
      </w:r>
      <w:r w:rsidRPr="007130E8">
        <w:rPr>
          <w:rFonts w:ascii="Times New Roman" w:eastAsia="Calibri" w:hAnsi="Times New Roman" w:cs="Times New Roman"/>
          <w:color w:val="000000" w:themeColor="text1"/>
          <w:sz w:val="24"/>
          <w:szCs w:val="24"/>
        </w:rPr>
        <w:t>gadā būs 0,5% no IKP, palēninoties sociālās apdrošināšanas iemaksu ieņēmumu pieauguma tempam un arvien pieaugot izdevumiem pensijām un pārējiem sociālajiem pabalstiem.</w:t>
      </w:r>
    </w:p>
    <w:p w14:paraId="3BDFE3C9" w14:textId="1D931611" w:rsidR="007130E8" w:rsidRPr="007130E8" w:rsidRDefault="00430107" w:rsidP="00A402FA">
      <w:pPr>
        <w:numPr>
          <w:ilvl w:val="1"/>
          <w:numId w:val="6"/>
        </w:numPr>
        <w:spacing w:after="0" w:line="240" w:lineRule="auto"/>
        <w:ind w:left="851" w:hanging="284"/>
        <w:jc w:val="both"/>
        <w:rPr>
          <w:rFonts w:ascii="Times New Roman" w:eastAsia="Calibri" w:hAnsi="Times New Roman" w:cs="Times New Roman"/>
          <w:color w:val="000000"/>
          <w:sz w:val="24"/>
          <w:szCs w:val="24"/>
        </w:rPr>
      </w:pPr>
      <w:r>
        <w:rPr>
          <w:rFonts w:ascii="Times New Roman" w:eastAsia="Calibri" w:hAnsi="Times New Roman" w:cs="Times New Roman"/>
          <w:color w:val="000000" w:themeColor="text1"/>
          <w:sz w:val="24"/>
          <w:szCs w:val="24"/>
        </w:rPr>
        <w:t>2020.</w:t>
      </w:r>
      <w:r w:rsidR="007130E8" w:rsidRPr="007130E8">
        <w:rPr>
          <w:rFonts w:ascii="Times New Roman" w:eastAsia="Calibri" w:hAnsi="Times New Roman" w:cs="Times New Roman"/>
          <w:color w:val="000000" w:themeColor="text1"/>
          <w:sz w:val="24"/>
          <w:szCs w:val="24"/>
        </w:rPr>
        <w:t>gadā sagaidāms straujāks izdevumu pieaugums pensijām, ņemot vērā gan vidējās darba samaksas kāpumu, gan lielākus indeksus, kuru pamatā ir augstāki faktiskie makroekonomiskie rādītāj</w:t>
      </w:r>
      <w:r>
        <w:rPr>
          <w:rFonts w:ascii="Times New Roman" w:eastAsia="Calibri" w:hAnsi="Times New Roman" w:cs="Times New Roman"/>
          <w:color w:val="000000" w:themeColor="text1"/>
          <w:sz w:val="24"/>
          <w:szCs w:val="24"/>
        </w:rPr>
        <w:t xml:space="preserve">i, indeksējot pensijas līdz 420 </w:t>
      </w:r>
      <w:r w:rsidRPr="00430107">
        <w:rPr>
          <w:rFonts w:ascii="Times New Roman" w:eastAsia="Calibri" w:hAnsi="Times New Roman" w:cs="Times New Roman"/>
          <w:i/>
          <w:noProof/>
          <w:sz w:val="24"/>
          <w:szCs w:val="24"/>
        </w:rPr>
        <w:t>euro</w:t>
      </w:r>
      <w:r>
        <w:rPr>
          <w:rFonts w:ascii="Times New Roman" w:eastAsia="Calibri" w:hAnsi="Times New Roman" w:cs="Times New Roman"/>
          <w:color w:val="000000" w:themeColor="text1"/>
          <w:sz w:val="24"/>
          <w:szCs w:val="24"/>
        </w:rPr>
        <w:t xml:space="preserve"> 2019.gada 1.</w:t>
      </w:r>
      <w:r w:rsidR="007130E8" w:rsidRPr="007130E8">
        <w:rPr>
          <w:rFonts w:ascii="Times New Roman" w:eastAsia="Calibri" w:hAnsi="Times New Roman" w:cs="Times New Roman"/>
          <w:color w:val="000000" w:themeColor="text1"/>
          <w:sz w:val="24"/>
          <w:szCs w:val="24"/>
        </w:rPr>
        <w:t>oktobrī. Izdevumi pensijām pieaugtu vēl straujāk, ja netiktu īstenota pensionēšanās vecuma reforma, kas</w:t>
      </w:r>
      <w:r>
        <w:rPr>
          <w:rFonts w:ascii="Times New Roman" w:eastAsia="Calibri" w:hAnsi="Times New Roman" w:cs="Times New Roman"/>
          <w:color w:val="000000" w:themeColor="text1"/>
          <w:sz w:val="24"/>
          <w:szCs w:val="24"/>
        </w:rPr>
        <w:t xml:space="preserve"> ir ieviesta 2014.</w:t>
      </w:r>
      <w:r w:rsidR="007130E8" w:rsidRPr="007130E8">
        <w:rPr>
          <w:rFonts w:ascii="Times New Roman" w:eastAsia="Calibri" w:hAnsi="Times New Roman" w:cs="Times New Roman"/>
          <w:color w:val="000000" w:themeColor="text1"/>
          <w:sz w:val="24"/>
          <w:szCs w:val="24"/>
        </w:rPr>
        <w:t>gadā un paredz ik ga</w:t>
      </w:r>
      <w:r>
        <w:rPr>
          <w:rFonts w:ascii="Times New Roman" w:eastAsia="Calibri" w:hAnsi="Times New Roman" w:cs="Times New Roman"/>
          <w:color w:val="000000" w:themeColor="text1"/>
          <w:sz w:val="24"/>
          <w:szCs w:val="24"/>
        </w:rPr>
        <w:t>du par trim mēnešiem līdz 2025.</w:t>
      </w:r>
      <w:r w:rsidR="007130E8" w:rsidRPr="007130E8">
        <w:rPr>
          <w:rFonts w:ascii="Times New Roman" w:eastAsia="Calibri" w:hAnsi="Times New Roman" w:cs="Times New Roman"/>
          <w:color w:val="000000" w:themeColor="text1"/>
          <w:sz w:val="24"/>
          <w:szCs w:val="24"/>
        </w:rPr>
        <w:t>gadam celt pensionēšanās vecumu līdz 65</w:t>
      </w:r>
      <w:r w:rsidR="0019182A">
        <w:rPr>
          <w:rFonts w:ascii="Times New Roman" w:eastAsia="Calibri" w:hAnsi="Times New Roman" w:cs="Times New Roman"/>
          <w:color w:val="000000" w:themeColor="text1"/>
          <w:sz w:val="24"/>
          <w:szCs w:val="24"/>
        </w:rPr>
        <w:t xml:space="preserve"> </w:t>
      </w:r>
      <w:r w:rsidR="007130E8" w:rsidRPr="007130E8">
        <w:rPr>
          <w:rFonts w:ascii="Times New Roman" w:eastAsia="Calibri" w:hAnsi="Times New Roman" w:cs="Times New Roman"/>
          <w:color w:val="000000" w:themeColor="text1"/>
          <w:sz w:val="24"/>
          <w:szCs w:val="24"/>
        </w:rPr>
        <w:t>gadiem, kā rezultātā pensiju saņēmēju skaits sarūk un šobrīd tiek prognozēts, ka turpinās samazināties arī vidējā termiņā.</w:t>
      </w:r>
    </w:p>
    <w:p w14:paraId="17325CC1" w14:textId="4CA62AE4" w:rsidR="007130E8" w:rsidRPr="007130E8" w:rsidRDefault="007130E8" w:rsidP="00A402FA">
      <w:pPr>
        <w:numPr>
          <w:ilvl w:val="1"/>
          <w:numId w:val="6"/>
        </w:numPr>
        <w:spacing w:after="0" w:line="240" w:lineRule="auto"/>
        <w:ind w:left="851" w:hanging="284"/>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themeColor="text1"/>
          <w:sz w:val="24"/>
          <w:szCs w:val="24"/>
        </w:rPr>
        <w:t xml:space="preserve">Lai motivētu veikt sociālās apdrošināšanas iemaksas, </w:t>
      </w:r>
      <w:r w:rsidR="00423058">
        <w:rPr>
          <w:rFonts w:ascii="Times New Roman" w:eastAsia="Calibri" w:hAnsi="Times New Roman" w:cs="Times New Roman"/>
          <w:sz w:val="24"/>
          <w:szCs w:val="24"/>
        </w:rPr>
        <w:t>no 2020.</w:t>
      </w:r>
      <w:r w:rsidRPr="007130E8">
        <w:rPr>
          <w:rFonts w:ascii="Times New Roman" w:eastAsia="Calibri" w:hAnsi="Times New Roman" w:cs="Times New Roman"/>
          <w:sz w:val="24"/>
          <w:szCs w:val="24"/>
        </w:rPr>
        <w:t xml:space="preserve">gada tiek paredzēta </w:t>
      </w:r>
      <w:r w:rsidRPr="007130E8">
        <w:rPr>
          <w:rFonts w:ascii="Times New Roman" w:eastAsia="Calibri" w:hAnsi="Times New Roman" w:cs="Times New Roman"/>
          <w:noProof/>
          <w:sz w:val="24"/>
          <w:szCs w:val="24"/>
        </w:rPr>
        <w:t>fondēto pensiju kapitāla mantošana. Fondēto pensiju shēmas dalībniekam ir tiesības izvēlēties, kā tiks izmantots viņa fondētās pensijas kapitāls, ja šis dalībnieks nomirst pirms vecuma pensijas pieprasīšanas dienas. Uzkrāto fondēto pensiju kapitālu varēs ieskaitīt valsts pensiju speciālajā budžetā vai pievienot fondēto pensiju shēmas dalībnieka norādītās personas fondētās pensijas kapitālam, vai to varēs mantot</w:t>
      </w:r>
      <w:r w:rsidRPr="007130E8">
        <w:rPr>
          <w:rFonts w:ascii="Times New Roman" w:eastAsia="Calibri" w:hAnsi="Times New Roman" w:cs="Times New Roman"/>
          <w:sz w:val="24"/>
          <w:szCs w:val="24"/>
        </w:rPr>
        <w:t xml:space="preserve"> Civillikumā noteiktajā kārtībā.</w:t>
      </w:r>
    </w:p>
    <w:p w14:paraId="021D1D93" w14:textId="65C69D17" w:rsidR="007130E8" w:rsidRPr="007130E8" w:rsidRDefault="00423058" w:rsidP="00A402FA">
      <w:pPr>
        <w:numPr>
          <w:ilvl w:val="0"/>
          <w:numId w:val="6"/>
        </w:numPr>
        <w:spacing w:after="0" w:line="240" w:lineRule="auto"/>
        <w:ind w:left="851" w:hanging="284"/>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No 2020.</w:t>
      </w:r>
      <w:r w:rsidR="007130E8" w:rsidRPr="007130E8">
        <w:rPr>
          <w:rFonts w:ascii="Times New Roman" w:eastAsia="Calibri" w:hAnsi="Times New Roman" w:cs="Times New Roman"/>
          <w:sz w:val="24"/>
          <w:szCs w:val="24"/>
        </w:rPr>
        <w:t xml:space="preserve">gada </w:t>
      </w:r>
      <w:r w:rsidR="007130E8" w:rsidRPr="007130E8">
        <w:rPr>
          <w:rFonts w:ascii="Times New Roman" w:eastAsia="Calibri" w:hAnsi="Times New Roman" w:cs="Times New Roman"/>
          <w:color w:val="000000"/>
          <w:sz w:val="24"/>
          <w:szCs w:val="24"/>
        </w:rPr>
        <w:t>bezdarbnieka pabalsta izmaksas ilgums ir samazināts no deviņiem uz astoņiem mēnešiem, tāpat pārskatīts ir izmaksājamā bezdarbnieka pabalsta apmēra procentuālais sadalījums par mēnešiem. Paredzēts, ka pirmos divus mēnešus bezdarbnieka pabalstu izmaksā piešķirtajā apmērā, trešajā un ceturtajā mēnesī 75% no piešķirtā apmēra, piektajā un sestajā mēnesī 50% no piešķirtā apmērā, septītajā un astotajā mēnesī 45% no piešķirtā pabalsta apmēra. Pirms šīs potenciālajiem bezdarbnieka pabalsta saņēmējiem nelabvēlīgāk</w:t>
      </w:r>
      <w:r>
        <w:rPr>
          <w:rFonts w:ascii="Times New Roman" w:eastAsia="Calibri" w:hAnsi="Times New Roman" w:cs="Times New Roman"/>
          <w:color w:val="000000"/>
          <w:sz w:val="24"/>
          <w:szCs w:val="24"/>
        </w:rPr>
        <w:t>as normas spēkā stāšanās, 2019.</w:t>
      </w:r>
      <w:r w:rsidR="007130E8" w:rsidRPr="007130E8">
        <w:rPr>
          <w:rFonts w:ascii="Times New Roman" w:eastAsia="Calibri" w:hAnsi="Times New Roman" w:cs="Times New Roman"/>
          <w:color w:val="000000"/>
          <w:sz w:val="24"/>
          <w:szCs w:val="24"/>
        </w:rPr>
        <w:t xml:space="preserve">gada nogalē bija vērojams pabalsta saņēmēju skaita pieaugums, kā rezultātā </w:t>
      </w:r>
      <w:r>
        <w:rPr>
          <w:rFonts w:ascii="Times New Roman" w:eastAsia="Calibri" w:hAnsi="Times New Roman" w:cs="Times New Roman"/>
          <w:color w:val="000000" w:themeColor="text1"/>
          <w:sz w:val="24"/>
          <w:szCs w:val="24"/>
        </w:rPr>
        <w:t>2020.</w:t>
      </w:r>
      <w:r w:rsidR="007130E8" w:rsidRPr="007130E8">
        <w:rPr>
          <w:rFonts w:ascii="Times New Roman" w:eastAsia="Calibri" w:hAnsi="Times New Roman" w:cs="Times New Roman"/>
          <w:color w:val="000000" w:themeColor="text1"/>
          <w:sz w:val="24"/>
          <w:szCs w:val="24"/>
        </w:rPr>
        <w:t xml:space="preserve">gada janvārī tika pirmo reizi </w:t>
      </w:r>
      <w:r w:rsidR="007130E8" w:rsidRPr="007130E8">
        <w:rPr>
          <w:rFonts w:ascii="Times New Roman" w:eastAsia="Calibri" w:hAnsi="Times New Roman" w:cs="Times New Roman"/>
          <w:noProof/>
          <w:color w:val="000000" w:themeColor="text1"/>
          <w:sz w:val="24"/>
          <w:szCs w:val="24"/>
        </w:rPr>
        <w:t xml:space="preserve">izmaksāti (jaunpiešķirti) 7 729 pabalsti, kas par 57% pārsniedza iepriekšējā gada vidējo rādītāju. Turklāt, vidējais jaunpiešķirtā pabalsta apmērs bija 571,39 </w:t>
      </w:r>
      <w:r w:rsidR="007130E8" w:rsidRPr="00430107">
        <w:rPr>
          <w:rFonts w:ascii="Times New Roman" w:eastAsia="Calibri" w:hAnsi="Times New Roman" w:cs="Times New Roman"/>
          <w:i/>
          <w:noProof/>
          <w:color w:val="000000" w:themeColor="text1"/>
          <w:sz w:val="24"/>
          <w:szCs w:val="24"/>
        </w:rPr>
        <w:t>e</w:t>
      </w:r>
      <w:r w:rsidR="00430107" w:rsidRPr="00430107">
        <w:rPr>
          <w:rFonts w:ascii="Times New Roman" w:eastAsia="Calibri" w:hAnsi="Times New Roman" w:cs="Times New Roman"/>
          <w:i/>
          <w:noProof/>
          <w:color w:val="000000" w:themeColor="text1"/>
          <w:sz w:val="24"/>
          <w:szCs w:val="24"/>
        </w:rPr>
        <w:t>u</w:t>
      </w:r>
      <w:r w:rsidR="007130E8" w:rsidRPr="00430107">
        <w:rPr>
          <w:rFonts w:ascii="Times New Roman" w:eastAsia="Calibri" w:hAnsi="Times New Roman" w:cs="Times New Roman"/>
          <w:i/>
          <w:noProof/>
          <w:color w:val="000000" w:themeColor="text1"/>
          <w:sz w:val="24"/>
          <w:szCs w:val="24"/>
        </w:rPr>
        <w:t>r</w:t>
      </w:r>
      <w:r w:rsidR="00430107" w:rsidRPr="00430107">
        <w:rPr>
          <w:rFonts w:ascii="Times New Roman" w:eastAsia="Calibri" w:hAnsi="Times New Roman" w:cs="Times New Roman"/>
          <w:i/>
          <w:noProof/>
          <w:color w:val="000000" w:themeColor="text1"/>
          <w:sz w:val="24"/>
          <w:szCs w:val="24"/>
        </w:rPr>
        <w:t>o</w:t>
      </w:r>
      <w:r w:rsidR="00430107">
        <w:rPr>
          <w:rFonts w:ascii="Times New Roman" w:eastAsia="Calibri" w:hAnsi="Times New Roman" w:cs="Times New Roman"/>
          <w:noProof/>
          <w:color w:val="000000" w:themeColor="text1"/>
          <w:sz w:val="24"/>
          <w:szCs w:val="24"/>
        </w:rPr>
        <w:t>, kas par 17% pārsniedza 2019.</w:t>
      </w:r>
      <w:r w:rsidR="007130E8" w:rsidRPr="007130E8">
        <w:rPr>
          <w:rFonts w:ascii="Times New Roman" w:eastAsia="Calibri" w:hAnsi="Times New Roman" w:cs="Times New Roman"/>
          <w:noProof/>
          <w:color w:val="000000" w:themeColor="text1"/>
          <w:sz w:val="24"/>
          <w:szCs w:val="24"/>
        </w:rPr>
        <w:t>gada rādītāju.</w:t>
      </w:r>
      <w:r w:rsidR="007130E8" w:rsidRPr="007130E8">
        <w:rPr>
          <w:rFonts w:ascii="Times New Roman" w:eastAsia="Calibri" w:hAnsi="Times New Roman" w:cs="Times New Roman"/>
          <w:noProof/>
          <w:sz w:val="24"/>
          <w:szCs w:val="24"/>
        </w:rPr>
        <w:t xml:space="preserve"> </w:t>
      </w:r>
      <w:r w:rsidR="007130E8" w:rsidRPr="007130E8">
        <w:rPr>
          <w:rFonts w:ascii="Times New Roman" w:eastAsia="Calibri" w:hAnsi="Times New Roman" w:cs="Times New Roman"/>
          <w:sz w:val="24"/>
          <w:szCs w:val="24"/>
        </w:rPr>
        <w:t>Bezdarbnieka pabalstu saņēmē</w:t>
      </w:r>
      <w:r w:rsidR="00430107">
        <w:rPr>
          <w:rFonts w:ascii="Times New Roman" w:eastAsia="Calibri" w:hAnsi="Times New Roman" w:cs="Times New Roman"/>
          <w:sz w:val="24"/>
          <w:szCs w:val="24"/>
        </w:rPr>
        <w:t>ju skaits pēc VSAA datiem 2019.</w:t>
      </w:r>
      <w:r w:rsidR="007130E8" w:rsidRPr="007130E8">
        <w:rPr>
          <w:rFonts w:ascii="Times New Roman" w:eastAsia="Calibri" w:hAnsi="Times New Roman" w:cs="Times New Roman"/>
          <w:sz w:val="24"/>
          <w:szCs w:val="24"/>
        </w:rPr>
        <w:t>gada d</w:t>
      </w:r>
      <w:r w:rsidR="00430107">
        <w:rPr>
          <w:rFonts w:ascii="Times New Roman" w:eastAsia="Calibri" w:hAnsi="Times New Roman" w:cs="Times New Roman"/>
          <w:sz w:val="24"/>
          <w:szCs w:val="24"/>
        </w:rPr>
        <w:t>ecembrī bija 32,1 tūkst., 2020.</w:t>
      </w:r>
      <w:r w:rsidR="007130E8" w:rsidRPr="007130E8">
        <w:rPr>
          <w:rFonts w:ascii="Times New Roman" w:eastAsia="Calibri" w:hAnsi="Times New Roman" w:cs="Times New Roman"/>
          <w:sz w:val="24"/>
          <w:szCs w:val="24"/>
        </w:rPr>
        <w:t>gada janvārī 35,9 tūkst. un februārī 37,3 tūkst. cilvēku.</w:t>
      </w:r>
    </w:p>
    <w:p w14:paraId="3204527E" w14:textId="467BE970" w:rsidR="007130E8" w:rsidRPr="007130E8" w:rsidRDefault="007130E8" w:rsidP="00A402FA">
      <w:pPr>
        <w:numPr>
          <w:ilvl w:val="0"/>
          <w:numId w:val="6"/>
        </w:numPr>
        <w:spacing w:after="0" w:line="240" w:lineRule="auto"/>
        <w:ind w:left="851" w:hanging="284"/>
        <w:jc w:val="both"/>
        <w:rPr>
          <w:rFonts w:ascii="Times New Roman" w:eastAsia="Calibri" w:hAnsi="Times New Roman" w:cs="Times New Roman"/>
          <w:i/>
          <w:color w:val="000000" w:themeColor="text1"/>
          <w:sz w:val="24"/>
          <w:szCs w:val="24"/>
        </w:rPr>
      </w:pPr>
      <w:r w:rsidRPr="007130E8">
        <w:rPr>
          <w:rFonts w:ascii="Times New Roman" w:eastAsia="Calibri" w:hAnsi="Times New Roman" w:cs="Times New Roman"/>
          <w:color w:val="000000" w:themeColor="text1"/>
          <w:sz w:val="24"/>
          <w:szCs w:val="24"/>
        </w:rPr>
        <w:t>Bāzes scenārijā, prognozējot bezdarbnieka pabalsta</w:t>
      </w:r>
      <w:r w:rsidR="00423058">
        <w:rPr>
          <w:rFonts w:ascii="Times New Roman" w:eastAsia="Calibri" w:hAnsi="Times New Roman" w:cs="Times New Roman"/>
          <w:color w:val="000000" w:themeColor="text1"/>
          <w:sz w:val="24"/>
          <w:szCs w:val="24"/>
        </w:rPr>
        <w:t xml:space="preserve"> saņēmēju skaita izmaiņas 2020.</w:t>
      </w:r>
      <w:r w:rsidRPr="007130E8">
        <w:rPr>
          <w:rFonts w:ascii="Times New Roman" w:eastAsia="Calibri" w:hAnsi="Times New Roman" w:cs="Times New Roman"/>
          <w:color w:val="000000" w:themeColor="text1"/>
          <w:sz w:val="24"/>
          <w:szCs w:val="24"/>
        </w:rPr>
        <w:t>gadā, ir ņemta vērā publiskajā telpā izplatītā informācija par a/s Latvijas Dzelzceļš „plāniem” līdz šī gada beigām pārtraukt darba tiesiskās attiecības ar aptuveni 1</w:t>
      </w:r>
      <w:r w:rsidR="00D253B5">
        <w:rPr>
          <w:rFonts w:ascii="Times New Roman" w:eastAsia="Calibri" w:hAnsi="Times New Roman" w:cs="Times New Roman"/>
          <w:color w:val="000000" w:themeColor="text1"/>
          <w:sz w:val="24"/>
          <w:szCs w:val="24"/>
        </w:rPr>
        <w:t> </w:t>
      </w:r>
      <w:r w:rsidRPr="007130E8">
        <w:rPr>
          <w:rFonts w:ascii="Times New Roman" w:eastAsia="Calibri" w:hAnsi="Times New Roman" w:cs="Times New Roman"/>
          <w:color w:val="000000" w:themeColor="text1"/>
          <w:sz w:val="24"/>
          <w:szCs w:val="24"/>
        </w:rPr>
        <w:t>500</w:t>
      </w:r>
      <w:r w:rsidR="00D253B5">
        <w:rPr>
          <w:rFonts w:ascii="Times New Roman" w:eastAsia="Calibri" w:hAnsi="Times New Roman" w:cs="Times New Roman"/>
          <w:color w:val="000000" w:themeColor="text1"/>
          <w:sz w:val="24"/>
          <w:szCs w:val="24"/>
        </w:rPr>
        <w:t xml:space="preserve"> </w:t>
      </w:r>
      <w:r w:rsidRPr="007130E8">
        <w:rPr>
          <w:rFonts w:ascii="Times New Roman" w:eastAsia="Calibri" w:hAnsi="Times New Roman" w:cs="Times New Roman"/>
          <w:iCs/>
          <w:color w:val="000000" w:themeColor="text1"/>
          <w:sz w:val="24"/>
          <w:szCs w:val="24"/>
        </w:rPr>
        <w:t>darbiniekiem.</w:t>
      </w:r>
    </w:p>
    <w:p w14:paraId="6ADD6731" w14:textId="77777777" w:rsidR="007130E8" w:rsidRPr="007130E8" w:rsidRDefault="007130E8" w:rsidP="007130E8">
      <w:pPr>
        <w:spacing w:before="120" w:after="120" w:line="240" w:lineRule="auto"/>
        <w:ind w:left="709" w:hanging="284"/>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b/>
          <w:color w:val="000000"/>
          <w:sz w:val="24"/>
          <w:szCs w:val="24"/>
        </w:rPr>
        <w:t>Vietējās valdības budžets</w:t>
      </w:r>
    </w:p>
    <w:p w14:paraId="4ACCB537" w14:textId="79EB6D8F" w:rsidR="007130E8" w:rsidRPr="007130E8" w:rsidRDefault="007130E8" w:rsidP="00A402FA">
      <w:pPr>
        <w:numPr>
          <w:ilvl w:val="0"/>
          <w:numId w:val="5"/>
        </w:numPr>
        <w:suppressAutoHyphens/>
        <w:spacing w:after="0" w:line="240" w:lineRule="auto"/>
        <w:ind w:left="851" w:hanging="284"/>
        <w:jc w:val="both"/>
        <w:textAlignment w:val="baseline"/>
        <w:rPr>
          <w:rFonts w:ascii="Times New Roman" w:eastAsia="NSimSun" w:hAnsi="Times New Roman" w:cs="Times New Roman"/>
          <w:kern w:val="2"/>
          <w:sz w:val="24"/>
          <w:szCs w:val="24"/>
          <w:lang w:eastAsia="zh-CN" w:bidi="hi-IN"/>
        </w:rPr>
      </w:pPr>
      <w:r w:rsidRPr="007130E8">
        <w:rPr>
          <w:rFonts w:ascii="Times New Roman" w:eastAsia="NSimSun" w:hAnsi="Times New Roman" w:cs="Times New Roman"/>
          <w:kern w:val="2"/>
          <w:sz w:val="24"/>
          <w:szCs w:val="24"/>
          <w:lang w:eastAsia="zh-CN" w:bidi="hi-IN"/>
        </w:rPr>
        <w:t>Prets</w:t>
      </w:r>
      <w:r w:rsidR="004E3C70">
        <w:rPr>
          <w:rFonts w:ascii="Times New Roman" w:eastAsia="NSimSun" w:hAnsi="Times New Roman" w:cs="Times New Roman"/>
          <w:kern w:val="2"/>
          <w:sz w:val="24"/>
          <w:szCs w:val="24"/>
          <w:lang w:eastAsia="zh-CN" w:bidi="hi-IN"/>
        </w:rPr>
        <w:t>tatā budžeta pārpalikumam 2019.</w:t>
      </w:r>
      <w:r w:rsidRPr="007130E8">
        <w:rPr>
          <w:rFonts w:ascii="Times New Roman" w:eastAsia="NSimSun" w:hAnsi="Times New Roman" w:cs="Times New Roman"/>
          <w:kern w:val="2"/>
          <w:sz w:val="24"/>
          <w:szCs w:val="24"/>
          <w:lang w:eastAsia="zh-CN" w:bidi="hi-IN"/>
        </w:rPr>
        <w:t>gadā (</w:t>
      </w:r>
      <w:r w:rsidRPr="009C3C09">
        <w:rPr>
          <w:rFonts w:ascii="Times New Roman" w:eastAsia="NSimSun" w:hAnsi="Times New Roman" w:cs="Times New Roman"/>
          <w:kern w:val="2"/>
          <w:sz w:val="24"/>
          <w:szCs w:val="24"/>
          <w:lang w:eastAsia="zh-CN" w:bidi="hi-IN"/>
        </w:rPr>
        <w:t>0,</w:t>
      </w:r>
      <w:r w:rsidR="001C5123" w:rsidRPr="009C3C09">
        <w:rPr>
          <w:rFonts w:ascii="Times New Roman" w:eastAsia="NSimSun" w:hAnsi="Times New Roman" w:cs="Times New Roman"/>
          <w:kern w:val="2"/>
          <w:sz w:val="24"/>
          <w:szCs w:val="24"/>
          <w:lang w:eastAsia="zh-CN" w:bidi="hi-IN"/>
        </w:rPr>
        <w:t>6</w:t>
      </w:r>
      <w:r w:rsidRPr="009C3C09">
        <w:rPr>
          <w:rFonts w:ascii="Times New Roman" w:eastAsia="NSimSun" w:hAnsi="Times New Roman" w:cs="Times New Roman"/>
          <w:kern w:val="2"/>
          <w:sz w:val="24"/>
          <w:szCs w:val="24"/>
          <w:lang w:eastAsia="zh-CN" w:bidi="hi-IN"/>
        </w:rPr>
        <w:t>%</w:t>
      </w:r>
      <w:r w:rsidRPr="007130E8">
        <w:rPr>
          <w:rFonts w:ascii="Times New Roman" w:eastAsia="NSimSun" w:hAnsi="Times New Roman" w:cs="Times New Roman"/>
          <w:kern w:val="2"/>
          <w:sz w:val="24"/>
          <w:szCs w:val="24"/>
          <w:lang w:eastAsia="zh-CN" w:bidi="hi-IN"/>
        </w:rPr>
        <w:t xml:space="preserve"> no IKP),</w:t>
      </w:r>
      <w:r w:rsidR="00423058">
        <w:rPr>
          <w:rFonts w:ascii="Times New Roman" w:eastAsia="NSimSun" w:hAnsi="Times New Roman" w:cs="Times New Roman"/>
          <w:kern w:val="2"/>
          <w:sz w:val="24"/>
          <w:szCs w:val="24"/>
          <w:lang w:eastAsia="zh-CN" w:bidi="hi-IN"/>
        </w:rPr>
        <w:t xml:space="preserve"> 2020.</w:t>
      </w:r>
      <w:r w:rsidRPr="007130E8">
        <w:rPr>
          <w:rFonts w:ascii="Times New Roman" w:eastAsia="NSimSun" w:hAnsi="Times New Roman" w:cs="Times New Roman"/>
          <w:kern w:val="2"/>
          <w:sz w:val="24"/>
          <w:szCs w:val="24"/>
          <w:lang w:eastAsia="zh-CN" w:bidi="hi-IN"/>
        </w:rPr>
        <w:t>gadā bāzes scenārijā pie nemainīgas politikas vietējās valdības budžetā tiek prognozēts deficīts 0,2% no IKP apmērā. Budžeta bilances pasliktināšanās skaidrojama galvenokārt ar zemākiem IIN ie</w:t>
      </w:r>
      <w:r w:rsidR="004E3C70">
        <w:rPr>
          <w:rFonts w:ascii="Times New Roman" w:eastAsia="NSimSun" w:hAnsi="Times New Roman" w:cs="Times New Roman"/>
          <w:kern w:val="2"/>
          <w:sz w:val="24"/>
          <w:szCs w:val="24"/>
          <w:lang w:eastAsia="zh-CN" w:bidi="hi-IN"/>
        </w:rPr>
        <w:t>ņēmumiem salīdzinājumā ar 2019.</w:t>
      </w:r>
      <w:r w:rsidRPr="007130E8">
        <w:rPr>
          <w:rFonts w:ascii="Times New Roman" w:eastAsia="NSimSun" w:hAnsi="Times New Roman" w:cs="Times New Roman"/>
          <w:kern w:val="2"/>
          <w:sz w:val="24"/>
          <w:szCs w:val="24"/>
          <w:lang w:eastAsia="zh-CN" w:bidi="hi-IN"/>
        </w:rPr>
        <w:t>gadu. To, savukārt, ietekmēja nodokļa a</w:t>
      </w:r>
      <w:r w:rsidR="004E3C70">
        <w:rPr>
          <w:rFonts w:ascii="Times New Roman" w:eastAsia="NSimSun" w:hAnsi="Times New Roman" w:cs="Times New Roman"/>
          <w:kern w:val="2"/>
          <w:sz w:val="24"/>
          <w:szCs w:val="24"/>
          <w:lang w:eastAsia="zh-CN" w:bidi="hi-IN"/>
        </w:rPr>
        <w:t>tvieglojumu palielināšana 2020.</w:t>
      </w:r>
      <w:r w:rsidRPr="007130E8">
        <w:rPr>
          <w:rFonts w:ascii="Times New Roman" w:eastAsia="NSimSun" w:hAnsi="Times New Roman" w:cs="Times New Roman"/>
          <w:kern w:val="2"/>
          <w:sz w:val="24"/>
          <w:szCs w:val="24"/>
          <w:lang w:eastAsia="zh-CN" w:bidi="hi-IN"/>
        </w:rPr>
        <w:t>gadā, kas tiek turpināta nodokļu reformas ietvaros, kā arī daudz zemākā apjomā prognozētie IIN maksājumi par dividenžu izmaksu fiziskām personām. Taču, salīdzinot ar iepriekš plānoto, ņemot vē</w:t>
      </w:r>
      <w:r w:rsidR="004E3C70">
        <w:rPr>
          <w:rFonts w:ascii="Times New Roman" w:eastAsia="NSimSun" w:hAnsi="Times New Roman" w:cs="Times New Roman"/>
          <w:kern w:val="2"/>
          <w:sz w:val="24"/>
          <w:szCs w:val="24"/>
          <w:lang w:eastAsia="zh-CN" w:bidi="hi-IN"/>
        </w:rPr>
        <w:t>rā labāku nodokļu izpildi 2019.</w:t>
      </w:r>
      <w:r w:rsidRPr="007130E8">
        <w:rPr>
          <w:rFonts w:ascii="Times New Roman" w:eastAsia="NSimSun" w:hAnsi="Times New Roman" w:cs="Times New Roman"/>
          <w:kern w:val="2"/>
          <w:sz w:val="24"/>
          <w:szCs w:val="24"/>
          <w:lang w:eastAsia="zh-CN" w:bidi="hi-IN"/>
        </w:rPr>
        <w:t>gadā, nodokļu ieņēmumu prognoze tika paaugstināta, kā rezultātā vietējās valdības budžeta deficīts salīdzinājumā ar plānu samazinājās.</w:t>
      </w:r>
    </w:p>
    <w:p w14:paraId="2A50E6E8" w14:textId="0175F8EE" w:rsidR="007130E8" w:rsidRPr="007130E8" w:rsidRDefault="004E3C70" w:rsidP="00A402FA">
      <w:pPr>
        <w:numPr>
          <w:ilvl w:val="0"/>
          <w:numId w:val="5"/>
        </w:numPr>
        <w:suppressAutoHyphens/>
        <w:spacing w:after="0" w:line="240" w:lineRule="auto"/>
        <w:ind w:left="851" w:hanging="284"/>
        <w:jc w:val="both"/>
        <w:textAlignment w:val="baseline"/>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Tāpat 2020.gadā salīdzinājumā ar 2019.</w:t>
      </w:r>
      <w:r w:rsidR="007130E8" w:rsidRPr="007130E8">
        <w:rPr>
          <w:rFonts w:ascii="Times New Roman" w:eastAsia="NSimSun" w:hAnsi="Times New Roman" w:cs="Times New Roman"/>
          <w:kern w:val="2"/>
          <w:sz w:val="24"/>
          <w:szCs w:val="24"/>
          <w:lang w:eastAsia="zh-CN" w:bidi="hi-IN"/>
        </w:rPr>
        <w:t xml:space="preserve">gadu, augstāku deficītu ietekmēs arī pašvaldību transfertu apjoma palielinājums uz valsts pamatbudžetu, kas skaidrojams ar likumdošanā noteikto Rīgas </w:t>
      </w:r>
      <w:r>
        <w:rPr>
          <w:rFonts w:ascii="Times New Roman" w:eastAsia="NSimSun" w:hAnsi="Times New Roman" w:cs="Times New Roman"/>
          <w:kern w:val="2"/>
          <w:sz w:val="24"/>
          <w:szCs w:val="24"/>
          <w:lang w:eastAsia="zh-CN" w:bidi="hi-IN"/>
        </w:rPr>
        <w:t xml:space="preserve">pašvaldības kompensāciju (2020.gadā 38,0 milj. </w:t>
      </w:r>
      <w:r w:rsidRPr="0019182A">
        <w:rPr>
          <w:rFonts w:ascii="Times New Roman" w:eastAsia="NSimSun" w:hAnsi="Times New Roman" w:cs="Times New Roman"/>
          <w:i/>
          <w:kern w:val="2"/>
          <w:sz w:val="24"/>
          <w:szCs w:val="24"/>
          <w:lang w:eastAsia="zh-CN" w:bidi="hi-IN"/>
        </w:rPr>
        <w:t>e</w:t>
      </w:r>
      <w:r w:rsidR="0019182A" w:rsidRPr="0019182A">
        <w:rPr>
          <w:rFonts w:ascii="Times New Roman" w:eastAsia="NSimSun" w:hAnsi="Times New Roman" w:cs="Times New Roman"/>
          <w:i/>
          <w:kern w:val="2"/>
          <w:sz w:val="24"/>
          <w:szCs w:val="24"/>
          <w:lang w:eastAsia="zh-CN" w:bidi="hi-IN"/>
        </w:rPr>
        <w:t>u</w:t>
      </w:r>
      <w:r w:rsidRPr="0019182A">
        <w:rPr>
          <w:rFonts w:ascii="Times New Roman" w:eastAsia="NSimSun" w:hAnsi="Times New Roman" w:cs="Times New Roman"/>
          <w:i/>
          <w:kern w:val="2"/>
          <w:sz w:val="24"/>
          <w:szCs w:val="24"/>
          <w:lang w:eastAsia="zh-CN" w:bidi="hi-IN"/>
        </w:rPr>
        <w:t>ro</w:t>
      </w:r>
      <w:r>
        <w:rPr>
          <w:rFonts w:ascii="Times New Roman" w:eastAsia="NSimSun" w:hAnsi="Times New Roman" w:cs="Times New Roman"/>
          <w:kern w:val="2"/>
          <w:sz w:val="24"/>
          <w:szCs w:val="24"/>
          <w:lang w:eastAsia="zh-CN" w:bidi="hi-IN"/>
        </w:rPr>
        <w:t>, 2021.</w:t>
      </w:r>
      <w:r w:rsidR="007130E8" w:rsidRPr="007130E8">
        <w:rPr>
          <w:rFonts w:ascii="Times New Roman" w:eastAsia="NSimSun" w:hAnsi="Times New Roman" w:cs="Times New Roman"/>
          <w:kern w:val="2"/>
          <w:sz w:val="24"/>
          <w:szCs w:val="24"/>
          <w:lang w:eastAsia="zh-CN" w:bidi="hi-IN"/>
        </w:rPr>
        <w:t xml:space="preserve">gadā 10,5 milj. </w:t>
      </w:r>
      <w:r w:rsidR="007130E8" w:rsidRPr="004E3C70">
        <w:rPr>
          <w:rFonts w:ascii="Times New Roman" w:eastAsia="NSimSun" w:hAnsi="Times New Roman" w:cs="Times New Roman"/>
          <w:i/>
          <w:kern w:val="2"/>
          <w:sz w:val="24"/>
          <w:szCs w:val="24"/>
          <w:lang w:eastAsia="zh-CN" w:bidi="hi-IN"/>
        </w:rPr>
        <w:t>e</w:t>
      </w:r>
      <w:r w:rsidRPr="004E3C70">
        <w:rPr>
          <w:rFonts w:ascii="Times New Roman" w:eastAsia="NSimSun" w:hAnsi="Times New Roman" w:cs="Times New Roman"/>
          <w:i/>
          <w:kern w:val="2"/>
          <w:sz w:val="24"/>
          <w:szCs w:val="24"/>
          <w:lang w:eastAsia="zh-CN" w:bidi="hi-IN"/>
        </w:rPr>
        <w:t>u</w:t>
      </w:r>
      <w:r w:rsidR="007130E8" w:rsidRPr="004E3C70">
        <w:rPr>
          <w:rFonts w:ascii="Times New Roman" w:eastAsia="NSimSun" w:hAnsi="Times New Roman" w:cs="Times New Roman"/>
          <w:i/>
          <w:kern w:val="2"/>
          <w:sz w:val="24"/>
          <w:szCs w:val="24"/>
          <w:lang w:eastAsia="zh-CN" w:bidi="hi-IN"/>
        </w:rPr>
        <w:t>ro</w:t>
      </w:r>
      <w:r w:rsidR="007130E8" w:rsidRPr="007130E8">
        <w:rPr>
          <w:rFonts w:ascii="Times New Roman" w:eastAsia="NSimSun" w:hAnsi="Times New Roman" w:cs="Times New Roman"/>
          <w:kern w:val="2"/>
          <w:sz w:val="24"/>
          <w:szCs w:val="24"/>
          <w:lang w:eastAsia="zh-CN" w:bidi="hi-IN"/>
        </w:rPr>
        <w:t>) par SIA “Rīgas satiksme” radīto negatīvo ietekmi uz vispārējās valdības budžeta bilanci, kā arī pašvaldību komercsabiedrību saimnieciskās darbības rezultāt</w:t>
      </w:r>
      <w:r>
        <w:rPr>
          <w:rFonts w:ascii="Times New Roman" w:eastAsia="NSimSun" w:hAnsi="Times New Roman" w:cs="Times New Roman"/>
          <w:kern w:val="2"/>
          <w:sz w:val="24"/>
          <w:szCs w:val="24"/>
          <w:lang w:eastAsia="zh-CN" w:bidi="hi-IN"/>
        </w:rPr>
        <w:t>iem, kas salīdzinājumā ar 2019.</w:t>
      </w:r>
      <w:r w:rsidR="007130E8" w:rsidRPr="007130E8">
        <w:rPr>
          <w:rFonts w:ascii="Times New Roman" w:eastAsia="NSimSun" w:hAnsi="Times New Roman" w:cs="Times New Roman"/>
          <w:kern w:val="2"/>
          <w:sz w:val="24"/>
          <w:szCs w:val="24"/>
          <w:lang w:eastAsia="zh-CN" w:bidi="hi-IN"/>
        </w:rPr>
        <w:t>gadu tiek prognozēti sliktāki, galvenokārt SIA “Rīgas satiksme” veicot investīcijas sabiedriskajā transportā. Taču, ja salīdzina ar iepriekš plānoto, tad šogad SIA “Rīgas satiksme”, nobīdoties jaunu transporta vienību piegāžu grafikam, koriģēja savu saimnieciskās darbības prognozi. Šogad tiek plānots, ka Rīgā tiks piegādāti jauni trolejbusi un tramvaji, kā arī modernizēta tramvaju infrastruktūra, savukārt jaunu autobusu</w:t>
      </w:r>
      <w:r>
        <w:rPr>
          <w:rFonts w:ascii="Times New Roman" w:eastAsia="NSimSun" w:hAnsi="Times New Roman" w:cs="Times New Roman"/>
          <w:kern w:val="2"/>
          <w:sz w:val="24"/>
          <w:szCs w:val="24"/>
          <w:lang w:eastAsia="zh-CN" w:bidi="hi-IN"/>
        </w:rPr>
        <w:t xml:space="preserve"> piegāde tiek pārcelta uz 2021.</w:t>
      </w:r>
      <w:r w:rsidR="007130E8" w:rsidRPr="007130E8">
        <w:rPr>
          <w:rFonts w:ascii="Times New Roman" w:eastAsia="NSimSun" w:hAnsi="Times New Roman" w:cs="Times New Roman"/>
          <w:kern w:val="2"/>
          <w:sz w:val="24"/>
          <w:szCs w:val="24"/>
          <w:lang w:eastAsia="zh-CN" w:bidi="hi-IN"/>
        </w:rPr>
        <w:t>gadu.</w:t>
      </w:r>
    </w:p>
    <w:p w14:paraId="7CB729A5" w14:textId="44E1F70C" w:rsidR="007130E8" w:rsidRPr="007130E8" w:rsidRDefault="007130E8" w:rsidP="00A402FA">
      <w:pPr>
        <w:numPr>
          <w:ilvl w:val="0"/>
          <w:numId w:val="5"/>
        </w:numPr>
        <w:suppressAutoHyphens/>
        <w:spacing w:after="0" w:line="240" w:lineRule="auto"/>
        <w:ind w:left="851" w:hanging="284"/>
        <w:jc w:val="both"/>
        <w:textAlignment w:val="baseline"/>
        <w:rPr>
          <w:rFonts w:ascii="Times New Roman" w:eastAsia="NSimSun" w:hAnsi="Times New Roman" w:cs="Times New Roman"/>
          <w:kern w:val="2"/>
          <w:sz w:val="24"/>
          <w:szCs w:val="24"/>
          <w:lang w:eastAsia="zh-CN" w:bidi="hi-IN"/>
        </w:rPr>
      </w:pPr>
      <w:r w:rsidRPr="007130E8">
        <w:rPr>
          <w:rFonts w:ascii="Times New Roman" w:eastAsia="NSimSun" w:hAnsi="Times New Roman" w:cs="Times New Roman"/>
          <w:kern w:val="2"/>
          <w:sz w:val="24"/>
          <w:szCs w:val="24"/>
          <w:lang w:eastAsia="zh-CN" w:bidi="hi-IN"/>
        </w:rPr>
        <w:t>Sagatavojot pašvaldību budžeta izdevumu prognozi vidējam termiņam, tika pieņemts, ka, neskatoties uz augsto pašvaldību naudas līdzekļu atlikumu ap</w:t>
      </w:r>
      <w:r w:rsidR="004E3C70">
        <w:rPr>
          <w:rFonts w:ascii="Times New Roman" w:eastAsia="NSimSun" w:hAnsi="Times New Roman" w:cs="Times New Roman"/>
          <w:kern w:val="2"/>
          <w:sz w:val="24"/>
          <w:szCs w:val="24"/>
          <w:lang w:eastAsia="zh-CN" w:bidi="hi-IN"/>
        </w:rPr>
        <w:t>jomu (budžeta pārpalikumu 2019.</w:t>
      </w:r>
      <w:r w:rsidRPr="007130E8">
        <w:rPr>
          <w:rFonts w:ascii="Times New Roman" w:eastAsia="NSimSun" w:hAnsi="Times New Roman" w:cs="Times New Roman"/>
          <w:kern w:val="2"/>
          <w:sz w:val="24"/>
          <w:szCs w:val="24"/>
          <w:lang w:eastAsia="zh-CN" w:bidi="hi-IN"/>
        </w:rPr>
        <w:t>gadā, kā arī labu IIN ieņēmumu izpildi šā gada pirmajos divos mēnešos), kopumā izdevumi saglabāsies pagājušā gada līmenī un būtiski nepieaugs. Ja izdevumos atlīdzībai, precēm un pakalpojumiem, subsīdijām un dotācijām tiek prognozēts mērens pieaugums, tad izdevumi investīcijām kopumā tiek prognozēti ma</w:t>
      </w:r>
      <w:r w:rsidR="004E3C70">
        <w:rPr>
          <w:rFonts w:ascii="Times New Roman" w:eastAsia="NSimSun" w:hAnsi="Times New Roman" w:cs="Times New Roman"/>
          <w:kern w:val="2"/>
          <w:sz w:val="24"/>
          <w:szCs w:val="24"/>
          <w:lang w:eastAsia="zh-CN" w:bidi="hi-IN"/>
        </w:rPr>
        <w:t>zākā apmērā nekā 2018. un 2019.</w:t>
      </w:r>
      <w:r w:rsidRPr="007130E8">
        <w:rPr>
          <w:rFonts w:ascii="Times New Roman" w:eastAsia="NSimSun" w:hAnsi="Times New Roman" w:cs="Times New Roman"/>
          <w:kern w:val="2"/>
          <w:sz w:val="24"/>
          <w:szCs w:val="24"/>
          <w:lang w:eastAsia="zh-CN" w:bidi="hi-IN"/>
        </w:rPr>
        <w:t>gadā, kad to līmenis bija stabili augsts, pateicoties ES fondu projektu aktīvai īstenošanai. Kapitālo izdevumu samazināšanos vidējā termiņā noteiks gan spēkā esošie aizņemšanās ierobežojumi investīcijām pamatfunkciju izpildei, gan fakts, ka Rīgas pašvaldība līdz budžeta apstiprināšanai mēnesī drīkst tērēt 1/12 daļu no pagājušā gada budžet</w:t>
      </w:r>
      <w:r w:rsidR="004E3C70">
        <w:rPr>
          <w:rFonts w:ascii="Times New Roman" w:eastAsia="NSimSun" w:hAnsi="Times New Roman" w:cs="Times New Roman"/>
          <w:kern w:val="2"/>
          <w:sz w:val="24"/>
          <w:szCs w:val="24"/>
          <w:lang w:eastAsia="zh-CN" w:bidi="hi-IN"/>
        </w:rPr>
        <w:t xml:space="preserve">a, gan arī ES fondu </w:t>
      </w:r>
      <w:r w:rsidR="00A01FD4">
        <w:rPr>
          <w:rFonts w:ascii="Times New Roman" w:eastAsia="NSimSun" w:hAnsi="Times New Roman" w:cs="Times New Roman"/>
          <w:kern w:val="2"/>
          <w:sz w:val="24"/>
          <w:szCs w:val="24"/>
          <w:lang w:eastAsia="zh-CN" w:bidi="hi-IN"/>
        </w:rPr>
        <w:br/>
      </w:r>
      <w:r w:rsidR="004E3C70">
        <w:rPr>
          <w:rFonts w:ascii="Times New Roman" w:eastAsia="NSimSun" w:hAnsi="Times New Roman" w:cs="Times New Roman"/>
          <w:kern w:val="2"/>
          <w:sz w:val="24"/>
          <w:szCs w:val="24"/>
          <w:lang w:eastAsia="zh-CN" w:bidi="hi-IN"/>
        </w:rPr>
        <w:t>2014.</w:t>
      </w:r>
      <w:r w:rsidR="004E3C70" w:rsidRPr="007130E8">
        <w:rPr>
          <w:rFonts w:ascii="Times New Roman" w:eastAsia="Times New Roman" w:hAnsi="Times New Roman" w:cs="Times New Roman"/>
          <w:sz w:val="24"/>
          <w:szCs w:val="24"/>
        </w:rPr>
        <w:t>–</w:t>
      </w:r>
      <w:r w:rsidR="004E3C70">
        <w:rPr>
          <w:rFonts w:ascii="Times New Roman" w:eastAsia="NSimSun" w:hAnsi="Times New Roman" w:cs="Times New Roman"/>
          <w:kern w:val="2"/>
          <w:sz w:val="24"/>
          <w:szCs w:val="24"/>
          <w:lang w:eastAsia="zh-CN" w:bidi="hi-IN"/>
        </w:rPr>
        <w:t>2020.</w:t>
      </w:r>
      <w:r w:rsidRPr="007130E8">
        <w:rPr>
          <w:rFonts w:ascii="Times New Roman" w:eastAsia="NSimSun" w:hAnsi="Times New Roman" w:cs="Times New Roman"/>
          <w:kern w:val="2"/>
          <w:sz w:val="24"/>
          <w:szCs w:val="24"/>
          <w:lang w:eastAsia="zh-CN" w:bidi="hi-IN"/>
        </w:rPr>
        <w:t>gada plānošanas perioda tuvošanos noslēguma fāzei.</w:t>
      </w:r>
    </w:p>
    <w:p w14:paraId="19C59734" w14:textId="5CCBEFDE" w:rsidR="007130E8" w:rsidRPr="007130E8" w:rsidRDefault="007130E8" w:rsidP="00A402FA">
      <w:pPr>
        <w:numPr>
          <w:ilvl w:val="0"/>
          <w:numId w:val="5"/>
        </w:numPr>
        <w:suppressAutoHyphens/>
        <w:spacing w:after="0" w:line="240" w:lineRule="auto"/>
        <w:ind w:left="851" w:hanging="284"/>
        <w:jc w:val="both"/>
        <w:textAlignment w:val="baseline"/>
        <w:rPr>
          <w:rFonts w:ascii="Times New Roman" w:eastAsia="NSimSun" w:hAnsi="Times New Roman" w:cs="Times New Roman"/>
          <w:kern w:val="2"/>
          <w:sz w:val="24"/>
          <w:szCs w:val="24"/>
          <w:lang w:eastAsia="zh-CN" w:bidi="hi-IN"/>
        </w:rPr>
      </w:pPr>
      <w:r w:rsidRPr="007130E8">
        <w:rPr>
          <w:rFonts w:ascii="Times New Roman" w:eastAsia="NSimSun" w:hAnsi="Times New Roman" w:cs="Times New Roman"/>
          <w:kern w:val="2"/>
          <w:sz w:val="24"/>
          <w:szCs w:val="24"/>
          <w:lang w:eastAsia="zh-CN" w:bidi="hi-IN"/>
        </w:rPr>
        <w:t>Tiek prognozēts, ka vidējā termiņā vietējās valdības budžeta bilance ik gadu uzlabosies, sasniedzot pārpa</w:t>
      </w:r>
      <w:r w:rsidR="004E3C70">
        <w:rPr>
          <w:rFonts w:ascii="Times New Roman" w:eastAsia="NSimSun" w:hAnsi="Times New Roman" w:cs="Times New Roman"/>
          <w:kern w:val="2"/>
          <w:sz w:val="24"/>
          <w:szCs w:val="24"/>
          <w:lang w:eastAsia="zh-CN" w:bidi="hi-IN"/>
        </w:rPr>
        <w:t>likumu 0,1% no IKP apmērā 2023.</w:t>
      </w:r>
      <w:r w:rsidRPr="007130E8">
        <w:rPr>
          <w:rFonts w:ascii="Times New Roman" w:eastAsia="NSimSun" w:hAnsi="Times New Roman" w:cs="Times New Roman"/>
          <w:kern w:val="2"/>
          <w:sz w:val="24"/>
          <w:szCs w:val="24"/>
          <w:lang w:eastAsia="zh-CN" w:bidi="hi-IN"/>
        </w:rPr>
        <w:t>gadā.</w:t>
      </w:r>
    </w:p>
    <w:p w14:paraId="605B3D61" w14:textId="77777777" w:rsidR="006D0D2F" w:rsidRDefault="006D0D2F" w:rsidP="007130E8">
      <w:pPr>
        <w:spacing w:after="120" w:line="240" w:lineRule="auto"/>
        <w:ind w:left="578"/>
        <w:jc w:val="both"/>
        <w:rPr>
          <w:rFonts w:ascii="Times New Roman" w:eastAsia="Times New Roman" w:hAnsi="Times New Roman" w:cs="Times New Roman"/>
          <w:b/>
          <w:color w:val="000000"/>
          <w:sz w:val="24"/>
          <w:szCs w:val="24"/>
        </w:rPr>
      </w:pPr>
    </w:p>
    <w:p w14:paraId="44F2D963" w14:textId="3E3708D9" w:rsidR="007130E8" w:rsidRPr="007130E8" w:rsidRDefault="007130E8" w:rsidP="007130E8">
      <w:pPr>
        <w:spacing w:after="120" w:line="240" w:lineRule="auto"/>
        <w:ind w:left="578"/>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3.3.2. Covid-19 ietekmes scenārijs</w:t>
      </w:r>
    </w:p>
    <w:p w14:paraId="338A73B9" w14:textId="66E08D61" w:rsidR="007130E8" w:rsidRDefault="007130E8" w:rsidP="00684209">
      <w:pPr>
        <w:spacing w:after="0" w:line="240" w:lineRule="auto"/>
        <w:ind w:firstLine="578"/>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Ņemot vērā situācijas tālāko attīstību saistībā ar Covid-19 izplatību un valdības apstiprināt</w:t>
      </w:r>
      <w:r w:rsidR="00AD7089">
        <w:rPr>
          <w:rFonts w:ascii="Times New Roman" w:eastAsia="Times New Roman" w:hAnsi="Times New Roman" w:cs="Times New Roman"/>
          <w:color w:val="000000"/>
          <w:sz w:val="24"/>
          <w:szCs w:val="24"/>
        </w:rPr>
        <w:t>os ierobežojumus no šā gada 13.</w:t>
      </w:r>
      <w:r w:rsidRPr="007130E8">
        <w:rPr>
          <w:rFonts w:ascii="Times New Roman" w:eastAsia="Times New Roman" w:hAnsi="Times New Roman" w:cs="Times New Roman"/>
          <w:color w:val="000000"/>
          <w:sz w:val="24"/>
          <w:szCs w:val="24"/>
        </w:rPr>
        <w:t>marta pandēmijas laikā, aprīļa sākumā F</w:t>
      </w:r>
      <w:r w:rsidR="00F033D3">
        <w:rPr>
          <w:rFonts w:ascii="Times New Roman" w:eastAsia="Times New Roman" w:hAnsi="Times New Roman" w:cs="Times New Roman"/>
          <w:color w:val="000000"/>
          <w:sz w:val="24"/>
          <w:szCs w:val="24"/>
        </w:rPr>
        <w:t xml:space="preserve">M </w:t>
      </w:r>
      <w:r w:rsidRPr="007130E8">
        <w:rPr>
          <w:rFonts w:ascii="Times New Roman" w:eastAsia="Times New Roman" w:hAnsi="Times New Roman" w:cs="Times New Roman"/>
          <w:color w:val="000000"/>
          <w:sz w:val="24"/>
          <w:szCs w:val="24"/>
        </w:rPr>
        <w:t>izstrādāja Covid-19 ietekmes makroekonomiskās attīstības scenāriju, uz kā pamata atjaunotas vispārējās v</w:t>
      </w:r>
      <w:r w:rsidR="00AD7089">
        <w:rPr>
          <w:rFonts w:ascii="Times New Roman" w:eastAsia="Times New Roman" w:hAnsi="Times New Roman" w:cs="Times New Roman"/>
          <w:color w:val="000000"/>
          <w:sz w:val="24"/>
          <w:szCs w:val="24"/>
        </w:rPr>
        <w:t>aldības budžeta prognozes 2020.</w:t>
      </w:r>
      <w:r w:rsidRPr="007130E8">
        <w:rPr>
          <w:rFonts w:ascii="Times New Roman" w:eastAsia="Times New Roman" w:hAnsi="Times New Roman" w:cs="Times New Roman"/>
          <w:color w:val="000000"/>
          <w:sz w:val="24"/>
          <w:szCs w:val="24"/>
        </w:rPr>
        <w:t>gadam un vidējam termiņam. Balstoties uz aktualizēto</w:t>
      </w:r>
      <w:r w:rsidR="00AD7089">
        <w:rPr>
          <w:rFonts w:ascii="Times New Roman" w:eastAsia="Times New Roman" w:hAnsi="Times New Roman" w:cs="Times New Roman"/>
          <w:noProof/>
          <w:color w:val="000000"/>
          <w:sz w:val="24"/>
          <w:szCs w:val="24"/>
        </w:rPr>
        <w:t xml:space="preserve"> makroscenāriju, kas 2020.</w:t>
      </w:r>
      <w:r w:rsidRPr="007130E8">
        <w:rPr>
          <w:rFonts w:ascii="Times New Roman" w:eastAsia="Times New Roman" w:hAnsi="Times New Roman" w:cs="Times New Roman"/>
          <w:noProof/>
          <w:color w:val="000000"/>
          <w:sz w:val="24"/>
          <w:szCs w:val="24"/>
        </w:rPr>
        <w:t>gadā paredz IKP kritumu 7%, aktualizētas nodokļu un nenodokļu ieņēmumu prognozes, izdevumi pensijām un pabalstiem valsts sociālās apdrošināšanas budžetā, procentu izdevumi un citas atsevišķas budžeta pozīcijas, kas tika precizētas kopš bāzes scenārija izstrādes.</w:t>
      </w:r>
      <w:r w:rsidRPr="007130E8">
        <w:rPr>
          <w:rFonts w:ascii="Times New Roman" w:eastAsia="Times New Roman" w:hAnsi="Times New Roman" w:cs="Times New Roman"/>
          <w:color w:val="000000"/>
          <w:sz w:val="24"/>
          <w:szCs w:val="24"/>
        </w:rPr>
        <w:t xml:space="preserve"> Fiskālajās prognozēs ir ņemti vērā valdī</w:t>
      </w:r>
      <w:r w:rsidR="00AD7089">
        <w:rPr>
          <w:rFonts w:ascii="Times New Roman" w:eastAsia="Times New Roman" w:hAnsi="Times New Roman" w:cs="Times New Roman"/>
          <w:color w:val="000000"/>
          <w:sz w:val="24"/>
          <w:szCs w:val="24"/>
        </w:rPr>
        <w:t>bas un Saeimas līdz šā gada 17.</w:t>
      </w:r>
      <w:r w:rsidRPr="007130E8">
        <w:rPr>
          <w:rFonts w:ascii="Times New Roman" w:eastAsia="Times New Roman" w:hAnsi="Times New Roman" w:cs="Times New Roman"/>
          <w:color w:val="000000"/>
          <w:sz w:val="24"/>
          <w:szCs w:val="24"/>
        </w:rPr>
        <w:t>aprīlim apstiprinātie (tai skaitā konceptuāli) atbalsta pasākumi krīzes seku mazināšanai. Jāatzīmē, ka, ņemot vērā situācijas nenoteiktību un steidzamu normatīvo aktu pieņemšanas procesu pandēmijas apstākļos, atbalsta pasākumu fiskālā ietekme, ko atbildīgās institūcijas ir norādījušas normatīvo aktu anotācijās, atsevišķos gadījumos ir koriģēta, balstoties uz atbal</w:t>
      </w:r>
      <w:r w:rsidR="00A402FA">
        <w:rPr>
          <w:rFonts w:ascii="Times New Roman" w:eastAsia="Times New Roman" w:hAnsi="Times New Roman" w:cs="Times New Roman"/>
          <w:color w:val="000000"/>
          <w:sz w:val="24"/>
          <w:szCs w:val="24"/>
        </w:rPr>
        <w:t xml:space="preserve">sta pasākumu faktisko izpildi. </w:t>
      </w:r>
    </w:p>
    <w:p w14:paraId="292809CF" w14:textId="77777777" w:rsidR="008A47CF" w:rsidRPr="007130E8" w:rsidRDefault="008A47CF" w:rsidP="008A47CF">
      <w:pPr>
        <w:spacing w:after="0" w:line="240" w:lineRule="auto"/>
        <w:ind w:firstLine="578"/>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 xml:space="preserve">Atbilstoši Covid-19 ietekmes scenārijam vispārējās </w:t>
      </w:r>
      <w:r>
        <w:rPr>
          <w:rFonts w:ascii="Times New Roman" w:eastAsia="Times New Roman" w:hAnsi="Times New Roman" w:cs="Times New Roman"/>
          <w:b/>
          <w:color w:val="000000"/>
          <w:sz w:val="24"/>
          <w:szCs w:val="24"/>
        </w:rPr>
        <w:t>valdības budžeta deficīts 2020.</w:t>
      </w:r>
      <w:r w:rsidRPr="007130E8">
        <w:rPr>
          <w:rFonts w:ascii="Times New Roman" w:eastAsia="Times New Roman" w:hAnsi="Times New Roman" w:cs="Times New Roman"/>
          <w:b/>
          <w:color w:val="000000"/>
          <w:sz w:val="24"/>
          <w:szCs w:val="24"/>
        </w:rPr>
        <w:t>gadā tie</w:t>
      </w:r>
      <w:r>
        <w:rPr>
          <w:rFonts w:ascii="Times New Roman" w:eastAsia="Times New Roman" w:hAnsi="Times New Roman" w:cs="Times New Roman"/>
          <w:b/>
          <w:color w:val="000000"/>
          <w:sz w:val="24"/>
          <w:szCs w:val="24"/>
        </w:rPr>
        <w:t>k prognozēts 9,4% no IKP, 2021.</w:t>
      </w:r>
      <w:r w:rsidRPr="007130E8">
        <w:rPr>
          <w:rFonts w:ascii="Times New Roman" w:eastAsia="Times New Roman" w:hAnsi="Times New Roman" w:cs="Times New Roman"/>
          <w:b/>
          <w:color w:val="000000"/>
          <w:sz w:val="24"/>
          <w:szCs w:val="24"/>
        </w:rPr>
        <w:t>gadā tiek prognoz</w:t>
      </w:r>
      <w:r>
        <w:rPr>
          <w:rFonts w:ascii="Times New Roman" w:eastAsia="Times New Roman" w:hAnsi="Times New Roman" w:cs="Times New Roman"/>
          <w:b/>
          <w:color w:val="000000"/>
          <w:sz w:val="24"/>
          <w:szCs w:val="24"/>
        </w:rPr>
        <w:t>ēts deficīts 5,0% no IKP, 2022.</w:t>
      </w:r>
      <w:r w:rsidRPr="007130E8">
        <w:rPr>
          <w:rFonts w:ascii="Times New Roman" w:eastAsia="Times New Roman" w:hAnsi="Times New Roman" w:cs="Times New Roman"/>
          <w:b/>
          <w:color w:val="000000"/>
          <w:sz w:val="24"/>
          <w:szCs w:val="24"/>
        </w:rPr>
        <w:t>gad</w:t>
      </w:r>
      <w:r>
        <w:rPr>
          <w:rFonts w:ascii="Times New Roman" w:eastAsia="Times New Roman" w:hAnsi="Times New Roman" w:cs="Times New Roman"/>
          <w:b/>
          <w:color w:val="000000"/>
          <w:sz w:val="24"/>
          <w:szCs w:val="24"/>
        </w:rPr>
        <w:t>ā deficīts 3,9% no IKP un 2023.</w:t>
      </w:r>
      <w:r w:rsidRPr="007130E8">
        <w:rPr>
          <w:rFonts w:ascii="Times New Roman" w:eastAsia="Times New Roman" w:hAnsi="Times New Roman" w:cs="Times New Roman"/>
          <w:b/>
          <w:color w:val="000000"/>
          <w:sz w:val="24"/>
          <w:szCs w:val="24"/>
        </w:rPr>
        <w:t xml:space="preserve">gadā deficīts 2,7% no IKP apmērā. </w:t>
      </w:r>
    </w:p>
    <w:p w14:paraId="55AA68AF" w14:textId="77777777" w:rsidR="009C776B" w:rsidRPr="008A47CF" w:rsidRDefault="009C776B" w:rsidP="007130E8">
      <w:pPr>
        <w:spacing w:after="120" w:line="276" w:lineRule="auto"/>
        <w:ind w:firstLine="720"/>
        <w:jc w:val="right"/>
        <w:rPr>
          <w:rFonts w:ascii="Times New Roman" w:eastAsiaTheme="minorHAnsi" w:hAnsi="Times New Roman" w:cs="Times New Roman"/>
          <w:b/>
          <w:sz w:val="2"/>
          <w:szCs w:val="2"/>
        </w:rPr>
      </w:pPr>
    </w:p>
    <w:p w14:paraId="5959CCBF" w14:textId="337975D6" w:rsidR="007130E8" w:rsidRPr="007130E8" w:rsidRDefault="007130E8" w:rsidP="007130E8">
      <w:pPr>
        <w:spacing w:after="120" w:line="276" w:lineRule="auto"/>
        <w:ind w:firstLine="720"/>
        <w:jc w:val="right"/>
        <w:rPr>
          <w:rFonts w:ascii="Times New Roman" w:eastAsiaTheme="minorHAnsi" w:hAnsi="Times New Roman" w:cs="Times New Roman"/>
          <w:b/>
          <w:sz w:val="24"/>
          <w:szCs w:val="24"/>
        </w:rPr>
      </w:pPr>
      <w:r w:rsidRPr="004F1479">
        <w:rPr>
          <w:rFonts w:ascii="Times New Roman" w:eastAsiaTheme="minorHAnsi" w:hAnsi="Times New Roman" w:cs="Times New Roman"/>
          <w:b/>
          <w:sz w:val="24"/>
          <w:szCs w:val="24"/>
        </w:rPr>
        <w:t>3.</w:t>
      </w:r>
      <w:r w:rsidR="004F1479" w:rsidRPr="004F1479">
        <w:rPr>
          <w:rFonts w:ascii="Times New Roman" w:eastAsiaTheme="minorHAnsi" w:hAnsi="Times New Roman" w:cs="Times New Roman"/>
          <w:b/>
          <w:sz w:val="24"/>
          <w:szCs w:val="24"/>
        </w:rPr>
        <w:t>6</w:t>
      </w:r>
      <w:r w:rsidRPr="004F1479">
        <w:rPr>
          <w:rFonts w:ascii="Times New Roman" w:eastAsiaTheme="minorHAnsi" w:hAnsi="Times New Roman" w:cs="Times New Roman"/>
          <w:b/>
          <w:sz w:val="24"/>
          <w:szCs w:val="24"/>
        </w:rPr>
        <w:t>. tabula</w:t>
      </w:r>
      <w:r w:rsidRPr="007130E8">
        <w:rPr>
          <w:rFonts w:ascii="Times New Roman" w:eastAsiaTheme="minorHAnsi" w:hAnsi="Times New Roman" w:cs="Times New Roman"/>
          <w:b/>
          <w:sz w:val="24"/>
          <w:szCs w:val="24"/>
        </w:rPr>
        <w:t>. Fiskālās attīstības scenārijs, ņemot vērā Covid-19 ietekmi</w:t>
      </w:r>
    </w:p>
    <w:tbl>
      <w:tblPr>
        <w:tblStyle w:val="TableGrid7"/>
        <w:tblW w:w="8931" w:type="dxa"/>
        <w:jc w:val="center"/>
        <w:tblLayout w:type="fixed"/>
        <w:tblLook w:val="0000" w:firstRow="0" w:lastRow="0" w:firstColumn="0" w:lastColumn="0" w:noHBand="0" w:noVBand="0"/>
      </w:tblPr>
      <w:tblGrid>
        <w:gridCol w:w="3539"/>
        <w:gridCol w:w="1134"/>
        <w:gridCol w:w="851"/>
        <w:gridCol w:w="850"/>
        <w:gridCol w:w="851"/>
        <w:gridCol w:w="850"/>
        <w:gridCol w:w="856"/>
      </w:tblGrid>
      <w:tr w:rsidR="00956A4B" w:rsidRPr="007130E8" w14:paraId="521B7F0C" w14:textId="77777777" w:rsidTr="009C776B">
        <w:trPr>
          <w:jc w:val="center"/>
        </w:trPr>
        <w:tc>
          <w:tcPr>
            <w:tcW w:w="3539" w:type="dxa"/>
            <w:shd w:val="clear" w:color="auto" w:fill="BDD6EE" w:themeFill="accent1" w:themeFillTint="66"/>
          </w:tcPr>
          <w:p w14:paraId="767BDCCA" w14:textId="77777777" w:rsidR="00956A4B" w:rsidRPr="007130E8" w:rsidRDefault="00956A4B" w:rsidP="0067167C">
            <w:pPr>
              <w:jc w:val="both"/>
              <w:rPr>
                <w:rFonts w:eastAsia="Times New Roman" w:cs="Times New Roman"/>
                <w:b/>
                <w:sz w:val="21"/>
                <w:szCs w:val="21"/>
              </w:rPr>
            </w:pPr>
          </w:p>
        </w:tc>
        <w:tc>
          <w:tcPr>
            <w:tcW w:w="1134" w:type="dxa"/>
            <w:shd w:val="clear" w:color="auto" w:fill="BDD6EE" w:themeFill="accent1" w:themeFillTint="66"/>
          </w:tcPr>
          <w:p w14:paraId="08D23004" w14:textId="77777777" w:rsidR="00956A4B" w:rsidRPr="007130E8" w:rsidRDefault="00956A4B" w:rsidP="0067167C">
            <w:pPr>
              <w:jc w:val="both"/>
              <w:rPr>
                <w:rFonts w:eastAsia="Times New Roman" w:cs="Times New Roman"/>
                <w:b/>
                <w:sz w:val="21"/>
                <w:szCs w:val="21"/>
              </w:rPr>
            </w:pPr>
          </w:p>
        </w:tc>
        <w:tc>
          <w:tcPr>
            <w:tcW w:w="851" w:type="dxa"/>
            <w:shd w:val="clear" w:color="auto" w:fill="BDD6EE" w:themeFill="accent1" w:themeFillTint="66"/>
          </w:tcPr>
          <w:p w14:paraId="0288BC09" w14:textId="77777777" w:rsidR="00956A4B" w:rsidRPr="007130E8" w:rsidRDefault="00956A4B" w:rsidP="0067167C">
            <w:pPr>
              <w:jc w:val="center"/>
              <w:rPr>
                <w:rFonts w:eastAsia="Times New Roman" w:cs="Times New Roman"/>
                <w:b/>
                <w:sz w:val="21"/>
                <w:szCs w:val="21"/>
              </w:rPr>
            </w:pPr>
            <w:r w:rsidRPr="007130E8">
              <w:rPr>
                <w:rFonts w:eastAsia="Times New Roman" w:cs="Times New Roman"/>
                <w:b/>
                <w:sz w:val="21"/>
                <w:szCs w:val="21"/>
              </w:rPr>
              <w:t>2019</w:t>
            </w:r>
          </w:p>
        </w:tc>
        <w:tc>
          <w:tcPr>
            <w:tcW w:w="850" w:type="dxa"/>
            <w:shd w:val="clear" w:color="auto" w:fill="BDD6EE" w:themeFill="accent1" w:themeFillTint="66"/>
          </w:tcPr>
          <w:p w14:paraId="52A249AF" w14:textId="77777777" w:rsidR="00956A4B" w:rsidRPr="007130E8" w:rsidRDefault="00956A4B" w:rsidP="0067167C">
            <w:pPr>
              <w:jc w:val="center"/>
              <w:rPr>
                <w:rFonts w:eastAsia="Times New Roman" w:cs="Times New Roman"/>
                <w:b/>
                <w:sz w:val="21"/>
                <w:szCs w:val="21"/>
              </w:rPr>
            </w:pPr>
            <w:r w:rsidRPr="007130E8">
              <w:rPr>
                <w:rFonts w:eastAsia="Times New Roman" w:cs="Times New Roman"/>
                <w:b/>
                <w:sz w:val="21"/>
                <w:szCs w:val="21"/>
              </w:rPr>
              <w:t>2020</w:t>
            </w:r>
          </w:p>
        </w:tc>
        <w:tc>
          <w:tcPr>
            <w:tcW w:w="851" w:type="dxa"/>
            <w:shd w:val="clear" w:color="auto" w:fill="BDD6EE" w:themeFill="accent1" w:themeFillTint="66"/>
          </w:tcPr>
          <w:p w14:paraId="36F1A30E" w14:textId="77777777" w:rsidR="00956A4B" w:rsidRPr="007130E8" w:rsidRDefault="00956A4B" w:rsidP="0067167C">
            <w:pPr>
              <w:jc w:val="center"/>
              <w:rPr>
                <w:rFonts w:eastAsia="Times New Roman" w:cs="Times New Roman"/>
                <w:b/>
                <w:sz w:val="21"/>
                <w:szCs w:val="21"/>
              </w:rPr>
            </w:pPr>
            <w:r w:rsidRPr="007130E8">
              <w:rPr>
                <w:rFonts w:eastAsia="Times New Roman" w:cs="Times New Roman"/>
                <w:b/>
                <w:sz w:val="21"/>
                <w:szCs w:val="21"/>
              </w:rPr>
              <w:t>2021</w:t>
            </w:r>
          </w:p>
        </w:tc>
        <w:tc>
          <w:tcPr>
            <w:tcW w:w="850" w:type="dxa"/>
            <w:shd w:val="clear" w:color="auto" w:fill="BDD6EE" w:themeFill="accent1" w:themeFillTint="66"/>
          </w:tcPr>
          <w:p w14:paraId="6F0930D1" w14:textId="77777777" w:rsidR="00956A4B" w:rsidRPr="007130E8" w:rsidRDefault="00956A4B" w:rsidP="0067167C">
            <w:pPr>
              <w:jc w:val="center"/>
              <w:rPr>
                <w:rFonts w:eastAsia="Times New Roman" w:cs="Times New Roman"/>
                <w:b/>
                <w:sz w:val="21"/>
                <w:szCs w:val="21"/>
              </w:rPr>
            </w:pPr>
            <w:r w:rsidRPr="007130E8">
              <w:rPr>
                <w:rFonts w:eastAsia="Times New Roman" w:cs="Times New Roman"/>
                <w:b/>
                <w:sz w:val="21"/>
                <w:szCs w:val="21"/>
              </w:rPr>
              <w:t>2022</w:t>
            </w:r>
          </w:p>
        </w:tc>
        <w:tc>
          <w:tcPr>
            <w:tcW w:w="856" w:type="dxa"/>
            <w:shd w:val="clear" w:color="auto" w:fill="BDD6EE" w:themeFill="accent1" w:themeFillTint="66"/>
          </w:tcPr>
          <w:p w14:paraId="4EA2AEDF" w14:textId="77777777" w:rsidR="00956A4B" w:rsidRPr="007130E8" w:rsidRDefault="00956A4B" w:rsidP="0067167C">
            <w:pPr>
              <w:jc w:val="center"/>
              <w:rPr>
                <w:rFonts w:eastAsia="Times New Roman" w:cs="Times New Roman"/>
                <w:b/>
                <w:sz w:val="21"/>
                <w:szCs w:val="21"/>
              </w:rPr>
            </w:pPr>
            <w:r w:rsidRPr="007130E8">
              <w:rPr>
                <w:rFonts w:eastAsia="Times New Roman" w:cs="Times New Roman"/>
                <w:b/>
                <w:sz w:val="21"/>
                <w:szCs w:val="21"/>
              </w:rPr>
              <w:t>2023</w:t>
            </w:r>
          </w:p>
        </w:tc>
      </w:tr>
      <w:tr w:rsidR="00956A4B" w:rsidRPr="007130E8" w14:paraId="62A06D56" w14:textId="77777777" w:rsidTr="009C776B">
        <w:trPr>
          <w:jc w:val="center"/>
        </w:trPr>
        <w:tc>
          <w:tcPr>
            <w:tcW w:w="3539" w:type="dxa"/>
          </w:tcPr>
          <w:p w14:paraId="03E5C7A1" w14:textId="77777777" w:rsidR="00956A4B" w:rsidRPr="007130E8" w:rsidRDefault="00956A4B" w:rsidP="0067167C">
            <w:pPr>
              <w:jc w:val="both"/>
              <w:rPr>
                <w:rFonts w:eastAsia="Times New Roman" w:cs="Times New Roman"/>
                <w:sz w:val="21"/>
                <w:szCs w:val="21"/>
              </w:rPr>
            </w:pPr>
          </w:p>
        </w:tc>
        <w:tc>
          <w:tcPr>
            <w:tcW w:w="1134" w:type="dxa"/>
          </w:tcPr>
          <w:p w14:paraId="21281DEB"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EKS kods</w:t>
            </w:r>
          </w:p>
        </w:tc>
        <w:tc>
          <w:tcPr>
            <w:tcW w:w="4258" w:type="dxa"/>
            <w:gridSpan w:val="5"/>
          </w:tcPr>
          <w:p w14:paraId="1B107D37"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 no IKP</w:t>
            </w:r>
          </w:p>
        </w:tc>
      </w:tr>
      <w:tr w:rsidR="00956A4B" w:rsidRPr="007130E8" w14:paraId="7C1F302E" w14:textId="77777777" w:rsidTr="0067167C">
        <w:trPr>
          <w:jc w:val="center"/>
        </w:trPr>
        <w:tc>
          <w:tcPr>
            <w:tcW w:w="8931" w:type="dxa"/>
            <w:gridSpan w:val="7"/>
            <w:shd w:val="clear" w:color="auto" w:fill="BDD6EE" w:themeFill="accent1" w:themeFillTint="66"/>
          </w:tcPr>
          <w:p w14:paraId="3F8F6B96" w14:textId="77777777" w:rsidR="00956A4B" w:rsidRPr="007130E8" w:rsidRDefault="00956A4B" w:rsidP="0067167C">
            <w:pPr>
              <w:ind w:firstLine="720"/>
              <w:jc w:val="both"/>
              <w:rPr>
                <w:rFonts w:eastAsia="Times New Roman" w:cs="Times New Roman"/>
                <w:b/>
                <w:noProof/>
                <w:snapToGrid w:val="0"/>
                <w:sz w:val="21"/>
                <w:szCs w:val="21"/>
              </w:rPr>
            </w:pPr>
            <w:r w:rsidRPr="007130E8">
              <w:rPr>
                <w:rFonts w:eastAsia="Times New Roman" w:cs="Times New Roman"/>
                <w:b/>
                <w:snapToGrid w:val="0"/>
                <w:sz w:val="21"/>
                <w:szCs w:val="21"/>
              </w:rPr>
              <w:t xml:space="preserve">Neto aizdevumi (+) vai aizņēmumi (-) (B.9) pa </w:t>
            </w:r>
            <w:r w:rsidRPr="007130E8">
              <w:rPr>
                <w:rFonts w:eastAsia="Times New Roman" w:cs="Times New Roman"/>
                <w:b/>
                <w:noProof/>
                <w:snapToGrid w:val="0"/>
                <w:sz w:val="21"/>
                <w:szCs w:val="21"/>
              </w:rPr>
              <w:t>apakšsektoriem</w:t>
            </w:r>
          </w:p>
        </w:tc>
      </w:tr>
      <w:tr w:rsidR="00956A4B" w:rsidRPr="007130E8" w14:paraId="7549115F" w14:textId="77777777" w:rsidTr="009C776B">
        <w:trPr>
          <w:jc w:val="center"/>
        </w:trPr>
        <w:tc>
          <w:tcPr>
            <w:tcW w:w="3539" w:type="dxa"/>
          </w:tcPr>
          <w:p w14:paraId="53885AFB"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Vispārējā valdība</w:t>
            </w:r>
          </w:p>
        </w:tc>
        <w:tc>
          <w:tcPr>
            <w:tcW w:w="1134" w:type="dxa"/>
            <w:tcBorders>
              <w:right w:val="single" w:sz="4" w:space="0" w:color="auto"/>
            </w:tcBorders>
          </w:tcPr>
          <w:p w14:paraId="31173C35"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S.13</w:t>
            </w:r>
          </w:p>
        </w:tc>
        <w:tc>
          <w:tcPr>
            <w:tcW w:w="851" w:type="dxa"/>
            <w:tcBorders>
              <w:top w:val="nil"/>
              <w:left w:val="nil"/>
              <w:bottom w:val="single" w:sz="4" w:space="0" w:color="auto"/>
              <w:right w:val="single" w:sz="8" w:space="0" w:color="auto"/>
            </w:tcBorders>
            <w:shd w:val="clear" w:color="auto" w:fill="auto"/>
            <w:vAlign w:val="center"/>
          </w:tcPr>
          <w:p w14:paraId="636D7BBE"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-0,2</w:t>
            </w:r>
          </w:p>
        </w:tc>
        <w:tc>
          <w:tcPr>
            <w:tcW w:w="850" w:type="dxa"/>
            <w:tcBorders>
              <w:top w:val="nil"/>
              <w:left w:val="nil"/>
              <w:bottom w:val="single" w:sz="4" w:space="0" w:color="auto"/>
              <w:right w:val="single" w:sz="8" w:space="0" w:color="auto"/>
            </w:tcBorders>
            <w:shd w:val="clear" w:color="auto" w:fill="auto"/>
            <w:vAlign w:val="center"/>
          </w:tcPr>
          <w:p w14:paraId="7A311497"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-9,4</w:t>
            </w:r>
          </w:p>
        </w:tc>
        <w:tc>
          <w:tcPr>
            <w:tcW w:w="851" w:type="dxa"/>
            <w:tcBorders>
              <w:top w:val="nil"/>
              <w:left w:val="nil"/>
              <w:bottom w:val="single" w:sz="4" w:space="0" w:color="auto"/>
              <w:right w:val="single" w:sz="8" w:space="0" w:color="auto"/>
            </w:tcBorders>
            <w:shd w:val="clear" w:color="auto" w:fill="auto"/>
            <w:vAlign w:val="center"/>
          </w:tcPr>
          <w:p w14:paraId="47EFECA0"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-5,0</w:t>
            </w:r>
          </w:p>
        </w:tc>
        <w:tc>
          <w:tcPr>
            <w:tcW w:w="850" w:type="dxa"/>
            <w:tcBorders>
              <w:top w:val="nil"/>
              <w:left w:val="nil"/>
              <w:bottom w:val="single" w:sz="4" w:space="0" w:color="auto"/>
              <w:right w:val="single" w:sz="8" w:space="0" w:color="auto"/>
            </w:tcBorders>
            <w:shd w:val="clear" w:color="auto" w:fill="auto"/>
            <w:vAlign w:val="center"/>
          </w:tcPr>
          <w:p w14:paraId="5A55950F"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-3,9</w:t>
            </w:r>
          </w:p>
        </w:tc>
        <w:tc>
          <w:tcPr>
            <w:tcW w:w="856" w:type="dxa"/>
            <w:tcBorders>
              <w:top w:val="nil"/>
              <w:left w:val="nil"/>
              <w:bottom w:val="single" w:sz="4" w:space="0" w:color="auto"/>
              <w:right w:val="single" w:sz="8" w:space="0" w:color="auto"/>
            </w:tcBorders>
            <w:shd w:val="clear" w:color="auto" w:fill="auto"/>
            <w:vAlign w:val="center"/>
          </w:tcPr>
          <w:p w14:paraId="20443F9C"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-2,7</w:t>
            </w:r>
          </w:p>
        </w:tc>
      </w:tr>
      <w:tr w:rsidR="00956A4B" w:rsidRPr="007130E8" w14:paraId="16AE7091" w14:textId="77777777" w:rsidTr="009C776B">
        <w:trPr>
          <w:jc w:val="center"/>
        </w:trPr>
        <w:tc>
          <w:tcPr>
            <w:tcW w:w="3539" w:type="dxa"/>
            <w:shd w:val="clear" w:color="auto" w:fill="DEEAF6" w:themeFill="accent1" w:themeFillTint="33"/>
          </w:tcPr>
          <w:p w14:paraId="0F2C5137"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Centrālā valdība</w:t>
            </w:r>
          </w:p>
        </w:tc>
        <w:tc>
          <w:tcPr>
            <w:tcW w:w="1134" w:type="dxa"/>
            <w:tcBorders>
              <w:right w:val="single" w:sz="4" w:space="0" w:color="auto"/>
            </w:tcBorders>
            <w:shd w:val="clear" w:color="auto" w:fill="DEEAF6" w:themeFill="accent1" w:themeFillTint="33"/>
          </w:tcPr>
          <w:p w14:paraId="32346D71"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S.1311</w:t>
            </w:r>
          </w:p>
        </w:tc>
        <w:tc>
          <w:tcPr>
            <w:tcW w:w="851"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14:paraId="20576650"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-1,7</w:t>
            </w:r>
          </w:p>
        </w:tc>
        <w:tc>
          <w:tcPr>
            <w:tcW w:w="8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FCD1DE"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-6,9</w:t>
            </w:r>
          </w:p>
        </w:tc>
        <w:tc>
          <w:tcPr>
            <w:tcW w:w="85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50C2471"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-3,7</w:t>
            </w:r>
          </w:p>
        </w:tc>
        <w:tc>
          <w:tcPr>
            <w:tcW w:w="8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DDEC104"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-3,1</w:t>
            </w:r>
          </w:p>
        </w:tc>
        <w:tc>
          <w:tcPr>
            <w:tcW w:w="856"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14:paraId="459F989C"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-2,0</w:t>
            </w:r>
          </w:p>
        </w:tc>
      </w:tr>
      <w:tr w:rsidR="00956A4B" w:rsidRPr="007130E8" w14:paraId="18ED725F" w14:textId="77777777" w:rsidTr="009C776B">
        <w:trPr>
          <w:jc w:val="center"/>
        </w:trPr>
        <w:tc>
          <w:tcPr>
            <w:tcW w:w="3539" w:type="dxa"/>
          </w:tcPr>
          <w:p w14:paraId="3D2120A0"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Vietējā valdība</w:t>
            </w:r>
          </w:p>
        </w:tc>
        <w:tc>
          <w:tcPr>
            <w:tcW w:w="1134" w:type="dxa"/>
            <w:tcBorders>
              <w:right w:val="single" w:sz="4" w:space="0" w:color="auto"/>
            </w:tcBorders>
          </w:tcPr>
          <w:p w14:paraId="3AED6B93"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S.1313</w:t>
            </w:r>
          </w:p>
        </w:tc>
        <w:tc>
          <w:tcPr>
            <w:tcW w:w="851" w:type="dxa"/>
            <w:tcBorders>
              <w:top w:val="nil"/>
              <w:left w:val="single" w:sz="8" w:space="0" w:color="auto"/>
              <w:bottom w:val="single" w:sz="8" w:space="0" w:color="auto"/>
              <w:right w:val="single" w:sz="8" w:space="0" w:color="auto"/>
            </w:tcBorders>
            <w:shd w:val="clear" w:color="auto" w:fill="auto"/>
            <w:vAlign w:val="center"/>
          </w:tcPr>
          <w:p w14:paraId="4144AAE3"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0,6</w:t>
            </w:r>
          </w:p>
        </w:tc>
        <w:tc>
          <w:tcPr>
            <w:tcW w:w="850" w:type="dxa"/>
            <w:tcBorders>
              <w:top w:val="nil"/>
              <w:left w:val="nil"/>
              <w:bottom w:val="single" w:sz="8" w:space="0" w:color="auto"/>
              <w:right w:val="single" w:sz="8" w:space="0" w:color="auto"/>
            </w:tcBorders>
            <w:shd w:val="clear" w:color="auto" w:fill="auto"/>
            <w:vAlign w:val="center"/>
          </w:tcPr>
          <w:p w14:paraId="025CA10F"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-0,6</w:t>
            </w:r>
          </w:p>
        </w:tc>
        <w:tc>
          <w:tcPr>
            <w:tcW w:w="851" w:type="dxa"/>
            <w:tcBorders>
              <w:top w:val="nil"/>
              <w:left w:val="nil"/>
              <w:bottom w:val="single" w:sz="8" w:space="0" w:color="auto"/>
              <w:right w:val="single" w:sz="8" w:space="0" w:color="auto"/>
            </w:tcBorders>
            <w:shd w:val="clear" w:color="auto" w:fill="auto"/>
            <w:vAlign w:val="center"/>
          </w:tcPr>
          <w:p w14:paraId="369B60B7"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-0,8</w:t>
            </w:r>
          </w:p>
        </w:tc>
        <w:tc>
          <w:tcPr>
            <w:tcW w:w="850" w:type="dxa"/>
            <w:tcBorders>
              <w:top w:val="nil"/>
              <w:left w:val="nil"/>
              <w:bottom w:val="single" w:sz="8" w:space="0" w:color="auto"/>
              <w:right w:val="single" w:sz="8" w:space="0" w:color="auto"/>
            </w:tcBorders>
            <w:shd w:val="clear" w:color="auto" w:fill="auto"/>
            <w:vAlign w:val="center"/>
          </w:tcPr>
          <w:p w14:paraId="01DA2307"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-0,7</w:t>
            </w:r>
          </w:p>
        </w:tc>
        <w:tc>
          <w:tcPr>
            <w:tcW w:w="856" w:type="dxa"/>
            <w:tcBorders>
              <w:top w:val="nil"/>
              <w:left w:val="single" w:sz="8" w:space="0" w:color="auto"/>
              <w:bottom w:val="single" w:sz="8" w:space="0" w:color="auto"/>
              <w:right w:val="single" w:sz="8" w:space="0" w:color="auto"/>
            </w:tcBorders>
            <w:shd w:val="clear" w:color="auto" w:fill="auto"/>
            <w:vAlign w:val="center"/>
          </w:tcPr>
          <w:p w14:paraId="287E8628"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-0,5</w:t>
            </w:r>
          </w:p>
        </w:tc>
      </w:tr>
      <w:tr w:rsidR="00956A4B" w:rsidRPr="007130E8" w14:paraId="3448F553" w14:textId="77777777" w:rsidTr="009C776B">
        <w:trPr>
          <w:jc w:val="center"/>
        </w:trPr>
        <w:tc>
          <w:tcPr>
            <w:tcW w:w="3539" w:type="dxa"/>
            <w:shd w:val="clear" w:color="auto" w:fill="DEEAF6" w:themeFill="accent1" w:themeFillTint="33"/>
          </w:tcPr>
          <w:p w14:paraId="684955B7" w14:textId="77777777" w:rsidR="00956A4B" w:rsidRPr="007130E8" w:rsidRDefault="00956A4B" w:rsidP="0067167C">
            <w:pPr>
              <w:rPr>
                <w:rFonts w:eastAsia="Times New Roman" w:cs="Times New Roman"/>
                <w:snapToGrid w:val="0"/>
                <w:sz w:val="21"/>
                <w:szCs w:val="21"/>
              </w:rPr>
            </w:pPr>
            <w:r w:rsidRPr="007130E8">
              <w:rPr>
                <w:rFonts w:eastAsia="Times New Roman" w:cs="Times New Roman"/>
                <w:snapToGrid w:val="0"/>
                <w:sz w:val="21"/>
                <w:szCs w:val="21"/>
              </w:rPr>
              <w:t>Sociālās nodrošināšanas fondi</w:t>
            </w:r>
          </w:p>
        </w:tc>
        <w:tc>
          <w:tcPr>
            <w:tcW w:w="1134" w:type="dxa"/>
            <w:tcBorders>
              <w:right w:val="single" w:sz="4" w:space="0" w:color="auto"/>
            </w:tcBorders>
            <w:shd w:val="clear" w:color="auto" w:fill="DEEAF6" w:themeFill="accent1" w:themeFillTint="33"/>
          </w:tcPr>
          <w:p w14:paraId="606A37F4"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S.1314</w:t>
            </w:r>
          </w:p>
        </w:tc>
        <w:tc>
          <w:tcPr>
            <w:tcW w:w="851"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65F169C0"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0,9</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7972C9FB"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-1,9</w:t>
            </w:r>
          </w:p>
        </w:tc>
        <w:tc>
          <w:tcPr>
            <w:tcW w:w="851" w:type="dxa"/>
            <w:tcBorders>
              <w:top w:val="nil"/>
              <w:left w:val="nil"/>
              <w:bottom w:val="single" w:sz="8" w:space="0" w:color="auto"/>
              <w:right w:val="single" w:sz="8" w:space="0" w:color="auto"/>
            </w:tcBorders>
            <w:shd w:val="clear" w:color="auto" w:fill="DEEAF6" w:themeFill="accent1" w:themeFillTint="33"/>
            <w:vAlign w:val="center"/>
          </w:tcPr>
          <w:p w14:paraId="43BB9D37"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-0,5</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0F8B2AB7"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-0,1</w:t>
            </w:r>
          </w:p>
        </w:tc>
        <w:tc>
          <w:tcPr>
            <w:tcW w:w="856"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68F258E3" w14:textId="77777777" w:rsidR="00956A4B" w:rsidRPr="007130E8" w:rsidRDefault="00956A4B" w:rsidP="0067167C">
            <w:pPr>
              <w:jc w:val="center"/>
              <w:rPr>
                <w:rFonts w:eastAsia="Times New Roman" w:cs="Times New Roman"/>
                <w:color w:val="000000"/>
                <w:sz w:val="21"/>
                <w:szCs w:val="21"/>
              </w:rPr>
            </w:pPr>
            <w:r w:rsidRPr="007130E8">
              <w:rPr>
                <w:rFonts w:eastAsia="Times New Roman" w:cs="Times New Roman"/>
                <w:color w:val="000000"/>
                <w:sz w:val="21"/>
                <w:szCs w:val="21"/>
              </w:rPr>
              <w:t>-0,2</w:t>
            </w:r>
          </w:p>
        </w:tc>
      </w:tr>
      <w:tr w:rsidR="00956A4B" w:rsidRPr="007130E8" w14:paraId="694DA4D9" w14:textId="77777777" w:rsidTr="0067167C">
        <w:trPr>
          <w:jc w:val="center"/>
        </w:trPr>
        <w:tc>
          <w:tcPr>
            <w:tcW w:w="8931" w:type="dxa"/>
            <w:gridSpan w:val="7"/>
            <w:shd w:val="clear" w:color="auto" w:fill="BDD6EE" w:themeFill="accent1" w:themeFillTint="66"/>
          </w:tcPr>
          <w:p w14:paraId="6DF84A77" w14:textId="77777777" w:rsidR="00956A4B" w:rsidRPr="007130E8" w:rsidRDefault="00956A4B" w:rsidP="0067167C">
            <w:pPr>
              <w:ind w:firstLine="720"/>
              <w:jc w:val="both"/>
              <w:rPr>
                <w:rFonts w:eastAsia="Times New Roman" w:cs="Times New Roman"/>
                <w:b/>
                <w:snapToGrid w:val="0"/>
                <w:sz w:val="21"/>
                <w:szCs w:val="21"/>
              </w:rPr>
            </w:pPr>
            <w:r w:rsidRPr="007130E8">
              <w:rPr>
                <w:rFonts w:eastAsia="Times New Roman" w:cs="Times New Roman"/>
                <w:b/>
                <w:snapToGrid w:val="0"/>
                <w:sz w:val="21"/>
                <w:szCs w:val="21"/>
              </w:rPr>
              <w:t>Vispārējā valdība (S.13)</w:t>
            </w:r>
          </w:p>
        </w:tc>
      </w:tr>
      <w:tr w:rsidR="00956A4B" w:rsidRPr="007130E8" w14:paraId="25CB5098" w14:textId="77777777" w:rsidTr="009C776B">
        <w:trPr>
          <w:jc w:val="center"/>
        </w:trPr>
        <w:tc>
          <w:tcPr>
            <w:tcW w:w="3539" w:type="dxa"/>
          </w:tcPr>
          <w:p w14:paraId="62BA0F24"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 xml:space="preserve">Kopējie ieņēmumi </w:t>
            </w:r>
          </w:p>
        </w:tc>
        <w:tc>
          <w:tcPr>
            <w:tcW w:w="1134" w:type="dxa"/>
            <w:shd w:val="clear" w:color="auto" w:fill="auto"/>
          </w:tcPr>
          <w:p w14:paraId="16E3D104"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TR</w:t>
            </w:r>
          </w:p>
        </w:tc>
        <w:tc>
          <w:tcPr>
            <w:tcW w:w="851" w:type="dxa"/>
            <w:tcBorders>
              <w:top w:val="nil"/>
              <w:left w:val="nil"/>
              <w:bottom w:val="single" w:sz="8" w:space="0" w:color="auto"/>
              <w:right w:val="single" w:sz="8" w:space="0" w:color="auto"/>
            </w:tcBorders>
            <w:shd w:val="clear" w:color="auto" w:fill="auto"/>
            <w:vAlign w:val="center"/>
          </w:tcPr>
          <w:p w14:paraId="3CD64060"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38,7</w:t>
            </w:r>
          </w:p>
        </w:tc>
        <w:tc>
          <w:tcPr>
            <w:tcW w:w="850" w:type="dxa"/>
            <w:tcBorders>
              <w:top w:val="nil"/>
              <w:left w:val="nil"/>
              <w:bottom w:val="single" w:sz="8" w:space="0" w:color="auto"/>
              <w:right w:val="single" w:sz="8" w:space="0" w:color="auto"/>
            </w:tcBorders>
            <w:shd w:val="clear" w:color="auto" w:fill="auto"/>
            <w:vAlign w:val="center"/>
          </w:tcPr>
          <w:p w14:paraId="02706604"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37,4</w:t>
            </w:r>
          </w:p>
        </w:tc>
        <w:tc>
          <w:tcPr>
            <w:tcW w:w="851" w:type="dxa"/>
            <w:tcBorders>
              <w:top w:val="nil"/>
              <w:left w:val="nil"/>
              <w:bottom w:val="single" w:sz="8" w:space="0" w:color="auto"/>
              <w:right w:val="single" w:sz="8" w:space="0" w:color="auto"/>
            </w:tcBorders>
            <w:shd w:val="clear" w:color="auto" w:fill="auto"/>
            <w:vAlign w:val="center"/>
          </w:tcPr>
          <w:p w14:paraId="2D065157"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38,9</w:t>
            </w:r>
          </w:p>
        </w:tc>
        <w:tc>
          <w:tcPr>
            <w:tcW w:w="850" w:type="dxa"/>
            <w:tcBorders>
              <w:top w:val="nil"/>
              <w:left w:val="nil"/>
              <w:bottom w:val="single" w:sz="8" w:space="0" w:color="auto"/>
              <w:right w:val="single" w:sz="8" w:space="0" w:color="auto"/>
            </w:tcBorders>
            <w:shd w:val="clear" w:color="auto" w:fill="auto"/>
            <w:vAlign w:val="center"/>
          </w:tcPr>
          <w:p w14:paraId="666B3EB0"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38,9</w:t>
            </w:r>
          </w:p>
        </w:tc>
        <w:tc>
          <w:tcPr>
            <w:tcW w:w="856" w:type="dxa"/>
            <w:tcBorders>
              <w:top w:val="nil"/>
              <w:left w:val="nil"/>
              <w:bottom w:val="single" w:sz="8" w:space="0" w:color="auto"/>
              <w:right w:val="single" w:sz="8" w:space="0" w:color="auto"/>
            </w:tcBorders>
            <w:shd w:val="clear" w:color="auto" w:fill="auto"/>
            <w:vAlign w:val="center"/>
          </w:tcPr>
          <w:p w14:paraId="3B50CCBD"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38,8</w:t>
            </w:r>
          </w:p>
        </w:tc>
      </w:tr>
      <w:tr w:rsidR="00956A4B" w:rsidRPr="007130E8" w14:paraId="33C32EF6" w14:textId="77777777" w:rsidTr="009C776B">
        <w:trPr>
          <w:trHeight w:val="158"/>
          <w:jc w:val="center"/>
        </w:trPr>
        <w:tc>
          <w:tcPr>
            <w:tcW w:w="3539" w:type="dxa"/>
            <w:shd w:val="clear" w:color="auto" w:fill="DEEAF6" w:themeFill="accent1" w:themeFillTint="33"/>
          </w:tcPr>
          <w:p w14:paraId="03DF9A35"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Kopējie izdevumi</w:t>
            </w:r>
          </w:p>
        </w:tc>
        <w:tc>
          <w:tcPr>
            <w:tcW w:w="1134" w:type="dxa"/>
            <w:shd w:val="clear" w:color="auto" w:fill="DEEAF6" w:themeFill="accent1" w:themeFillTint="33"/>
          </w:tcPr>
          <w:p w14:paraId="342BA591"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TE</w:t>
            </w:r>
          </w:p>
        </w:tc>
        <w:tc>
          <w:tcPr>
            <w:tcW w:w="851" w:type="dxa"/>
            <w:tcBorders>
              <w:top w:val="nil"/>
              <w:left w:val="nil"/>
              <w:bottom w:val="single" w:sz="8" w:space="0" w:color="auto"/>
              <w:right w:val="single" w:sz="8" w:space="0" w:color="auto"/>
            </w:tcBorders>
            <w:shd w:val="clear" w:color="auto" w:fill="DEEAF6" w:themeFill="accent1" w:themeFillTint="33"/>
            <w:vAlign w:val="center"/>
          </w:tcPr>
          <w:p w14:paraId="097B7C01"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color w:val="000000"/>
                <w:sz w:val="21"/>
                <w:szCs w:val="21"/>
              </w:rPr>
              <w:t>38,9</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6150DB0C"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46,8</w:t>
            </w:r>
          </w:p>
        </w:tc>
        <w:tc>
          <w:tcPr>
            <w:tcW w:w="851" w:type="dxa"/>
            <w:tcBorders>
              <w:top w:val="nil"/>
              <w:left w:val="nil"/>
              <w:bottom w:val="single" w:sz="8" w:space="0" w:color="auto"/>
              <w:right w:val="single" w:sz="8" w:space="0" w:color="auto"/>
            </w:tcBorders>
            <w:shd w:val="clear" w:color="auto" w:fill="DEEAF6" w:themeFill="accent1" w:themeFillTint="33"/>
            <w:vAlign w:val="center"/>
          </w:tcPr>
          <w:p w14:paraId="75F04D66"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43,8</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1ED62D6E"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42,8</w:t>
            </w:r>
          </w:p>
        </w:tc>
        <w:tc>
          <w:tcPr>
            <w:tcW w:w="856" w:type="dxa"/>
            <w:tcBorders>
              <w:top w:val="nil"/>
              <w:left w:val="nil"/>
              <w:bottom w:val="single" w:sz="8" w:space="0" w:color="auto"/>
              <w:right w:val="single" w:sz="8" w:space="0" w:color="auto"/>
            </w:tcBorders>
            <w:shd w:val="clear" w:color="auto" w:fill="DEEAF6" w:themeFill="accent1" w:themeFillTint="33"/>
            <w:vAlign w:val="center"/>
          </w:tcPr>
          <w:p w14:paraId="199993AE"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41,4</w:t>
            </w:r>
          </w:p>
        </w:tc>
      </w:tr>
      <w:tr w:rsidR="00956A4B" w:rsidRPr="007130E8" w14:paraId="049F6A40" w14:textId="77777777" w:rsidTr="009C776B">
        <w:trPr>
          <w:trHeight w:val="70"/>
          <w:jc w:val="center"/>
        </w:trPr>
        <w:tc>
          <w:tcPr>
            <w:tcW w:w="3539" w:type="dxa"/>
          </w:tcPr>
          <w:p w14:paraId="61ED6869"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Procentu izdevumi</w:t>
            </w:r>
          </w:p>
        </w:tc>
        <w:tc>
          <w:tcPr>
            <w:tcW w:w="1134" w:type="dxa"/>
          </w:tcPr>
          <w:p w14:paraId="6BCB6433" w14:textId="77777777" w:rsidR="00956A4B" w:rsidRPr="007130E8" w:rsidRDefault="00956A4B" w:rsidP="0067167C">
            <w:pPr>
              <w:jc w:val="center"/>
              <w:rPr>
                <w:rFonts w:eastAsia="Times New Roman" w:cs="Times New Roman"/>
                <w:sz w:val="21"/>
                <w:szCs w:val="21"/>
              </w:rPr>
            </w:pPr>
            <w:r w:rsidRPr="007130E8">
              <w:rPr>
                <w:rFonts w:eastAsia="Times New Roman" w:cs="Times New Roman"/>
                <w:sz w:val="21"/>
                <w:szCs w:val="21"/>
              </w:rPr>
              <w:t>D.41</w:t>
            </w:r>
          </w:p>
        </w:tc>
        <w:tc>
          <w:tcPr>
            <w:tcW w:w="851" w:type="dxa"/>
            <w:tcBorders>
              <w:top w:val="nil"/>
              <w:left w:val="nil"/>
              <w:bottom w:val="single" w:sz="8" w:space="0" w:color="auto"/>
              <w:right w:val="single" w:sz="8" w:space="0" w:color="auto"/>
            </w:tcBorders>
            <w:shd w:val="clear" w:color="auto" w:fill="auto"/>
            <w:vAlign w:val="center"/>
          </w:tcPr>
          <w:p w14:paraId="74CFF37B"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color w:val="000000"/>
                <w:sz w:val="21"/>
                <w:szCs w:val="21"/>
              </w:rPr>
              <w:t>0,7</w:t>
            </w:r>
          </w:p>
        </w:tc>
        <w:tc>
          <w:tcPr>
            <w:tcW w:w="850" w:type="dxa"/>
            <w:tcBorders>
              <w:top w:val="nil"/>
              <w:left w:val="nil"/>
              <w:bottom w:val="single" w:sz="8" w:space="0" w:color="auto"/>
              <w:right w:val="single" w:sz="8" w:space="0" w:color="auto"/>
            </w:tcBorders>
            <w:shd w:val="clear" w:color="auto" w:fill="auto"/>
            <w:vAlign w:val="center"/>
          </w:tcPr>
          <w:p w14:paraId="68BCB8BB"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0,9</w:t>
            </w:r>
          </w:p>
        </w:tc>
        <w:tc>
          <w:tcPr>
            <w:tcW w:w="851" w:type="dxa"/>
            <w:tcBorders>
              <w:top w:val="nil"/>
              <w:left w:val="nil"/>
              <w:bottom w:val="single" w:sz="8" w:space="0" w:color="auto"/>
              <w:right w:val="single" w:sz="8" w:space="0" w:color="auto"/>
            </w:tcBorders>
            <w:shd w:val="clear" w:color="auto" w:fill="auto"/>
            <w:vAlign w:val="center"/>
          </w:tcPr>
          <w:p w14:paraId="2B07D24D"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0,9</w:t>
            </w:r>
          </w:p>
        </w:tc>
        <w:tc>
          <w:tcPr>
            <w:tcW w:w="850" w:type="dxa"/>
            <w:tcBorders>
              <w:top w:val="nil"/>
              <w:left w:val="nil"/>
              <w:bottom w:val="single" w:sz="8" w:space="0" w:color="auto"/>
              <w:right w:val="single" w:sz="8" w:space="0" w:color="auto"/>
            </w:tcBorders>
            <w:shd w:val="clear" w:color="auto" w:fill="auto"/>
            <w:vAlign w:val="center"/>
          </w:tcPr>
          <w:p w14:paraId="661B8AD1"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0,9</w:t>
            </w:r>
          </w:p>
        </w:tc>
        <w:tc>
          <w:tcPr>
            <w:tcW w:w="856" w:type="dxa"/>
            <w:tcBorders>
              <w:top w:val="nil"/>
              <w:left w:val="nil"/>
              <w:bottom w:val="single" w:sz="8" w:space="0" w:color="auto"/>
              <w:right w:val="single" w:sz="8" w:space="0" w:color="auto"/>
            </w:tcBorders>
            <w:shd w:val="clear" w:color="auto" w:fill="auto"/>
            <w:vAlign w:val="center"/>
          </w:tcPr>
          <w:p w14:paraId="49A972A1"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0,9</w:t>
            </w:r>
          </w:p>
        </w:tc>
      </w:tr>
      <w:tr w:rsidR="00956A4B" w:rsidRPr="007130E8" w14:paraId="2A730431" w14:textId="77777777" w:rsidTr="0067167C">
        <w:trPr>
          <w:jc w:val="center"/>
        </w:trPr>
        <w:tc>
          <w:tcPr>
            <w:tcW w:w="8931" w:type="dxa"/>
            <w:gridSpan w:val="7"/>
            <w:shd w:val="clear" w:color="auto" w:fill="BDD6EE" w:themeFill="accent1" w:themeFillTint="66"/>
          </w:tcPr>
          <w:p w14:paraId="72BBD1F8" w14:textId="77777777" w:rsidR="00956A4B" w:rsidRPr="007130E8" w:rsidRDefault="00956A4B" w:rsidP="0067167C">
            <w:pPr>
              <w:ind w:firstLine="720"/>
              <w:jc w:val="both"/>
              <w:rPr>
                <w:rFonts w:eastAsia="Times New Roman" w:cs="Times New Roman"/>
                <w:b/>
                <w:snapToGrid w:val="0"/>
                <w:sz w:val="21"/>
                <w:szCs w:val="21"/>
              </w:rPr>
            </w:pPr>
            <w:r w:rsidRPr="007130E8">
              <w:rPr>
                <w:rFonts w:eastAsia="Times New Roman" w:cs="Times New Roman"/>
                <w:b/>
                <w:snapToGrid w:val="0"/>
                <w:sz w:val="21"/>
                <w:szCs w:val="21"/>
              </w:rPr>
              <w:t>Cikliskā attīstība</w:t>
            </w:r>
          </w:p>
        </w:tc>
      </w:tr>
      <w:tr w:rsidR="00956A4B" w:rsidRPr="007130E8" w14:paraId="44F7A4C6" w14:textId="77777777" w:rsidTr="009C776B">
        <w:trPr>
          <w:jc w:val="center"/>
        </w:trPr>
        <w:tc>
          <w:tcPr>
            <w:tcW w:w="3539" w:type="dxa"/>
            <w:shd w:val="clear" w:color="auto" w:fill="auto"/>
          </w:tcPr>
          <w:p w14:paraId="19749143" w14:textId="77777777" w:rsidR="00956A4B" w:rsidRPr="007130E8" w:rsidRDefault="00956A4B" w:rsidP="0067167C">
            <w:pPr>
              <w:rPr>
                <w:rFonts w:eastAsia="Times New Roman" w:cs="Times New Roman"/>
                <w:snapToGrid w:val="0"/>
                <w:sz w:val="21"/>
                <w:szCs w:val="21"/>
              </w:rPr>
            </w:pPr>
            <w:r w:rsidRPr="007130E8">
              <w:rPr>
                <w:rFonts w:eastAsia="Times New Roman" w:cs="Times New Roman"/>
                <w:snapToGrid w:val="0"/>
                <w:sz w:val="21"/>
                <w:szCs w:val="21"/>
              </w:rPr>
              <w:t>Budžeta bilances cikliskā komponente</w:t>
            </w:r>
            <w:r w:rsidRPr="007130E8">
              <w:rPr>
                <w:rFonts w:eastAsia="Times New Roman" w:cs="Times New Roman"/>
                <w:snapToGrid w:val="0"/>
                <w:sz w:val="21"/>
                <w:szCs w:val="21"/>
                <w:vertAlign w:val="superscript"/>
              </w:rPr>
              <w:footnoteReference w:id="25"/>
            </w:r>
          </w:p>
        </w:tc>
        <w:tc>
          <w:tcPr>
            <w:tcW w:w="1134" w:type="dxa"/>
            <w:tcBorders>
              <w:right w:val="single" w:sz="4" w:space="0" w:color="auto"/>
            </w:tcBorders>
            <w:shd w:val="clear" w:color="auto" w:fill="auto"/>
          </w:tcPr>
          <w:p w14:paraId="27F5796E" w14:textId="77777777" w:rsidR="00956A4B" w:rsidRPr="007130E8" w:rsidRDefault="00956A4B" w:rsidP="0067167C">
            <w:pPr>
              <w:jc w:val="both"/>
              <w:rPr>
                <w:rFonts w:eastAsia="Times New Roman"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402C62"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napToGrid w:val="0"/>
                <w:sz w:val="21"/>
                <w:szCs w:val="21"/>
              </w:rPr>
              <w:t>0,3</w:t>
            </w:r>
          </w:p>
        </w:tc>
        <w:tc>
          <w:tcPr>
            <w:tcW w:w="850" w:type="dxa"/>
            <w:tcBorders>
              <w:top w:val="nil"/>
              <w:left w:val="nil"/>
              <w:bottom w:val="single" w:sz="8" w:space="0" w:color="auto"/>
              <w:right w:val="single" w:sz="8" w:space="0" w:color="auto"/>
            </w:tcBorders>
            <w:shd w:val="clear" w:color="auto" w:fill="auto"/>
            <w:vAlign w:val="center"/>
          </w:tcPr>
          <w:p w14:paraId="2BF360A7"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-3,3</w:t>
            </w:r>
          </w:p>
        </w:tc>
        <w:tc>
          <w:tcPr>
            <w:tcW w:w="851" w:type="dxa"/>
            <w:tcBorders>
              <w:top w:val="nil"/>
              <w:left w:val="nil"/>
              <w:bottom w:val="single" w:sz="8" w:space="0" w:color="auto"/>
              <w:right w:val="single" w:sz="8" w:space="0" w:color="auto"/>
            </w:tcBorders>
            <w:shd w:val="clear" w:color="auto" w:fill="auto"/>
            <w:vAlign w:val="center"/>
          </w:tcPr>
          <w:p w14:paraId="32CFB139"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-3,9</w:t>
            </w:r>
          </w:p>
        </w:tc>
        <w:tc>
          <w:tcPr>
            <w:tcW w:w="850" w:type="dxa"/>
            <w:tcBorders>
              <w:top w:val="nil"/>
              <w:left w:val="nil"/>
              <w:bottom w:val="single" w:sz="8" w:space="0" w:color="auto"/>
              <w:right w:val="single" w:sz="8" w:space="0" w:color="auto"/>
            </w:tcBorders>
            <w:shd w:val="clear" w:color="auto" w:fill="auto"/>
            <w:vAlign w:val="center"/>
          </w:tcPr>
          <w:p w14:paraId="64CEA747"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-3,7</w:t>
            </w:r>
          </w:p>
        </w:tc>
        <w:tc>
          <w:tcPr>
            <w:tcW w:w="856" w:type="dxa"/>
            <w:tcBorders>
              <w:top w:val="nil"/>
              <w:left w:val="nil"/>
              <w:bottom w:val="single" w:sz="8" w:space="0" w:color="auto"/>
              <w:right w:val="single" w:sz="8" w:space="0" w:color="auto"/>
            </w:tcBorders>
            <w:shd w:val="clear" w:color="auto" w:fill="auto"/>
            <w:vAlign w:val="center"/>
          </w:tcPr>
          <w:p w14:paraId="66F44B3F"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-3,8</w:t>
            </w:r>
          </w:p>
        </w:tc>
      </w:tr>
      <w:tr w:rsidR="00956A4B" w:rsidRPr="007130E8" w14:paraId="03FC85A4" w14:textId="77777777" w:rsidTr="009C776B">
        <w:trPr>
          <w:jc w:val="center"/>
        </w:trPr>
        <w:tc>
          <w:tcPr>
            <w:tcW w:w="3539" w:type="dxa"/>
            <w:shd w:val="clear" w:color="auto" w:fill="DEEAF6" w:themeFill="accent1" w:themeFillTint="33"/>
          </w:tcPr>
          <w:p w14:paraId="6B79278E" w14:textId="77777777" w:rsidR="00956A4B" w:rsidRPr="007130E8" w:rsidRDefault="00956A4B" w:rsidP="0067167C">
            <w:pPr>
              <w:rPr>
                <w:rFonts w:eastAsia="Times New Roman" w:cs="Times New Roman"/>
                <w:snapToGrid w:val="0"/>
                <w:sz w:val="21"/>
                <w:szCs w:val="21"/>
              </w:rPr>
            </w:pPr>
            <w:r w:rsidRPr="00E268BC">
              <w:rPr>
                <w:snapToGrid w:val="0"/>
                <w:sz w:val="21"/>
                <w:szCs w:val="21"/>
              </w:rPr>
              <w:t>Vienreizējie pasākumi</w:t>
            </w:r>
            <w:r w:rsidRPr="00E268BC">
              <w:rPr>
                <w:rStyle w:val="FootnoteReference"/>
                <w:snapToGrid w:val="0"/>
                <w:sz w:val="21"/>
                <w:szCs w:val="21"/>
              </w:rPr>
              <w:footnoteReference w:id="26"/>
            </w:r>
            <w:r w:rsidRPr="007130E8">
              <w:rPr>
                <w:rFonts w:eastAsia="Times New Roman" w:cs="Times New Roman"/>
                <w:snapToGrid w:val="0"/>
                <w:sz w:val="21"/>
                <w:szCs w:val="21"/>
                <w:vertAlign w:val="superscript"/>
              </w:rPr>
              <w:footnoteReference w:id="27"/>
            </w:r>
          </w:p>
        </w:tc>
        <w:tc>
          <w:tcPr>
            <w:tcW w:w="1134" w:type="dxa"/>
            <w:tcBorders>
              <w:right w:val="single" w:sz="4" w:space="0" w:color="auto"/>
            </w:tcBorders>
            <w:shd w:val="clear" w:color="auto" w:fill="DEEAF6" w:themeFill="accent1" w:themeFillTint="33"/>
          </w:tcPr>
          <w:p w14:paraId="21EF5472" w14:textId="77777777" w:rsidR="00956A4B" w:rsidRPr="007130E8" w:rsidRDefault="00956A4B" w:rsidP="0067167C">
            <w:pPr>
              <w:jc w:val="both"/>
              <w:rPr>
                <w:rFonts w:eastAsia="Times New Roman"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75594"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napToGrid w:val="0"/>
                <w:sz w:val="21"/>
                <w:szCs w:val="21"/>
              </w:rPr>
              <w:t>0,2</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63EB097F"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 xml:space="preserve"> </w:t>
            </w:r>
          </w:p>
        </w:tc>
        <w:tc>
          <w:tcPr>
            <w:tcW w:w="851" w:type="dxa"/>
            <w:tcBorders>
              <w:top w:val="nil"/>
              <w:left w:val="nil"/>
              <w:bottom w:val="single" w:sz="8" w:space="0" w:color="auto"/>
              <w:right w:val="single" w:sz="8" w:space="0" w:color="auto"/>
            </w:tcBorders>
            <w:shd w:val="clear" w:color="auto" w:fill="DEEAF6" w:themeFill="accent1" w:themeFillTint="33"/>
            <w:vAlign w:val="center"/>
          </w:tcPr>
          <w:p w14:paraId="4AD83B5B"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 xml:space="preserve"> </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6469F350"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 xml:space="preserve"> </w:t>
            </w:r>
          </w:p>
        </w:tc>
        <w:tc>
          <w:tcPr>
            <w:tcW w:w="856" w:type="dxa"/>
            <w:tcBorders>
              <w:top w:val="nil"/>
              <w:left w:val="nil"/>
              <w:bottom w:val="single" w:sz="8" w:space="0" w:color="auto"/>
              <w:right w:val="single" w:sz="8" w:space="0" w:color="auto"/>
            </w:tcBorders>
            <w:shd w:val="clear" w:color="auto" w:fill="DEEAF6" w:themeFill="accent1" w:themeFillTint="33"/>
            <w:vAlign w:val="center"/>
          </w:tcPr>
          <w:p w14:paraId="4FA83B6C" w14:textId="77777777" w:rsidR="00956A4B" w:rsidRPr="007130E8" w:rsidRDefault="00956A4B" w:rsidP="0067167C">
            <w:pPr>
              <w:jc w:val="center"/>
              <w:rPr>
                <w:rFonts w:eastAsia="Times New Roman" w:cs="Times New Roman"/>
                <w:snapToGrid w:val="0"/>
                <w:sz w:val="21"/>
                <w:szCs w:val="21"/>
                <w:highlight w:val="yellow"/>
              </w:rPr>
            </w:pPr>
            <w:r w:rsidRPr="007130E8">
              <w:rPr>
                <w:rFonts w:eastAsia="Times New Roman" w:cs="Times New Roman"/>
                <w:sz w:val="21"/>
                <w:szCs w:val="21"/>
              </w:rPr>
              <w:t xml:space="preserve"> </w:t>
            </w:r>
          </w:p>
        </w:tc>
      </w:tr>
      <w:tr w:rsidR="00956A4B" w:rsidRPr="007130E8" w14:paraId="28B233AC" w14:textId="77777777" w:rsidTr="009C776B">
        <w:trPr>
          <w:jc w:val="center"/>
        </w:trPr>
        <w:tc>
          <w:tcPr>
            <w:tcW w:w="3539" w:type="dxa"/>
            <w:shd w:val="clear" w:color="auto" w:fill="auto"/>
          </w:tcPr>
          <w:p w14:paraId="099F8B2B" w14:textId="77777777" w:rsidR="00956A4B" w:rsidRPr="007130E8" w:rsidRDefault="00956A4B" w:rsidP="0067167C">
            <w:pPr>
              <w:rPr>
                <w:rFonts w:eastAsia="Times New Roman" w:cs="Times New Roman"/>
                <w:snapToGrid w:val="0"/>
                <w:sz w:val="21"/>
                <w:szCs w:val="21"/>
              </w:rPr>
            </w:pPr>
            <w:r w:rsidRPr="007130E8">
              <w:rPr>
                <w:rFonts w:eastAsia="Times New Roman" w:cs="Times New Roman"/>
                <w:snapToGrid w:val="0"/>
                <w:sz w:val="21"/>
                <w:szCs w:val="21"/>
              </w:rPr>
              <w:t>Cikliski koriģētā bilance</w:t>
            </w:r>
          </w:p>
        </w:tc>
        <w:tc>
          <w:tcPr>
            <w:tcW w:w="1134" w:type="dxa"/>
            <w:tcBorders>
              <w:right w:val="single" w:sz="4" w:space="0" w:color="auto"/>
            </w:tcBorders>
            <w:shd w:val="clear" w:color="auto" w:fill="auto"/>
          </w:tcPr>
          <w:p w14:paraId="48AAB900" w14:textId="77777777" w:rsidR="00956A4B" w:rsidRPr="007130E8" w:rsidRDefault="00956A4B" w:rsidP="0067167C">
            <w:pPr>
              <w:jc w:val="both"/>
              <w:rPr>
                <w:rFonts w:eastAsia="Times New Roman"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8820AC"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napToGrid w:val="0"/>
                <w:color w:val="000000"/>
                <w:sz w:val="21"/>
                <w:szCs w:val="21"/>
              </w:rPr>
              <w:t>-0,6</w:t>
            </w:r>
          </w:p>
        </w:tc>
        <w:tc>
          <w:tcPr>
            <w:tcW w:w="850" w:type="dxa"/>
            <w:tcBorders>
              <w:top w:val="nil"/>
              <w:left w:val="nil"/>
              <w:bottom w:val="single" w:sz="8" w:space="0" w:color="auto"/>
              <w:right w:val="single" w:sz="8" w:space="0" w:color="auto"/>
            </w:tcBorders>
            <w:shd w:val="clear" w:color="auto" w:fill="auto"/>
            <w:vAlign w:val="center"/>
          </w:tcPr>
          <w:p w14:paraId="795A40FF"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-6,1</w:t>
            </w:r>
          </w:p>
        </w:tc>
        <w:tc>
          <w:tcPr>
            <w:tcW w:w="851" w:type="dxa"/>
            <w:tcBorders>
              <w:top w:val="nil"/>
              <w:left w:val="nil"/>
              <w:bottom w:val="single" w:sz="8" w:space="0" w:color="auto"/>
              <w:right w:val="single" w:sz="8" w:space="0" w:color="auto"/>
            </w:tcBorders>
            <w:shd w:val="clear" w:color="auto" w:fill="auto"/>
            <w:vAlign w:val="center"/>
          </w:tcPr>
          <w:p w14:paraId="167C60AA"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-1,0</w:t>
            </w:r>
          </w:p>
        </w:tc>
        <w:tc>
          <w:tcPr>
            <w:tcW w:w="850" w:type="dxa"/>
            <w:tcBorders>
              <w:top w:val="nil"/>
              <w:left w:val="nil"/>
              <w:bottom w:val="single" w:sz="8" w:space="0" w:color="auto"/>
              <w:right w:val="single" w:sz="8" w:space="0" w:color="auto"/>
            </w:tcBorders>
            <w:shd w:val="clear" w:color="auto" w:fill="auto"/>
            <w:vAlign w:val="center"/>
          </w:tcPr>
          <w:p w14:paraId="3C950E22"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-0,2</w:t>
            </w:r>
          </w:p>
        </w:tc>
        <w:tc>
          <w:tcPr>
            <w:tcW w:w="856" w:type="dxa"/>
            <w:tcBorders>
              <w:top w:val="nil"/>
              <w:left w:val="nil"/>
              <w:bottom w:val="single" w:sz="8" w:space="0" w:color="auto"/>
              <w:right w:val="single" w:sz="8" w:space="0" w:color="auto"/>
            </w:tcBorders>
            <w:shd w:val="clear" w:color="auto" w:fill="auto"/>
            <w:vAlign w:val="center"/>
          </w:tcPr>
          <w:p w14:paraId="3D4C06EB"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1,2</w:t>
            </w:r>
          </w:p>
        </w:tc>
      </w:tr>
      <w:tr w:rsidR="00956A4B" w:rsidRPr="007130E8" w14:paraId="475DD885" w14:textId="77777777" w:rsidTr="009C776B">
        <w:trPr>
          <w:trHeight w:val="158"/>
          <w:jc w:val="center"/>
        </w:trPr>
        <w:tc>
          <w:tcPr>
            <w:tcW w:w="3539" w:type="dxa"/>
            <w:shd w:val="clear" w:color="auto" w:fill="DEEAF6" w:themeFill="accent1" w:themeFillTint="33"/>
          </w:tcPr>
          <w:p w14:paraId="57752034" w14:textId="77777777" w:rsidR="00956A4B" w:rsidRPr="007130E8" w:rsidRDefault="00956A4B" w:rsidP="0067167C">
            <w:pPr>
              <w:rPr>
                <w:rFonts w:eastAsia="Times New Roman" w:cs="Times New Roman"/>
                <w:snapToGrid w:val="0"/>
                <w:sz w:val="21"/>
                <w:szCs w:val="21"/>
              </w:rPr>
            </w:pPr>
            <w:r w:rsidRPr="007130E8">
              <w:rPr>
                <w:rFonts w:eastAsia="Times New Roman" w:cs="Times New Roman"/>
                <w:snapToGrid w:val="0"/>
                <w:sz w:val="21"/>
                <w:szCs w:val="21"/>
              </w:rPr>
              <w:t>Cikliski koriģētā primārā bilance</w:t>
            </w:r>
          </w:p>
        </w:tc>
        <w:tc>
          <w:tcPr>
            <w:tcW w:w="1134" w:type="dxa"/>
            <w:tcBorders>
              <w:right w:val="single" w:sz="4" w:space="0" w:color="auto"/>
            </w:tcBorders>
            <w:shd w:val="clear" w:color="auto" w:fill="DEEAF6" w:themeFill="accent1" w:themeFillTint="33"/>
          </w:tcPr>
          <w:p w14:paraId="4361591C" w14:textId="77777777" w:rsidR="00956A4B" w:rsidRPr="007130E8" w:rsidRDefault="00956A4B" w:rsidP="0067167C">
            <w:pPr>
              <w:jc w:val="both"/>
              <w:rPr>
                <w:rFonts w:eastAsia="Times New Roman"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4686F"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napToGrid w:val="0"/>
                <w:color w:val="000000"/>
                <w:sz w:val="21"/>
                <w:szCs w:val="21"/>
              </w:rPr>
              <w:t>0,1</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264714F6"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-5,2</w:t>
            </w:r>
          </w:p>
        </w:tc>
        <w:tc>
          <w:tcPr>
            <w:tcW w:w="851" w:type="dxa"/>
            <w:tcBorders>
              <w:top w:val="nil"/>
              <w:left w:val="nil"/>
              <w:bottom w:val="single" w:sz="8" w:space="0" w:color="auto"/>
              <w:right w:val="single" w:sz="8" w:space="0" w:color="auto"/>
            </w:tcBorders>
            <w:shd w:val="clear" w:color="auto" w:fill="DEEAF6" w:themeFill="accent1" w:themeFillTint="33"/>
            <w:vAlign w:val="center"/>
          </w:tcPr>
          <w:p w14:paraId="0FFBE269"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-0,1</w:t>
            </w:r>
          </w:p>
        </w:tc>
        <w:tc>
          <w:tcPr>
            <w:tcW w:w="850" w:type="dxa"/>
            <w:tcBorders>
              <w:top w:val="nil"/>
              <w:left w:val="nil"/>
              <w:bottom w:val="single" w:sz="8" w:space="0" w:color="auto"/>
              <w:right w:val="single" w:sz="8" w:space="0" w:color="auto"/>
            </w:tcBorders>
            <w:shd w:val="clear" w:color="auto" w:fill="DEEAF6" w:themeFill="accent1" w:themeFillTint="33"/>
            <w:vAlign w:val="center"/>
          </w:tcPr>
          <w:p w14:paraId="4D297CBB"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0,7</w:t>
            </w:r>
          </w:p>
        </w:tc>
        <w:tc>
          <w:tcPr>
            <w:tcW w:w="856" w:type="dxa"/>
            <w:tcBorders>
              <w:top w:val="nil"/>
              <w:left w:val="nil"/>
              <w:bottom w:val="single" w:sz="8" w:space="0" w:color="auto"/>
              <w:right w:val="single" w:sz="8" w:space="0" w:color="auto"/>
            </w:tcBorders>
            <w:shd w:val="clear" w:color="auto" w:fill="DEEAF6" w:themeFill="accent1" w:themeFillTint="33"/>
            <w:vAlign w:val="center"/>
          </w:tcPr>
          <w:p w14:paraId="4BA300AD"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2,1</w:t>
            </w:r>
          </w:p>
        </w:tc>
      </w:tr>
      <w:tr w:rsidR="00956A4B" w:rsidRPr="007130E8" w14:paraId="2FE389CB" w14:textId="77777777" w:rsidTr="009C776B">
        <w:trPr>
          <w:trHeight w:val="158"/>
          <w:jc w:val="center"/>
        </w:trPr>
        <w:tc>
          <w:tcPr>
            <w:tcW w:w="3539" w:type="dxa"/>
            <w:shd w:val="clear" w:color="auto" w:fill="auto"/>
          </w:tcPr>
          <w:p w14:paraId="764840D4" w14:textId="77777777" w:rsidR="00956A4B" w:rsidRPr="007130E8" w:rsidRDefault="00956A4B" w:rsidP="0067167C">
            <w:pPr>
              <w:jc w:val="both"/>
              <w:rPr>
                <w:rFonts w:eastAsia="Times New Roman" w:cs="Times New Roman"/>
                <w:snapToGrid w:val="0"/>
                <w:sz w:val="21"/>
                <w:szCs w:val="21"/>
              </w:rPr>
            </w:pPr>
            <w:r w:rsidRPr="007130E8">
              <w:rPr>
                <w:rFonts w:eastAsia="Times New Roman" w:cs="Times New Roman"/>
                <w:snapToGrid w:val="0"/>
                <w:sz w:val="21"/>
                <w:szCs w:val="21"/>
              </w:rPr>
              <w:t>Strukturālā bilance</w:t>
            </w:r>
          </w:p>
        </w:tc>
        <w:tc>
          <w:tcPr>
            <w:tcW w:w="1134" w:type="dxa"/>
            <w:tcBorders>
              <w:right w:val="single" w:sz="4" w:space="0" w:color="auto"/>
            </w:tcBorders>
            <w:shd w:val="clear" w:color="auto" w:fill="auto"/>
          </w:tcPr>
          <w:p w14:paraId="4CEBEF0A" w14:textId="77777777" w:rsidR="00956A4B" w:rsidRPr="007130E8" w:rsidRDefault="00956A4B" w:rsidP="0067167C">
            <w:pPr>
              <w:jc w:val="both"/>
              <w:rPr>
                <w:rFonts w:eastAsia="Times New Roman" w:cs="Times New Roman"/>
                <w:sz w:val="2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3E2D60"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napToGrid w:val="0"/>
                <w:color w:val="000000"/>
                <w:sz w:val="21"/>
                <w:szCs w:val="21"/>
              </w:rPr>
              <w:t>-0,7</w:t>
            </w:r>
          </w:p>
        </w:tc>
        <w:tc>
          <w:tcPr>
            <w:tcW w:w="850" w:type="dxa"/>
            <w:tcBorders>
              <w:top w:val="nil"/>
              <w:left w:val="nil"/>
              <w:bottom w:val="single" w:sz="8" w:space="0" w:color="auto"/>
              <w:right w:val="single" w:sz="8" w:space="0" w:color="auto"/>
            </w:tcBorders>
            <w:shd w:val="clear" w:color="auto" w:fill="auto"/>
            <w:vAlign w:val="center"/>
          </w:tcPr>
          <w:p w14:paraId="765F6E13"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-6,1</w:t>
            </w:r>
          </w:p>
        </w:tc>
        <w:tc>
          <w:tcPr>
            <w:tcW w:w="851" w:type="dxa"/>
            <w:tcBorders>
              <w:top w:val="nil"/>
              <w:left w:val="nil"/>
              <w:bottom w:val="single" w:sz="8" w:space="0" w:color="auto"/>
              <w:right w:val="single" w:sz="8" w:space="0" w:color="auto"/>
            </w:tcBorders>
            <w:shd w:val="clear" w:color="auto" w:fill="auto"/>
            <w:vAlign w:val="center"/>
          </w:tcPr>
          <w:p w14:paraId="460EC391"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-1,0</w:t>
            </w:r>
          </w:p>
        </w:tc>
        <w:tc>
          <w:tcPr>
            <w:tcW w:w="850" w:type="dxa"/>
            <w:tcBorders>
              <w:top w:val="nil"/>
              <w:left w:val="nil"/>
              <w:bottom w:val="single" w:sz="8" w:space="0" w:color="auto"/>
              <w:right w:val="single" w:sz="8" w:space="0" w:color="auto"/>
            </w:tcBorders>
            <w:shd w:val="clear" w:color="auto" w:fill="auto"/>
            <w:vAlign w:val="center"/>
          </w:tcPr>
          <w:p w14:paraId="3F716479"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-0,2</w:t>
            </w:r>
          </w:p>
        </w:tc>
        <w:tc>
          <w:tcPr>
            <w:tcW w:w="856" w:type="dxa"/>
            <w:tcBorders>
              <w:top w:val="nil"/>
              <w:left w:val="nil"/>
              <w:bottom w:val="single" w:sz="8" w:space="0" w:color="auto"/>
              <w:right w:val="single" w:sz="8" w:space="0" w:color="auto"/>
            </w:tcBorders>
            <w:shd w:val="clear" w:color="auto" w:fill="auto"/>
            <w:vAlign w:val="center"/>
          </w:tcPr>
          <w:p w14:paraId="7C2844C7" w14:textId="77777777" w:rsidR="00956A4B" w:rsidRPr="007130E8" w:rsidRDefault="00956A4B" w:rsidP="0067167C">
            <w:pPr>
              <w:jc w:val="center"/>
              <w:rPr>
                <w:rFonts w:eastAsia="Times New Roman" w:cs="Times New Roman"/>
                <w:snapToGrid w:val="0"/>
                <w:sz w:val="21"/>
                <w:szCs w:val="21"/>
              </w:rPr>
            </w:pPr>
            <w:r w:rsidRPr="007130E8">
              <w:rPr>
                <w:rFonts w:eastAsia="Times New Roman" w:cs="Times New Roman"/>
                <w:sz w:val="21"/>
                <w:szCs w:val="21"/>
              </w:rPr>
              <w:t>1,2</w:t>
            </w:r>
          </w:p>
        </w:tc>
      </w:tr>
    </w:tbl>
    <w:tbl>
      <w:tblPr>
        <w:tblStyle w:val="TableGrid"/>
        <w:tblW w:w="1034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5046"/>
      </w:tblGrid>
      <w:tr w:rsidR="005152BF" w14:paraId="50E8D64D" w14:textId="77777777" w:rsidTr="00F05CCB">
        <w:trPr>
          <w:trHeight w:val="5051"/>
        </w:trPr>
        <w:tc>
          <w:tcPr>
            <w:tcW w:w="5299" w:type="dxa"/>
          </w:tcPr>
          <w:p w14:paraId="34B3DE90" w14:textId="2EB51D2E" w:rsidR="005152BF" w:rsidRDefault="005152BF" w:rsidP="004F1479">
            <w:pPr>
              <w:pStyle w:val="ListParagraph"/>
              <w:spacing w:after="120" w:line="276" w:lineRule="auto"/>
              <w:ind w:left="0"/>
              <w:jc w:val="center"/>
              <w:rPr>
                <w:rFonts w:eastAsiaTheme="minorHAnsi"/>
                <w:b/>
                <w:sz w:val="24"/>
                <w:szCs w:val="24"/>
              </w:rPr>
            </w:pPr>
            <w:r w:rsidRPr="007130E8">
              <w:rPr>
                <w:rFonts w:ascii="Garamond" w:eastAsiaTheme="minorHAnsi" w:hAnsi="Garamond"/>
                <w:noProof/>
                <w:sz w:val="24"/>
              </w:rPr>
              <w:drawing>
                <wp:anchor distT="0" distB="0" distL="114300" distR="114300" simplePos="0" relativeHeight="251674624" behindDoc="0" locked="0" layoutInCell="1" allowOverlap="1" wp14:anchorId="15E6A08F" wp14:editId="7D7F60CF">
                  <wp:simplePos x="0" y="0"/>
                  <wp:positionH relativeFrom="margin">
                    <wp:posOffset>-65024</wp:posOffset>
                  </wp:positionH>
                  <wp:positionV relativeFrom="paragraph">
                    <wp:posOffset>153568</wp:posOffset>
                  </wp:positionV>
                  <wp:extent cx="3228121" cy="2340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3990" t="4914" r="3724"/>
                          <a:stretch/>
                        </pic:blipFill>
                        <pic:spPr bwMode="auto">
                          <a:xfrm>
                            <a:off x="0" y="0"/>
                            <a:ext cx="3228121"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DF86D" w14:textId="3CC762D4" w:rsidR="005152BF" w:rsidRDefault="005152BF" w:rsidP="005152BF">
            <w:pPr>
              <w:pStyle w:val="ListParagraph"/>
              <w:spacing w:after="120" w:line="276" w:lineRule="auto"/>
              <w:ind w:left="0"/>
              <w:jc w:val="center"/>
              <w:rPr>
                <w:rFonts w:eastAsiaTheme="minorHAnsi"/>
                <w:b/>
                <w:sz w:val="24"/>
                <w:szCs w:val="24"/>
              </w:rPr>
            </w:pPr>
            <w:r w:rsidRPr="004F1479">
              <w:rPr>
                <w:rFonts w:eastAsiaTheme="minorHAnsi"/>
                <w:b/>
                <w:sz w:val="24"/>
                <w:szCs w:val="24"/>
              </w:rPr>
              <w:t>3.4.attēls. Vispārējās valdības budžeta bilance,</w:t>
            </w:r>
            <w:r w:rsidRPr="004F1479">
              <w:rPr>
                <w:rFonts w:eastAsiaTheme="minorHAnsi"/>
                <w:b/>
                <w:sz w:val="24"/>
                <w:szCs w:val="24"/>
              </w:rPr>
              <w:br/>
              <w:t xml:space="preserve">% no IKP (Datu avots: </w:t>
            </w:r>
            <w:r w:rsidRPr="004F1479">
              <w:rPr>
                <w:rFonts w:eastAsiaTheme="minorHAnsi"/>
                <w:b/>
                <w:i/>
                <w:noProof/>
                <w:sz w:val="24"/>
                <w:szCs w:val="24"/>
              </w:rPr>
              <w:t>Eurostat</w:t>
            </w:r>
            <w:r w:rsidRPr="004F1479">
              <w:rPr>
                <w:rFonts w:eastAsiaTheme="minorHAnsi"/>
                <w:b/>
                <w:sz w:val="24"/>
                <w:szCs w:val="24"/>
              </w:rPr>
              <w:t>, FM)</w:t>
            </w:r>
          </w:p>
        </w:tc>
        <w:tc>
          <w:tcPr>
            <w:tcW w:w="5046" w:type="dxa"/>
          </w:tcPr>
          <w:p w14:paraId="6231CFBA" w14:textId="332839C0" w:rsidR="005152BF" w:rsidRDefault="005152BF" w:rsidP="004F1479">
            <w:pPr>
              <w:pStyle w:val="ListParagraph"/>
              <w:spacing w:after="120" w:line="276" w:lineRule="auto"/>
              <w:ind w:left="0"/>
              <w:jc w:val="center"/>
              <w:rPr>
                <w:rFonts w:eastAsiaTheme="minorHAnsi"/>
                <w:b/>
                <w:sz w:val="24"/>
                <w:szCs w:val="24"/>
              </w:rPr>
            </w:pPr>
            <w:r w:rsidRPr="007130E8">
              <w:rPr>
                <w:rFonts w:ascii="Garamond" w:eastAsiaTheme="minorHAnsi" w:hAnsi="Garamond"/>
                <w:noProof/>
                <w:sz w:val="24"/>
              </w:rPr>
              <w:drawing>
                <wp:anchor distT="0" distB="0" distL="114300" distR="114300" simplePos="0" relativeHeight="251675648" behindDoc="1" locked="0" layoutInCell="1" allowOverlap="1" wp14:anchorId="5E745A92" wp14:editId="787F13A4">
                  <wp:simplePos x="0" y="0"/>
                  <wp:positionH relativeFrom="margin">
                    <wp:posOffset>-64846</wp:posOffset>
                  </wp:positionH>
                  <wp:positionV relativeFrom="paragraph">
                    <wp:posOffset>122860</wp:posOffset>
                  </wp:positionV>
                  <wp:extent cx="3057525" cy="2159635"/>
                  <wp:effectExtent l="0" t="0" r="9525" b="0"/>
                  <wp:wrapTight wrapText="bothSides">
                    <wp:wrapPolygon edited="0">
                      <wp:start x="0" y="0"/>
                      <wp:lineTo x="0" y="21340"/>
                      <wp:lineTo x="21533" y="21340"/>
                      <wp:lineTo x="21533" y="20006"/>
                      <wp:lineTo x="20187" y="18863"/>
                      <wp:lineTo x="17899" y="18291"/>
                      <wp:lineTo x="21398" y="17338"/>
                      <wp:lineTo x="21398" y="16576"/>
                      <wp:lineTo x="16957" y="15243"/>
                      <wp:lineTo x="20456" y="14099"/>
                      <wp:lineTo x="19918" y="13528"/>
                      <wp:lineTo x="10497" y="12194"/>
                      <wp:lineTo x="18572" y="12194"/>
                      <wp:lineTo x="20321" y="11622"/>
                      <wp:lineTo x="19110" y="9146"/>
                      <wp:lineTo x="20187" y="9146"/>
                      <wp:lineTo x="20591" y="8193"/>
                      <wp:lineTo x="20591" y="4382"/>
                      <wp:lineTo x="20187" y="3430"/>
                      <wp:lineTo x="19110" y="3049"/>
                      <wp:lineTo x="21533" y="2096"/>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2971"/>
                          <a:stretch/>
                        </pic:blipFill>
                        <pic:spPr bwMode="auto">
                          <a:xfrm>
                            <a:off x="0" y="0"/>
                            <a:ext cx="305752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9840C" w14:textId="77777777" w:rsidR="005152BF" w:rsidRDefault="005152BF" w:rsidP="004F1479">
            <w:pPr>
              <w:pStyle w:val="ListParagraph"/>
              <w:spacing w:after="120" w:line="276" w:lineRule="auto"/>
              <w:ind w:left="0"/>
              <w:jc w:val="center"/>
              <w:rPr>
                <w:rFonts w:eastAsiaTheme="minorHAnsi"/>
                <w:b/>
                <w:sz w:val="24"/>
                <w:szCs w:val="24"/>
              </w:rPr>
            </w:pPr>
          </w:p>
          <w:p w14:paraId="55203D9F" w14:textId="6DCB7A91" w:rsidR="005152BF" w:rsidRDefault="005152BF" w:rsidP="005152BF">
            <w:pPr>
              <w:pStyle w:val="ListParagraph"/>
              <w:spacing w:after="120" w:line="276" w:lineRule="auto"/>
              <w:ind w:left="0"/>
              <w:jc w:val="center"/>
              <w:rPr>
                <w:rFonts w:eastAsiaTheme="minorHAnsi"/>
                <w:b/>
                <w:sz w:val="24"/>
                <w:szCs w:val="24"/>
              </w:rPr>
            </w:pPr>
            <w:r w:rsidRPr="004F1479">
              <w:rPr>
                <w:rFonts w:eastAsiaTheme="minorHAnsi"/>
                <w:b/>
                <w:sz w:val="24"/>
                <w:szCs w:val="24"/>
              </w:rPr>
              <w:t>3.5.attēls. Bilances izmaiņas ietekmējošie faktori pret bāzes scenāriju, milj. euro</w:t>
            </w:r>
            <w:r w:rsidRPr="004F1479">
              <w:rPr>
                <w:rFonts w:eastAsiaTheme="minorHAnsi"/>
                <w:b/>
                <w:sz w:val="24"/>
                <w:szCs w:val="24"/>
              </w:rPr>
              <w:br/>
              <w:t>(Datu avots: FM)</w:t>
            </w:r>
          </w:p>
        </w:tc>
      </w:tr>
    </w:tbl>
    <w:p w14:paraId="3F124108" w14:textId="77777777" w:rsidR="00F05CCB" w:rsidRDefault="00F05CCB" w:rsidP="00F05CCB">
      <w:pPr>
        <w:spacing w:after="0" w:line="240" w:lineRule="auto"/>
        <w:ind w:firstLine="578"/>
        <w:jc w:val="both"/>
        <w:rPr>
          <w:rFonts w:ascii="Times New Roman" w:eastAsia="Times New Roman" w:hAnsi="Times New Roman" w:cs="Times New Roman"/>
          <w:b/>
          <w:color w:val="000000"/>
          <w:sz w:val="24"/>
          <w:szCs w:val="24"/>
        </w:rPr>
      </w:pPr>
    </w:p>
    <w:p w14:paraId="50C00AFA" w14:textId="4B2FAD97" w:rsidR="007130E8" w:rsidRPr="007130E8" w:rsidRDefault="007130E8" w:rsidP="00FA6285">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Salīdzinot ar bāzes scenāriju, bilances pasliktināšanos vidējā termiņā (skat. 3.</w:t>
      </w:r>
      <w:r w:rsidR="007F6EE6">
        <w:rPr>
          <w:rFonts w:ascii="Times New Roman" w:eastAsia="Times New Roman" w:hAnsi="Times New Roman" w:cs="Times New Roman"/>
          <w:color w:val="000000"/>
          <w:sz w:val="24"/>
          <w:szCs w:val="24"/>
        </w:rPr>
        <w:t>5</w:t>
      </w:r>
      <w:r w:rsidRPr="007130E8">
        <w:rPr>
          <w:rFonts w:ascii="Times New Roman" w:eastAsia="Times New Roman" w:hAnsi="Times New Roman" w:cs="Times New Roman"/>
          <w:color w:val="000000"/>
          <w:sz w:val="24"/>
          <w:szCs w:val="24"/>
        </w:rPr>
        <w:t xml:space="preserve">.attēlu) pamatā ietekmē prognozētais nodokļu un ne-nodokļu ieņēmumu samazinājums – vidēji par </w:t>
      </w:r>
      <w:r w:rsidR="00E2569A">
        <w:rPr>
          <w:rFonts w:ascii="Times New Roman" w:eastAsia="Times New Roman" w:hAnsi="Times New Roman" w:cs="Times New Roman"/>
          <w:color w:val="000000"/>
          <w:sz w:val="24"/>
          <w:szCs w:val="24"/>
        </w:rPr>
        <w:br/>
      </w:r>
      <w:r w:rsidRPr="007130E8">
        <w:rPr>
          <w:rFonts w:ascii="Times New Roman" w:eastAsia="Times New Roman" w:hAnsi="Times New Roman" w:cs="Times New Roman"/>
          <w:color w:val="000000"/>
          <w:sz w:val="24"/>
          <w:szCs w:val="24"/>
        </w:rPr>
        <w:t>1,4-1,5</w:t>
      </w:r>
      <w:r w:rsidR="00D253B5">
        <w:rPr>
          <w:rFonts w:ascii="Times New Roman" w:eastAsia="Times New Roman" w:hAnsi="Times New Roman" w:cs="Times New Roman"/>
          <w:color w:val="000000"/>
          <w:sz w:val="24"/>
          <w:szCs w:val="24"/>
        </w:rPr>
        <w:t xml:space="preserve"> m</w:t>
      </w:r>
      <w:r w:rsidRPr="007130E8">
        <w:rPr>
          <w:rFonts w:ascii="Times New Roman" w:eastAsia="Times New Roman" w:hAnsi="Times New Roman" w:cs="Times New Roman"/>
          <w:color w:val="000000"/>
          <w:sz w:val="24"/>
          <w:szCs w:val="24"/>
        </w:rPr>
        <w:t>ljrd</w:t>
      </w:r>
      <w:r w:rsidR="00D253B5">
        <w:rPr>
          <w:rFonts w:ascii="Times New Roman" w:eastAsia="Times New Roman" w:hAnsi="Times New Roman" w:cs="Times New Roman"/>
          <w:color w:val="000000"/>
          <w:sz w:val="24"/>
          <w:szCs w:val="24"/>
        </w:rPr>
        <w:t>.</w:t>
      </w:r>
      <w:r w:rsidRPr="007130E8">
        <w:rPr>
          <w:rFonts w:ascii="Times New Roman" w:eastAsia="Times New Roman" w:hAnsi="Times New Roman" w:cs="Times New Roman"/>
          <w:color w:val="000000"/>
          <w:sz w:val="24"/>
          <w:szCs w:val="24"/>
        </w:rPr>
        <w:t xml:space="preserve"> </w:t>
      </w:r>
      <w:r w:rsidRPr="00853B58">
        <w:rPr>
          <w:rFonts w:ascii="Times New Roman" w:eastAsia="Times New Roman" w:hAnsi="Times New Roman" w:cs="Times New Roman"/>
          <w:i/>
          <w:color w:val="000000"/>
          <w:sz w:val="24"/>
          <w:szCs w:val="24"/>
        </w:rPr>
        <w:t>e</w:t>
      </w:r>
      <w:r w:rsidR="00853B58" w:rsidRPr="00853B58">
        <w:rPr>
          <w:rFonts w:ascii="Times New Roman" w:eastAsia="Times New Roman" w:hAnsi="Times New Roman" w:cs="Times New Roman"/>
          <w:i/>
          <w:color w:val="000000"/>
          <w:sz w:val="24"/>
          <w:szCs w:val="24"/>
        </w:rPr>
        <w:t>u</w:t>
      </w:r>
      <w:r w:rsidRPr="00853B58">
        <w:rPr>
          <w:rFonts w:ascii="Times New Roman" w:eastAsia="Times New Roman" w:hAnsi="Times New Roman" w:cs="Times New Roman"/>
          <w:i/>
          <w:color w:val="000000"/>
          <w:sz w:val="24"/>
          <w:szCs w:val="24"/>
        </w:rPr>
        <w:t>ro</w:t>
      </w:r>
      <w:r w:rsidRPr="007130E8">
        <w:rPr>
          <w:rFonts w:ascii="Times New Roman" w:eastAsia="Times New Roman" w:hAnsi="Times New Roman" w:cs="Times New Roman"/>
          <w:color w:val="000000"/>
          <w:sz w:val="24"/>
          <w:szCs w:val="24"/>
        </w:rPr>
        <w:t xml:space="preserve"> katru gadu, neņemot vērā ieņēmumu kritumu ieviesto atbalsta pasākumu – nodokļu samaksas termiņu pagarinājumu, IIN avansa maksājumu atcelšanas, ātrākas pārmaksātā PVN atmaksas u.c. pasākumu dēļ, kā rezultātā ieņēmumi samazinātos vēl vairāk. Ieņēmumu prognoze ir konservatīvs FM vērtējums, ņemot vērā ekonomikas izaugsmes samazināšanos un pieņemtos ierobežojumus, kas būtiski bremzē ekonomisko aktivitāti. Ieņēmumus, salīdzinot ar bāzes scenāriju, samazina arī negatīva korekcija saistībā ar A/S “Latvenergo” “super-dividendēm” (budžetā saņemto ieņēmumu no dividendēm daļa, kas atbilstoši EKS </w:t>
      </w:r>
      <w:r w:rsidR="00F033D3">
        <w:rPr>
          <w:rFonts w:ascii="Times New Roman" w:eastAsia="Times New Roman" w:hAnsi="Times New Roman" w:cs="Times New Roman"/>
          <w:color w:val="000000"/>
          <w:sz w:val="24"/>
          <w:szCs w:val="24"/>
        </w:rPr>
        <w:t xml:space="preserve">2010 </w:t>
      </w:r>
      <w:r w:rsidRPr="007130E8">
        <w:rPr>
          <w:rFonts w:ascii="Times New Roman" w:eastAsia="Times New Roman" w:hAnsi="Times New Roman" w:cs="Times New Roman"/>
          <w:color w:val="000000"/>
          <w:sz w:val="24"/>
          <w:szCs w:val="24"/>
        </w:rPr>
        <w:t>jāizslēdz, jo uzņēmums tos samaksāja no saviem ar saimniecisko darbību nesaistītajiem ienākumiem), kas tika iekļauta prognozē, ņemot vērā šā gada aprīļa notifikācijas rezultātu</w:t>
      </w:r>
      <w:r w:rsidR="00FA6285">
        <w:rPr>
          <w:rFonts w:ascii="Times New Roman" w:eastAsia="Times New Roman" w:hAnsi="Times New Roman" w:cs="Times New Roman"/>
          <w:color w:val="000000"/>
          <w:sz w:val="24"/>
          <w:szCs w:val="24"/>
        </w:rPr>
        <w:t xml:space="preserve"> par 2019.</w:t>
      </w:r>
      <w:r w:rsidRPr="007130E8">
        <w:rPr>
          <w:rFonts w:ascii="Times New Roman" w:eastAsia="Times New Roman" w:hAnsi="Times New Roman" w:cs="Times New Roman"/>
          <w:color w:val="000000"/>
          <w:sz w:val="24"/>
          <w:szCs w:val="24"/>
        </w:rPr>
        <w:t>gadu.</w:t>
      </w:r>
    </w:p>
    <w:p w14:paraId="72720876" w14:textId="5521D684"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Tāpat ekonomiskajai situācijai pasliktinoties un pieaugot bezdarba rādītājiem, 2020.gadā tiek prognozēts būtisks izdevumu pieaugums bezdarbnieka pabalstiem, tāpat, pieaugot saslimstībai ar Covid-19 un karantīnā esošo cilvēku skaitam, pieaugtu slimības pabalsta saņēmēju skaits un attiecīgi izdevumi slimības pabalstiem. Izdevumus sociālajiem pabalstiem vēl vairāk palielinās arī atbalsta pasākumi.</w:t>
      </w:r>
    </w:p>
    <w:p w14:paraId="1BBB896F" w14:textId="026B7207"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Pārējās izmaiņas bilancē, salīdzinot ar bāzes scenāriju, ir nenozīmīgas. Vēl jāatzīmē, ka, balstoties uz vērtējumu par labākiem SIA “Rīgas satiksme” saimnieciskās darbības rezultātiem, tuvākā laikā valdībai tiks piedāvāts samazināt Rīgas pašvaldības kompensāciju no 38 milj</w:t>
      </w:r>
      <w:r w:rsidR="0026564C">
        <w:rPr>
          <w:rFonts w:ascii="Times New Roman" w:eastAsia="Times New Roman" w:hAnsi="Times New Roman" w:cs="Times New Roman"/>
          <w:color w:val="000000"/>
          <w:sz w:val="24"/>
          <w:szCs w:val="24"/>
        </w:rPr>
        <w:t xml:space="preserve">. </w:t>
      </w:r>
      <w:r w:rsidR="0026564C" w:rsidRPr="0026564C">
        <w:rPr>
          <w:rFonts w:ascii="Times New Roman" w:eastAsia="Times New Roman" w:hAnsi="Times New Roman" w:cs="Times New Roman"/>
          <w:i/>
          <w:color w:val="000000"/>
          <w:sz w:val="24"/>
          <w:szCs w:val="24"/>
        </w:rPr>
        <w:t>euro</w:t>
      </w:r>
      <w:r w:rsidR="0026564C">
        <w:rPr>
          <w:rFonts w:ascii="Times New Roman" w:eastAsia="Times New Roman" w:hAnsi="Times New Roman" w:cs="Times New Roman"/>
          <w:color w:val="000000"/>
          <w:sz w:val="24"/>
          <w:szCs w:val="24"/>
        </w:rPr>
        <w:t xml:space="preserve"> uz 12,6 milj. </w:t>
      </w:r>
      <w:r w:rsidR="0026564C" w:rsidRPr="0026564C">
        <w:rPr>
          <w:rFonts w:ascii="Times New Roman" w:eastAsia="Times New Roman" w:hAnsi="Times New Roman" w:cs="Times New Roman"/>
          <w:i/>
          <w:color w:val="000000"/>
          <w:sz w:val="24"/>
          <w:szCs w:val="24"/>
        </w:rPr>
        <w:t>euro</w:t>
      </w:r>
      <w:r w:rsidR="0026564C">
        <w:rPr>
          <w:rFonts w:ascii="Times New Roman" w:eastAsia="Times New Roman" w:hAnsi="Times New Roman" w:cs="Times New Roman"/>
          <w:color w:val="000000"/>
          <w:sz w:val="24"/>
          <w:szCs w:val="24"/>
        </w:rPr>
        <w:t xml:space="preserve"> 2020.</w:t>
      </w:r>
      <w:r w:rsidRPr="007130E8">
        <w:rPr>
          <w:rFonts w:ascii="Times New Roman" w:eastAsia="Times New Roman" w:hAnsi="Times New Roman" w:cs="Times New Roman"/>
          <w:color w:val="000000"/>
          <w:sz w:val="24"/>
          <w:szCs w:val="24"/>
        </w:rPr>
        <w:t xml:space="preserve">gadā, kas gan bilanci kopumā neietekmēs, tikai pa budžeta </w:t>
      </w:r>
      <w:r w:rsidR="005E699F">
        <w:rPr>
          <w:rFonts w:ascii="Times New Roman" w:eastAsia="Times New Roman" w:hAnsi="Times New Roman" w:cs="Times New Roman"/>
          <w:color w:val="000000"/>
          <w:sz w:val="24"/>
          <w:szCs w:val="24"/>
        </w:rPr>
        <w:t>apakš</w:t>
      </w:r>
      <w:r w:rsidRPr="007130E8">
        <w:rPr>
          <w:rFonts w:ascii="Times New Roman" w:eastAsia="Times New Roman" w:hAnsi="Times New Roman" w:cs="Times New Roman"/>
          <w:color w:val="000000"/>
          <w:sz w:val="24"/>
          <w:szCs w:val="24"/>
        </w:rPr>
        <w:t>līmeņiem.</w:t>
      </w:r>
    </w:p>
    <w:p w14:paraId="049436D4" w14:textId="553E3790"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Būtisku vispārējās valdības budžeta bilances pasliktinājumu salīdzinājumā ar bāzes scenāriju veido arī fiskālā ietekme no valdības un Saeimas pieņemtajiem tautsaimniecības atbalsta pasākumiem. Ņemot vērā šos lēmumus, kopumā </w:t>
      </w:r>
      <w:r w:rsidRPr="007130E8">
        <w:rPr>
          <w:rFonts w:ascii="Times New Roman" w:eastAsia="Times New Roman" w:hAnsi="Times New Roman" w:cs="Times New Roman"/>
          <w:b/>
          <w:color w:val="000000"/>
          <w:sz w:val="24"/>
          <w:szCs w:val="24"/>
        </w:rPr>
        <w:t>tautsaimniecības plānotais atbalsts sasniedz 1,7</w:t>
      </w:r>
      <w:r w:rsidR="0026564C">
        <w:rPr>
          <w:rFonts w:ascii="Times New Roman" w:eastAsia="Times New Roman" w:hAnsi="Times New Roman" w:cs="Times New Roman"/>
          <w:b/>
          <w:color w:val="000000"/>
          <w:sz w:val="24"/>
          <w:szCs w:val="24"/>
        </w:rPr>
        <w:t xml:space="preserve"> miljardus </w:t>
      </w:r>
      <w:r w:rsidR="0026564C" w:rsidRPr="0026564C">
        <w:rPr>
          <w:rFonts w:ascii="Times New Roman" w:eastAsia="Times New Roman" w:hAnsi="Times New Roman" w:cs="Times New Roman"/>
          <w:b/>
          <w:i/>
          <w:color w:val="000000"/>
          <w:sz w:val="24"/>
          <w:szCs w:val="24"/>
        </w:rPr>
        <w:t>euro</w:t>
      </w:r>
      <w:r w:rsidR="0026564C">
        <w:rPr>
          <w:rFonts w:ascii="Times New Roman" w:eastAsia="Times New Roman" w:hAnsi="Times New Roman" w:cs="Times New Roman"/>
          <w:b/>
          <w:color w:val="000000"/>
          <w:sz w:val="24"/>
          <w:szCs w:val="24"/>
        </w:rPr>
        <w:t xml:space="preserve"> jeb 6,1% no IKP</w:t>
      </w:r>
      <w:r w:rsidRPr="007130E8">
        <w:rPr>
          <w:rFonts w:ascii="Times New Roman" w:eastAsia="Times New Roman" w:hAnsi="Times New Roman" w:cs="Times New Roman"/>
          <w:b/>
          <w:color w:val="000000"/>
          <w:sz w:val="24"/>
          <w:szCs w:val="24"/>
        </w:rPr>
        <w:t xml:space="preserve"> ar tiešu negatīvu ietekmi uz vispārējās valdības budžeta bilanci 851,4 milj. </w:t>
      </w:r>
      <w:r w:rsidR="0026564C" w:rsidRPr="0026564C">
        <w:rPr>
          <w:rFonts w:ascii="Times New Roman" w:eastAsia="Times New Roman" w:hAnsi="Times New Roman" w:cs="Times New Roman"/>
          <w:b/>
          <w:i/>
          <w:color w:val="000000"/>
          <w:sz w:val="24"/>
          <w:szCs w:val="24"/>
        </w:rPr>
        <w:t>euro</w:t>
      </w:r>
      <w:r w:rsidR="0026564C">
        <w:rPr>
          <w:rFonts w:ascii="Times New Roman" w:eastAsia="Times New Roman" w:hAnsi="Times New Roman" w:cs="Times New Roman"/>
          <w:b/>
          <w:color w:val="000000"/>
          <w:sz w:val="24"/>
          <w:szCs w:val="24"/>
        </w:rPr>
        <w:t xml:space="preserve"> jeb 3,0% no IKP apmērā 2020.</w:t>
      </w:r>
      <w:r w:rsidRPr="007130E8">
        <w:rPr>
          <w:rFonts w:ascii="Times New Roman" w:eastAsia="Times New Roman" w:hAnsi="Times New Roman" w:cs="Times New Roman"/>
          <w:b/>
          <w:color w:val="000000"/>
          <w:sz w:val="24"/>
          <w:szCs w:val="24"/>
        </w:rPr>
        <w:t>gadā</w:t>
      </w:r>
      <w:r w:rsidRPr="007130E8">
        <w:rPr>
          <w:rFonts w:ascii="Times New Roman" w:eastAsia="Times New Roman" w:hAnsi="Times New Roman" w:cs="Times New Roman"/>
          <w:color w:val="000000"/>
          <w:sz w:val="24"/>
          <w:szCs w:val="24"/>
        </w:rPr>
        <w:t>, savukārt, vidējā termiņā, galvenokārt saņemot budžeta ieņēmumos nodokļus, kuriem termiņi tika pagarināti, tiek prognozēta po</w:t>
      </w:r>
      <w:r w:rsidR="0026564C">
        <w:rPr>
          <w:rFonts w:ascii="Times New Roman" w:eastAsia="Times New Roman" w:hAnsi="Times New Roman" w:cs="Times New Roman"/>
          <w:color w:val="000000"/>
          <w:sz w:val="24"/>
          <w:szCs w:val="24"/>
        </w:rPr>
        <w:t>zitīva ietekme uz bilanci 2021.gadā 0,2% no IKP, 2022.gadā 0,2% no IKP un 2023.</w:t>
      </w:r>
      <w:r w:rsidRPr="007130E8">
        <w:rPr>
          <w:rFonts w:ascii="Times New Roman" w:eastAsia="Times New Roman" w:hAnsi="Times New Roman" w:cs="Times New Roman"/>
          <w:color w:val="000000"/>
          <w:sz w:val="24"/>
          <w:szCs w:val="24"/>
        </w:rPr>
        <w:t>gadā 0,3% no IKP. Ja ņem vērā arī citu organizāciju, piem., starptautisko finanšu sektora institūciju piedāvāto atbalstu, tad kopumā pieejamais atbalsts Latvijas tautsaimniecībai Covid-19 krīzes pārvarēšanai varētu būt lielāks.</w:t>
      </w:r>
    </w:p>
    <w:p w14:paraId="45080BC7" w14:textId="77777777"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Pieņemtos atbalsta pasākumu lēmumus (uz 17.04.2020) Covid-19 krīzes pārvarēšanai, kuri detalizētāk atspoguļoti tabulā Stabilitātes programmas pielikumā, var sadalīt četrās kategorijās – atbalsts nodokļu jomā, atbalsts pabalstu jomā, atbalsts aizdevumu un garantiju jomā, kā arī atbalsts nozarēm. </w:t>
      </w:r>
    </w:p>
    <w:p w14:paraId="5398DF1F" w14:textId="77777777" w:rsidR="00956A4B" w:rsidRDefault="00956A4B" w:rsidP="007F6EE6">
      <w:pPr>
        <w:spacing w:after="0" w:line="240" w:lineRule="auto"/>
        <w:jc w:val="both"/>
        <w:rPr>
          <w:rFonts w:ascii="Times New Roman" w:eastAsia="Times New Roman" w:hAnsi="Times New Roman" w:cs="Times New Roman"/>
          <w:b/>
          <w:color w:val="000000"/>
          <w:sz w:val="24"/>
          <w:szCs w:val="24"/>
        </w:rPr>
      </w:pPr>
    </w:p>
    <w:p w14:paraId="60B8A3F0" w14:textId="4F9AF67E" w:rsidR="007130E8" w:rsidRPr="007130E8" w:rsidRDefault="007130E8" w:rsidP="007F6EE6">
      <w:pPr>
        <w:spacing w:after="0" w:line="240" w:lineRule="auto"/>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Atbalsts nodokļu jomā</w:t>
      </w:r>
    </w:p>
    <w:p w14:paraId="26761571" w14:textId="01CC20B8" w:rsidR="007130E8" w:rsidRPr="007130E8" w:rsidRDefault="007130E8" w:rsidP="007F6EE6">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Kopumā atbalsta pasākumu nodokļu jomā negatīvā ietekme uz vispārējās </w:t>
      </w:r>
      <w:r w:rsidR="0026564C">
        <w:rPr>
          <w:rFonts w:ascii="Times New Roman" w:eastAsia="Times New Roman" w:hAnsi="Times New Roman" w:cs="Times New Roman"/>
          <w:color w:val="000000"/>
          <w:sz w:val="24"/>
          <w:szCs w:val="24"/>
        </w:rPr>
        <w:t>valdības budžeta bilanci 2020.g</w:t>
      </w:r>
      <w:r w:rsidRPr="007130E8">
        <w:rPr>
          <w:rFonts w:ascii="Times New Roman" w:eastAsia="Times New Roman" w:hAnsi="Times New Roman" w:cs="Times New Roman"/>
          <w:color w:val="000000"/>
          <w:sz w:val="24"/>
          <w:szCs w:val="24"/>
        </w:rPr>
        <w:t xml:space="preserve">adā tiek prognozēta 331,0 milj.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w:t>
      </w:r>
      <w:r w:rsidR="0026564C">
        <w:rPr>
          <w:rFonts w:ascii="Times New Roman" w:eastAsia="Times New Roman" w:hAnsi="Times New Roman" w:cs="Times New Roman"/>
          <w:color w:val="000000"/>
          <w:sz w:val="24"/>
          <w:szCs w:val="24"/>
        </w:rPr>
        <w:t>jeb 1,2% no IKP, savukārt 2021.</w:t>
      </w:r>
      <w:r w:rsidRPr="007130E8">
        <w:rPr>
          <w:rFonts w:ascii="Times New Roman" w:eastAsia="Times New Roman" w:hAnsi="Times New Roman" w:cs="Times New Roman"/>
          <w:color w:val="000000"/>
          <w:sz w:val="24"/>
          <w:szCs w:val="24"/>
        </w:rPr>
        <w:t xml:space="preserve">gadā, budžetā saņemot nodokļus, kuriem bija pagarināti samaksas termiņi, tā ir pozitīva 58,7 milj. </w:t>
      </w:r>
      <w:r w:rsidR="0026564C" w:rsidRPr="0026564C">
        <w:rPr>
          <w:rFonts w:ascii="Times New Roman" w:eastAsia="Times New Roman" w:hAnsi="Times New Roman" w:cs="Times New Roman"/>
          <w:i/>
          <w:color w:val="000000"/>
          <w:sz w:val="24"/>
          <w:szCs w:val="24"/>
        </w:rPr>
        <w:t>euro</w:t>
      </w:r>
      <w:r w:rsidR="0026564C">
        <w:rPr>
          <w:rFonts w:ascii="Times New Roman" w:eastAsia="Times New Roman" w:hAnsi="Times New Roman" w:cs="Times New Roman"/>
          <w:color w:val="000000"/>
          <w:sz w:val="24"/>
          <w:szCs w:val="24"/>
        </w:rPr>
        <w:t xml:space="preserve"> jeb 0,2% no IKP, 2022.</w:t>
      </w:r>
      <w:r w:rsidRPr="007130E8">
        <w:rPr>
          <w:rFonts w:ascii="Times New Roman" w:eastAsia="Times New Roman" w:hAnsi="Times New Roman" w:cs="Times New Roman"/>
          <w:color w:val="000000"/>
          <w:sz w:val="24"/>
          <w:szCs w:val="24"/>
        </w:rPr>
        <w:t xml:space="preserve">gadā 47,3 milj. </w:t>
      </w:r>
      <w:r w:rsidR="0026564C" w:rsidRPr="0026564C">
        <w:rPr>
          <w:rFonts w:ascii="Times New Roman" w:eastAsia="Times New Roman" w:hAnsi="Times New Roman" w:cs="Times New Roman"/>
          <w:i/>
          <w:color w:val="000000"/>
          <w:sz w:val="24"/>
          <w:szCs w:val="24"/>
        </w:rPr>
        <w:t>euro</w:t>
      </w:r>
      <w:r w:rsidR="0026564C">
        <w:rPr>
          <w:rFonts w:ascii="Times New Roman" w:eastAsia="Times New Roman" w:hAnsi="Times New Roman" w:cs="Times New Roman"/>
          <w:color w:val="000000"/>
          <w:sz w:val="24"/>
          <w:szCs w:val="24"/>
        </w:rPr>
        <w:t xml:space="preserve"> jeb 0,2% no IKP un 2023.</w:t>
      </w:r>
      <w:r w:rsidRPr="007130E8">
        <w:rPr>
          <w:rFonts w:ascii="Times New Roman" w:eastAsia="Times New Roman" w:hAnsi="Times New Roman" w:cs="Times New Roman"/>
          <w:color w:val="000000"/>
          <w:sz w:val="24"/>
          <w:szCs w:val="24"/>
        </w:rPr>
        <w:t xml:space="preserve">gadā 94,6 milj.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jeb 0,3% no IKP. </w:t>
      </w:r>
    </w:p>
    <w:p w14:paraId="1B214F11" w14:textId="1DBB9D11"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Likumā “Par valsts apdraudējuma un tā seku novēršanas un pārvarēšanas pasākumiem sakarā ar Covid-19 izplatību”, kas t</w:t>
      </w:r>
      <w:r w:rsidR="00F67219">
        <w:rPr>
          <w:rFonts w:ascii="Times New Roman" w:eastAsia="Times New Roman" w:hAnsi="Times New Roman" w:cs="Times New Roman"/>
          <w:color w:val="000000"/>
          <w:sz w:val="24"/>
          <w:szCs w:val="24"/>
        </w:rPr>
        <w:t>ika pieņemts Saeimā šā gada 20.</w:t>
      </w:r>
      <w:r w:rsidRPr="007130E8">
        <w:rPr>
          <w:rFonts w:ascii="Times New Roman" w:eastAsia="Times New Roman" w:hAnsi="Times New Roman" w:cs="Times New Roman"/>
          <w:color w:val="000000"/>
          <w:sz w:val="24"/>
          <w:szCs w:val="24"/>
        </w:rPr>
        <w:t>martā, tika noteikti vairāki nodokļu ieņēmumus ietekmējoši atbalsta pasākumi, lai mazinātu krīzes sekas uzņēmējiem un iedzīvotājiem. Atbalstā nodokļu jomā ietilpst tādi pasākumi kā:</w:t>
      </w:r>
    </w:p>
    <w:p w14:paraId="67E30FCC" w14:textId="77777777" w:rsidR="007130E8" w:rsidRPr="007130E8" w:rsidRDefault="007130E8" w:rsidP="005A288B">
      <w:pPr>
        <w:numPr>
          <w:ilvl w:val="0"/>
          <w:numId w:val="14"/>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nodokļu samaksas termiņa pagarinājumi;</w:t>
      </w:r>
    </w:p>
    <w:p w14:paraId="0CE1F009" w14:textId="77777777" w:rsidR="007130E8" w:rsidRPr="007130E8" w:rsidRDefault="007130E8" w:rsidP="005A288B">
      <w:pPr>
        <w:numPr>
          <w:ilvl w:val="0"/>
          <w:numId w:val="14"/>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IIN avansa maksājumu atcelšana;</w:t>
      </w:r>
    </w:p>
    <w:p w14:paraId="52C24476" w14:textId="77777777" w:rsidR="007130E8" w:rsidRPr="007130E8" w:rsidRDefault="007130E8" w:rsidP="005A288B">
      <w:pPr>
        <w:numPr>
          <w:ilvl w:val="0"/>
          <w:numId w:val="14"/>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pārmaksātā PVN atmaksa 30 dienu laikā;</w:t>
      </w:r>
    </w:p>
    <w:p w14:paraId="01C94FBE" w14:textId="5499CD55" w:rsidR="007130E8" w:rsidRPr="007130E8" w:rsidRDefault="007130E8" w:rsidP="005A288B">
      <w:pPr>
        <w:numPr>
          <w:ilvl w:val="0"/>
          <w:numId w:val="14"/>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nekustamā īpašuma nodokļa samaksas termiņu pagarināšana (šim pasākumam nav fiskālās ietekmes, jo termiņ</w:t>
      </w:r>
      <w:r w:rsidR="0026564C">
        <w:rPr>
          <w:rFonts w:ascii="Times New Roman" w:eastAsia="Calibri" w:hAnsi="Times New Roman" w:cs="Times New Roman"/>
          <w:color w:val="000000"/>
          <w:sz w:val="24"/>
          <w:szCs w:val="24"/>
        </w:rPr>
        <w:t>u pārcelšana notiek tikai 2020.</w:t>
      </w:r>
      <w:r w:rsidRPr="007130E8">
        <w:rPr>
          <w:rFonts w:ascii="Times New Roman" w:eastAsia="Calibri" w:hAnsi="Times New Roman" w:cs="Times New Roman"/>
          <w:color w:val="000000"/>
          <w:sz w:val="24"/>
          <w:szCs w:val="24"/>
        </w:rPr>
        <w:t>gada ietvaros).</w:t>
      </w:r>
    </w:p>
    <w:p w14:paraId="2304DC94" w14:textId="2A834B51" w:rsidR="007130E8" w:rsidRPr="007130E8" w:rsidRDefault="007130E8" w:rsidP="005A288B">
      <w:pPr>
        <w:spacing w:after="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Pēc VID datiem līdz 21.04.2020 nodokļu “brīvdienas” ir piešķirtas 2</w:t>
      </w:r>
      <w:r w:rsidR="00F67219">
        <w:rPr>
          <w:rFonts w:ascii="Times New Roman" w:eastAsia="Times New Roman" w:hAnsi="Times New Roman" w:cs="Times New Roman"/>
          <w:color w:val="000000"/>
          <w:sz w:val="24"/>
          <w:szCs w:val="24"/>
        </w:rPr>
        <w:t> </w:t>
      </w:r>
      <w:r w:rsidRPr="007130E8">
        <w:rPr>
          <w:rFonts w:ascii="Times New Roman" w:eastAsia="Times New Roman" w:hAnsi="Times New Roman" w:cs="Times New Roman"/>
          <w:color w:val="000000"/>
          <w:sz w:val="24"/>
          <w:szCs w:val="24"/>
        </w:rPr>
        <w:t>544</w:t>
      </w:r>
      <w:r w:rsidR="00F67219">
        <w:rPr>
          <w:rFonts w:ascii="Times New Roman" w:eastAsia="Times New Roman" w:hAnsi="Times New Roman" w:cs="Times New Roman"/>
          <w:color w:val="000000"/>
          <w:sz w:val="24"/>
          <w:szCs w:val="24"/>
        </w:rPr>
        <w:t xml:space="preserve"> </w:t>
      </w:r>
      <w:r w:rsidRPr="007130E8">
        <w:rPr>
          <w:rFonts w:ascii="Times New Roman" w:eastAsia="Times New Roman" w:hAnsi="Times New Roman" w:cs="Times New Roman"/>
          <w:color w:val="000000"/>
          <w:sz w:val="24"/>
          <w:szCs w:val="24"/>
        </w:rPr>
        <w:t>uzņēmumiem 39,4 milj.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apmērā. </w:t>
      </w:r>
    </w:p>
    <w:p w14:paraId="7C58B611" w14:textId="77777777" w:rsidR="00956A4B" w:rsidRDefault="00956A4B" w:rsidP="007130E8">
      <w:pPr>
        <w:spacing w:after="120" w:line="240" w:lineRule="auto"/>
        <w:jc w:val="both"/>
        <w:rPr>
          <w:rFonts w:ascii="Times New Roman" w:eastAsia="Times New Roman" w:hAnsi="Times New Roman" w:cs="Times New Roman"/>
          <w:b/>
          <w:color w:val="000000"/>
          <w:sz w:val="24"/>
          <w:szCs w:val="24"/>
        </w:rPr>
      </w:pPr>
    </w:p>
    <w:p w14:paraId="0C8EE839" w14:textId="09A4CC2F" w:rsidR="007130E8" w:rsidRPr="007130E8" w:rsidRDefault="007130E8" w:rsidP="007130E8">
      <w:pPr>
        <w:spacing w:after="120" w:line="240" w:lineRule="auto"/>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Atbalsts pabalstu jomā</w:t>
      </w:r>
    </w:p>
    <w:p w14:paraId="616F7DA4" w14:textId="5CEF03CD"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Kopumā atbalsta pasākumu pabalstu jomā negatīvā ietekme uz vispārējās</w:t>
      </w:r>
      <w:r w:rsidR="0026564C">
        <w:rPr>
          <w:rFonts w:ascii="Times New Roman" w:eastAsia="Times New Roman" w:hAnsi="Times New Roman" w:cs="Times New Roman"/>
          <w:color w:val="000000"/>
          <w:sz w:val="24"/>
          <w:szCs w:val="24"/>
        </w:rPr>
        <w:t xml:space="preserve"> valdības budžeta bilanci 2020.</w:t>
      </w:r>
      <w:r w:rsidRPr="007130E8">
        <w:rPr>
          <w:rFonts w:ascii="Times New Roman" w:eastAsia="Times New Roman" w:hAnsi="Times New Roman" w:cs="Times New Roman"/>
          <w:color w:val="000000"/>
          <w:sz w:val="24"/>
          <w:szCs w:val="24"/>
        </w:rPr>
        <w:t xml:space="preserve">gadā tiek prognozēta 131,2 milj.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jeb </w:t>
      </w:r>
      <w:r w:rsidR="0026564C">
        <w:rPr>
          <w:rFonts w:ascii="Times New Roman" w:eastAsia="Times New Roman" w:hAnsi="Times New Roman" w:cs="Times New Roman"/>
          <w:color w:val="000000"/>
          <w:sz w:val="24"/>
          <w:szCs w:val="24"/>
        </w:rPr>
        <w:t>0,5% no IKP. Laika posmā no 20.marta līdz 16.</w:t>
      </w:r>
      <w:r w:rsidRPr="007130E8">
        <w:rPr>
          <w:rFonts w:ascii="Times New Roman" w:eastAsia="Times New Roman" w:hAnsi="Times New Roman" w:cs="Times New Roman"/>
          <w:color w:val="000000"/>
          <w:sz w:val="24"/>
          <w:szCs w:val="24"/>
        </w:rPr>
        <w:t>aprīlim tika pieņemti vairāki normatīvie akti, kas nosaka papildus izdevumus pabalstiem iedzīvotāju atbalstam, mazinot Covid-19 izraisītās krīzes sekas.</w:t>
      </w:r>
    </w:p>
    <w:p w14:paraId="0D33D97E" w14:textId="77777777"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Lielākie izdevumi tiek plānoti šādiem pabalstiem:</w:t>
      </w:r>
    </w:p>
    <w:p w14:paraId="192B733E" w14:textId="77777777" w:rsidR="007130E8" w:rsidRPr="007130E8" w:rsidRDefault="007130E8" w:rsidP="0026564C">
      <w:pPr>
        <w:keepLines/>
        <w:widowControl w:val="0"/>
        <w:numPr>
          <w:ilvl w:val="0"/>
          <w:numId w:val="16"/>
        </w:numPr>
        <w:suppressAutoHyphens/>
        <w:spacing w:after="0" w:line="240" w:lineRule="auto"/>
        <w:ind w:left="1077" w:hanging="357"/>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Slimības pabalsta apmaksa no valsts budžeta no otrās dienas 80% apmērā no slimības pabalsta saņēmēja vidējās apdrošināšanas iemaksu algas ar Covid-19 infekciju saslimušajiem un tiem, kuriem noteikta karantīna. Labklājības ministrija, prognozējot šī pasākuma fiskālo ietekmi, pieņēma pesimistiskāko scenāriju, ka ar Covid-19 infekciju saslimušo un karantīnā esošo skaits kopumā varētu sasniegt 50% no sociāli apdrošināto personu kopskaita.</w:t>
      </w:r>
    </w:p>
    <w:p w14:paraId="32F0DB67" w14:textId="27A52B88" w:rsidR="007130E8" w:rsidRPr="007130E8" w:rsidRDefault="007130E8" w:rsidP="0026564C">
      <w:pPr>
        <w:numPr>
          <w:ilvl w:val="0"/>
          <w:numId w:val="16"/>
        </w:numPr>
        <w:spacing w:after="0" w:line="240" w:lineRule="auto"/>
        <w:ind w:left="1077" w:hanging="357"/>
        <w:jc w:val="both"/>
        <w:rPr>
          <w:rFonts w:ascii="Times New Roman" w:eastAsia="Calibri" w:hAnsi="Times New Roman" w:cs="Times New Roman"/>
          <w:noProof/>
          <w:color w:val="000000"/>
          <w:sz w:val="24"/>
          <w:szCs w:val="24"/>
        </w:rPr>
      </w:pPr>
      <w:r w:rsidRPr="007130E8">
        <w:rPr>
          <w:rFonts w:ascii="Times New Roman" w:eastAsia="Calibri" w:hAnsi="Times New Roman" w:cs="Times New Roman"/>
          <w:color w:val="000000"/>
          <w:sz w:val="24"/>
          <w:szCs w:val="24"/>
        </w:rPr>
        <w:t>Dīkstāves pabalsti.</w:t>
      </w:r>
      <w:r w:rsidRPr="007130E8">
        <w:rPr>
          <w:rFonts w:ascii="Times New Roman" w:eastAsia="Calibri" w:hAnsi="Times New Roman" w:cs="Times New Roman"/>
          <w:sz w:val="24"/>
        </w:rPr>
        <w:t xml:space="preserve"> </w:t>
      </w:r>
      <w:r w:rsidRPr="007130E8">
        <w:rPr>
          <w:rFonts w:ascii="Times New Roman" w:eastAsia="Calibri" w:hAnsi="Times New Roman" w:cs="Times New Roman"/>
          <w:color w:val="000000"/>
          <w:sz w:val="24"/>
          <w:szCs w:val="24"/>
        </w:rPr>
        <w:t xml:space="preserve">Darbinieka atlīdzība dīkstāves gadījumā tiek kompensēta no valsts </w:t>
      </w:r>
      <w:r w:rsidR="0084128F">
        <w:rPr>
          <w:rFonts w:ascii="Times New Roman" w:eastAsia="Calibri" w:hAnsi="Times New Roman" w:cs="Times New Roman"/>
          <w:color w:val="000000"/>
          <w:sz w:val="24"/>
          <w:szCs w:val="24"/>
        </w:rPr>
        <w:t xml:space="preserve">puses </w:t>
      </w:r>
      <w:r w:rsidRPr="007130E8">
        <w:rPr>
          <w:rFonts w:ascii="Times New Roman" w:eastAsia="Calibri" w:hAnsi="Times New Roman" w:cs="Times New Roman"/>
          <w:color w:val="000000"/>
          <w:sz w:val="24"/>
          <w:szCs w:val="24"/>
        </w:rPr>
        <w:t xml:space="preserve">75% apmērā no darbinieka sešu mēnešu vidējās atlīdzības, bet ne vairāk kā 700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color w:val="000000"/>
          <w:sz w:val="24"/>
          <w:szCs w:val="24"/>
        </w:rPr>
        <w:t xml:space="preserve">. Dīkstāves pabalsts netiek aplikts ar IIN un valsts sociālās apdrošināšanas iemaksām. Laika posmā no 26. marta līdz 9. aprīlim tika pieņemti vairāki grozījumi MK noteikumos, kas paplašināja dīkstāves pabalsta saņēmēju </w:t>
      </w:r>
      <w:r w:rsidRPr="007130E8">
        <w:rPr>
          <w:rFonts w:ascii="Times New Roman" w:eastAsia="Calibri" w:hAnsi="Times New Roman" w:cs="Times New Roman"/>
          <w:noProof/>
          <w:color w:val="000000"/>
          <w:sz w:val="24"/>
          <w:szCs w:val="24"/>
        </w:rPr>
        <w:t>loku – iekļaujot pašnodarbinātās personas, autoratlīdzības saņēmējus, mikrouzņēmuma</w:t>
      </w:r>
      <w:r w:rsidRPr="007130E8">
        <w:rPr>
          <w:rFonts w:ascii="Times New Roman" w:eastAsia="Calibri" w:hAnsi="Times New Roman" w:cs="Times New Roman"/>
          <w:color w:val="000000"/>
          <w:sz w:val="24"/>
          <w:szCs w:val="24"/>
        </w:rPr>
        <w:t xml:space="preserve"> nodokļa maksātājus, valdes locekļus, strādājošos pensionārus u.c. Līdz 21.aprīlim saskaņā ar VID datiem dīkstāves pabalsti ir izmaksāti 5,4 milj.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color w:val="000000"/>
          <w:sz w:val="24"/>
          <w:szCs w:val="24"/>
        </w:rPr>
        <w:t xml:space="preserve"> apmērā 19 474 darbiniekiem pēc 3</w:t>
      </w:r>
      <w:r w:rsidR="0026564C">
        <w:rPr>
          <w:rFonts w:ascii="Times New Roman" w:eastAsia="Calibri" w:hAnsi="Times New Roman" w:cs="Times New Roman"/>
          <w:color w:val="000000"/>
          <w:sz w:val="24"/>
          <w:szCs w:val="24"/>
        </w:rPr>
        <w:t> </w:t>
      </w:r>
      <w:r w:rsidRPr="007130E8">
        <w:rPr>
          <w:rFonts w:ascii="Times New Roman" w:eastAsia="Calibri" w:hAnsi="Times New Roman" w:cs="Times New Roman"/>
          <w:color w:val="000000"/>
          <w:sz w:val="24"/>
          <w:szCs w:val="24"/>
        </w:rPr>
        <w:t>560</w:t>
      </w:r>
      <w:r w:rsidR="0026564C">
        <w:rPr>
          <w:rFonts w:ascii="Times New Roman" w:eastAsia="Calibri" w:hAnsi="Times New Roman" w:cs="Times New Roman"/>
          <w:color w:val="000000"/>
          <w:sz w:val="24"/>
          <w:szCs w:val="24"/>
        </w:rPr>
        <w:t xml:space="preserve"> </w:t>
      </w:r>
      <w:r w:rsidRPr="007130E8">
        <w:rPr>
          <w:rFonts w:ascii="Times New Roman" w:eastAsia="Calibri" w:hAnsi="Times New Roman" w:cs="Times New Roman"/>
          <w:color w:val="000000"/>
          <w:sz w:val="24"/>
          <w:szCs w:val="24"/>
        </w:rPr>
        <w:t>uzņēmumu iesniegumiem un pēc 1 </w:t>
      </w:r>
      <w:r w:rsidRPr="007130E8">
        <w:rPr>
          <w:rFonts w:ascii="Times New Roman" w:eastAsia="Calibri" w:hAnsi="Times New Roman" w:cs="Times New Roman"/>
          <w:noProof/>
          <w:color w:val="000000"/>
          <w:sz w:val="24"/>
          <w:szCs w:val="24"/>
        </w:rPr>
        <w:t xml:space="preserve">113 pašnodarbināto iesniegumiem. </w:t>
      </w:r>
      <w:r w:rsidRPr="007130E8">
        <w:rPr>
          <w:rFonts w:ascii="Times New Roman" w:eastAsia="Calibri" w:hAnsi="Times New Roman" w:cs="Times New Roman"/>
          <w:noProof/>
          <w:sz w:val="24"/>
        </w:rPr>
        <w:t>Lai gan pasākuma izstrādes laikā atbildīgās iestādes prognozēja dīkstāves pabalstu izmaksai nepieciešamos maksimālos izdevumus līdz pat 170 milj. eiro, ņemot vērā izmaksu tendences un vidējo pabalsta apmēru, kas faktiski ir ap 250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noProof/>
          <w:sz w:val="24"/>
        </w:rPr>
        <w:t xml:space="preserve">, FM vērtē, ka dīkstāves pabalstu izmaksai būs nepieciešami 30 milj.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noProof/>
          <w:sz w:val="24"/>
        </w:rPr>
        <w:t>.</w:t>
      </w:r>
    </w:p>
    <w:p w14:paraId="5D1DDC01" w14:textId="77777777"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Savukārt, ar mazāku fiskālo ietekmi prognozēs ir ņemti vērā budžeta izdevumi šādiem pasākumiem pabalstu jomā:</w:t>
      </w:r>
    </w:p>
    <w:p w14:paraId="5D8DE72E" w14:textId="538C1FB0" w:rsidR="007130E8" w:rsidRPr="007130E8" w:rsidRDefault="007130E8" w:rsidP="0026564C">
      <w:pPr>
        <w:numPr>
          <w:ilvl w:val="0"/>
          <w:numId w:val="15"/>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 xml:space="preserve">Valsts mērķdotācija pašvaldību pabalstam krīzes situācijā ģimenei (personai) un piemaksām pie šī pabalsta par apgādībā esošu bērnu 50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color w:val="000000"/>
          <w:sz w:val="24"/>
          <w:szCs w:val="24"/>
        </w:rPr>
        <w:t xml:space="preserve"> apmērā;</w:t>
      </w:r>
    </w:p>
    <w:p w14:paraId="27EAC13B" w14:textId="70707B24" w:rsidR="007130E8" w:rsidRPr="007130E8" w:rsidRDefault="007130E8" w:rsidP="0026564C">
      <w:pPr>
        <w:numPr>
          <w:ilvl w:val="0"/>
          <w:numId w:val="15"/>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 xml:space="preserve">Piemaksa pie dīkstāves pabalsta par apgādībā esošu bērnu 50 </w:t>
      </w:r>
      <w:r w:rsidR="0026564C" w:rsidRPr="0026564C">
        <w:rPr>
          <w:rFonts w:ascii="Times New Roman" w:eastAsia="Times New Roman" w:hAnsi="Times New Roman" w:cs="Times New Roman"/>
          <w:i/>
          <w:color w:val="000000"/>
          <w:sz w:val="24"/>
          <w:szCs w:val="24"/>
        </w:rPr>
        <w:t>euro</w:t>
      </w:r>
      <w:r w:rsidRPr="007130E8">
        <w:rPr>
          <w:rFonts w:ascii="Times New Roman" w:eastAsia="Calibri" w:hAnsi="Times New Roman" w:cs="Times New Roman"/>
          <w:color w:val="000000"/>
          <w:sz w:val="24"/>
          <w:szCs w:val="24"/>
        </w:rPr>
        <w:t xml:space="preserve"> apmērā;</w:t>
      </w:r>
    </w:p>
    <w:p w14:paraId="7403AF06" w14:textId="77777777" w:rsidR="007130E8" w:rsidRPr="007130E8" w:rsidRDefault="007130E8" w:rsidP="0026564C">
      <w:pPr>
        <w:numPr>
          <w:ilvl w:val="0"/>
          <w:numId w:val="15"/>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Pagarināts vecāku pabalsta saņemšanas termiņš;</w:t>
      </w:r>
    </w:p>
    <w:p w14:paraId="4C5E7B08" w14:textId="3936E3A8" w:rsidR="007130E8" w:rsidRPr="007130E8" w:rsidRDefault="007130E8" w:rsidP="0026564C">
      <w:pPr>
        <w:numPr>
          <w:ilvl w:val="0"/>
          <w:numId w:val="15"/>
        </w:numPr>
        <w:spacing w:after="0" w:line="240" w:lineRule="auto"/>
        <w:ind w:left="1434"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 xml:space="preserve">Paplašināts bezdarbnieka pabalsta saņēmēju loks </w:t>
      </w:r>
      <w:r w:rsidR="00F67219" w:rsidRPr="0043013C">
        <w:rPr>
          <w:rFonts w:ascii="Times New Roman" w:hAnsi="Times New Roman" w:cs="Times New Roman"/>
          <w:sz w:val="24"/>
          <w:szCs w:val="26"/>
        </w:rPr>
        <w:t>–</w:t>
      </w:r>
      <w:r w:rsidRPr="007130E8">
        <w:rPr>
          <w:rFonts w:ascii="Times New Roman" w:eastAsia="Calibri" w:hAnsi="Times New Roman" w:cs="Times New Roman"/>
          <w:color w:val="000000"/>
          <w:sz w:val="24"/>
          <w:szCs w:val="24"/>
        </w:rPr>
        <w:t xml:space="preserve"> tiesības uz bezdarbnieka statusu patentmaksas un mikro-uzņēmuma nodokļa maksātājiem. Norma apstiprināta valdībā un iesniegta 14.04.2020. Saeimā.</w:t>
      </w:r>
    </w:p>
    <w:p w14:paraId="6B63C878" w14:textId="77777777" w:rsidR="0026564C" w:rsidRDefault="0026564C" w:rsidP="007130E8">
      <w:pPr>
        <w:spacing w:after="120" w:line="240" w:lineRule="auto"/>
        <w:ind w:firstLine="720"/>
        <w:jc w:val="both"/>
        <w:rPr>
          <w:rFonts w:ascii="Times New Roman" w:eastAsia="Times New Roman" w:hAnsi="Times New Roman" w:cs="Times New Roman"/>
          <w:color w:val="000000"/>
          <w:sz w:val="24"/>
          <w:szCs w:val="24"/>
        </w:rPr>
      </w:pPr>
    </w:p>
    <w:p w14:paraId="5FA2B380" w14:textId="1AE7F925"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Jāatzīmē, ka prognozēs nav iekļauti 21.04.2020 valdībā atbalstītie grozījumi likumā “Par apdrošināšanu bezdarba gadījumam”, kas paredz bezdarbnieka palīdzības pabalsta ieviešanu. Šāds atbalsta mehānisms bezdarbnieka palīdzības pabalsta izmaksu gadī</w:t>
      </w:r>
      <w:r w:rsidR="0026564C">
        <w:rPr>
          <w:rFonts w:ascii="Times New Roman" w:eastAsia="Times New Roman" w:hAnsi="Times New Roman" w:cs="Times New Roman"/>
          <w:color w:val="000000"/>
          <w:sz w:val="24"/>
          <w:szCs w:val="24"/>
        </w:rPr>
        <w:t>jumā, ja persona no šī gada 12.marta līdz 31.</w:t>
      </w:r>
      <w:r w:rsidRPr="007130E8">
        <w:rPr>
          <w:rFonts w:ascii="Times New Roman" w:eastAsia="Times New Roman" w:hAnsi="Times New Roman" w:cs="Times New Roman"/>
          <w:color w:val="000000"/>
          <w:sz w:val="24"/>
          <w:szCs w:val="24"/>
        </w:rPr>
        <w:t xml:space="preserve">augustam pēc bezdarbnieka pabalsta izmaksas perioda beigām nebūs atradusi darbu un neveiks saimniecisko darbību. Šāda atbalsta maksimālais apmērs būs ne vairāk kā 130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(t.i., tiks izmaksāts apmērā, kādu persona saņēma attiecīgi astotajā vai devītajā mēnesī, bet ne vairāk kā 130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apmērā). Pabalsta apmērs noteikts, par pamatu ņemot spēkā esošajos normatīvajos aktos noteikto trūcīgas ģimenes (personas) ienākumu līmeni jeb 128,06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un pēc LM informācijas varētu tikt nodrošināts aptuveni 18 653 personām. Balstoties uz šādiem parametriem, tiek lēsts, ka kopumā šim mērķim būs nepieciešams 21,8 milj. </w:t>
      </w:r>
      <w:r w:rsidR="0026564C"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w:t>
      </w:r>
    </w:p>
    <w:p w14:paraId="7FCD2E48" w14:textId="77777777" w:rsidR="007130E8" w:rsidRPr="007130E8" w:rsidRDefault="007130E8" w:rsidP="00886FBF">
      <w:pPr>
        <w:spacing w:before="240" w:after="120" w:line="240" w:lineRule="auto"/>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Atbalsts aizdevumu un garantiju jomā</w:t>
      </w:r>
    </w:p>
    <w:p w14:paraId="7D7578DD" w14:textId="7B1F0F4D"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Plānotais atbalsts aizdevumu un garantiju jomā veido 3,3% no IKP, taču tā negatīvā ietekme uz vispārējās valdības budžeta bilanci tiek novērtēta 100,8 milj. </w:t>
      </w:r>
      <w:r w:rsidR="0026564C" w:rsidRPr="0026564C">
        <w:rPr>
          <w:rFonts w:ascii="Times New Roman" w:eastAsia="Times New Roman" w:hAnsi="Times New Roman" w:cs="Times New Roman"/>
          <w:i/>
          <w:color w:val="000000"/>
          <w:sz w:val="24"/>
          <w:szCs w:val="24"/>
        </w:rPr>
        <w:t>euro</w:t>
      </w:r>
      <w:r w:rsidR="0026564C">
        <w:rPr>
          <w:rFonts w:ascii="Times New Roman" w:eastAsia="Times New Roman" w:hAnsi="Times New Roman" w:cs="Times New Roman"/>
          <w:color w:val="000000"/>
          <w:sz w:val="24"/>
          <w:szCs w:val="24"/>
        </w:rPr>
        <w:t xml:space="preserve"> jeb 0,4% no IKP apmēra 2020.</w:t>
      </w:r>
      <w:r w:rsidRPr="007130E8">
        <w:rPr>
          <w:rFonts w:ascii="Times New Roman" w:eastAsia="Times New Roman" w:hAnsi="Times New Roman" w:cs="Times New Roman"/>
          <w:color w:val="000000"/>
          <w:sz w:val="24"/>
          <w:szCs w:val="24"/>
        </w:rPr>
        <w:t xml:space="preserve">gadā. </w:t>
      </w:r>
    </w:p>
    <w:p w14:paraId="1EAAA81B" w14:textId="77777777"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Plānotie atbalsta pasākumi tiek nodrošināti ar finanšu institūcijas ALTUM starpniecību un atbalsta veids pamatā ir paredzēts uzņēmumu likviditātes uzlabošanai īstermiņā.</w:t>
      </w:r>
    </w:p>
    <w:p w14:paraId="13FFC3FE" w14:textId="77777777" w:rsidR="007130E8" w:rsidRPr="007130E8" w:rsidRDefault="007130E8" w:rsidP="00BB27B4">
      <w:pPr>
        <w:numPr>
          <w:ilvl w:val="0"/>
          <w:numId w:val="17"/>
        </w:numPr>
        <w:spacing w:after="0" w:line="240" w:lineRule="auto"/>
        <w:ind w:left="1497"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Aizdevumi apgrozāmiem līdzekļiem;</w:t>
      </w:r>
    </w:p>
    <w:p w14:paraId="560E92E1" w14:textId="77777777" w:rsidR="007130E8" w:rsidRPr="007130E8" w:rsidRDefault="007130E8" w:rsidP="00BB27B4">
      <w:pPr>
        <w:numPr>
          <w:ilvl w:val="0"/>
          <w:numId w:val="17"/>
        </w:numPr>
        <w:spacing w:after="0" w:line="240" w:lineRule="auto"/>
        <w:ind w:left="1497" w:hanging="357"/>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Kredītu garantijas;</w:t>
      </w:r>
    </w:p>
    <w:p w14:paraId="0825B701" w14:textId="77777777" w:rsidR="007130E8" w:rsidRPr="007130E8" w:rsidRDefault="007130E8" w:rsidP="00BB27B4">
      <w:pPr>
        <w:numPr>
          <w:ilvl w:val="0"/>
          <w:numId w:val="17"/>
        </w:numPr>
        <w:spacing w:after="0" w:line="240" w:lineRule="auto"/>
        <w:ind w:left="1497" w:hanging="357"/>
        <w:jc w:val="both"/>
        <w:rPr>
          <w:rFonts w:ascii="Times New Roman" w:eastAsia="Calibri" w:hAnsi="Times New Roman" w:cs="Times New Roman"/>
          <w:noProof/>
          <w:sz w:val="24"/>
          <w:szCs w:val="24"/>
        </w:rPr>
      </w:pPr>
      <w:r w:rsidRPr="007130E8">
        <w:rPr>
          <w:rFonts w:ascii="Times New Roman" w:eastAsia="Calibri" w:hAnsi="Times New Roman" w:cs="Times New Roman"/>
          <w:noProof/>
          <w:color w:val="000000"/>
          <w:sz w:val="24"/>
          <w:szCs w:val="24"/>
        </w:rPr>
        <w:t>Portfeļgarantijas.</w:t>
      </w:r>
    </w:p>
    <w:p w14:paraId="29EA5F1B" w14:textId="47C4F029" w:rsidR="007130E8" w:rsidRPr="007130E8" w:rsidRDefault="007130E8" w:rsidP="00886FBF">
      <w:pPr>
        <w:spacing w:before="240" w:after="120" w:line="240" w:lineRule="auto"/>
        <w:jc w:val="both"/>
        <w:rPr>
          <w:rFonts w:ascii="Times New Roman" w:eastAsia="Times New Roman" w:hAnsi="Times New Roman" w:cs="Times New Roman"/>
          <w:b/>
          <w:color w:val="000000"/>
          <w:sz w:val="24"/>
          <w:szCs w:val="24"/>
        </w:rPr>
      </w:pPr>
      <w:r w:rsidRPr="007130E8">
        <w:rPr>
          <w:rFonts w:ascii="Times New Roman" w:eastAsia="Times New Roman" w:hAnsi="Times New Roman" w:cs="Times New Roman"/>
          <w:b/>
          <w:color w:val="000000"/>
          <w:sz w:val="24"/>
          <w:szCs w:val="24"/>
        </w:rPr>
        <w:t>Atbalsts nozarēm</w:t>
      </w:r>
    </w:p>
    <w:p w14:paraId="1F4F5C10" w14:textId="2F499F3C" w:rsidR="007130E8" w:rsidRPr="007130E8" w:rsidRDefault="007130E8" w:rsidP="007130E8">
      <w:pPr>
        <w:spacing w:after="120" w:line="240" w:lineRule="auto"/>
        <w:ind w:firstLine="720"/>
        <w:jc w:val="both"/>
        <w:rPr>
          <w:rFonts w:ascii="Times New Roman" w:eastAsia="Times New Roman" w:hAnsi="Times New Roman" w:cs="Times New Roman"/>
          <w:color w:val="000000"/>
          <w:sz w:val="24"/>
          <w:szCs w:val="24"/>
        </w:rPr>
      </w:pPr>
      <w:r w:rsidRPr="007130E8">
        <w:rPr>
          <w:rFonts w:ascii="Times New Roman" w:eastAsia="Times New Roman" w:hAnsi="Times New Roman" w:cs="Times New Roman"/>
          <w:color w:val="000000"/>
          <w:sz w:val="24"/>
          <w:szCs w:val="24"/>
        </w:rPr>
        <w:t xml:space="preserve">Šo atbalsta pasākumu negatīvā ietekme uz vispārējās valdības budžeta bilanci tiek novērtēta 288,4 milj. </w:t>
      </w:r>
      <w:r w:rsidR="00BB27B4" w:rsidRPr="0026564C">
        <w:rPr>
          <w:rFonts w:ascii="Times New Roman" w:eastAsia="Times New Roman" w:hAnsi="Times New Roman" w:cs="Times New Roman"/>
          <w:i/>
          <w:color w:val="000000"/>
          <w:sz w:val="24"/>
          <w:szCs w:val="24"/>
        </w:rPr>
        <w:t>euro</w:t>
      </w:r>
      <w:r w:rsidRPr="007130E8">
        <w:rPr>
          <w:rFonts w:ascii="Times New Roman" w:eastAsia="Times New Roman" w:hAnsi="Times New Roman" w:cs="Times New Roman"/>
          <w:color w:val="000000"/>
          <w:sz w:val="24"/>
          <w:szCs w:val="24"/>
        </w:rPr>
        <w:t xml:space="preserve"> jeb 1,0% no IKP apmērā, kas paredzēta nozaru finansiālo grūtību mazināšanai, kā arī medicīnas līdzekļu un attālinātā mācību procesa nodrošināšanai. Atsevišķos gadījumos, saglabājot konservatīvu prognozēšanas pieeju, prognozēs tika iekļauta arī ietekme no konceptuāli pieņemtajiem lēmumiem. Tika atbalstītas šādas nozares:</w:t>
      </w:r>
    </w:p>
    <w:p w14:paraId="428B8FB4" w14:textId="77777777" w:rsidR="007130E8" w:rsidRPr="007130E8" w:rsidRDefault="007130E8" w:rsidP="00B74B22">
      <w:pPr>
        <w:numPr>
          <w:ilvl w:val="0"/>
          <w:numId w:val="19"/>
        </w:numPr>
        <w:spacing w:after="120" w:line="240" w:lineRule="auto"/>
        <w:contextualSpacing/>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Atbalsts aviopārvadājumu nozarei;</w:t>
      </w:r>
    </w:p>
    <w:p w14:paraId="7F14C793" w14:textId="77777777" w:rsidR="007130E8" w:rsidRPr="007130E8" w:rsidRDefault="007130E8" w:rsidP="00B74B22">
      <w:pPr>
        <w:numPr>
          <w:ilvl w:val="0"/>
          <w:numId w:val="18"/>
        </w:numPr>
        <w:spacing w:after="120" w:line="240" w:lineRule="auto"/>
        <w:contextualSpacing/>
        <w:jc w:val="both"/>
        <w:rPr>
          <w:rFonts w:ascii="Times New Roman" w:eastAsia="Calibri" w:hAnsi="Times New Roman" w:cs="Times New Roman"/>
          <w:noProof/>
          <w:color w:val="000000"/>
          <w:sz w:val="24"/>
          <w:szCs w:val="24"/>
        </w:rPr>
      </w:pPr>
      <w:r w:rsidRPr="007130E8">
        <w:rPr>
          <w:rFonts w:ascii="Times New Roman" w:eastAsia="Calibri" w:hAnsi="Times New Roman" w:cs="Times New Roman"/>
          <w:color w:val="000000"/>
          <w:sz w:val="24"/>
          <w:szCs w:val="24"/>
        </w:rPr>
        <w:t xml:space="preserve">Ar veselības aprūpi saistīts atbalsts (individuālo aizsarglīdzekļu, dezinfekcijas, medicīnas aprīkojuma iegāde VM, IeM, </w:t>
      </w:r>
      <w:r w:rsidRPr="007130E8">
        <w:rPr>
          <w:rFonts w:ascii="Times New Roman" w:eastAsia="Calibri" w:hAnsi="Times New Roman" w:cs="Times New Roman"/>
          <w:noProof/>
          <w:color w:val="000000"/>
          <w:sz w:val="24"/>
          <w:szCs w:val="24"/>
        </w:rPr>
        <w:t>AizM resoros, slimnīcu pamatkapitāla palielināšana, piemaksas ārstniecības personām par darbu Covid-19 apstākļos utml.);</w:t>
      </w:r>
    </w:p>
    <w:p w14:paraId="5B3954C7" w14:textId="77777777" w:rsidR="007130E8" w:rsidRPr="007130E8" w:rsidRDefault="007130E8" w:rsidP="00B74B22">
      <w:pPr>
        <w:numPr>
          <w:ilvl w:val="0"/>
          <w:numId w:val="18"/>
        </w:numPr>
        <w:spacing w:after="120" w:line="240" w:lineRule="auto"/>
        <w:contextualSpacing/>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Atbalsts medijiem un sabiedrības informēšanai;</w:t>
      </w:r>
    </w:p>
    <w:p w14:paraId="4176323B" w14:textId="77777777" w:rsidR="007130E8" w:rsidRPr="007130E8" w:rsidRDefault="007130E8" w:rsidP="00B74B22">
      <w:pPr>
        <w:numPr>
          <w:ilvl w:val="0"/>
          <w:numId w:val="18"/>
        </w:numPr>
        <w:spacing w:after="120" w:line="240" w:lineRule="auto"/>
        <w:contextualSpacing/>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Atbalsts attālinātajam mācību procesam;</w:t>
      </w:r>
    </w:p>
    <w:p w14:paraId="6E71D666" w14:textId="77777777" w:rsidR="007130E8" w:rsidRPr="007130E8" w:rsidRDefault="007130E8" w:rsidP="00B74B22">
      <w:pPr>
        <w:numPr>
          <w:ilvl w:val="0"/>
          <w:numId w:val="18"/>
        </w:numPr>
        <w:spacing w:after="120" w:line="240" w:lineRule="auto"/>
        <w:contextualSpacing/>
        <w:jc w:val="both"/>
        <w:rPr>
          <w:rFonts w:ascii="Times New Roman" w:eastAsia="Calibri" w:hAnsi="Times New Roman" w:cs="Times New Roman"/>
          <w:color w:val="000000"/>
          <w:sz w:val="24"/>
          <w:szCs w:val="24"/>
        </w:rPr>
      </w:pPr>
      <w:r w:rsidRPr="007130E8">
        <w:rPr>
          <w:rFonts w:ascii="Times New Roman" w:eastAsia="Calibri" w:hAnsi="Times New Roman" w:cs="Times New Roman"/>
          <w:color w:val="000000"/>
          <w:sz w:val="24"/>
          <w:szCs w:val="24"/>
        </w:rPr>
        <w:t>Atbalsts lauksaimniecības, mežsaimniecības, zivsaimniecības un pārtikas ražošanas nozarēm.</w:t>
      </w:r>
    </w:p>
    <w:p w14:paraId="203B0683" w14:textId="77777777" w:rsidR="00D640E8" w:rsidRPr="00D551C4" w:rsidRDefault="00D640E8" w:rsidP="00D640E8">
      <w:pPr>
        <w:spacing w:after="0" w:line="240" w:lineRule="auto"/>
        <w:jc w:val="both"/>
        <w:rPr>
          <w:rFonts w:ascii="Times New Roman" w:eastAsia="Calibri" w:hAnsi="Times New Roman" w:cs="Times New Roman"/>
          <w:color w:val="000000"/>
          <w:sz w:val="24"/>
          <w:highlight w:val="yellow"/>
        </w:rPr>
      </w:pPr>
    </w:p>
    <w:p w14:paraId="13758205" w14:textId="77777777" w:rsidR="00A34463" w:rsidRPr="0043013C" w:rsidRDefault="00A34463" w:rsidP="00B74B22">
      <w:pPr>
        <w:pStyle w:val="Heading2"/>
        <w:numPr>
          <w:ilvl w:val="1"/>
          <w:numId w:val="10"/>
        </w:numPr>
        <w:spacing w:before="0" w:after="120"/>
        <w:ind w:left="1418"/>
        <w:rPr>
          <w:rFonts w:ascii="Times New Roman" w:hAnsi="Times New Roman" w:cs="Times New Roman"/>
          <w:sz w:val="24"/>
        </w:rPr>
      </w:pPr>
      <w:bookmarkStart w:id="41" w:name="_Toc510790665"/>
      <w:bookmarkStart w:id="42" w:name="_Toc5627372"/>
      <w:bookmarkStart w:id="43" w:name="_Toc38887976"/>
      <w:r w:rsidRPr="0043013C">
        <w:rPr>
          <w:rFonts w:ascii="Times New Roman" w:hAnsi="Times New Roman" w:cs="Times New Roman"/>
          <w:sz w:val="24"/>
        </w:rPr>
        <w:t>Valdības parāda vidēja termiņa attīstības tendences</w:t>
      </w:r>
      <w:bookmarkEnd w:id="41"/>
      <w:bookmarkEnd w:id="42"/>
      <w:bookmarkEnd w:id="43"/>
    </w:p>
    <w:p w14:paraId="0DCA9A8F" w14:textId="77777777" w:rsidR="0033543A" w:rsidRPr="0033543A" w:rsidRDefault="0033543A" w:rsidP="008E6EDF">
      <w:pPr>
        <w:spacing w:after="0" w:line="240" w:lineRule="auto"/>
        <w:ind w:firstLine="698"/>
        <w:jc w:val="both"/>
        <w:rPr>
          <w:rFonts w:ascii="Times New Roman" w:hAnsi="Times New Roman" w:cs="Times New Roman"/>
          <w:sz w:val="24"/>
          <w:szCs w:val="24"/>
        </w:rPr>
      </w:pPr>
      <w:r w:rsidRPr="0033543A">
        <w:rPr>
          <w:rFonts w:ascii="Times New Roman" w:hAnsi="Times New Roman" w:cs="Times New Roman"/>
          <w:sz w:val="24"/>
          <w:szCs w:val="24"/>
        </w:rPr>
        <w:t>Valsts parāda vadības pamatprincipus un uzdevumus vidējam termiņam nosaka Valsts parāda un naudas līdzekļu vadības stratēģija, kuru apstiprina finanšu ministrs. Saskaņā ar Valsts parāda un naudas līdzekļu vadības stratēģiju valsts parāda un naudas līdzekļu vadības mērķis ir savlaicīgi nodrošināt finanšu resursu pieejamību finansēšanas nepieciešamības segšanai ar zemām valsts parāda apkalpošanas izmaksām, ierobežojot finanšu riskus un vienlaikus sekmējot iekšējā finanšu tirgus attīstību. Valsts parāda un budžeta saistību izpildē tiek izmantota stratēģiska pieeja valsts aizņemšanās un parāda vadības procesa nodrošināšanā, saglabājot pēc iespējas lielāku elastību finanšu tirgos veicamo aizņēmumu nosacījumu (aizņemšanās laiks, valūta, apjoms, termiņš) izvēlē. Tas ļauj ierobežot finanšu riskus vidējā termiņā, kā arī nodrošināt kopējās finansēšanas nepieciešamības segšanai nepieciešamos resursus ar pēc iespējas labvēlīgākiem un izdevīgākiem nosacījumiem.</w:t>
      </w:r>
    </w:p>
    <w:p w14:paraId="30981274" w14:textId="34274E5C" w:rsidR="0033543A" w:rsidRPr="0033543A" w:rsidRDefault="0033543A" w:rsidP="008E6EDF">
      <w:pPr>
        <w:spacing w:after="0" w:line="240" w:lineRule="auto"/>
        <w:ind w:firstLine="698"/>
        <w:jc w:val="both"/>
        <w:rPr>
          <w:rFonts w:ascii="Times New Roman" w:hAnsi="Times New Roman" w:cs="Times New Roman"/>
          <w:sz w:val="24"/>
          <w:szCs w:val="24"/>
        </w:rPr>
      </w:pPr>
      <w:r w:rsidRPr="0033543A">
        <w:rPr>
          <w:rFonts w:ascii="Times New Roman" w:hAnsi="Times New Roman" w:cs="Times New Roman"/>
          <w:sz w:val="24"/>
          <w:szCs w:val="24"/>
        </w:rPr>
        <w:t xml:space="preserve">Saskaņā ar valsts budžeta deficīta un parāda 2020.gada aprīļa notifikācijas datiem, kuri sagatavoti atbilstoši EKS metodoloģijai, vispārējās valdības parāds 2019.gada beigās sasniedza 11,2 mljrd. </w:t>
      </w:r>
      <w:r w:rsidRPr="0033543A">
        <w:rPr>
          <w:rFonts w:ascii="Times New Roman" w:hAnsi="Times New Roman" w:cs="Times New Roman"/>
          <w:i/>
          <w:sz w:val="24"/>
          <w:szCs w:val="24"/>
        </w:rPr>
        <w:t>euro</w:t>
      </w:r>
      <w:r w:rsidRPr="0033543A">
        <w:rPr>
          <w:rFonts w:ascii="Times New Roman" w:hAnsi="Times New Roman" w:cs="Times New Roman"/>
          <w:sz w:val="24"/>
          <w:szCs w:val="24"/>
        </w:rPr>
        <w:t xml:space="preserve">, jeb 36,9% no </w:t>
      </w:r>
      <w:r>
        <w:rPr>
          <w:rFonts w:ascii="Times New Roman" w:hAnsi="Times New Roman" w:cs="Times New Roman"/>
          <w:sz w:val="24"/>
          <w:szCs w:val="24"/>
        </w:rPr>
        <w:t>IKP</w:t>
      </w:r>
      <w:r w:rsidRPr="0033543A">
        <w:rPr>
          <w:rFonts w:ascii="Times New Roman" w:hAnsi="Times New Roman" w:cs="Times New Roman"/>
          <w:sz w:val="24"/>
          <w:szCs w:val="24"/>
        </w:rPr>
        <w:t>. Vispārējās valdības parāda līmeni galvenokārt ietekmē valsts parāds, kas 2019.ga</w:t>
      </w:r>
      <w:r>
        <w:rPr>
          <w:rFonts w:ascii="Times New Roman" w:hAnsi="Times New Roman" w:cs="Times New Roman"/>
          <w:sz w:val="24"/>
          <w:szCs w:val="24"/>
        </w:rPr>
        <w:t xml:space="preserve">da beigās bija 10,6 mljrd. </w:t>
      </w:r>
      <w:r w:rsidRPr="0033543A">
        <w:rPr>
          <w:rFonts w:ascii="Times New Roman" w:hAnsi="Times New Roman" w:cs="Times New Roman"/>
          <w:i/>
          <w:sz w:val="24"/>
          <w:szCs w:val="24"/>
        </w:rPr>
        <w:t>euro</w:t>
      </w:r>
      <w:r w:rsidRPr="0033543A">
        <w:rPr>
          <w:rFonts w:ascii="Times New Roman" w:hAnsi="Times New Roman" w:cs="Times New Roman"/>
          <w:sz w:val="24"/>
          <w:szCs w:val="24"/>
        </w:rPr>
        <w:t>. 2019.gada februārī tika veikta iekšējā aizņēmuma obligāciju dzēšana 229,8 milj. e</w:t>
      </w:r>
      <w:r w:rsidRPr="0033543A">
        <w:rPr>
          <w:rFonts w:ascii="Times New Roman" w:hAnsi="Times New Roman" w:cs="Times New Roman"/>
          <w:i/>
          <w:sz w:val="24"/>
          <w:szCs w:val="24"/>
        </w:rPr>
        <w:t>uro</w:t>
      </w:r>
      <w:r w:rsidRPr="0033543A">
        <w:rPr>
          <w:rFonts w:ascii="Times New Roman" w:hAnsi="Times New Roman" w:cs="Times New Roman"/>
          <w:sz w:val="24"/>
          <w:szCs w:val="24"/>
        </w:rPr>
        <w:t xml:space="preserve"> apmērā un aprīlī E</w:t>
      </w:r>
      <w:r>
        <w:rPr>
          <w:rFonts w:ascii="Times New Roman" w:hAnsi="Times New Roman" w:cs="Times New Roman"/>
          <w:sz w:val="24"/>
          <w:szCs w:val="24"/>
        </w:rPr>
        <w:t>K</w:t>
      </w:r>
      <w:r w:rsidRPr="0033543A">
        <w:rPr>
          <w:rFonts w:ascii="Times New Roman" w:hAnsi="Times New Roman" w:cs="Times New Roman"/>
          <w:sz w:val="24"/>
          <w:szCs w:val="24"/>
        </w:rPr>
        <w:t xml:space="preserve"> aizdevuma atmaksa 500 milj. </w:t>
      </w:r>
      <w:r w:rsidRPr="0033543A">
        <w:rPr>
          <w:rFonts w:ascii="Times New Roman" w:hAnsi="Times New Roman" w:cs="Times New Roman"/>
          <w:i/>
          <w:sz w:val="24"/>
          <w:szCs w:val="24"/>
        </w:rPr>
        <w:t>euro</w:t>
      </w:r>
      <w:r w:rsidRPr="0033543A">
        <w:rPr>
          <w:rFonts w:ascii="Times New Roman" w:hAnsi="Times New Roman" w:cs="Times New Roman"/>
          <w:sz w:val="24"/>
          <w:szCs w:val="24"/>
        </w:rPr>
        <w:t xml:space="preserve"> apmērā izmantojot 2018.gadā un 2019.gadā februārī starptautiskajos finanšu tirgos emitēto eiroobligāciju resursus. 2019.gadā februārī un maijā tika veiktas 30 gadu eiroobligāciju emisijas par kopējo summu 1,0 mljrd. </w:t>
      </w:r>
      <w:r w:rsidRPr="0033543A">
        <w:rPr>
          <w:rFonts w:ascii="Times New Roman" w:hAnsi="Times New Roman" w:cs="Times New Roman"/>
          <w:i/>
          <w:sz w:val="24"/>
          <w:szCs w:val="24"/>
        </w:rPr>
        <w:t>euro</w:t>
      </w:r>
      <w:r w:rsidRPr="0033543A">
        <w:rPr>
          <w:rFonts w:ascii="Times New Roman" w:hAnsi="Times New Roman" w:cs="Times New Roman"/>
          <w:sz w:val="24"/>
          <w:szCs w:val="24"/>
        </w:rPr>
        <w:t>, nodrošinot resursus gan 2019., gan 2020.gada finansēšanas vajadzībām, t.sk. ASV dolāru obligāciju dzēšanai 2020.gada janvārī.</w:t>
      </w:r>
    </w:p>
    <w:p w14:paraId="659F7827" w14:textId="7D7B5225" w:rsidR="000E6E50" w:rsidRDefault="0033543A" w:rsidP="008E6EDF">
      <w:pPr>
        <w:spacing w:after="0" w:line="240" w:lineRule="auto"/>
        <w:ind w:firstLine="698"/>
        <w:jc w:val="both"/>
        <w:rPr>
          <w:rFonts w:ascii="Times New Roman" w:hAnsi="Times New Roman" w:cs="Times New Roman"/>
          <w:sz w:val="24"/>
          <w:szCs w:val="24"/>
        </w:rPr>
      </w:pPr>
      <w:r w:rsidRPr="0033543A">
        <w:rPr>
          <w:rFonts w:ascii="Times New Roman" w:hAnsi="Times New Roman" w:cs="Times New Roman"/>
          <w:sz w:val="24"/>
          <w:szCs w:val="24"/>
        </w:rPr>
        <w:t xml:space="preserve">Iekšējā tirgū līdz 2019.gada jūnijam tika turpināta 2018.gadā uzsāktā 5 gadu obligāciju programma, sasniedzot 250 milj. </w:t>
      </w:r>
      <w:r w:rsidRPr="0033543A">
        <w:rPr>
          <w:rFonts w:ascii="Times New Roman" w:hAnsi="Times New Roman" w:cs="Times New Roman"/>
          <w:i/>
          <w:sz w:val="24"/>
          <w:szCs w:val="24"/>
        </w:rPr>
        <w:t>euro</w:t>
      </w:r>
      <w:r w:rsidRPr="0033543A">
        <w:rPr>
          <w:rFonts w:ascii="Times New Roman" w:hAnsi="Times New Roman" w:cs="Times New Roman"/>
          <w:sz w:val="24"/>
          <w:szCs w:val="24"/>
        </w:rPr>
        <w:t xml:space="preserve"> apjomu apgrozībā pēc nominālvērtības. Arī 2019.gada jūlijā uzsākta jaunā 5 gadu obligāciju programma 2019.gada beigās sasniedza 232 milj. </w:t>
      </w:r>
      <w:r w:rsidRPr="0033543A">
        <w:rPr>
          <w:rFonts w:ascii="Times New Roman" w:hAnsi="Times New Roman" w:cs="Times New Roman"/>
          <w:i/>
          <w:sz w:val="24"/>
          <w:szCs w:val="24"/>
        </w:rPr>
        <w:t>euro</w:t>
      </w:r>
      <w:r w:rsidRPr="0033543A">
        <w:rPr>
          <w:rFonts w:ascii="Times New Roman" w:hAnsi="Times New Roman" w:cs="Times New Roman"/>
          <w:sz w:val="24"/>
          <w:szCs w:val="24"/>
        </w:rPr>
        <w:t>. Pieprasījums pēc Latvijas valsts iekšēj</w:t>
      </w:r>
      <w:r>
        <w:rPr>
          <w:rFonts w:ascii="Times New Roman" w:hAnsi="Times New Roman" w:cs="Times New Roman"/>
          <w:sz w:val="24"/>
          <w:szCs w:val="24"/>
        </w:rPr>
        <w:t>ā aizņēmuma vērtspapīriem 2019.</w:t>
      </w:r>
      <w:r w:rsidRPr="0033543A">
        <w:rPr>
          <w:rFonts w:ascii="Times New Roman" w:hAnsi="Times New Roman" w:cs="Times New Roman"/>
          <w:sz w:val="24"/>
          <w:szCs w:val="24"/>
        </w:rPr>
        <w:t>gadā saglabājās augsts, līdz ar to liela investoru konkurence visās izsolēs nodrošināja resursu piesaisti ar finansiāli izdevīgiem nosacījumiem. Arī</w:t>
      </w:r>
      <w:r>
        <w:rPr>
          <w:rFonts w:ascii="Times New Roman" w:hAnsi="Times New Roman" w:cs="Times New Roman"/>
          <w:sz w:val="24"/>
          <w:szCs w:val="24"/>
        </w:rPr>
        <w:t xml:space="preserve"> 2019.</w:t>
      </w:r>
      <w:r w:rsidRPr="0033543A">
        <w:rPr>
          <w:rFonts w:ascii="Times New Roman" w:hAnsi="Times New Roman" w:cs="Times New Roman"/>
          <w:sz w:val="24"/>
          <w:szCs w:val="24"/>
        </w:rPr>
        <w:t>gadā valsts iekšējā aizņēmuma vērtspapīru izsolēs (piecu gadu obligācijām) likmes atradās vēsturiski zemākajos, pat negatīvajos līmeņos, bet 2019. gada jūlijā atvērtajai piecu gadu obligāciju programmai pirmo reizi fiksēts 0,000% kupons.</w:t>
      </w:r>
    </w:p>
    <w:p w14:paraId="1D2416A9" w14:textId="77777777" w:rsidR="0033543A" w:rsidRDefault="0033543A" w:rsidP="0033543A">
      <w:pPr>
        <w:spacing w:after="0"/>
        <w:ind w:firstLine="698"/>
        <w:jc w:val="both"/>
        <w:rPr>
          <w:rFonts w:ascii="Times New Roman" w:hAnsi="Times New Roman" w:cs="Times New Roman"/>
          <w:sz w:val="24"/>
          <w:szCs w:val="24"/>
        </w:rPr>
      </w:pPr>
    </w:p>
    <w:p w14:paraId="69800F81" w14:textId="77777777" w:rsidR="0043013C" w:rsidRDefault="0043013C" w:rsidP="0043013C">
      <w:pPr>
        <w:spacing w:after="0"/>
        <w:jc w:val="center"/>
        <w:rPr>
          <w:b/>
          <w:sz w:val="26"/>
          <w:szCs w:val="26"/>
        </w:rPr>
      </w:pPr>
      <w:r>
        <w:rPr>
          <w:b/>
          <w:noProof/>
          <w:sz w:val="26"/>
          <w:szCs w:val="26"/>
          <w:lang w:eastAsia="lv-LV"/>
        </w:rPr>
        <w:drawing>
          <wp:inline distT="0" distB="0" distL="0" distR="0" wp14:anchorId="4A5588F5" wp14:editId="4E740881">
            <wp:extent cx="5882233" cy="1943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2233" cy="1943735"/>
                    </a:xfrm>
                    <a:prstGeom prst="rect">
                      <a:avLst/>
                    </a:prstGeom>
                    <a:noFill/>
                  </pic:spPr>
                </pic:pic>
              </a:graphicData>
            </a:graphic>
          </wp:inline>
        </w:drawing>
      </w:r>
    </w:p>
    <w:p w14:paraId="70DFB51B" w14:textId="77777777" w:rsidR="0043013C" w:rsidRDefault="0043013C" w:rsidP="0043013C">
      <w:pPr>
        <w:spacing w:after="0"/>
        <w:rPr>
          <w:i/>
          <w:sz w:val="16"/>
          <w:szCs w:val="16"/>
        </w:rPr>
      </w:pPr>
    </w:p>
    <w:p w14:paraId="5133C691" w14:textId="77777777" w:rsidR="0043013C" w:rsidRPr="008E0EF3" w:rsidRDefault="0043013C" w:rsidP="0043013C">
      <w:pPr>
        <w:spacing w:after="0"/>
        <w:rPr>
          <w:i/>
          <w:sz w:val="16"/>
          <w:szCs w:val="16"/>
        </w:rPr>
      </w:pPr>
      <w:r w:rsidRPr="008E0EF3">
        <w:rPr>
          <w:i/>
          <w:sz w:val="16"/>
          <w:szCs w:val="16"/>
        </w:rPr>
        <w:t>* nav iekļauti sektori S130130, S130140, S130330, S130340, kā arī pieprasījuma un īstermiņa noguldījumi</w:t>
      </w:r>
      <w:r>
        <w:rPr>
          <w:i/>
          <w:sz w:val="16"/>
          <w:szCs w:val="16"/>
        </w:rPr>
        <w:t xml:space="preserve">; </w:t>
      </w:r>
      <w:r w:rsidRPr="008E0EF3">
        <w:rPr>
          <w:i/>
          <w:sz w:val="16"/>
          <w:szCs w:val="16"/>
        </w:rPr>
        <w:t xml:space="preserve">aprēķinos izmantoti ECB </w:t>
      </w:r>
      <w:r>
        <w:rPr>
          <w:i/>
          <w:sz w:val="16"/>
          <w:szCs w:val="16"/>
        </w:rPr>
        <w:t>28.02.2020</w:t>
      </w:r>
      <w:r w:rsidRPr="00C0348A">
        <w:rPr>
          <w:i/>
          <w:sz w:val="16"/>
          <w:szCs w:val="16"/>
        </w:rPr>
        <w:t>. noteiktie</w:t>
      </w:r>
      <w:r w:rsidRPr="008E0EF3">
        <w:rPr>
          <w:i/>
          <w:sz w:val="16"/>
          <w:szCs w:val="16"/>
        </w:rPr>
        <w:t xml:space="preserve"> valūtu kursi</w:t>
      </w:r>
    </w:p>
    <w:p w14:paraId="42F85616" w14:textId="15D48A69" w:rsidR="0043013C" w:rsidRPr="0043013C" w:rsidRDefault="0043013C" w:rsidP="0043013C">
      <w:pPr>
        <w:spacing w:after="0"/>
        <w:jc w:val="center"/>
        <w:rPr>
          <w:rFonts w:ascii="Times New Roman" w:hAnsi="Times New Roman" w:cs="Times New Roman"/>
          <w:b/>
          <w:sz w:val="26"/>
          <w:szCs w:val="26"/>
        </w:rPr>
      </w:pPr>
      <w:r w:rsidRPr="0043013C">
        <w:rPr>
          <w:rFonts w:ascii="Times New Roman" w:hAnsi="Times New Roman" w:cs="Times New Roman"/>
          <w:b/>
          <w:sz w:val="24"/>
          <w:szCs w:val="26"/>
        </w:rPr>
        <w:t>3.6.attēls.</w:t>
      </w:r>
      <w:r w:rsidRPr="0043013C">
        <w:rPr>
          <w:rFonts w:ascii="Times New Roman" w:hAnsi="Times New Roman" w:cs="Times New Roman"/>
          <w:sz w:val="24"/>
          <w:szCs w:val="26"/>
        </w:rPr>
        <w:t xml:space="preserve"> </w:t>
      </w:r>
      <w:r w:rsidRPr="0043013C">
        <w:rPr>
          <w:rFonts w:ascii="Times New Roman" w:hAnsi="Times New Roman" w:cs="Times New Roman"/>
          <w:b/>
          <w:sz w:val="24"/>
          <w:szCs w:val="26"/>
        </w:rPr>
        <w:t>Centrālās valdības aizņēmumu atmaksas grafiks</w:t>
      </w:r>
    </w:p>
    <w:p w14:paraId="4C0B6ED8" w14:textId="77777777" w:rsidR="0043013C" w:rsidRPr="0043013C" w:rsidRDefault="0043013C" w:rsidP="0043013C">
      <w:pPr>
        <w:jc w:val="center"/>
        <w:rPr>
          <w:rFonts w:ascii="Times New Roman" w:hAnsi="Times New Roman" w:cs="Times New Roman"/>
          <w:sz w:val="20"/>
        </w:rPr>
      </w:pPr>
      <w:r w:rsidRPr="0043013C">
        <w:rPr>
          <w:rFonts w:ascii="Times New Roman" w:hAnsi="Times New Roman" w:cs="Times New Roman"/>
          <w:sz w:val="20"/>
        </w:rPr>
        <w:t>(līdz 2020.gada 29.februārim uzņemtās saistības, nominālvērtībā)</w:t>
      </w:r>
    </w:p>
    <w:p w14:paraId="44A54632" w14:textId="324D255C" w:rsidR="0043013C" w:rsidRPr="0043013C" w:rsidRDefault="0043013C" w:rsidP="008E6EDF">
      <w:pPr>
        <w:spacing w:after="0" w:line="240" w:lineRule="auto"/>
        <w:ind w:firstLine="720"/>
        <w:jc w:val="both"/>
        <w:rPr>
          <w:rFonts w:ascii="Times New Roman" w:hAnsi="Times New Roman" w:cs="Times New Roman"/>
          <w:sz w:val="24"/>
          <w:szCs w:val="26"/>
        </w:rPr>
      </w:pPr>
      <w:r w:rsidRPr="0043013C">
        <w:rPr>
          <w:rFonts w:ascii="Times New Roman" w:hAnsi="Times New Roman" w:cs="Times New Roman"/>
          <w:sz w:val="24"/>
          <w:szCs w:val="26"/>
        </w:rPr>
        <w:t xml:space="preserve">Ņemot vērā līdz 2020.gada 29.februārim (pirms koronavīrusa Covid-19 pandēmijas sākuma) uzņemtās valsts parāda saistības, saskaņā ar valsts parāda atmaksas grafiku, 2020.gada martā – 2023.gada decembrī pārfinansējamo valsts parāda saistību apjoms ir 3,0 mljrd. </w:t>
      </w:r>
      <w:r w:rsidRPr="0043013C">
        <w:rPr>
          <w:rFonts w:ascii="Times New Roman" w:hAnsi="Times New Roman" w:cs="Times New Roman"/>
          <w:i/>
          <w:sz w:val="24"/>
          <w:szCs w:val="26"/>
        </w:rPr>
        <w:t>euro</w:t>
      </w:r>
      <w:r w:rsidRPr="0043013C">
        <w:rPr>
          <w:rFonts w:ascii="Times New Roman" w:hAnsi="Times New Roman" w:cs="Times New Roman"/>
          <w:sz w:val="24"/>
          <w:szCs w:val="26"/>
        </w:rPr>
        <w:t xml:space="preserve"> (sk</w:t>
      </w:r>
      <w:r>
        <w:rPr>
          <w:rFonts w:ascii="Times New Roman" w:hAnsi="Times New Roman" w:cs="Times New Roman"/>
          <w:sz w:val="24"/>
          <w:szCs w:val="26"/>
        </w:rPr>
        <w:t>at</w:t>
      </w:r>
      <w:r w:rsidRPr="0043013C">
        <w:rPr>
          <w:rFonts w:ascii="Times New Roman" w:hAnsi="Times New Roman" w:cs="Times New Roman"/>
          <w:sz w:val="24"/>
          <w:szCs w:val="26"/>
        </w:rPr>
        <w:t xml:space="preserve">. </w:t>
      </w:r>
      <w:r>
        <w:rPr>
          <w:rFonts w:ascii="Times New Roman" w:hAnsi="Times New Roman" w:cs="Times New Roman"/>
          <w:sz w:val="24"/>
          <w:szCs w:val="26"/>
        </w:rPr>
        <w:t>3.6</w:t>
      </w:r>
      <w:r w:rsidRPr="0043013C">
        <w:rPr>
          <w:rFonts w:ascii="Times New Roman" w:hAnsi="Times New Roman" w:cs="Times New Roman"/>
          <w:sz w:val="24"/>
          <w:szCs w:val="26"/>
        </w:rPr>
        <w:t>.attēlu). Lielāko daļu no minētajā periodā pārfinansējamā parāda apjoma veido starptautiskajos finanšu tirgos emitētās eiroobligācijas, kurām pienāks dzēšanas termiņš.</w:t>
      </w:r>
    </w:p>
    <w:p w14:paraId="10D98245" w14:textId="29B9D598" w:rsidR="0043013C" w:rsidRDefault="0043013C" w:rsidP="0043013C">
      <w:pPr>
        <w:spacing w:after="0"/>
        <w:rPr>
          <w:sz w:val="26"/>
          <w:szCs w:val="26"/>
        </w:rPr>
      </w:pPr>
    </w:p>
    <w:p w14:paraId="03674A77" w14:textId="695F5627" w:rsidR="0043013C" w:rsidRPr="0043013C" w:rsidRDefault="0043013C" w:rsidP="00886FBF">
      <w:pPr>
        <w:pStyle w:val="Heading3"/>
        <w:numPr>
          <w:ilvl w:val="0"/>
          <w:numId w:val="0"/>
        </w:numPr>
        <w:spacing w:after="240"/>
        <w:ind w:left="720"/>
        <w:rPr>
          <w:rFonts w:ascii="Times New Roman" w:hAnsi="Times New Roman" w:cs="Times New Roman"/>
          <w:sz w:val="24"/>
          <w:szCs w:val="24"/>
        </w:rPr>
      </w:pPr>
      <w:bookmarkStart w:id="44" w:name="_Toc38887977"/>
      <w:r w:rsidRPr="0043013C">
        <w:rPr>
          <w:rFonts w:ascii="Times New Roman" w:hAnsi="Times New Roman" w:cs="Times New Roman"/>
          <w:sz w:val="24"/>
          <w:szCs w:val="24"/>
        </w:rPr>
        <w:t>3.4.1.Vispārējās valdības parāda prognoze vidējā termiņā B</w:t>
      </w:r>
      <w:r w:rsidR="00684209">
        <w:rPr>
          <w:rFonts w:ascii="Times New Roman" w:hAnsi="Times New Roman" w:cs="Times New Roman"/>
          <w:sz w:val="24"/>
          <w:szCs w:val="24"/>
        </w:rPr>
        <w:t>āzes</w:t>
      </w:r>
      <w:r w:rsidRPr="0043013C">
        <w:rPr>
          <w:rFonts w:ascii="Times New Roman" w:hAnsi="Times New Roman" w:cs="Times New Roman"/>
          <w:sz w:val="24"/>
          <w:szCs w:val="24"/>
        </w:rPr>
        <w:t xml:space="preserve"> scenārijā</w:t>
      </w:r>
      <w:bookmarkEnd w:id="44"/>
    </w:p>
    <w:p w14:paraId="21F3AA60" w14:textId="76A0FA7A" w:rsidR="0043013C" w:rsidRPr="0043013C" w:rsidRDefault="0043013C" w:rsidP="0043013C">
      <w:pPr>
        <w:spacing w:after="0" w:line="240" w:lineRule="auto"/>
        <w:ind w:firstLine="720"/>
        <w:jc w:val="both"/>
        <w:rPr>
          <w:rFonts w:ascii="Times New Roman" w:hAnsi="Times New Roman" w:cs="Times New Roman"/>
          <w:sz w:val="24"/>
          <w:szCs w:val="26"/>
        </w:rPr>
      </w:pPr>
      <w:r w:rsidRPr="0043013C">
        <w:rPr>
          <w:rFonts w:ascii="Times New Roman" w:hAnsi="Times New Roman" w:cs="Times New Roman"/>
          <w:sz w:val="24"/>
          <w:szCs w:val="26"/>
        </w:rPr>
        <w:t>Kopējās finansēšanas nepieciešamības segšanai Bāzes scenārijā 2020.</w:t>
      </w:r>
      <w:r w:rsidR="007278C7" w:rsidRPr="0043013C">
        <w:rPr>
          <w:rFonts w:ascii="Times New Roman" w:hAnsi="Times New Roman" w:cs="Times New Roman"/>
          <w:sz w:val="24"/>
          <w:szCs w:val="26"/>
        </w:rPr>
        <w:t>–</w:t>
      </w:r>
      <w:r w:rsidRPr="0043013C">
        <w:rPr>
          <w:rFonts w:ascii="Times New Roman" w:hAnsi="Times New Roman" w:cs="Times New Roman"/>
          <w:sz w:val="24"/>
          <w:szCs w:val="26"/>
        </w:rPr>
        <w:t xml:space="preserve">2023.gadā tika paredzēts veikt savlaicīgu aizņemšanos finanšu tirgos, lai, nodrošinot valsts parāda pārfinansēšanas riska vadību atbilstoši Valsts parāda un naudas līdzekļu vadības stratēģijai, pārfinansētu uzņemtās valsts parāda saistības ar aizņēmumu likmju un termiņu ziņā labvēlīgiem nosacījumiem. </w:t>
      </w:r>
      <w:r w:rsidRPr="0043013C">
        <w:rPr>
          <w:rFonts w:ascii="Times New Roman" w:hAnsi="Times New Roman" w:cs="Times New Roman"/>
          <w:bCs/>
          <w:color w:val="000000"/>
          <w:sz w:val="24"/>
          <w:szCs w:val="26"/>
        </w:rPr>
        <w:t xml:space="preserve">Investoru uzticība Latvijas valsts kredītspējai un stabils investīciju kategorijas valsts kredītreitings nodrošina stabilu pamatu uzņemto parāda saistību sekmīgai pārfinansēšanai turpmākajos gados. </w:t>
      </w:r>
    </w:p>
    <w:p w14:paraId="1BDBEA56" w14:textId="11E259C6" w:rsidR="0043013C" w:rsidRPr="0043013C" w:rsidRDefault="0043013C" w:rsidP="0043013C">
      <w:pPr>
        <w:spacing w:after="0" w:line="240" w:lineRule="auto"/>
        <w:ind w:firstLine="720"/>
        <w:jc w:val="both"/>
        <w:rPr>
          <w:rFonts w:ascii="Times New Roman" w:hAnsi="Times New Roman" w:cs="Times New Roman"/>
          <w:sz w:val="24"/>
          <w:szCs w:val="26"/>
        </w:rPr>
      </w:pPr>
      <w:r w:rsidRPr="0043013C">
        <w:rPr>
          <w:rFonts w:ascii="Times New Roman" w:hAnsi="Times New Roman" w:cs="Times New Roman"/>
          <w:sz w:val="24"/>
          <w:szCs w:val="26"/>
        </w:rPr>
        <w:t>Ņemot vērā stratēģisku pieeju aizņemšanās pasākumu organizēšanā, lai nodrošinātu valsts parāda pārfinansēšanas riska novēršanu un valsts parāda vadības izdevumu optimizēšanu ilgtermiņā, Bāzes scenārijs paredzēja, ka tuvākajos gados ārējā aizņēmuma instrumenti joprojām veidos būtiskāko daļu no kopējā piesaistāmā finanšu resursu apjoma. Aizņēmum</w:t>
      </w:r>
      <w:r w:rsidR="0084128F">
        <w:rPr>
          <w:rFonts w:ascii="Times New Roman" w:hAnsi="Times New Roman" w:cs="Times New Roman"/>
          <w:sz w:val="24"/>
          <w:szCs w:val="26"/>
        </w:rPr>
        <w:t>i</w:t>
      </w:r>
      <w:r w:rsidRPr="0043013C">
        <w:rPr>
          <w:rFonts w:ascii="Times New Roman" w:hAnsi="Times New Roman" w:cs="Times New Roman"/>
          <w:sz w:val="24"/>
          <w:szCs w:val="26"/>
        </w:rPr>
        <w:t xml:space="preserve"> starptautiskajos tirgos arī turpmāk tiktu balstīti uz publiskiem darījumiem globālajos finanšu tirgos, veicot vidēja termiņa un ilgtermiņa etalona eiroobligāciju emisijas galvenokārt Eiropas finanšu tirgū, kā arī vēršoties pie citu reģionu investoriem. Iekšējā finanšu tirgū arī turpmāk tiktu uzturēts pieprasījumam atbilstošs vērtspapīru piedāvājums primāro dīleru sistēmas ietvaros, sekmējot valsts vērtspapīru tirgus aktivitāti un likviditāti.</w:t>
      </w:r>
    </w:p>
    <w:p w14:paraId="5EB9A754" w14:textId="5377DDFF" w:rsidR="0043013C" w:rsidRPr="0043013C" w:rsidRDefault="0043013C" w:rsidP="0043013C">
      <w:pPr>
        <w:spacing w:after="0" w:line="240" w:lineRule="auto"/>
        <w:ind w:firstLine="720"/>
        <w:jc w:val="both"/>
        <w:rPr>
          <w:rFonts w:ascii="Times New Roman" w:hAnsi="Times New Roman" w:cs="Times New Roman"/>
          <w:sz w:val="26"/>
          <w:szCs w:val="26"/>
        </w:rPr>
      </w:pPr>
      <w:r w:rsidRPr="0043013C">
        <w:rPr>
          <w:rFonts w:ascii="Times New Roman" w:hAnsi="Times New Roman" w:cs="Times New Roman"/>
          <w:sz w:val="24"/>
          <w:szCs w:val="26"/>
        </w:rPr>
        <w:t xml:space="preserve">Kopš 2017.gada bija iezīmējusies vispārējās valdības parāda stabilizēšanās un samazināšanās tendence attiecībā pret </w:t>
      </w:r>
      <w:r w:rsidR="00884AE0">
        <w:rPr>
          <w:rFonts w:ascii="Times New Roman" w:hAnsi="Times New Roman" w:cs="Times New Roman"/>
          <w:sz w:val="24"/>
          <w:szCs w:val="26"/>
        </w:rPr>
        <w:t>IKP</w:t>
      </w:r>
      <w:r w:rsidRPr="0043013C">
        <w:rPr>
          <w:rFonts w:ascii="Times New Roman" w:hAnsi="Times New Roman" w:cs="Times New Roman"/>
          <w:sz w:val="24"/>
          <w:szCs w:val="26"/>
        </w:rPr>
        <w:t xml:space="preserve">. Valsts parāds veido lielāko daļu no vispārējās valdības parāda apjoma, tādēļ vispārējās valdības parāda tendences pamatā nosaka valsts parāda izmaiņas, kuras ietekmē aizņemšanās un valsts parāda atmaksa. Bāzes scenārijs paredzēja, ka 2023.gadā vispārējās valdības parāda līmenis attiecībā pret </w:t>
      </w:r>
      <w:r w:rsidR="00884AE0">
        <w:rPr>
          <w:rFonts w:ascii="Times New Roman" w:hAnsi="Times New Roman" w:cs="Times New Roman"/>
          <w:sz w:val="24"/>
          <w:szCs w:val="26"/>
        </w:rPr>
        <w:t>IKP</w:t>
      </w:r>
      <w:r w:rsidRPr="0043013C">
        <w:rPr>
          <w:rFonts w:ascii="Times New Roman" w:hAnsi="Times New Roman" w:cs="Times New Roman"/>
          <w:sz w:val="24"/>
          <w:szCs w:val="26"/>
        </w:rPr>
        <w:t xml:space="preserve"> varētu sasniegt zemāko līmeni kopš 2009.gada, ko galvenokārt noteiktu relatīvi neliels pārfinansējamo valsts parāda saistību apjoms 2022.gadā, ņemot vēra, ka 2021.gadā dzēšamās valsts parāda saistības tiktu pārfinansētas ar 2020.</w:t>
      </w:r>
      <w:r w:rsidR="00DA0C35" w:rsidRPr="0043013C">
        <w:rPr>
          <w:rFonts w:ascii="Times New Roman" w:hAnsi="Times New Roman" w:cs="Times New Roman"/>
          <w:sz w:val="24"/>
          <w:szCs w:val="26"/>
        </w:rPr>
        <w:t>–</w:t>
      </w:r>
      <w:r w:rsidRPr="0043013C">
        <w:rPr>
          <w:rFonts w:ascii="Times New Roman" w:hAnsi="Times New Roman" w:cs="Times New Roman"/>
          <w:sz w:val="24"/>
          <w:szCs w:val="26"/>
        </w:rPr>
        <w:t>2021.gadā veicamajiem aizņēmumiem. Vidējā termiņā tika prognozēta vispārējās valdības parāda līmeņa stabilizēšanās un turpmākā samazināšanās attiecībā pret IKP, pārliecinoši ievērojot F</w:t>
      </w:r>
      <w:r w:rsidR="00884AE0">
        <w:rPr>
          <w:rFonts w:ascii="Times New Roman" w:hAnsi="Times New Roman" w:cs="Times New Roman"/>
          <w:sz w:val="24"/>
          <w:szCs w:val="26"/>
        </w:rPr>
        <w:t xml:space="preserve">DL </w:t>
      </w:r>
      <w:r w:rsidRPr="0043013C">
        <w:rPr>
          <w:rFonts w:ascii="Times New Roman" w:hAnsi="Times New Roman" w:cs="Times New Roman"/>
          <w:sz w:val="24"/>
          <w:szCs w:val="26"/>
        </w:rPr>
        <w:t>noteikto parāda nosacījumu (sk</w:t>
      </w:r>
      <w:r>
        <w:rPr>
          <w:rFonts w:ascii="Times New Roman" w:hAnsi="Times New Roman" w:cs="Times New Roman"/>
          <w:sz w:val="24"/>
          <w:szCs w:val="26"/>
        </w:rPr>
        <w:t>at</w:t>
      </w:r>
      <w:r w:rsidRPr="0043013C">
        <w:rPr>
          <w:rFonts w:ascii="Times New Roman" w:hAnsi="Times New Roman" w:cs="Times New Roman"/>
          <w:sz w:val="24"/>
          <w:szCs w:val="26"/>
        </w:rPr>
        <w:t xml:space="preserve">. </w:t>
      </w:r>
      <w:r>
        <w:rPr>
          <w:rFonts w:ascii="Times New Roman" w:hAnsi="Times New Roman" w:cs="Times New Roman"/>
          <w:sz w:val="24"/>
          <w:szCs w:val="26"/>
        </w:rPr>
        <w:t>3.7</w:t>
      </w:r>
      <w:r w:rsidRPr="0043013C">
        <w:rPr>
          <w:rFonts w:ascii="Times New Roman" w:hAnsi="Times New Roman" w:cs="Times New Roman"/>
          <w:sz w:val="24"/>
          <w:szCs w:val="26"/>
        </w:rPr>
        <w:t>.attēlu).</w:t>
      </w:r>
    </w:p>
    <w:p w14:paraId="1355234D" w14:textId="77777777" w:rsidR="0043013C" w:rsidRPr="0043013C" w:rsidRDefault="0043013C" w:rsidP="0043013C">
      <w:pPr>
        <w:spacing w:after="0"/>
        <w:ind w:firstLine="720"/>
        <w:rPr>
          <w:rFonts w:ascii="Times New Roman" w:hAnsi="Times New Roman" w:cs="Times New Roman"/>
          <w:sz w:val="26"/>
          <w:szCs w:val="26"/>
        </w:rPr>
      </w:pPr>
    </w:p>
    <w:p w14:paraId="31E60EBC" w14:textId="77777777" w:rsidR="0043013C" w:rsidRPr="0043013C" w:rsidRDefault="0043013C" w:rsidP="0043013C">
      <w:pPr>
        <w:jc w:val="center"/>
        <w:rPr>
          <w:rFonts w:ascii="Times New Roman" w:hAnsi="Times New Roman" w:cs="Times New Roman"/>
          <w:b/>
          <w:bCs/>
          <w:sz w:val="26"/>
          <w:szCs w:val="26"/>
        </w:rPr>
      </w:pPr>
      <w:r w:rsidRPr="0043013C">
        <w:rPr>
          <w:rFonts w:ascii="Times New Roman" w:hAnsi="Times New Roman" w:cs="Times New Roman"/>
          <w:b/>
          <w:bCs/>
          <w:noProof/>
          <w:sz w:val="26"/>
          <w:szCs w:val="26"/>
          <w:lang w:eastAsia="lv-LV"/>
        </w:rPr>
        <w:drawing>
          <wp:inline distT="0" distB="0" distL="0" distR="0" wp14:anchorId="79161166" wp14:editId="5EA67894">
            <wp:extent cx="3941157" cy="23558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4681" cy="2363934"/>
                    </a:xfrm>
                    <a:prstGeom prst="rect">
                      <a:avLst/>
                    </a:prstGeom>
                    <a:noFill/>
                  </pic:spPr>
                </pic:pic>
              </a:graphicData>
            </a:graphic>
          </wp:inline>
        </w:drawing>
      </w:r>
    </w:p>
    <w:p w14:paraId="048FDE87" w14:textId="0D61FC39" w:rsidR="0043013C" w:rsidRPr="0043013C" w:rsidRDefault="0043013C" w:rsidP="0043013C">
      <w:pPr>
        <w:jc w:val="center"/>
        <w:rPr>
          <w:rFonts w:ascii="Times New Roman" w:hAnsi="Times New Roman" w:cs="Times New Roman"/>
          <w:sz w:val="26"/>
          <w:szCs w:val="26"/>
        </w:rPr>
      </w:pPr>
      <w:r w:rsidRPr="0043013C">
        <w:rPr>
          <w:rFonts w:ascii="Times New Roman" w:hAnsi="Times New Roman" w:cs="Times New Roman"/>
          <w:b/>
          <w:sz w:val="24"/>
          <w:szCs w:val="26"/>
        </w:rPr>
        <w:t>3.7.attēls.</w:t>
      </w:r>
      <w:r w:rsidRPr="0043013C">
        <w:rPr>
          <w:rFonts w:ascii="Times New Roman" w:hAnsi="Times New Roman" w:cs="Times New Roman"/>
          <w:sz w:val="24"/>
          <w:szCs w:val="26"/>
        </w:rPr>
        <w:t xml:space="preserve"> </w:t>
      </w:r>
      <w:r w:rsidRPr="0043013C">
        <w:rPr>
          <w:rFonts w:ascii="Times New Roman" w:hAnsi="Times New Roman" w:cs="Times New Roman"/>
          <w:b/>
          <w:sz w:val="24"/>
          <w:szCs w:val="26"/>
        </w:rPr>
        <w:t xml:space="preserve">Vispārējās valdības parāda attīstības tendences Bāzes scenārijā </w:t>
      </w:r>
      <w:r w:rsidRPr="0043013C">
        <w:rPr>
          <w:rFonts w:ascii="Times New Roman" w:hAnsi="Times New Roman" w:cs="Times New Roman"/>
          <w:sz w:val="24"/>
          <w:szCs w:val="26"/>
        </w:rPr>
        <w:t>(% no IKP)</w:t>
      </w:r>
    </w:p>
    <w:p w14:paraId="0BBA4442" w14:textId="2A0AF209" w:rsidR="00A332B4" w:rsidRDefault="00A332B4">
      <w:pPr>
        <w:rPr>
          <w:rFonts w:ascii="Times New Roman" w:eastAsiaTheme="majorEastAsia" w:hAnsi="Times New Roman" w:cs="Times New Roman"/>
          <w:b/>
          <w:bCs/>
          <w:color w:val="000000" w:themeColor="text1"/>
          <w:sz w:val="24"/>
          <w:szCs w:val="24"/>
        </w:rPr>
      </w:pPr>
    </w:p>
    <w:p w14:paraId="064A6E1C" w14:textId="11B5EFB9" w:rsidR="0043013C" w:rsidRPr="0043013C" w:rsidRDefault="0043013C" w:rsidP="00886FBF">
      <w:pPr>
        <w:pStyle w:val="Heading3"/>
        <w:numPr>
          <w:ilvl w:val="0"/>
          <w:numId w:val="0"/>
        </w:numPr>
        <w:spacing w:after="240"/>
        <w:ind w:left="720"/>
        <w:jc w:val="both"/>
        <w:rPr>
          <w:rFonts w:ascii="Times New Roman" w:hAnsi="Times New Roman" w:cs="Times New Roman"/>
          <w:sz w:val="24"/>
          <w:szCs w:val="24"/>
        </w:rPr>
      </w:pPr>
      <w:bookmarkStart w:id="45" w:name="_Toc38887978"/>
      <w:r w:rsidRPr="0043013C">
        <w:rPr>
          <w:rFonts w:ascii="Times New Roman" w:hAnsi="Times New Roman" w:cs="Times New Roman"/>
          <w:sz w:val="24"/>
          <w:szCs w:val="24"/>
        </w:rPr>
        <w:t>3.4.2.Vispārējās valdības parāda prognoze vidējā termiņā C</w:t>
      </w:r>
      <w:r w:rsidR="002149A7">
        <w:rPr>
          <w:rFonts w:ascii="Times New Roman" w:hAnsi="Times New Roman" w:cs="Times New Roman"/>
          <w:sz w:val="24"/>
          <w:szCs w:val="24"/>
        </w:rPr>
        <w:t>ovid</w:t>
      </w:r>
      <w:r w:rsidRPr="0043013C">
        <w:rPr>
          <w:rFonts w:ascii="Times New Roman" w:hAnsi="Times New Roman" w:cs="Times New Roman"/>
          <w:sz w:val="24"/>
          <w:szCs w:val="24"/>
        </w:rPr>
        <w:t>-19 ietekmes scenārijā</w:t>
      </w:r>
      <w:bookmarkEnd w:id="45"/>
    </w:p>
    <w:p w14:paraId="663B3481" w14:textId="77777777" w:rsidR="0043013C" w:rsidRPr="0043013C" w:rsidRDefault="0043013C" w:rsidP="00DA0C35">
      <w:pPr>
        <w:spacing w:after="0" w:line="240" w:lineRule="auto"/>
        <w:ind w:firstLine="720"/>
        <w:jc w:val="both"/>
        <w:rPr>
          <w:rFonts w:ascii="Times New Roman" w:hAnsi="Times New Roman" w:cs="Times New Roman"/>
          <w:sz w:val="24"/>
          <w:szCs w:val="26"/>
        </w:rPr>
      </w:pPr>
      <w:r w:rsidRPr="0043013C">
        <w:rPr>
          <w:rFonts w:ascii="Times New Roman" w:hAnsi="Times New Roman" w:cs="Times New Roman"/>
          <w:sz w:val="24"/>
          <w:szCs w:val="26"/>
        </w:rPr>
        <w:t>Covid-19 uzliesmojumam un tā seku mazināšanai nepieciešamajiem ierobežojumiem ir paredzama būtiska ietekme uz globālās ekonomikas, t.sk. Latvijas tautsaimniecības, attīstību un fiskālajiem rādītājiem, tomēr šīs ietekmes apmēru un ilgumu pašreiz nav iespējams ticami novērtēt, kā arī nav iespējams precīzi prognozēt Covid-19 uzliesmojuma pilno fiskālo ietekmi 2020.gadā un vidējā termiņā. Covid-19 uzliesmojums 2020.gada martā un aprīlī izraisīja nepieciešamību operatīvi veikt aizņemšanās pasākumus iekšējā un starptautiskajos finanšu tirgos, t.sk.:</w:t>
      </w:r>
    </w:p>
    <w:p w14:paraId="085A1ACC" w14:textId="3F584925" w:rsidR="0043013C" w:rsidRPr="000136BF" w:rsidRDefault="0043013C" w:rsidP="00DA0C35">
      <w:pPr>
        <w:pStyle w:val="ListParagraph"/>
        <w:numPr>
          <w:ilvl w:val="1"/>
          <w:numId w:val="18"/>
        </w:numPr>
        <w:spacing w:after="0" w:line="240" w:lineRule="auto"/>
        <w:ind w:left="993"/>
        <w:jc w:val="both"/>
        <w:rPr>
          <w:rFonts w:ascii="Times New Roman" w:hAnsi="Times New Roman" w:cs="Times New Roman"/>
          <w:sz w:val="24"/>
          <w:szCs w:val="26"/>
        </w:rPr>
      </w:pPr>
      <w:r w:rsidRPr="000136BF">
        <w:rPr>
          <w:rFonts w:ascii="Times New Roman" w:hAnsi="Times New Roman" w:cs="Times New Roman"/>
          <w:sz w:val="24"/>
          <w:szCs w:val="26"/>
        </w:rPr>
        <w:t xml:space="preserve">papildu emisiju 2026.gadā dzēšamajām eiroobligācijām 550 milj. </w:t>
      </w:r>
      <w:r w:rsidRPr="000136BF">
        <w:rPr>
          <w:rFonts w:ascii="Times New Roman" w:hAnsi="Times New Roman" w:cs="Times New Roman"/>
          <w:i/>
          <w:sz w:val="24"/>
          <w:szCs w:val="26"/>
        </w:rPr>
        <w:t>euro</w:t>
      </w:r>
      <w:r w:rsidRPr="000136BF">
        <w:rPr>
          <w:rFonts w:ascii="Times New Roman" w:hAnsi="Times New Roman" w:cs="Times New Roman"/>
          <w:sz w:val="24"/>
          <w:szCs w:val="26"/>
        </w:rPr>
        <w:t xml:space="preserve"> apmērā pie iepriekš fiksētas procentu (kupona) likmes 0,375 % gadā (ienesīgums 0,406 %);</w:t>
      </w:r>
    </w:p>
    <w:p w14:paraId="03C2C719" w14:textId="614CB05A" w:rsidR="0043013C" w:rsidRPr="000136BF" w:rsidRDefault="0043013C" w:rsidP="00DA0C35">
      <w:pPr>
        <w:pStyle w:val="ListParagraph"/>
        <w:numPr>
          <w:ilvl w:val="1"/>
          <w:numId w:val="18"/>
        </w:numPr>
        <w:spacing w:after="0" w:line="240" w:lineRule="auto"/>
        <w:ind w:left="993"/>
        <w:jc w:val="both"/>
        <w:rPr>
          <w:rFonts w:ascii="Times New Roman" w:hAnsi="Times New Roman" w:cs="Times New Roman"/>
          <w:sz w:val="24"/>
          <w:szCs w:val="26"/>
        </w:rPr>
      </w:pPr>
      <w:r w:rsidRPr="000136BF">
        <w:rPr>
          <w:rFonts w:ascii="Times New Roman" w:hAnsi="Times New Roman" w:cs="Times New Roman"/>
          <w:sz w:val="24"/>
          <w:szCs w:val="26"/>
        </w:rPr>
        <w:t xml:space="preserve">jaunu eiroobligāciju emisiju ar dzēšanu 2023.gadā 1 mljrd. </w:t>
      </w:r>
      <w:r w:rsidRPr="000136BF">
        <w:rPr>
          <w:rFonts w:ascii="Times New Roman" w:hAnsi="Times New Roman" w:cs="Times New Roman"/>
          <w:i/>
          <w:sz w:val="24"/>
          <w:szCs w:val="26"/>
        </w:rPr>
        <w:t>euro</w:t>
      </w:r>
      <w:r w:rsidRPr="000136BF">
        <w:rPr>
          <w:rFonts w:ascii="Times New Roman" w:hAnsi="Times New Roman" w:cs="Times New Roman"/>
          <w:sz w:val="24"/>
          <w:szCs w:val="26"/>
        </w:rPr>
        <w:t xml:space="preserve"> apmērā ar procentu (kupona) likmi 0,125 % gadā (ienesīgums 0,209 %);</w:t>
      </w:r>
    </w:p>
    <w:p w14:paraId="625CCC64" w14:textId="1ADD0854" w:rsidR="0043013C" w:rsidRPr="000136BF" w:rsidRDefault="0043013C" w:rsidP="00DA0C35">
      <w:pPr>
        <w:pStyle w:val="ListParagraph"/>
        <w:numPr>
          <w:ilvl w:val="1"/>
          <w:numId w:val="18"/>
        </w:numPr>
        <w:spacing w:after="0" w:line="240" w:lineRule="auto"/>
        <w:ind w:left="993"/>
        <w:jc w:val="both"/>
        <w:rPr>
          <w:rFonts w:ascii="Times New Roman" w:hAnsi="Times New Roman" w:cs="Times New Roman"/>
          <w:bCs/>
          <w:color w:val="000000"/>
          <w:sz w:val="24"/>
          <w:szCs w:val="26"/>
        </w:rPr>
      </w:pPr>
      <w:r w:rsidRPr="000136BF">
        <w:rPr>
          <w:rFonts w:ascii="Times New Roman" w:hAnsi="Times New Roman" w:cs="Times New Roman"/>
          <w:sz w:val="24"/>
          <w:szCs w:val="26"/>
        </w:rPr>
        <w:t xml:space="preserve">iekšējā aizņēmuma obligāciju emisiju ar dzēšanu 2022. gadā 304,5 milj. </w:t>
      </w:r>
      <w:r w:rsidRPr="000136BF">
        <w:rPr>
          <w:rFonts w:ascii="Times New Roman" w:hAnsi="Times New Roman" w:cs="Times New Roman"/>
          <w:i/>
          <w:sz w:val="24"/>
          <w:szCs w:val="26"/>
        </w:rPr>
        <w:t>euro</w:t>
      </w:r>
      <w:r w:rsidRPr="000136BF">
        <w:rPr>
          <w:rFonts w:ascii="Times New Roman" w:hAnsi="Times New Roman" w:cs="Times New Roman"/>
          <w:sz w:val="24"/>
          <w:szCs w:val="26"/>
        </w:rPr>
        <w:t xml:space="preserve"> apmērā ar 0 % kupona likmi (pieci laidieni ar ienesīgumu no (-0,129) % līdz 0,099 %).</w:t>
      </w:r>
      <w:r w:rsidRPr="000136BF">
        <w:rPr>
          <w:rFonts w:ascii="Times New Roman" w:hAnsi="Times New Roman" w:cs="Times New Roman"/>
          <w:bCs/>
          <w:color w:val="000000"/>
          <w:sz w:val="24"/>
          <w:szCs w:val="26"/>
        </w:rPr>
        <w:t xml:space="preserve"> </w:t>
      </w:r>
    </w:p>
    <w:p w14:paraId="1D1A0F04" w14:textId="226418E3" w:rsidR="0043013C" w:rsidRPr="0043013C" w:rsidRDefault="0043013C" w:rsidP="00DA0C35">
      <w:pPr>
        <w:spacing w:after="0" w:line="240" w:lineRule="auto"/>
        <w:ind w:firstLine="720"/>
        <w:jc w:val="both"/>
        <w:rPr>
          <w:rFonts w:ascii="Times New Roman" w:hAnsi="Times New Roman" w:cs="Times New Roman"/>
          <w:bCs/>
          <w:color w:val="000000"/>
          <w:sz w:val="26"/>
          <w:szCs w:val="26"/>
        </w:rPr>
      </w:pPr>
      <w:r w:rsidRPr="0043013C">
        <w:rPr>
          <w:rFonts w:ascii="Times New Roman" w:hAnsi="Times New Roman" w:cs="Times New Roman"/>
          <w:bCs/>
          <w:color w:val="000000"/>
          <w:sz w:val="24"/>
          <w:szCs w:val="26"/>
        </w:rPr>
        <w:t>Joprojām augstais, investīciju “A” kategorijā esošais, Latvijas valsts kredītreitings veicina investoru aktivitāti un interesi parāda vērtspapīru emisijas darījumos, taču Covid-19 globālā uzliesmojuma izraisītā finanšu tirgu svārstīguma un nenoteiktības apstākļos pieauga valstu kredītriska uzcenojuma līmeņi. Lai mazinātu šādos finanšu tirgus apstākļos veicamās aizņemšanās izmaksu (procentu izdevumu) ietekmi uz valsts budžetu, resursi tika piesaistīti uz relatīvi īsiem termiņiem un ar iespējami zemākām procentu likmēm, vienlaikus ievērojot valsts parāda portfeļa vadības principus un nepalielinot valsts parāda pārfinansēšanas risku tuvākajos gados (skat. 3</w:t>
      </w:r>
      <w:r w:rsidR="000136BF">
        <w:rPr>
          <w:rFonts w:ascii="Times New Roman" w:hAnsi="Times New Roman" w:cs="Times New Roman"/>
          <w:bCs/>
          <w:color w:val="000000"/>
          <w:sz w:val="24"/>
          <w:szCs w:val="26"/>
        </w:rPr>
        <w:t>.8</w:t>
      </w:r>
      <w:r w:rsidRPr="0043013C">
        <w:rPr>
          <w:rFonts w:ascii="Times New Roman" w:hAnsi="Times New Roman" w:cs="Times New Roman"/>
          <w:bCs/>
          <w:color w:val="000000"/>
          <w:sz w:val="24"/>
          <w:szCs w:val="26"/>
        </w:rPr>
        <w:t>.attēlu).</w:t>
      </w:r>
    </w:p>
    <w:p w14:paraId="0BBEDB82" w14:textId="77777777" w:rsidR="0043013C" w:rsidRPr="0043013C" w:rsidRDefault="0043013C" w:rsidP="0043013C">
      <w:pPr>
        <w:spacing w:after="0"/>
        <w:rPr>
          <w:rFonts w:ascii="Times New Roman" w:hAnsi="Times New Roman" w:cs="Times New Roman"/>
          <w:bCs/>
          <w:color w:val="000000"/>
          <w:sz w:val="26"/>
          <w:szCs w:val="26"/>
        </w:rPr>
      </w:pPr>
    </w:p>
    <w:p w14:paraId="06D45DB5" w14:textId="77777777" w:rsidR="000136BF" w:rsidRPr="0043013C" w:rsidRDefault="0043013C" w:rsidP="000136BF">
      <w:pPr>
        <w:spacing w:after="0"/>
        <w:jc w:val="center"/>
        <w:rPr>
          <w:rFonts w:ascii="Times New Roman" w:hAnsi="Times New Roman" w:cs="Times New Roman"/>
          <w:b/>
          <w:sz w:val="26"/>
          <w:szCs w:val="26"/>
        </w:rPr>
      </w:pPr>
      <w:r w:rsidRPr="0043013C">
        <w:rPr>
          <w:rFonts w:ascii="Times New Roman" w:hAnsi="Times New Roman" w:cs="Times New Roman"/>
          <w:bCs/>
          <w:noProof/>
          <w:color w:val="000000"/>
          <w:sz w:val="26"/>
          <w:szCs w:val="26"/>
          <w:lang w:eastAsia="lv-LV"/>
        </w:rPr>
        <w:drawing>
          <wp:inline distT="0" distB="0" distL="0" distR="0" wp14:anchorId="336CAFCA" wp14:editId="6BA0B30B">
            <wp:extent cx="5840838" cy="183498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1102" cy="1850772"/>
                    </a:xfrm>
                    <a:prstGeom prst="rect">
                      <a:avLst/>
                    </a:prstGeom>
                    <a:noFill/>
                  </pic:spPr>
                </pic:pic>
              </a:graphicData>
            </a:graphic>
          </wp:inline>
        </w:drawing>
      </w:r>
      <w:r w:rsidR="000136BF" w:rsidRPr="000136BF">
        <w:rPr>
          <w:rFonts w:ascii="Times New Roman" w:hAnsi="Times New Roman" w:cs="Times New Roman"/>
          <w:b/>
          <w:sz w:val="24"/>
          <w:szCs w:val="26"/>
        </w:rPr>
        <w:t>3.8.attēls.</w:t>
      </w:r>
      <w:r w:rsidR="000136BF" w:rsidRPr="0043013C">
        <w:rPr>
          <w:rFonts w:ascii="Times New Roman" w:hAnsi="Times New Roman" w:cs="Times New Roman"/>
          <w:sz w:val="24"/>
          <w:szCs w:val="26"/>
        </w:rPr>
        <w:t xml:space="preserve"> </w:t>
      </w:r>
      <w:r w:rsidR="000136BF" w:rsidRPr="0043013C">
        <w:rPr>
          <w:rFonts w:ascii="Times New Roman" w:hAnsi="Times New Roman" w:cs="Times New Roman"/>
          <w:b/>
          <w:sz w:val="24"/>
          <w:szCs w:val="26"/>
        </w:rPr>
        <w:t>Centrālās valdības aizņēmumu atmaksas grafi</w:t>
      </w:r>
      <w:r w:rsidR="000136BF" w:rsidRPr="0043013C">
        <w:rPr>
          <w:rFonts w:ascii="Times New Roman" w:hAnsi="Times New Roman" w:cs="Times New Roman"/>
          <w:b/>
          <w:sz w:val="24"/>
          <w:szCs w:val="24"/>
        </w:rPr>
        <w:t>ks</w:t>
      </w:r>
    </w:p>
    <w:p w14:paraId="1C1B9A6F" w14:textId="77777777" w:rsidR="000136BF" w:rsidRPr="0043013C" w:rsidRDefault="000136BF" w:rsidP="000136BF">
      <w:pPr>
        <w:spacing w:after="0"/>
        <w:jc w:val="center"/>
        <w:rPr>
          <w:rFonts w:ascii="Times New Roman" w:hAnsi="Times New Roman" w:cs="Times New Roman"/>
          <w:sz w:val="20"/>
        </w:rPr>
      </w:pPr>
      <w:r w:rsidRPr="0043013C">
        <w:rPr>
          <w:rFonts w:ascii="Times New Roman" w:hAnsi="Times New Roman" w:cs="Times New Roman"/>
          <w:sz w:val="20"/>
        </w:rPr>
        <w:t>(līdz 2020.gada 23.aprīlim uzņemtās saistības, nominālvērtībā)</w:t>
      </w:r>
    </w:p>
    <w:p w14:paraId="2DB635DE" w14:textId="77777777" w:rsidR="0043013C" w:rsidRPr="0043013C" w:rsidRDefault="0043013C" w:rsidP="0043013C">
      <w:pPr>
        <w:spacing w:after="0"/>
        <w:jc w:val="center"/>
        <w:rPr>
          <w:rFonts w:ascii="Times New Roman" w:hAnsi="Times New Roman" w:cs="Times New Roman"/>
          <w:bCs/>
          <w:color w:val="000000"/>
          <w:sz w:val="26"/>
          <w:szCs w:val="26"/>
        </w:rPr>
      </w:pPr>
    </w:p>
    <w:p w14:paraId="46AA99E9" w14:textId="77777777" w:rsidR="0043013C" w:rsidRPr="0043013C" w:rsidRDefault="0043013C" w:rsidP="00DA0C35">
      <w:pPr>
        <w:spacing w:after="0" w:line="240" w:lineRule="auto"/>
        <w:ind w:firstLine="720"/>
        <w:jc w:val="both"/>
        <w:rPr>
          <w:rFonts w:ascii="Times New Roman" w:hAnsi="Times New Roman" w:cs="Times New Roman"/>
          <w:bCs/>
          <w:color w:val="000000"/>
          <w:sz w:val="24"/>
          <w:szCs w:val="26"/>
        </w:rPr>
      </w:pPr>
      <w:r w:rsidRPr="0043013C">
        <w:rPr>
          <w:rFonts w:ascii="Times New Roman" w:hAnsi="Times New Roman" w:cs="Times New Roman"/>
          <w:bCs/>
          <w:color w:val="000000"/>
          <w:sz w:val="24"/>
          <w:szCs w:val="26"/>
        </w:rPr>
        <w:t xml:space="preserve">Paralēli tiek nodrošinātas arī papildu aizņemšanās iespējas no starptautiskajām finanšu institūcijām. 2020. gada 9. aprīlī noslēgts aizņēmuma līgums ar Ziemeļu Investīciju banku, kura ietvaros ir iespējams piesaistīt ilgtermiņa finansējumu 500 milj. </w:t>
      </w:r>
      <w:r w:rsidRPr="0043013C">
        <w:rPr>
          <w:rFonts w:ascii="Times New Roman" w:hAnsi="Times New Roman" w:cs="Times New Roman"/>
          <w:bCs/>
          <w:i/>
          <w:color w:val="000000"/>
          <w:sz w:val="24"/>
          <w:szCs w:val="26"/>
        </w:rPr>
        <w:t>euro</w:t>
      </w:r>
      <w:r w:rsidRPr="0043013C">
        <w:rPr>
          <w:rFonts w:ascii="Times New Roman" w:hAnsi="Times New Roman" w:cs="Times New Roman"/>
          <w:bCs/>
          <w:color w:val="000000"/>
          <w:sz w:val="24"/>
          <w:szCs w:val="26"/>
        </w:rPr>
        <w:t xml:space="preserve"> apmērā Covid-19 seku mazināšanas un pārvarēšanas pasākumiem, turpinās pārrunas ar Eiropas Padomes Attīstības banku un Eiropas Investīciju banku.</w:t>
      </w:r>
    </w:p>
    <w:p w14:paraId="19DF5F55" w14:textId="2DC58778" w:rsidR="0043013C" w:rsidRPr="0043013C" w:rsidRDefault="0043013C" w:rsidP="00DA0C35">
      <w:pPr>
        <w:spacing w:after="0" w:line="240" w:lineRule="auto"/>
        <w:ind w:firstLine="720"/>
        <w:jc w:val="both"/>
        <w:rPr>
          <w:rFonts w:ascii="Times New Roman" w:hAnsi="Times New Roman" w:cs="Times New Roman"/>
          <w:bCs/>
          <w:color w:val="000000"/>
          <w:sz w:val="24"/>
          <w:szCs w:val="26"/>
        </w:rPr>
      </w:pPr>
      <w:r w:rsidRPr="0043013C">
        <w:rPr>
          <w:rFonts w:ascii="Times New Roman" w:hAnsi="Times New Roman" w:cs="Times New Roman"/>
          <w:bCs/>
          <w:color w:val="000000"/>
          <w:sz w:val="24"/>
          <w:szCs w:val="26"/>
        </w:rPr>
        <w:t xml:space="preserve">Papildu globālajiem finanšu tirgiem un atbalsta instrumentiem, pie kuriem strādā EK, Eiropas Stabilizācijas mehānisms un citas starptautiskās finanšu institūcijas, tiek regulāri monitorēti arī nišas tirgi, kas vērtējami no pieejamības, aizņemšanās nosacījumu un piesaistāmā resursu apjoma viedokļa, gan arī no investoru bāzes diversifikācijas viedokļa. </w:t>
      </w:r>
    </w:p>
    <w:p w14:paraId="2958F1A2" w14:textId="18E5D871" w:rsidR="0043013C" w:rsidRPr="0043013C" w:rsidRDefault="0043013C" w:rsidP="00DA0C35">
      <w:pPr>
        <w:spacing w:after="0" w:line="240" w:lineRule="auto"/>
        <w:ind w:firstLine="720"/>
        <w:jc w:val="both"/>
        <w:rPr>
          <w:rFonts w:ascii="Times New Roman" w:hAnsi="Times New Roman" w:cs="Times New Roman"/>
          <w:bCs/>
          <w:color w:val="000000"/>
          <w:sz w:val="24"/>
          <w:szCs w:val="26"/>
        </w:rPr>
      </w:pPr>
      <w:r w:rsidRPr="0043013C">
        <w:rPr>
          <w:rFonts w:ascii="Times New Roman" w:hAnsi="Times New Roman" w:cs="Times New Roman"/>
          <w:bCs/>
          <w:color w:val="000000"/>
          <w:sz w:val="24"/>
          <w:szCs w:val="26"/>
        </w:rPr>
        <w:t>Līdz ar to valstij šobrīd jau ir ievērojamā apjomā pieejams finansējums Covid-19 uzliesmojuma ietekmes mazināšanai un ekonomikas atbalstam ārkārtas situācijā. Pēc situācijas stabilizēšanās finanšu tirgos tiks turpināta resursu piesaiste kopējai finansēšanas ne</w:t>
      </w:r>
      <w:r w:rsidR="000136BF">
        <w:rPr>
          <w:rFonts w:ascii="Times New Roman" w:hAnsi="Times New Roman" w:cs="Times New Roman"/>
          <w:bCs/>
          <w:color w:val="000000"/>
          <w:sz w:val="24"/>
          <w:szCs w:val="26"/>
        </w:rPr>
        <w:t>pieciešamībai, t.sk. līdz 2020.gada beigām un 2021.</w:t>
      </w:r>
      <w:r w:rsidRPr="0043013C">
        <w:rPr>
          <w:rFonts w:ascii="Times New Roman" w:hAnsi="Times New Roman" w:cs="Times New Roman"/>
          <w:bCs/>
          <w:color w:val="000000"/>
          <w:sz w:val="24"/>
          <w:szCs w:val="26"/>
        </w:rPr>
        <w:t>gada sākumā plānoto valsts parāda saistību izpildei, pieaugoša valsts budžeta deficīta finansēšanai un aizdevumu izsniegšanai šogad. Aizņemšanos pamatā plānots veikt ar publiskām parāda vērtspapīru emisijām, prioritāri izvēloties garākus atmaksas termiņus, lai novērstu finanšu riskus un fiksētu zemas valsts parāda apkalpošanas izmaksas ilgtermiņā.</w:t>
      </w:r>
    </w:p>
    <w:p w14:paraId="543A9EB4" w14:textId="366F6F4C" w:rsidR="0043013C" w:rsidRPr="0043013C" w:rsidRDefault="0043013C" w:rsidP="00DA0C35">
      <w:pPr>
        <w:spacing w:after="0" w:line="240" w:lineRule="auto"/>
        <w:ind w:firstLine="720"/>
        <w:jc w:val="both"/>
        <w:rPr>
          <w:rFonts w:ascii="Times New Roman" w:hAnsi="Times New Roman" w:cs="Times New Roman"/>
          <w:bCs/>
          <w:color w:val="000000"/>
          <w:sz w:val="24"/>
          <w:szCs w:val="26"/>
        </w:rPr>
      </w:pPr>
      <w:r w:rsidRPr="0043013C">
        <w:rPr>
          <w:rFonts w:ascii="Times New Roman" w:hAnsi="Times New Roman" w:cs="Times New Roman"/>
          <w:bCs/>
          <w:color w:val="000000"/>
          <w:sz w:val="24"/>
          <w:szCs w:val="26"/>
        </w:rPr>
        <w:t xml:space="preserve">Ņemot vērā ievērojamu aizņemšanās apjomu pieaugumu, ko izraisīja Covid-19 uzliesmojuma seku mazināšanai un ekonomikas atbalstam veicamo un plānoto pasākumu finansēšanas nepieciešamība, </w:t>
      </w:r>
      <w:r w:rsidRPr="0043013C">
        <w:rPr>
          <w:rFonts w:ascii="Times New Roman" w:hAnsi="Times New Roman" w:cs="Times New Roman"/>
          <w:sz w:val="24"/>
          <w:szCs w:val="26"/>
        </w:rPr>
        <w:t>atbilstoši šī brīža prognozei, kura ir sagatavota izteikti lielas nenoteiktības apstākļos,</w:t>
      </w:r>
      <w:r w:rsidRPr="0043013C">
        <w:rPr>
          <w:rFonts w:ascii="Times New Roman" w:hAnsi="Times New Roman" w:cs="Times New Roman"/>
          <w:szCs w:val="24"/>
        </w:rPr>
        <w:t xml:space="preserve"> </w:t>
      </w:r>
      <w:r w:rsidRPr="0043013C">
        <w:rPr>
          <w:rFonts w:ascii="Times New Roman" w:hAnsi="Times New Roman" w:cs="Times New Roman"/>
          <w:sz w:val="24"/>
          <w:szCs w:val="26"/>
        </w:rPr>
        <w:t>indikatīvi</w:t>
      </w:r>
      <w:r w:rsidRPr="0043013C">
        <w:rPr>
          <w:rFonts w:ascii="Times New Roman" w:hAnsi="Times New Roman" w:cs="Times New Roman"/>
          <w:szCs w:val="24"/>
        </w:rPr>
        <w:t xml:space="preserve"> </w:t>
      </w:r>
      <w:r w:rsidRPr="0043013C">
        <w:rPr>
          <w:rFonts w:ascii="Times New Roman" w:hAnsi="Times New Roman" w:cs="Times New Roman"/>
          <w:bCs/>
          <w:color w:val="000000"/>
          <w:sz w:val="24"/>
          <w:szCs w:val="26"/>
        </w:rPr>
        <w:t>sagaidāms, ka vispārējās valdības parāda līmenis varētu pieaugt līdz 52% no IKP 2020.gadā (sk</w:t>
      </w:r>
      <w:r w:rsidR="00854B31">
        <w:rPr>
          <w:rFonts w:ascii="Times New Roman" w:hAnsi="Times New Roman" w:cs="Times New Roman"/>
          <w:bCs/>
          <w:color w:val="000000"/>
          <w:sz w:val="24"/>
          <w:szCs w:val="26"/>
        </w:rPr>
        <w:t>at</w:t>
      </w:r>
      <w:r w:rsidRPr="0043013C">
        <w:rPr>
          <w:rFonts w:ascii="Times New Roman" w:hAnsi="Times New Roman" w:cs="Times New Roman"/>
          <w:bCs/>
          <w:color w:val="000000"/>
          <w:sz w:val="24"/>
          <w:szCs w:val="26"/>
        </w:rPr>
        <w:t xml:space="preserve">. </w:t>
      </w:r>
      <w:r w:rsidR="00854B31">
        <w:rPr>
          <w:rFonts w:ascii="Times New Roman" w:hAnsi="Times New Roman" w:cs="Times New Roman"/>
          <w:bCs/>
          <w:color w:val="000000"/>
          <w:sz w:val="24"/>
          <w:szCs w:val="26"/>
        </w:rPr>
        <w:t>3.9</w:t>
      </w:r>
      <w:r w:rsidRPr="0043013C">
        <w:rPr>
          <w:rFonts w:ascii="Times New Roman" w:hAnsi="Times New Roman" w:cs="Times New Roman"/>
          <w:bCs/>
          <w:color w:val="000000"/>
          <w:sz w:val="24"/>
          <w:szCs w:val="26"/>
        </w:rPr>
        <w:t>.attēlu), kas ir vidēji par 17 procentpunktiem vairāk nekā Bāzes scenārijā prognozētais apmērs. Neskatoties uz prognozēto parāda pieaugumu vidējā termiņā, sagaidāms, ka F</w:t>
      </w:r>
      <w:r w:rsidR="00884AE0">
        <w:rPr>
          <w:rFonts w:ascii="Times New Roman" w:hAnsi="Times New Roman" w:cs="Times New Roman"/>
          <w:bCs/>
          <w:color w:val="000000"/>
          <w:sz w:val="24"/>
          <w:szCs w:val="26"/>
        </w:rPr>
        <w:t xml:space="preserve">DL </w:t>
      </w:r>
      <w:r w:rsidRPr="0043013C">
        <w:rPr>
          <w:rFonts w:ascii="Times New Roman" w:hAnsi="Times New Roman" w:cs="Times New Roman"/>
          <w:bCs/>
          <w:color w:val="000000"/>
          <w:sz w:val="24"/>
          <w:szCs w:val="26"/>
        </w:rPr>
        <w:t>noteiktais parāda nosacījums tiks ievērots.</w:t>
      </w:r>
    </w:p>
    <w:p w14:paraId="67E74AD6" w14:textId="77777777" w:rsidR="0043013C" w:rsidRPr="0043013C" w:rsidRDefault="0043013C" w:rsidP="00DA0C35">
      <w:pPr>
        <w:spacing w:after="0" w:line="240" w:lineRule="auto"/>
        <w:rPr>
          <w:rFonts w:ascii="Times New Roman" w:hAnsi="Times New Roman" w:cs="Times New Roman"/>
          <w:sz w:val="24"/>
          <w:szCs w:val="26"/>
        </w:rPr>
      </w:pPr>
    </w:p>
    <w:p w14:paraId="34493F81" w14:textId="77777777" w:rsidR="0043013C" w:rsidRPr="0043013C" w:rsidRDefault="0043013C" w:rsidP="0043013C">
      <w:pPr>
        <w:jc w:val="center"/>
        <w:rPr>
          <w:rFonts w:ascii="Times New Roman" w:hAnsi="Times New Roman" w:cs="Times New Roman"/>
          <w:bCs/>
          <w:sz w:val="26"/>
          <w:szCs w:val="26"/>
        </w:rPr>
      </w:pPr>
      <w:r w:rsidRPr="0043013C">
        <w:rPr>
          <w:rFonts w:ascii="Times New Roman" w:hAnsi="Times New Roman" w:cs="Times New Roman"/>
          <w:bCs/>
          <w:noProof/>
          <w:sz w:val="26"/>
          <w:szCs w:val="26"/>
          <w:lang w:eastAsia="lv-LV"/>
        </w:rPr>
        <w:drawing>
          <wp:inline distT="0" distB="0" distL="0" distR="0" wp14:anchorId="0F01A4F6" wp14:editId="4D221D80">
            <wp:extent cx="4639468" cy="25209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515" cy="2539450"/>
                    </a:xfrm>
                    <a:prstGeom prst="rect">
                      <a:avLst/>
                    </a:prstGeom>
                    <a:noFill/>
                  </pic:spPr>
                </pic:pic>
              </a:graphicData>
            </a:graphic>
          </wp:inline>
        </w:drawing>
      </w:r>
    </w:p>
    <w:p w14:paraId="7B018F9C" w14:textId="10209709" w:rsidR="000136BF" w:rsidRPr="0043013C" w:rsidRDefault="000136BF" w:rsidP="000136BF">
      <w:pPr>
        <w:jc w:val="center"/>
        <w:rPr>
          <w:rFonts w:ascii="Times New Roman" w:hAnsi="Times New Roman" w:cs="Times New Roman"/>
          <w:sz w:val="24"/>
          <w:szCs w:val="26"/>
        </w:rPr>
      </w:pPr>
      <w:r w:rsidRPr="000136BF">
        <w:rPr>
          <w:rFonts w:ascii="Times New Roman" w:hAnsi="Times New Roman" w:cs="Times New Roman"/>
          <w:b/>
          <w:sz w:val="24"/>
          <w:szCs w:val="26"/>
        </w:rPr>
        <w:t>3.9.attēls.</w:t>
      </w:r>
      <w:r w:rsidRPr="0043013C">
        <w:rPr>
          <w:rFonts w:ascii="Times New Roman" w:hAnsi="Times New Roman" w:cs="Times New Roman"/>
          <w:sz w:val="24"/>
          <w:szCs w:val="26"/>
        </w:rPr>
        <w:t xml:space="preserve"> </w:t>
      </w:r>
      <w:r w:rsidRPr="0043013C">
        <w:rPr>
          <w:rFonts w:ascii="Times New Roman" w:hAnsi="Times New Roman" w:cs="Times New Roman"/>
          <w:b/>
          <w:sz w:val="24"/>
          <w:szCs w:val="26"/>
        </w:rPr>
        <w:t>Vispārējās valdības parāda attīstības tendences C</w:t>
      </w:r>
      <w:r w:rsidR="00854B31">
        <w:rPr>
          <w:rFonts w:ascii="Times New Roman" w:hAnsi="Times New Roman" w:cs="Times New Roman"/>
          <w:b/>
          <w:sz w:val="24"/>
          <w:szCs w:val="26"/>
        </w:rPr>
        <w:t>ovid-19</w:t>
      </w:r>
      <w:r w:rsidRPr="0043013C">
        <w:rPr>
          <w:rFonts w:ascii="Times New Roman" w:hAnsi="Times New Roman" w:cs="Times New Roman"/>
          <w:b/>
          <w:sz w:val="24"/>
          <w:szCs w:val="26"/>
        </w:rPr>
        <w:t xml:space="preserve"> scenārijā </w:t>
      </w:r>
      <w:r w:rsidRPr="0043013C">
        <w:rPr>
          <w:rFonts w:ascii="Times New Roman" w:hAnsi="Times New Roman" w:cs="Times New Roman"/>
          <w:sz w:val="24"/>
          <w:szCs w:val="26"/>
        </w:rPr>
        <w:t>(% no IKP)</w:t>
      </w:r>
    </w:p>
    <w:p w14:paraId="1310B7F5" w14:textId="3CB906DB" w:rsidR="007067C3" w:rsidRDefault="007067C3">
      <w:pPr>
        <w:rPr>
          <w:rFonts w:ascii="Times New Roman" w:hAnsi="Times New Roman" w:cs="Times New Roman"/>
          <w:sz w:val="24"/>
          <w:szCs w:val="24"/>
        </w:rPr>
      </w:pPr>
    </w:p>
    <w:p w14:paraId="036DE82E" w14:textId="5ECF5F75" w:rsidR="00AF2AA1" w:rsidRPr="00C34075" w:rsidRDefault="00A27DC1" w:rsidP="009B6DBA">
      <w:pPr>
        <w:pStyle w:val="Heading2"/>
        <w:numPr>
          <w:ilvl w:val="1"/>
          <w:numId w:val="10"/>
        </w:numPr>
        <w:spacing w:before="0"/>
        <w:ind w:left="709"/>
        <w:rPr>
          <w:rFonts w:ascii="Times New Roman" w:hAnsi="Times New Roman" w:cs="Times New Roman"/>
          <w:sz w:val="24"/>
        </w:rPr>
      </w:pPr>
      <w:bookmarkStart w:id="46" w:name="_Toc38887979"/>
      <w:r w:rsidRPr="00C34075">
        <w:rPr>
          <w:rFonts w:ascii="Times New Roman" w:hAnsi="Times New Roman" w:cs="Times New Roman"/>
          <w:sz w:val="24"/>
          <w:szCs w:val="24"/>
        </w:rPr>
        <w:t>Vispārējās valdības budžeta bilances un parāda prognožu</w:t>
      </w:r>
      <w:r w:rsidRPr="00C34075">
        <w:rPr>
          <w:rFonts w:ascii="Times New Roman" w:hAnsi="Times New Roman" w:cs="Times New Roman"/>
          <w:sz w:val="24"/>
        </w:rPr>
        <w:t xml:space="preserve"> salīdzinājums ar Latvijas Stabi</w:t>
      </w:r>
      <w:r w:rsidR="00210300">
        <w:rPr>
          <w:rFonts w:ascii="Times New Roman" w:hAnsi="Times New Roman" w:cs="Times New Roman"/>
          <w:sz w:val="24"/>
        </w:rPr>
        <w:t>litātes programmu 2019.</w:t>
      </w:r>
      <w:r w:rsidR="00EA4B4C">
        <w:rPr>
          <w:rFonts w:ascii="Times New Roman" w:hAnsi="Times New Roman" w:cs="Times New Roman"/>
          <w:sz w:val="24"/>
        </w:rPr>
        <w:t>–2022.</w:t>
      </w:r>
      <w:r w:rsidRPr="00C34075">
        <w:rPr>
          <w:rFonts w:ascii="Times New Roman" w:hAnsi="Times New Roman" w:cs="Times New Roman"/>
          <w:sz w:val="24"/>
        </w:rPr>
        <w:t>gadam</w:t>
      </w:r>
      <w:bookmarkEnd w:id="46"/>
      <w:r w:rsidRPr="00C34075">
        <w:rPr>
          <w:rFonts w:ascii="Times New Roman" w:hAnsi="Times New Roman" w:cs="Times New Roman"/>
          <w:sz w:val="24"/>
        </w:rPr>
        <w:t xml:space="preserve"> </w:t>
      </w:r>
    </w:p>
    <w:p w14:paraId="59063704" w14:textId="77777777" w:rsidR="007067C3" w:rsidRDefault="007067C3" w:rsidP="002A4F3D">
      <w:pPr>
        <w:pStyle w:val="teksts"/>
        <w:ind w:firstLine="720"/>
        <w:rPr>
          <w:rFonts w:ascii="Times New Roman" w:eastAsia="Calibri" w:hAnsi="Times New Roman"/>
          <w:szCs w:val="24"/>
        </w:rPr>
      </w:pPr>
    </w:p>
    <w:p w14:paraId="2A70ECB4" w14:textId="12958EF2" w:rsidR="002A4F3D" w:rsidRPr="00FD6B0D" w:rsidRDefault="007067C3" w:rsidP="007067C3">
      <w:pPr>
        <w:pStyle w:val="teksts"/>
        <w:spacing w:after="0"/>
        <w:ind w:firstLine="720"/>
        <w:rPr>
          <w:rFonts w:ascii="Times New Roman" w:eastAsia="Calibri" w:hAnsi="Times New Roman"/>
          <w:szCs w:val="24"/>
        </w:rPr>
      </w:pPr>
      <w:r>
        <w:rPr>
          <w:rFonts w:ascii="Times New Roman" w:eastAsia="Calibri" w:hAnsi="Times New Roman"/>
          <w:szCs w:val="24"/>
        </w:rPr>
        <w:t>IKP pieaugums 2019.</w:t>
      </w:r>
      <w:r w:rsidR="002A4F3D" w:rsidRPr="00FD6B0D">
        <w:rPr>
          <w:rFonts w:ascii="Times New Roman" w:eastAsia="Calibri" w:hAnsi="Times New Roman"/>
          <w:szCs w:val="24"/>
        </w:rPr>
        <w:t>gadā bija lēnāks, nekā to paredzēja Latvijas Stabil</w:t>
      </w:r>
      <w:r>
        <w:rPr>
          <w:rFonts w:ascii="Times New Roman" w:eastAsia="Calibri" w:hAnsi="Times New Roman"/>
          <w:szCs w:val="24"/>
        </w:rPr>
        <w:t>itātes programmas 2019.–2022.</w:t>
      </w:r>
      <w:r w:rsidR="002A4F3D" w:rsidRPr="00FD6B0D">
        <w:rPr>
          <w:rFonts w:ascii="Times New Roman" w:eastAsia="Calibri" w:hAnsi="Times New Roman"/>
          <w:szCs w:val="24"/>
        </w:rPr>
        <w:t xml:space="preserve">gadam bāzes scenārijs. </w:t>
      </w:r>
      <w:r w:rsidR="002A4F3D">
        <w:rPr>
          <w:rFonts w:ascii="Times New Roman" w:eastAsia="Calibri" w:hAnsi="Times New Roman"/>
          <w:szCs w:val="24"/>
        </w:rPr>
        <w:t xml:space="preserve">Lēnāka nekā prognozēts </w:t>
      </w:r>
      <w:r w:rsidR="002A4F3D" w:rsidRPr="00FD6B0D">
        <w:rPr>
          <w:rFonts w:ascii="Times New Roman" w:eastAsia="Calibri" w:hAnsi="Times New Roman"/>
          <w:szCs w:val="24"/>
        </w:rPr>
        <w:t xml:space="preserve">ekonomikas izaugsme </w:t>
      </w:r>
      <w:r w:rsidR="002A4F3D">
        <w:rPr>
          <w:rFonts w:ascii="Times New Roman" w:eastAsia="Calibri" w:hAnsi="Times New Roman"/>
          <w:szCs w:val="24"/>
        </w:rPr>
        <w:t xml:space="preserve">pērn </w:t>
      </w:r>
      <w:r w:rsidR="002A4F3D" w:rsidRPr="00FD6B0D">
        <w:rPr>
          <w:rFonts w:ascii="Times New Roman" w:eastAsia="Calibri" w:hAnsi="Times New Roman"/>
          <w:szCs w:val="24"/>
        </w:rPr>
        <w:t>bija saistīta galvenokārt ar spēcīgāku</w:t>
      </w:r>
      <w:r w:rsidR="002A4F3D">
        <w:rPr>
          <w:rFonts w:ascii="Times New Roman" w:eastAsia="Calibri" w:hAnsi="Times New Roman"/>
          <w:szCs w:val="24"/>
        </w:rPr>
        <w:t xml:space="preserve"> ekonomiskā cikla bremzēšanos, kas mazināja eksporta pieaugumu. To papildināja protekcionisma pieaugums starp ASV un tās tirdzniecības partneriem. To izjuta ne tikai tranzīta, bet arī apstrādes rūpniecības nozares. Savukārt </w:t>
      </w:r>
      <w:r w:rsidR="002A4F3D" w:rsidRPr="00FD6B0D">
        <w:rPr>
          <w:rFonts w:ascii="Times New Roman" w:eastAsia="Calibri" w:hAnsi="Times New Roman"/>
          <w:szCs w:val="24"/>
        </w:rPr>
        <w:t>bruto pamatkapitāla veidošana</w:t>
      </w:r>
      <w:r w:rsidR="002A4F3D">
        <w:rPr>
          <w:rFonts w:ascii="Times New Roman" w:eastAsia="Calibri" w:hAnsi="Times New Roman"/>
          <w:szCs w:val="24"/>
        </w:rPr>
        <w:t xml:space="preserve"> pieauga tikai par 3,1% pretstatā 15,8% 2018. gadā, jo ES fondu iep</w:t>
      </w:r>
      <w:r>
        <w:rPr>
          <w:rFonts w:ascii="Times New Roman" w:eastAsia="Calibri" w:hAnsi="Times New Roman"/>
          <w:szCs w:val="24"/>
        </w:rPr>
        <w:t>lūde saglabājās praktiski 2018.</w:t>
      </w:r>
      <w:r w:rsidR="002A4F3D">
        <w:rPr>
          <w:rFonts w:ascii="Times New Roman" w:eastAsia="Calibri" w:hAnsi="Times New Roman"/>
          <w:szCs w:val="24"/>
        </w:rPr>
        <w:t>gada līmenī. Kopējā ekonomiskā sabremzēšanās bija jūtama arī privātajā un sabiedriskajā patēriņa pieaugumu tempos, kas bija vidēji par 1,5 procentpunktiem mazāki nekā gadu iepriekš</w:t>
      </w:r>
      <w:r w:rsidR="002A4F3D" w:rsidRPr="00FD6B0D">
        <w:rPr>
          <w:rFonts w:ascii="Times New Roman" w:eastAsia="Calibri" w:hAnsi="Times New Roman"/>
          <w:szCs w:val="24"/>
        </w:rPr>
        <w:t>.</w:t>
      </w:r>
    </w:p>
    <w:p w14:paraId="49356D83" w14:textId="17FB8029" w:rsidR="002A4F3D" w:rsidRDefault="002A4F3D" w:rsidP="007067C3">
      <w:pPr>
        <w:pStyle w:val="teksts"/>
        <w:spacing w:after="0"/>
        <w:ind w:firstLine="720"/>
        <w:rPr>
          <w:rFonts w:ascii="Times New Roman" w:eastAsia="Calibri" w:hAnsi="Times New Roman"/>
          <w:szCs w:val="24"/>
        </w:rPr>
      </w:pPr>
      <w:r>
        <w:rPr>
          <w:rFonts w:ascii="Times New Roman" w:eastAsia="Calibri" w:hAnsi="Times New Roman"/>
          <w:szCs w:val="24"/>
        </w:rPr>
        <w:t>Savukārt, p</w:t>
      </w:r>
      <w:r w:rsidRPr="00F05E87">
        <w:rPr>
          <w:rFonts w:ascii="Times New Roman" w:eastAsia="Calibri" w:hAnsi="Times New Roman"/>
          <w:szCs w:val="24"/>
        </w:rPr>
        <w:t xml:space="preserve">rognozes 2020.gadam būtiski ietekmē ar Covid-19 izplatību ieviestie </w:t>
      </w:r>
      <w:r>
        <w:rPr>
          <w:rFonts w:ascii="Times New Roman" w:eastAsia="Calibri" w:hAnsi="Times New Roman"/>
          <w:szCs w:val="24"/>
        </w:rPr>
        <w:t>ierobežojošie</w:t>
      </w:r>
      <w:r w:rsidRPr="00F05E87">
        <w:rPr>
          <w:rFonts w:ascii="Times New Roman" w:eastAsia="Calibri" w:hAnsi="Times New Roman"/>
          <w:szCs w:val="24"/>
        </w:rPr>
        <w:t xml:space="preserve"> pasākumi. </w:t>
      </w:r>
      <w:r w:rsidR="007067C3">
        <w:rPr>
          <w:rFonts w:ascii="Times New Roman" w:eastAsia="Calibri" w:hAnsi="Times New Roman"/>
          <w:szCs w:val="24"/>
        </w:rPr>
        <w:t>Tādēļ 2020.</w:t>
      </w:r>
      <w:r>
        <w:rPr>
          <w:rFonts w:ascii="Times New Roman" w:eastAsia="Calibri" w:hAnsi="Times New Roman"/>
          <w:szCs w:val="24"/>
        </w:rPr>
        <w:t>gada prognoze ir pazemināta no 3,0% (</w:t>
      </w:r>
      <w:r w:rsidR="007067C3" w:rsidRPr="00FD6B0D">
        <w:rPr>
          <w:rFonts w:ascii="Times New Roman" w:eastAsia="Calibri" w:hAnsi="Times New Roman"/>
          <w:szCs w:val="24"/>
        </w:rPr>
        <w:t>Stabil</w:t>
      </w:r>
      <w:r w:rsidR="007067C3">
        <w:rPr>
          <w:rFonts w:ascii="Times New Roman" w:eastAsia="Calibri" w:hAnsi="Times New Roman"/>
          <w:szCs w:val="24"/>
        </w:rPr>
        <w:t>itātes programma</w:t>
      </w:r>
      <w:r>
        <w:rPr>
          <w:rFonts w:ascii="Times New Roman" w:eastAsia="Calibri" w:hAnsi="Times New Roman"/>
          <w:szCs w:val="24"/>
        </w:rPr>
        <w:t xml:space="preserve"> 2018.</w:t>
      </w:r>
      <w:r w:rsidR="007067C3">
        <w:rPr>
          <w:rFonts w:ascii="Times New Roman" w:eastAsia="Calibri" w:hAnsi="Times New Roman"/>
          <w:szCs w:val="24"/>
        </w:rPr>
        <w:t>–2021.</w:t>
      </w:r>
      <w:r>
        <w:rPr>
          <w:rFonts w:ascii="Times New Roman" w:eastAsia="Calibri" w:hAnsi="Times New Roman"/>
          <w:szCs w:val="24"/>
        </w:rPr>
        <w:t xml:space="preserve">gadam un </w:t>
      </w:r>
      <w:r w:rsidR="007067C3" w:rsidRPr="00FD6B0D">
        <w:rPr>
          <w:rFonts w:ascii="Times New Roman" w:eastAsia="Calibri" w:hAnsi="Times New Roman"/>
          <w:szCs w:val="24"/>
        </w:rPr>
        <w:t>Stabil</w:t>
      </w:r>
      <w:r w:rsidR="007067C3">
        <w:rPr>
          <w:rFonts w:ascii="Times New Roman" w:eastAsia="Calibri" w:hAnsi="Times New Roman"/>
          <w:szCs w:val="24"/>
        </w:rPr>
        <w:t>itātes programma</w:t>
      </w:r>
      <w:r>
        <w:rPr>
          <w:rFonts w:ascii="Times New Roman" w:eastAsia="Calibri" w:hAnsi="Times New Roman"/>
          <w:szCs w:val="24"/>
        </w:rPr>
        <w:t xml:space="preserve"> 2019.</w:t>
      </w:r>
      <w:r w:rsidR="007067C3">
        <w:rPr>
          <w:rFonts w:ascii="Times New Roman" w:eastAsia="Calibri" w:hAnsi="Times New Roman"/>
          <w:szCs w:val="24"/>
        </w:rPr>
        <w:t>–2022.</w:t>
      </w:r>
      <w:r>
        <w:rPr>
          <w:rFonts w:ascii="Times New Roman" w:eastAsia="Calibri" w:hAnsi="Times New Roman"/>
          <w:szCs w:val="24"/>
        </w:rPr>
        <w:t>gadam bāzes scenārijs) līdz -7%, un tālākajos gados ir paredzēta pakāpenis</w:t>
      </w:r>
      <w:r w:rsidR="007067C3">
        <w:rPr>
          <w:rFonts w:ascii="Times New Roman" w:eastAsia="Calibri" w:hAnsi="Times New Roman"/>
          <w:szCs w:val="24"/>
        </w:rPr>
        <w:t>ka atkopšanās, kas sāktos 2020.</w:t>
      </w:r>
      <w:r>
        <w:rPr>
          <w:rFonts w:ascii="Times New Roman" w:eastAsia="Calibri" w:hAnsi="Times New Roman"/>
          <w:szCs w:val="24"/>
        </w:rPr>
        <w:t>gada otrajā pusgadā. Scenārijs izstrādāts ļoti augstas nenoteiktības apstākļos, kad nav iespējams paredzēt ieviesto pasākumu ilgumu.</w:t>
      </w:r>
    </w:p>
    <w:p w14:paraId="57FBA2E9" w14:textId="77777777" w:rsidR="009B6DBA" w:rsidRPr="002149A7" w:rsidRDefault="009B6DBA" w:rsidP="009B6DBA">
      <w:pPr>
        <w:pStyle w:val="teksts"/>
        <w:spacing w:after="0"/>
        <w:ind w:firstLine="720"/>
        <w:rPr>
          <w:rFonts w:ascii="Times New Roman" w:eastAsia="Calibri" w:hAnsi="Times New Roman"/>
          <w:szCs w:val="24"/>
        </w:rPr>
      </w:pPr>
      <w:r w:rsidRPr="002149A7">
        <w:rPr>
          <w:rFonts w:ascii="Times New Roman" w:eastAsia="Calibri" w:hAnsi="Times New Roman"/>
          <w:szCs w:val="24"/>
        </w:rPr>
        <w:t>Vispārējās valdības parāda prognoze ir ievērojami palielināta 2020.–2022.gadā, salīdzinot ar 2019</w:t>
      </w:r>
      <w:r>
        <w:rPr>
          <w:rFonts w:ascii="Times New Roman" w:eastAsia="Calibri" w:hAnsi="Times New Roman"/>
          <w:szCs w:val="24"/>
        </w:rPr>
        <w:t>.–</w:t>
      </w:r>
      <w:r w:rsidRPr="002149A7">
        <w:rPr>
          <w:rFonts w:ascii="Times New Roman" w:eastAsia="Calibri" w:hAnsi="Times New Roman"/>
          <w:szCs w:val="24"/>
        </w:rPr>
        <w:t>2022.gada Stabilitātes programmas prognozēm (sk</w:t>
      </w:r>
      <w:r>
        <w:rPr>
          <w:rFonts w:ascii="Times New Roman" w:eastAsia="Calibri" w:hAnsi="Times New Roman"/>
          <w:szCs w:val="24"/>
        </w:rPr>
        <w:t>at</w:t>
      </w:r>
      <w:r w:rsidRPr="002149A7">
        <w:rPr>
          <w:rFonts w:ascii="Times New Roman" w:eastAsia="Calibri" w:hAnsi="Times New Roman"/>
          <w:szCs w:val="24"/>
        </w:rPr>
        <w:t>.</w:t>
      </w:r>
      <w:r>
        <w:rPr>
          <w:rFonts w:ascii="Times New Roman" w:eastAsia="Calibri" w:hAnsi="Times New Roman"/>
          <w:szCs w:val="24"/>
        </w:rPr>
        <w:t xml:space="preserve"> 3.7</w:t>
      </w:r>
      <w:r w:rsidRPr="002149A7">
        <w:rPr>
          <w:rFonts w:ascii="Times New Roman" w:eastAsia="Calibri" w:hAnsi="Times New Roman"/>
          <w:szCs w:val="24"/>
        </w:rPr>
        <w:t xml:space="preserve">.tabulu). Izmaiņas noteica ievērojams aizņemšanās apjomu pieaugums, ko izraisīja Covid-19 uzliesmojuma seku mazināšanai un ekonomikas atbalstam veicamo un plānoto pasākumu finansēšanas nepieciešamība, kā arī Covid-19 ietekmes makroekonomiskais scenārijs, kurš paredz ievērojamu IKP kritumu 2020.gadā un pakāpenisku atkopšanos vidējā termiņā. </w:t>
      </w:r>
    </w:p>
    <w:p w14:paraId="267051DA" w14:textId="53DB4FC1" w:rsidR="007F6EE6" w:rsidRDefault="007F6EE6" w:rsidP="007067C3">
      <w:pPr>
        <w:pStyle w:val="teksts"/>
        <w:spacing w:after="0"/>
        <w:ind w:firstLine="720"/>
        <w:rPr>
          <w:rFonts w:ascii="Times New Roman" w:eastAsia="Calibri" w:hAnsi="Times New Roman"/>
          <w:szCs w:val="24"/>
        </w:rPr>
      </w:pPr>
    </w:p>
    <w:p w14:paraId="1F8F7369" w14:textId="0AB40FC5" w:rsidR="009B6DBA" w:rsidRDefault="009B6DBA" w:rsidP="007067C3">
      <w:pPr>
        <w:pStyle w:val="teksts"/>
        <w:spacing w:after="0"/>
        <w:ind w:firstLine="720"/>
        <w:rPr>
          <w:rFonts w:ascii="Times New Roman" w:eastAsia="Calibri" w:hAnsi="Times New Roman"/>
          <w:szCs w:val="24"/>
        </w:rPr>
      </w:pPr>
    </w:p>
    <w:p w14:paraId="38CDB8DB" w14:textId="77777777" w:rsidR="009B6DBA" w:rsidRPr="00A07882" w:rsidRDefault="009B6DBA" w:rsidP="007067C3">
      <w:pPr>
        <w:pStyle w:val="teksts"/>
        <w:spacing w:after="0"/>
        <w:ind w:firstLine="720"/>
        <w:rPr>
          <w:rFonts w:ascii="Times New Roman" w:eastAsia="Calibri" w:hAnsi="Times New Roman"/>
          <w:szCs w:val="24"/>
        </w:rPr>
      </w:pPr>
    </w:p>
    <w:p w14:paraId="21B7164E" w14:textId="01B54310" w:rsidR="002A4F3D" w:rsidRPr="00DC70E8" w:rsidRDefault="002A4F3D" w:rsidP="002A4F3D">
      <w:pPr>
        <w:pStyle w:val="T"/>
        <w:ind w:left="0"/>
        <w:jc w:val="right"/>
        <w:rPr>
          <w:rFonts w:ascii="Times New Roman" w:hAnsi="Times New Roman"/>
        </w:rPr>
      </w:pPr>
      <w:r>
        <w:rPr>
          <w:rFonts w:ascii="Times New Roman" w:hAnsi="Times New Roman"/>
        </w:rPr>
        <w:t>3.</w:t>
      </w:r>
      <w:r w:rsidR="007F6EE6">
        <w:rPr>
          <w:rFonts w:ascii="Times New Roman" w:hAnsi="Times New Roman"/>
        </w:rPr>
        <w:t>7</w:t>
      </w:r>
      <w:r w:rsidRPr="0056485D">
        <w:rPr>
          <w:rFonts w:ascii="Times New Roman" w:hAnsi="Times New Roman"/>
        </w:rPr>
        <w:t xml:space="preserve">.tabula. Salīdzinājums </w:t>
      </w:r>
      <w:r>
        <w:rPr>
          <w:rFonts w:ascii="Times New Roman" w:hAnsi="Times New Roman"/>
        </w:rPr>
        <w:t>ar 2019. – 2022.</w:t>
      </w:r>
      <w:r w:rsidRPr="00DC70E8">
        <w:rPr>
          <w:rFonts w:ascii="Times New Roman" w:hAnsi="Times New Roman"/>
        </w:rPr>
        <w:t>gada Stabilitātes programmas prognozēm</w:t>
      </w:r>
    </w:p>
    <w:tbl>
      <w:tblPr>
        <w:tblW w:w="8065"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119"/>
        <w:gridCol w:w="694"/>
        <w:gridCol w:w="850"/>
        <w:gridCol w:w="851"/>
        <w:gridCol w:w="850"/>
        <w:gridCol w:w="851"/>
        <w:gridCol w:w="850"/>
      </w:tblGrid>
      <w:tr w:rsidR="002A4F3D" w:rsidRPr="006C3F86" w14:paraId="68BBDE8C" w14:textId="77777777" w:rsidTr="007067C3">
        <w:trPr>
          <w:jc w:val="center"/>
        </w:trPr>
        <w:tc>
          <w:tcPr>
            <w:tcW w:w="3119" w:type="dxa"/>
            <w:shd w:val="clear" w:color="auto" w:fill="BDD6EE" w:themeFill="accent1" w:themeFillTint="66"/>
          </w:tcPr>
          <w:p w14:paraId="07DF6E67" w14:textId="77777777" w:rsidR="002A4F3D" w:rsidRPr="006C3F86" w:rsidRDefault="002A4F3D" w:rsidP="00284BE8">
            <w:pPr>
              <w:spacing w:after="0" w:line="240" w:lineRule="auto"/>
              <w:rPr>
                <w:rFonts w:ascii="Times New Roman" w:hAnsi="Times New Roman"/>
                <w:b/>
                <w:bCs/>
                <w:sz w:val="20"/>
                <w:szCs w:val="20"/>
              </w:rPr>
            </w:pPr>
          </w:p>
        </w:tc>
        <w:tc>
          <w:tcPr>
            <w:tcW w:w="694" w:type="dxa"/>
            <w:shd w:val="clear" w:color="auto" w:fill="BDD6EE" w:themeFill="accent1" w:themeFillTint="66"/>
            <w:vAlign w:val="center"/>
          </w:tcPr>
          <w:p w14:paraId="219B2483" w14:textId="77777777" w:rsidR="002A4F3D" w:rsidRPr="006C3F86" w:rsidRDefault="002A4F3D" w:rsidP="00284BE8">
            <w:pPr>
              <w:spacing w:after="0" w:line="240" w:lineRule="auto"/>
              <w:jc w:val="center"/>
              <w:rPr>
                <w:rFonts w:ascii="Times New Roman" w:hAnsi="Times New Roman"/>
                <w:b/>
                <w:bCs/>
                <w:sz w:val="20"/>
                <w:szCs w:val="20"/>
              </w:rPr>
            </w:pPr>
            <w:r w:rsidRPr="00A07882">
              <w:rPr>
                <w:rFonts w:ascii="Times New Roman" w:hAnsi="Times New Roman"/>
                <w:b/>
                <w:bCs/>
                <w:sz w:val="20"/>
                <w:szCs w:val="20"/>
              </w:rPr>
              <w:t>EKS kods</w:t>
            </w:r>
          </w:p>
        </w:tc>
        <w:tc>
          <w:tcPr>
            <w:tcW w:w="850" w:type="dxa"/>
            <w:shd w:val="clear" w:color="auto" w:fill="BDD6EE" w:themeFill="accent1" w:themeFillTint="66"/>
            <w:vAlign w:val="center"/>
          </w:tcPr>
          <w:p w14:paraId="57D466D1" w14:textId="77777777" w:rsidR="002A4F3D" w:rsidRPr="006C3F86" w:rsidRDefault="002A4F3D" w:rsidP="00284BE8">
            <w:pPr>
              <w:spacing w:after="0" w:line="240" w:lineRule="auto"/>
              <w:jc w:val="center"/>
              <w:rPr>
                <w:rFonts w:ascii="Times New Roman" w:hAnsi="Times New Roman"/>
                <w:b/>
                <w:bCs/>
                <w:sz w:val="20"/>
                <w:szCs w:val="20"/>
              </w:rPr>
            </w:pPr>
            <w:r w:rsidRPr="00A07882">
              <w:rPr>
                <w:rFonts w:ascii="Times New Roman" w:hAnsi="Times New Roman"/>
                <w:b/>
                <w:bCs/>
                <w:sz w:val="20"/>
                <w:szCs w:val="20"/>
              </w:rPr>
              <w:t>201</w:t>
            </w:r>
            <w:r>
              <w:rPr>
                <w:rFonts w:ascii="Times New Roman" w:hAnsi="Times New Roman"/>
                <w:b/>
                <w:bCs/>
                <w:sz w:val="20"/>
                <w:szCs w:val="20"/>
              </w:rPr>
              <w:t>9</w:t>
            </w:r>
          </w:p>
        </w:tc>
        <w:tc>
          <w:tcPr>
            <w:tcW w:w="851" w:type="dxa"/>
            <w:shd w:val="clear" w:color="auto" w:fill="BDD6EE" w:themeFill="accent1" w:themeFillTint="66"/>
            <w:vAlign w:val="center"/>
          </w:tcPr>
          <w:p w14:paraId="0A7946BB" w14:textId="77777777" w:rsidR="002A4F3D" w:rsidRPr="006C3F86" w:rsidRDefault="002A4F3D" w:rsidP="00284BE8">
            <w:pPr>
              <w:spacing w:after="0" w:line="240" w:lineRule="auto"/>
              <w:jc w:val="center"/>
              <w:rPr>
                <w:rFonts w:ascii="Times New Roman" w:hAnsi="Times New Roman"/>
                <w:b/>
                <w:bCs/>
                <w:sz w:val="20"/>
                <w:szCs w:val="20"/>
              </w:rPr>
            </w:pPr>
            <w:r>
              <w:rPr>
                <w:rFonts w:ascii="Times New Roman" w:hAnsi="Times New Roman"/>
                <w:b/>
                <w:bCs/>
                <w:sz w:val="20"/>
                <w:szCs w:val="20"/>
              </w:rPr>
              <w:t>2020</w:t>
            </w:r>
          </w:p>
        </w:tc>
        <w:tc>
          <w:tcPr>
            <w:tcW w:w="850" w:type="dxa"/>
            <w:shd w:val="clear" w:color="auto" w:fill="BDD6EE" w:themeFill="accent1" w:themeFillTint="66"/>
            <w:vAlign w:val="center"/>
          </w:tcPr>
          <w:p w14:paraId="699B2F80" w14:textId="77777777" w:rsidR="002A4F3D" w:rsidRPr="006C3F86" w:rsidRDefault="002A4F3D" w:rsidP="00284BE8">
            <w:pPr>
              <w:spacing w:after="0" w:line="240" w:lineRule="auto"/>
              <w:jc w:val="center"/>
              <w:rPr>
                <w:rFonts w:ascii="Times New Roman" w:hAnsi="Times New Roman"/>
                <w:b/>
                <w:bCs/>
                <w:sz w:val="20"/>
                <w:szCs w:val="20"/>
              </w:rPr>
            </w:pPr>
            <w:r>
              <w:rPr>
                <w:rFonts w:ascii="Times New Roman" w:hAnsi="Times New Roman"/>
                <w:b/>
                <w:bCs/>
                <w:sz w:val="20"/>
                <w:szCs w:val="20"/>
              </w:rPr>
              <w:t>2021</w:t>
            </w:r>
          </w:p>
        </w:tc>
        <w:tc>
          <w:tcPr>
            <w:tcW w:w="851" w:type="dxa"/>
            <w:shd w:val="clear" w:color="auto" w:fill="BDD6EE" w:themeFill="accent1" w:themeFillTint="66"/>
            <w:vAlign w:val="center"/>
          </w:tcPr>
          <w:p w14:paraId="017A2ADA" w14:textId="77777777" w:rsidR="002A4F3D" w:rsidRPr="006C3F86" w:rsidRDefault="002A4F3D" w:rsidP="00284BE8">
            <w:pPr>
              <w:spacing w:after="0" w:line="240" w:lineRule="auto"/>
              <w:jc w:val="center"/>
              <w:rPr>
                <w:rFonts w:ascii="Times New Roman" w:hAnsi="Times New Roman"/>
                <w:b/>
                <w:bCs/>
                <w:sz w:val="20"/>
                <w:szCs w:val="20"/>
              </w:rPr>
            </w:pPr>
            <w:r>
              <w:rPr>
                <w:rFonts w:ascii="Times New Roman" w:hAnsi="Times New Roman"/>
                <w:b/>
                <w:bCs/>
                <w:sz w:val="20"/>
                <w:szCs w:val="20"/>
              </w:rPr>
              <w:t>2022</w:t>
            </w:r>
          </w:p>
        </w:tc>
        <w:tc>
          <w:tcPr>
            <w:tcW w:w="850" w:type="dxa"/>
            <w:shd w:val="clear" w:color="auto" w:fill="BDD6EE" w:themeFill="accent1" w:themeFillTint="66"/>
            <w:vAlign w:val="center"/>
          </w:tcPr>
          <w:p w14:paraId="46CAAF82" w14:textId="77777777" w:rsidR="002A4F3D" w:rsidRPr="006C3F86" w:rsidRDefault="002A4F3D" w:rsidP="00284BE8">
            <w:pPr>
              <w:spacing w:after="0" w:line="240" w:lineRule="auto"/>
              <w:jc w:val="center"/>
              <w:rPr>
                <w:rFonts w:ascii="Times New Roman" w:hAnsi="Times New Roman"/>
                <w:b/>
                <w:bCs/>
                <w:sz w:val="20"/>
                <w:szCs w:val="20"/>
              </w:rPr>
            </w:pPr>
            <w:r>
              <w:rPr>
                <w:rFonts w:ascii="Times New Roman" w:hAnsi="Times New Roman"/>
                <w:b/>
                <w:bCs/>
                <w:sz w:val="20"/>
                <w:szCs w:val="20"/>
              </w:rPr>
              <w:t>2023</w:t>
            </w:r>
          </w:p>
        </w:tc>
      </w:tr>
      <w:tr w:rsidR="002A4F3D" w:rsidRPr="006C3F86" w14:paraId="5B376806" w14:textId="77777777" w:rsidTr="00284BE8">
        <w:trPr>
          <w:jc w:val="center"/>
        </w:trPr>
        <w:tc>
          <w:tcPr>
            <w:tcW w:w="3119" w:type="dxa"/>
            <w:shd w:val="clear" w:color="auto" w:fill="auto"/>
          </w:tcPr>
          <w:p w14:paraId="0A55A1BD" w14:textId="77777777" w:rsidR="002A4F3D" w:rsidRPr="006C3F86" w:rsidRDefault="002A4F3D" w:rsidP="00284BE8">
            <w:pPr>
              <w:spacing w:after="0" w:line="240" w:lineRule="auto"/>
              <w:rPr>
                <w:rFonts w:ascii="Times New Roman" w:hAnsi="Times New Roman"/>
                <w:b/>
                <w:bCs/>
                <w:snapToGrid w:val="0"/>
                <w:sz w:val="20"/>
                <w:szCs w:val="20"/>
              </w:rPr>
            </w:pPr>
            <w:r w:rsidRPr="00A07882">
              <w:rPr>
                <w:rFonts w:ascii="Times New Roman" w:hAnsi="Times New Roman"/>
                <w:bCs/>
                <w:sz w:val="20"/>
                <w:szCs w:val="20"/>
              </w:rPr>
              <w:t>IKP pieaugums (%)</w:t>
            </w:r>
          </w:p>
        </w:tc>
        <w:tc>
          <w:tcPr>
            <w:tcW w:w="694" w:type="dxa"/>
            <w:shd w:val="clear" w:color="auto" w:fill="auto"/>
            <w:vAlign w:val="center"/>
          </w:tcPr>
          <w:p w14:paraId="122A9353" w14:textId="77777777" w:rsidR="002A4F3D" w:rsidRPr="006C3F86" w:rsidRDefault="002A4F3D" w:rsidP="00284BE8">
            <w:pPr>
              <w:spacing w:after="0" w:line="240" w:lineRule="auto"/>
              <w:jc w:val="center"/>
              <w:rPr>
                <w:rFonts w:ascii="Times New Roman" w:hAnsi="Times New Roman"/>
                <w:sz w:val="20"/>
                <w:szCs w:val="20"/>
              </w:rPr>
            </w:pPr>
            <w:r w:rsidRPr="00A07882">
              <w:rPr>
                <w:rFonts w:ascii="Times New Roman" w:hAnsi="Times New Roman"/>
                <w:sz w:val="20"/>
                <w:szCs w:val="20"/>
              </w:rPr>
              <w:t>B1g</w:t>
            </w:r>
          </w:p>
        </w:tc>
        <w:tc>
          <w:tcPr>
            <w:tcW w:w="850" w:type="dxa"/>
            <w:shd w:val="clear" w:color="auto" w:fill="auto"/>
            <w:vAlign w:val="center"/>
          </w:tcPr>
          <w:p w14:paraId="06628B75" w14:textId="77777777" w:rsidR="002A4F3D" w:rsidRPr="006C3F86" w:rsidRDefault="002A4F3D" w:rsidP="00284BE8">
            <w:pPr>
              <w:spacing w:after="0" w:line="240" w:lineRule="auto"/>
              <w:rPr>
                <w:rFonts w:ascii="Times New Roman" w:hAnsi="Times New Roman"/>
                <w:sz w:val="20"/>
                <w:szCs w:val="20"/>
              </w:rPr>
            </w:pPr>
          </w:p>
        </w:tc>
        <w:tc>
          <w:tcPr>
            <w:tcW w:w="851" w:type="dxa"/>
            <w:shd w:val="clear" w:color="auto" w:fill="auto"/>
            <w:vAlign w:val="center"/>
          </w:tcPr>
          <w:p w14:paraId="0D8CB2BE" w14:textId="77777777" w:rsidR="002A4F3D" w:rsidRPr="006C3F86" w:rsidRDefault="002A4F3D" w:rsidP="00284BE8">
            <w:pPr>
              <w:spacing w:after="0" w:line="240" w:lineRule="auto"/>
              <w:rPr>
                <w:rFonts w:ascii="Times New Roman" w:hAnsi="Times New Roman"/>
                <w:sz w:val="20"/>
                <w:szCs w:val="20"/>
              </w:rPr>
            </w:pPr>
          </w:p>
        </w:tc>
        <w:tc>
          <w:tcPr>
            <w:tcW w:w="850" w:type="dxa"/>
            <w:shd w:val="clear" w:color="auto" w:fill="auto"/>
            <w:vAlign w:val="center"/>
          </w:tcPr>
          <w:p w14:paraId="69B1CF14" w14:textId="77777777" w:rsidR="002A4F3D" w:rsidRPr="006C3F86" w:rsidRDefault="002A4F3D" w:rsidP="00284BE8">
            <w:pPr>
              <w:spacing w:after="0" w:line="240" w:lineRule="auto"/>
              <w:rPr>
                <w:rFonts w:ascii="Times New Roman" w:eastAsia="Arial Unicode MS" w:hAnsi="Times New Roman"/>
                <w:sz w:val="20"/>
                <w:szCs w:val="20"/>
              </w:rPr>
            </w:pPr>
          </w:p>
        </w:tc>
        <w:tc>
          <w:tcPr>
            <w:tcW w:w="851" w:type="dxa"/>
            <w:shd w:val="clear" w:color="auto" w:fill="auto"/>
            <w:vAlign w:val="center"/>
          </w:tcPr>
          <w:p w14:paraId="65622AF9" w14:textId="77777777" w:rsidR="002A4F3D" w:rsidRPr="006C3F86" w:rsidRDefault="002A4F3D" w:rsidP="00284BE8">
            <w:pPr>
              <w:spacing w:after="0" w:line="240" w:lineRule="auto"/>
              <w:rPr>
                <w:rFonts w:ascii="Times New Roman" w:hAnsi="Times New Roman"/>
                <w:sz w:val="20"/>
                <w:szCs w:val="20"/>
              </w:rPr>
            </w:pPr>
          </w:p>
        </w:tc>
        <w:tc>
          <w:tcPr>
            <w:tcW w:w="850" w:type="dxa"/>
            <w:shd w:val="clear" w:color="auto" w:fill="auto"/>
            <w:vAlign w:val="center"/>
          </w:tcPr>
          <w:p w14:paraId="02178434" w14:textId="77777777" w:rsidR="002A4F3D" w:rsidRPr="006C3F86" w:rsidRDefault="002A4F3D" w:rsidP="00284BE8">
            <w:pPr>
              <w:spacing w:after="0" w:line="240" w:lineRule="auto"/>
              <w:rPr>
                <w:rFonts w:ascii="Times New Roman" w:hAnsi="Times New Roman"/>
                <w:sz w:val="20"/>
                <w:szCs w:val="20"/>
              </w:rPr>
            </w:pPr>
          </w:p>
        </w:tc>
      </w:tr>
      <w:tr w:rsidR="002A4F3D" w:rsidRPr="006C3F86" w14:paraId="41B216AC" w14:textId="77777777" w:rsidTr="007067C3">
        <w:trPr>
          <w:jc w:val="center"/>
        </w:trPr>
        <w:tc>
          <w:tcPr>
            <w:tcW w:w="3119" w:type="dxa"/>
            <w:shd w:val="clear" w:color="auto" w:fill="DEEAF6" w:themeFill="accent1" w:themeFillTint="33"/>
          </w:tcPr>
          <w:p w14:paraId="779EA3AB" w14:textId="77777777" w:rsidR="002A4F3D" w:rsidRPr="006C3F86" w:rsidRDefault="002A4F3D" w:rsidP="00284BE8">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themeFill="accent1" w:themeFillTint="33"/>
            <w:vAlign w:val="center"/>
          </w:tcPr>
          <w:p w14:paraId="1BF9C0C6"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DEEAF6" w:themeFill="accent1" w:themeFillTint="33"/>
            <w:vAlign w:val="center"/>
          </w:tcPr>
          <w:p w14:paraId="576523E6"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3,2</w:t>
            </w:r>
          </w:p>
        </w:tc>
        <w:tc>
          <w:tcPr>
            <w:tcW w:w="851" w:type="dxa"/>
            <w:shd w:val="clear" w:color="auto" w:fill="DEEAF6" w:themeFill="accent1" w:themeFillTint="33"/>
            <w:vAlign w:val="center"/>
          </w:tcPr>
          <w:p w14:paraId="5E1F22B1"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3,0</w:t>
            </w:r>
          </w:p>
        </w:tc>
        <w:tc>
          <w:tcPr>
            <w:tcW w:w="850" w:type="dxa"/>
            <w:shd w:val="clear" w:color="auto" w:fill="DEEAF6" w:themeFill="accent1" w:themeFillTint="33"/>
            <w:vAlign w:val="center"/>
          </w:tcPr>
          <w:p w14:paraId="6B82CEF8"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2,9</w:t>
            </w:r>
          </w:p>
        </w:tc>
        <w:tc>
          <w:tcPr>
            <w:tcW w:w="851" w:type="dxa"/>
            <w:shd w:val="clear" w:color="auto" w:fill="DEEAF6" w:themeFill="accent1" w:themeFillTint="33"/>
            <w:vAlign w:val="center"/>
          </w:tcPr>
          <w:p w14:paraId="144AE4CD"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2,9</w:t>
            </w:r>
          </w:p>
        </w:tc>
        <w:tc>
          <w:tcPr>
            <w:tcW w:w="850" w:type="dxa"/>
            <w:shd w:val="clear" w:color="auto" w:fill="DEEAF6" w:themeFill="accent1" w:themeFillTint="33"/>
            <w:vAlign w:val="center"/>
          </w:tcPr>
          <w:p w14:paraId="183844BF" w14:textId="77777777" w:rsidR="002A4F3D" w:rsidRPr="006C3F86" w:rsidRDefault="002A4F3D" w:rsidP="00284BE8">
            <w:pPr>
              <w:spacing w:after="0" w:line="240" w:lineRule="auto"/>
              <w:jc w:val="right"/>
              <w:rPr>
                <w:rFonts w:ascii="Times New Roman" w:eastAsia="Calibri" w:hAnsi="Times New Roman"/>
                <w:sz w:val="20"/>
                <w:szCs w:val="20"/>
              </w:rPr>
            </w:pPr>
            <w:r w:rsidRPr="00A07882">
              <w:rPr>
                <w:rFonts w:ascii="Times New Roman" w:eastAsia="Calibri" w:hAnsi="Times New Roman"/>
                <w:sz w:val="20"/>
                <w:szCs w:val="20"/>
              </w:rPr>
              <w:t>-</w:t>
            </w:r>
          </w:p>
        </w:tc>
      </w:tr>
      <w:tr w:rsidR="002A4F3D" w:rsidRPr="006C3F86" w14:paraId="35CA9529" w14:textId="77777777" w:rsidTr="00284BE8">
        <w:trPr>
          <w:jc w:val="center"/>
        </w:trPr>
        <w:tc>
          <w:tcPr>
            <w:tcW w:w="3119" w:type="dxa"/>
            <w:shd w:val="clear" w:color="auto" w:fill="auto"/>
          </w:tcPr>
          <w:p w14:paraId="681CA2AB" w14:textId="77777777" w:rsidR="002A4F3D" w:rsidRPr="006C3F86" w:rsidRDefault="002A4F3D" w:rsidP="00284BE8">
            <w:pPr>
              <w:spacing w:after="0" w:line="240" w:lineRule="auto"/>
              <w:jc w:val="right"/>
              <w:rPr>
                <w:rFonts w:ascii="Times New Roman" w:hAnsi="Times New Roman"/>
                <w:bCs/>
                <w:sz w:val="20"/>
                <w:szCs w:val="20"/>
              </w:rPr>
            </w:pPr>
            <w:r>
              <w:rPr>
                <w:rFonts w:ascii="Times New Roman" w:hAnsi="Times New Roman"/>
                <w:bCs/>
                <w:sz w:val="20"/>
                <w:szCs w:val="20"/>
              </w:rPr>
              <w:t>2020.</w:t>
            </w:r>
            <w:r w:rsidRPr="00A07882">
              <w:rPr>
                <w:rFonts w:ascii="Times New Roman" w:hAnsi="Times New Roman"/>
                <w:bCs/>
                <w:sz w:val="20"/>
                <w:szCs w:val="20"/>
              </w:rPr>
              <w:t>gads</w:t>
            </w:r>
            <w:r>
              <w:rPr>
                <w:rFonts w:ascii="Times New Roman" w:hAnsi="Times New Roman"/>
                <w:bCs/>
                <w:sz w:val="20"/>
                <w:szCs w:val="20"/>
              </w:rPr>
              <w:t xml:space="preserve"> (Covid-19 scenārijs)</w:t>
            </w:r>
          </w:p>
        </w:tc>
        <w:tc>
          <w:tcPr>
            <w:tcW w:w="694" w:type="dxa"/>
            <w:shd w:val="clear" w:color="auto" w:fill="auto"/>
            <w:vAlign w:val="center"/>
          </w:tcPr>
          <w:p w14:paraId="2D996053"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auto"/>
            <w:vAlign w:val="center"/>
          </w:tcPr>
          <w:p w14:paraId="701120B3"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2,2</w:t>
            </w:r>
          </w:p>
        </w:tc>
        <w:tc>
          <w:tcPr>
            <w:tcW w:w="851" w:type="dxa"/>
            <w:shd w:val="clear" w:color="auto" w:fill="auto"/>
            <w:vAlign w:val="center"/>
          </w:tcPr>
          <w:p w14:paraId="5C2056FB"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-7,0</w:t>
            </w:r>
          </w:p>
        </w:tc>
        <w:tc>
          <w:tcPr>
            <w:tcW w:w="850" w:type="dxa"/>
            <w:shd w:val="clear" w:color="auto" w:fill="auto"/>
            <w:vAlign w:val="center"/>
          </w:tcPr>
          <w:p w14:paraId="5FB5C102"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1,0</w:t>
            </w:r>
          </w:p>
        </w:tc>
        <w:tc>
          <w:tcPr>
            <w:tcW w:w="851" w:type="dxa"/>
            <w:shd w:val="clear" w:color="auto" w:fill="auto"/>
            <w:vAlign w:val="center"/>
          </w:tcPr>
          <w:p w14:paraId="5ABA6428"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3,5</w:t>
            </w:r>
          </w:p>
        </w:tc>
        <w:tc>
          <w:tcPr>
            <w:tcW w:w="850" w:type="dxa"/>
            <w:shd w:val="clear" w:color="auto" w:fill="auto"/>
            <w:vAlign w:val="center"/>
          </w:tcPr>
          <w:p w14:paraId="3BA14B17"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2,4</w:t>
            </w:r>
          </w:p>
        </w:tc>
      </w:tr>
      <w:tr w:rsidR="002A4F3D" w:rsidRPr="006C3F86" w14:paraId="4283E1FB" w14:textId="77777777" w:rsidTr="007067C3">
        <w:trPr>
          <w:jc w:val="center"/>
        </w:trPr>
        <w:tc>
          <w:tcPr>
            <w:tcW w:w="3119" w:type="dxa"/>
            <w:shd w:val="clear" w:color="auto" w:fill="DEEAF6" w:themeFill="accent1" w:themeFillTint="33"/>
          </w:tcPr>
          <w:p w14:paraId="37C91DA3" w14:textId="77777777" w:rsidR="002A4F3D" w:rsidRPr="006C3F86" w:rsidRDefault="002A4F3D" w:rsidP="00284BE8">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DEEAF6" w:themeFill="accent1" w:themeFillTint="33"/>
            <w:vAlign w:val="center"/>
          </w:tcPr>
          <w:p w14:paraId="3982C497"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DEEAF6" w:themeFill="accent1" w:themeFillTint="33"/>
            <w:vAlign w:val="bottom"/>
          </w:tcPr>
          <w:p w14:paraId="68BCAE8B"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r w:rsidRPr="00C3705C">
              <w:rPr>
                <w:rFonts w:ascii="Times New Roman" w:eastAsia="Calibri" w:hAnsi="Times New Roman"/>
                <w:sz w:val="20"/>
                <w:szCs w:val="20"/>
              </w:rPr>
              <w:t>1,0</w:t>
            </w:r>
          </w:p>
        </w:tc>
        <w:tc>
          <w:tcPr>
            <w:tcW w:w="851" w:type="dxa"/>
            <w:shd w:val="clear" w:color="auto" w:fill="DEEAF6" w:themeFill="accent1" w:themeFillTint="33"/>
            <w:vAlign w:val="bottom"/>
          </w:tcPr>
          <w:p w14:paraId="2980F499"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r w:rsidRPr="00C3705C">
              <w:rPr>
                <w:rFonts w:ascii="Times New Roman" w:eastAsia="Calibri" w:hAnsi="Times New Roman"/>
                <w:sz w:val="20"/>
                <w:szCs w:val="20"/>
              </w:rPr>
              <w:t>10,0</w:t>
            </w:r>
          </w:p>
        </w:tc>
        <w:tc>
          <w:tcPr>
            <w:tcW w:w="850" w:type="dxa"/>
            <w:shd w:val="clear" w:color="auto" w:fill="DEEAF6" w:themeFill="accent1" w:themeFillTint="33"/>
            <w:vAlign w:val="bottom"/>
          </w:tcPr>
          <w:p w14:paraId="53344CD9"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r w:rsidRPr="00C3705C">
              <w:rPr>
                <w:rFonts w:ascii="Times New Roman" w:eastAsia="Calibri" w:hAnsi="Times New Roman"/>
                <w:sz w:val="20"/>
                <w:szCs w:val="20"/>
              </w:rPr>
              <w:t>1,9</w:t>
            </w:r>
          </w:p>
        </w:tc>
        <w:tc>
          <w:tcPr>
            <w:tcW w:w="851" w:type="dxa"/>
            <w:shd w:val="clear" w:color="auto" w:fill="DEEAF6" w:themeFill="accent1" w:themeFillTint="33"/>
            <w:vAlign w:val="bottom"/>
          </w:tcPr>
          <w:p w14:paraId="187514AD"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r w:rsidRPr="00C3705C">
              <w:rPr>
                <w:rFonts w:ascii="Times New Roman" w:eastAsia="Calibri" w:hAnsi="Times New Roman"/>
                <w:sz w:val="20"/>
                <w:szCs w:val="20"/>
              </w:rPr>
              <w:t>0,6</w:t>
            </w:r>
          </w:p>
        </w:tc>
        <w:tc>
          <w:tcPr>
            <w:tcW w:w="850" w:type="dxa"/>
            <w:shd w:val="clear" w:color="auto" w:fill="DEEAF6" w:themeFill="accent1" w:themeFillTint="33"/>
            <w:vAlign w:val="bottom"/>
          </w:tcPr>
          <w:p w14:paraId="5EA6DD47" w14:textId="77777777" w:rsidR="002A4F3D" w:rsidRPr="006C3F86"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p>
        </w:tc>
      </w:tr>
      <w:tr w:rsidR="002A4F3D" w:rsidRPr="006C3F86" w14:paraId="63AB0DF3" w14:textId="77777777" w:rsidTr="00284BE8">
        <w:trPr>
          <w:jc w:val="center"/>
        </w:trPr>
        <w:tc>
          <w:tcPr>
            <w:tcW w:w="3119" w:type="dxa"/>
            <w:shd w:val="clear" w:color="auto" w:fill="auto"/>
          </w:tcPr>
          <w:p w14:paraId="58813751" w14:textId="77777777" w:rsidR="002A4F3D" w:rsidRPr="00A07882" w:rsidRDefault="002A4F3D" w:rsidP="00284BE8">
            <w:pPr>
              <w:spacing w:after="0" w:line="240" w:lineRule="auto"/>
              <w:jc w:val="both"/>
              <w:rPr>
                <w:rFonts w:ascii="Times New Roman" w:hAnsi="Times New Roman"/>
                <w:bCs/>
                <w:sz w:val="20"/>
                <w:szCs w:val="20"/>
              </w:rPr>
            </w:pPr>
            <w:r w:rsidRPr="00A07882">
              <w:rPr>
                <w:rFonts w:ascii="Times New Roman" w:hAnsi="Times New Roman"/>
                <w:bCs/>
                <w:sz w:val="20"/>
                <w:szCs w:val="20"/>
              </w:rPr>
              <w:t>Faktiskā budžeta bilance</w:t>
            </w:r>
          </w:p>
          <w:p w14:paraId="70341629" w14:textId="77777777" w:rsidR="002A4F3D" w:rsidRPr="006C3F86" w:rsidRDefault="002A4F3D" w:rsidP="00284BE8">
            <w:pPr>
              <w:spacing w:after="0" w:line="240" w:lineRule="auto"/>
              <w:rPr>
                <w:rFonts w:ascii="Times New Roman" w:hAnsi="Times New Roman"/>
                <w:b/>
                <w:bCs/>
                <w:snapToGrid w:val="0"/>
                <w:sz w:val="20"/>
                <w:szCs w:val="20"/>
              </w:rPr>
            </w:pPr>
            <w:r w:rsidRPr="00A07882">
              <w:rPr>
                <w:rFonts w:ascii="Times New Roman" w:hAnsi="Times New Roman"/>
                <w:bCs/>
                <w:sz w:val="20"/>
                <w:szCs w:val="20"/>
              </w:rPr>
              <w:t>(% no IKP)</w:t>
            </w:r>
          </w:p>
        </w:tc>
        <w:tc>
          <w:tcPr>
            <w:tcW w:w="694" w:type="dxa"/>
            <w:shd w:val="clear" w:color="auto" w:fill="auto"/>
            <w:vAlign w:val="center"/>
          </w:tcPr>
          <w:p w14:paraId="194306C7" w14:textId="77777777" w:rsidR="002A4F3D" w:rsidRPr="006C3F86" w:rsidRDefault="002A4F3D" w:rsidP="00284BE8">
            <w:pPr>
              <w:spacing w:after="0" w:line="240" w:lineRule="auto"/>
              <w:jc w:val="center"/>
              <w:rPr>
                <w:rFonts w:ascii="Times New Roman" w:hAnsi="Times New Roman"/>
                <w:sz w:val="20"/>
                <w:szCs w:val="20"/>
              </w:rPr>
            </w:pPr>
            <w:r w:rsidRPr="00A07882">
              <w:rPr>
                <w:rFonts w:ascii="Times New Roman" w:hAnsi="Times New Roman"/>
                <w:sz w:val="20"/>
                <w:szCs w:val="20"/>
              </w:rPr>
              <w:t>B.9</w:t>
            </w:r>
          </w:p>
        </w:tc>
        <w:tc>
          <w:tcPr>
            <w:tcW w:w="850" w:type="dxa"/>
            <w:shd w:val="clear" w:color="auto" w:fill="auto"/>
            <w:vAlign w:val="center"/>
          </w:tcPr>
          <w:p w14:paraId="3B67B8B7" w14:textId="77777777" w:rsidR="002A4F3D" w:rsidRPr="006C3F86" w:rsidRDefault="002A4F3D" w:rsidP="00284BE8">
            <w:pPr>
              <w:tabs>
                <w:tab w:val="decimal" w:pos="330"/>
              </w:tabs>
              <w:spacing w:after="0" w:line="240" w:lineRule="auto"/>
              <w:jc w:val="right"/>
              <w:rPr>
                <w:rFonts w:ascii="Times New Roman" w:hAnsi="Times New Roman"/>
                <w:sz w:val="20"/>
                <w:szCs w:val="20"/>
              </w:rPr>
            </w:pPr>
          </w:p>
        </w:tc>
        <w:tc>
          <w:tcPr>
            <w:tcW w:w="851" w:type="dxa"/>
            <w:shd w:val="clear" w:color="auto" w:fill="auto"/>
            <w:vAlign w:val="center"/>
          </w:tcPr>
          <w:p w14:paraId="152615B5" w14:textId="77777777" w:rsidR="002A4F3D" w:rsidRPr="006C3F86" w:rsidRDefault="002A4F3D" w:rsidP="00284BE8">
            <w:pPr>
              <w:tabs>
                <w:tab w:val="decimal" w:pos="330"/>
              </w:tabs>
              <w:spacing w:after="0" w:line="240" w:lineRule="auto"/>
              <w:jc w:val="right"/>
              <w:rPr>
                <w:rFonts w:ascii="Times New Roman" w:hAnsi="Times New Roman"/>
                <w:sz w:val="20"/>
                <w:szCs w:val="20"/>
              </w:rPr>
            </w:pPr>
          </w:p>
        </w:tc>
        <w:tc>
          <w:tcPr>
            <w:tcW w:w="850" w:type="dxa"/>
            <w:shd w:val="clear" w:color="auto" w:fill="auto"/>
            <w:vAlign w:val="center"/>
          </w:tcPr>
          <w:p w14:paraId="711B7055" w14:textId="77777777" w:rsidR="002A4F3D" w:rsidRPr="006C3F86" w:rsidRDefault="002A4F3D" w:rsidP="00284BE8">
            <w:pPr>
              <w:tabs>
                <w:tab w:val="decimal" w:pos="330"/>
              </w:tabs>
              <w:spacing w:after="0" w:line="240" w:lineRule="auto"/>
              <w:jc w:val="right"/>
              <w:rPr>
                <w:rFonts w:ascii="Times New Roman" w:hAnsi="Times New Roman"/>
                <w:sz w:val="20"/>
                <w:szCs w:val="20"/>
              </w:rPr>
            </w:pPr>
          </w:p>
        </w:tc>
        <w:tc>
          <w:tcPr>
            <w:tcW w:w="851" w:type="dxa"/>
            <w:shd w:val="clear" w:color="auto" w:fill="auto"/>
            <w:vAlign w:val="center"/>
          </w:tcPr>
          <w:p w14:paraId="44B153D5" w14:textId="77777777" w:rsidR="002A4F3D" w:rsidRPr="006C3F86" w:rsidRDefault="002A4F3D" w:rsidP="00284BE8">
            <w:pPr>
              <w:tabs>
                <w:tab w:val="decimal" w:pos="330"/>
              </w:tabs>
              <w:spacing w:after="0" w:line="240" w:lineRule="auto"/>
              <w:jc w:val="right"/>
              <w:rPr>
                <w:rFonts w:ascii="Times New Roman" w:eastAsia="Arial Unicode MS" w:hAnsi="Times New Roman"/>
                <w:sz w:val="20"/>
                <w:szCs w:val="20"/>
              </w:rPr>
            </w:pPr>
          </w:p>
        </w:tc>
        <w:tc>
          <w:tcPr>
            <w:tcW w:w="850" w:type="dxa"/>
            <w:shd w:val="clear" w:color="auto" w:fill="auto"/>
            <w:vAlign w:val="center"/>
          </w:tcPr>
          <w:p w14:paraId="61E9DC08" w14:textId="77777777" w:rsidR="002A4F3D" w:rsidRPr="006C3F86" w:rsidRDefault="002A4F3D" w:rsidP="00284BE8">
            <w:pPr>
              <w:tabs>
                <w:tab w:val="decimal" w:pos="330"/>
              </w:tabs>
              <w:spacing w:after="0" w:line="240" w:lineRule="auto"/>
              <w:jc w:val="right"/>
              <w:rPr>
                <w:rFonts w:ascii="Times New Roman" w:hAnsi="Times New Roman"/>
                <w:sz w:val="20"/>
                <w:szCs w:val="20"/>
              </w:rPr>
            </w:pPr>
          </w:p>
        </w:tc>
      </w:tr>
      <w:tr w:rsidR="002A4F3D" w:rsidRPr="006C3F86" w14:paraId="5D6A6FA0" w14:textId="77777777" w:rsidTr="007067C3">
        <w:trPr>
          <w:jc w:val="center"/>
        </w:trPr>
        <w:tc>
          <w:tcPr>
            <w:tcW w:w="3119" w:type="dxa"/>
            <w:shd w:val="clear" w:color="auto" w:fill="DEEAF6" w:themeFill="accent1" w:themeFillTint="33"/>
          </w:tcPr>
          <w:p w14:paraId="34430476" w14:textId="77777777" w:rsidR="002A4F3D" w:rsidRPr="006C3F86" w:rsidRDefault="002A4F3D" w:rsidP="00284BE8">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themeFill="accent1" w:themeFillTint="33"/>
            <w:vAlign w:val="center"/>
          </w:tcPr>
          <w:p w14:paraId="0A0EECE6"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DEEAF6" w:themeFill="accent1" w:themeFillTint="33"/>
            <w:vAlign w:val="bottom"/>
          </w:tcPr>
          <w:p w14:paraId="79A2F8B6" w14:textId="77777777" w:rsidR="002A4F3D" w:rsidRPr="00AC5954" w:rsidRDefault="002A4F3D" w:rsidP="00284BE8">
            <w:pPr>
              <w:spacing w:after="0" w:line="240" w:lineRule="auto"/>
              <w:jc w:val="right"/>
              <w:rPr>
                <w:rFonts w:ascii="Times New Roman" w:eastAsia="Calibri" w:hAnsi="Times New Roman"/>
                <w:sz w:val="20"/>
                <w:szCs w:val="20"/>
              </w:rPr>
            </w:pPr>
            <w:r w:rsidRPr="00AC5954">
              <w:rPr>
                <w:rFonts w:ascii="Times New Roman" w:eastAsia="Calibri" w:hAnsi="Times New Roman"/>
                <w:sz w:val="20"/>
                <w:szCs w:val="20"/>
              </w:rPr>
              <w:t>-0,5</w:t>
            </w:r>
          </w:p>
        </w:tc>
        <w:tc>
          <w:tcPr>
            <w:tcW w:w="851" w:type="dxa"/>
            <w:shd w:val="clear" w:color="auto" w:fill="DEEAF6" w:themeFill="accent1" w:themeFillTint="33"/>
            <w:vAlign w:val="bottom"/>
          </w:tcPr>
          <w:p w14:paraId="7C2C510E"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-0,4</w:t>
            </w:r>
          </w:p>
        </w:tc>
        <w:tc>
          <w:tcPr>
            <w:tcW w:w="850" w:type="dxa"/>
            <w:shd w:val="clear" w:color="auto" w:fill="DEEAF6" w:themeFill="accent1" w:themeFillTint="33"/>
            <w:vAlign w:val="bottom"/>
          </w:tcPr>
          <w:p w14:paraId="4B2E7880"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-0,2</w:t>
            </w:r>
          </w:p>
        </w:tc>
        <w:tc>
          <w:tcPr>
            <w:tcW w:w="851" w:type="dxa"/>
            <w:shd w:val="clear" w:color="auto" w:fill="DEEAF6" w:themeFill="accent1" w:themeFillTint="33"/>
            <w:vAlign w:val="bottom"/>
          </w:tcPr>
          <w:p w14:paraId="50D1AE6D"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-0,3</w:t>
            </w:r>
          </w:p>
        </w:tc>
        <w:tc>
          <w:tcPr>
            <w:tcW w:w="850" w:type="dxa"/>
            <w:shd w:val="clear" w:color="auto" w:fill="DEEAF6" w:themeFill="accent1" w:themeFillTint="33"/>
            <w:vAlign w:val="bottom"/>
          </w:tcPr>
          <w:p w14:paraId="171D62F8" w14:textId="77777777" w:rsidR="002A4F3D" w:rsidRPr="00AC5954" w:rsidRDefault="002A4F3D" w:rsidP="00284BE8">
            <w:pPr>
              <w:spacing w:after="0" w:line="240" w:lineRule="auto"/>
              <w:jc w:val="right"/>
              <w:rPr>
                <w:rFonts w:ascii="Times New Roman" w:eastAsia="Calibri" w:hAnsi="Times New Roman"/>
                <w:sz w:val="20"/>
                <w:szCs w:val="20"/>
              </w:rPr>
            </w:pPr>
            <w:r w:rsidRPr="00AC5954">
              <w:rPr>
                <w:rFonts w:ascii="Times New Roman" w:eastAsia="Calibri" w:hAnsi="Times New Roman"/>
                <w:sz w:val="20"/>
                <w:szCs w:val="20"/>
              </w:rPr>
              <w:t xml:space="preserve"> -</w:t>
            </w:r>
          </w:p>
        </w:tc>
      </w:tr>
      <w:tr w:rsidR="002A4F3D" w:rsidRPr="006C3F86" w14:paraId="2C2E00AD" w14:textId="77777777" w:rsidTr="00284BE8">
        <w:trPr>
          <w:jc w:val="center"/>
        </w:trPr>
        <w:tc>
          <w:tcPr>
            <w:tcW w:w="3119" w:type="dxa"/>
            <w:shd w:val="clear" w:color="auto" w:fill="auto"/>
          </w:tcPr>
          <w:p w14:paraId="57493B6B" w14:textId="77777777" w:rsidR="002A4F3D" w:rsidRPr="006C3F86" w:rsidRDefault="002A4F3D" w:rsidP="00284BE8">
            <w:pPr>
              <w:spacing w:after="0" w:line="240" w:lineRule="auto"/>
              <w:jc w:val="right"/>
              <w:rPr>
                <w:rFonts w:ascii="Times New Roman" w:hAnsi="Times New Roman"/>
                <w:bCs/>
                <w:sz w:val="20"/>
                <w:szCs w:val="20"/>
              </w:rPr>
            </w:pPr>
            <w:r>
              <w:rPr>
                <w:rFonts w:ascii="Times New Roman" w:hAnsi="Times New Roman"/>
                <w:bCs/>
                <w:sz w:val="20"/>
                <w:szCs w:val="20"/>
              </w:rPr>
              <w:t>2020.</w:t>
            </w:r>
            <w:r w:rsidRPr="00A07882">
              <w:rPr>
                <w:rFonts w:ascii="Times New Roman" w:hAnsi="Times New Roman"/>
                <w:bCs/>
                <w:sz w:val="20"/>
                <w:szCs w:val="20"/>
              </w:rPr>
              <w:t>gads</w:t>
            </w:r>
            <w:r>
              <w:rPr>
                <w:rFonts w:ascii="Times New Roman" w:hAnsi="Times New Roman"/>
                <w:bCs/>
                <w:sz w:val="20"/>
                <w:szCs w:val="20"/>
              </w:rPr>
              <w:t xml:space="preserve"> (Covid-19 scenārijs)</w:t>
            </w:r>
          </w:p>
        </w:tc>
        <w:tc>
          <w:tcPr>
            <w:tcW w:w="694" w:type="dxa"/>
            <w:shd w:val="clear" w:color="auto" w:fill="auto"/>
            <w:vAlign w:val="center"/>
          </w:tcPr>
          <w:p w14:paraId="2F796019"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auto"/>
            <w:vAlign w:val="bottom"/>
          </w:tcPr>
          <w:p w14:paraId="5E686BF5"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-0,2</w:t>
            </w:r>
          </w:p>
        </w:tc>
        <w:tc>
          <w:tcPr>
            <w:tcW w:w="851" w:type="dxa"/>
            <w:shd w:val="clear" w:color="auto" w:fill="auto"/>
            <w:vAlign w:val="bottom"/>
          </w:tcPr>
          <w:p w14:paraId="67027DC7"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-9,4</w:t>
            </w:r>
          </w:p>
        </w:tc>
        <w:tc>
          <w:tcPr>
            <w:tcW w:w="850" w:type="dxa"/>
            <w:shd w:val="clear" w:color="auto" w:fill="auto"/>
            <w:vAlign w:val="bottom"/>
          </w:tcPr>
          <w:p w14:paraId="65A02B16"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-5,0</w:t>
            </w:r>
          </w:p>
        </w:tc>
        <w:tc>
          <w:tcPr>
            <w:tcW w:w="851" w:type="dxa"/>
            <w:shd w:val="clear" w:color="auto" w:fill="auto"/>
            <w:vAlign w:val="bottom"/>
          </w:tcPr>
          <w:p w14:paraId="4CA1C521"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-3,9</w:t>
            </w:r>
          </w:p>
        </w:tc>
        <w:tc>
          <w:tcPr>
            <w:tcW w:w="850" w:type="dxa"/>
            <w:shd w:val="clear" w:color="auto" w:fill="auto"/>
            <w:vAlign w:val="bottom"/>
          </w:tcPr>
          <w:p w14:paraId="75147088"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-2,7</w:t>
            </w:r>
          </w:p>
        </w:tc>
      </w:tr>
      <w:tr w:rsidR="002A4F3D" w:rsidRPr="006C3F86" w14:paraId="62284626" w14:textId="77777777" w:rsidTr="007067C3">
        <w:trPr>
          <w:jc w:val="center"/>
        </w:trPr>
        <w:tc>
          <w:tcPr>
            <w:tcW w:w="3119" w:type="dxa"/>
            <w:shd w:val="clear" w:color="auto" w:fill="DEEAF6" w:themeFill="accent1" w:themeFillTint="33"/>
          </w:tcPr>
          <w:p w14:paraId="7BDCBCA5" w14:textId="77777777" w:rsidR="002A4F3D" w:rsidRPr="006C3F86" w:rsidRDefault="002A4F3D" w:rsidP="00284BE8">
            <w:pPr>
              <w:spacing w:after="0" w:line="240" w:lineRule="auto"/>
              <w:jc w:val="right"/>
              <w:rPr>
                <w:rFonts w:ascii="Times New Roman" w:hAnsi="Times New Roman"/>
                <w:bCs/>
                <w:snapToGrid w:val="0"/>
                <w:sz w:val="20"/>
                <w:szCs w:val="20"/>
              </w:rPr>
            </w:pPr>
            <w:r w:rsidRPr="00A07882">
              <w:rPr>
                <w:rFonts w:ascii="Times New Roman" w:hAnsi="Times New Roman"/>
                <w:bCs/>
                <w:snapToGrid w:val="0"/>
                <w:sz w:val="20"/>
                <w:szCs w:val="20"/>
              </w:rPr>
              <w:t>Izmaiņas</w:t>
            </w:r>
          </w:p>
        </w:tc>
        <w:tc>
          <w:tcPr>
            <w:tcW w:w="694" w:type="dxa"/>
            <w:shd w:val="clear" w:color="auto" w:fill="DEEAF6" w:themeFill="accent1" w:themeFillTint="33"/>
            <w:vAlign w:val="center"/>
          </w:tcPr>
          <w:p w14:paraId="5E3DF0F0"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DEEAF6" w:themeFill="accent1" w:themeFillTint="33"/>
            <w:vAlign w:val="bottom"/>
          </w:tcPr>
          <w:p w14:paraId="09510FB7"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+0,3</w:t>
            </w:r>
          </w:p>
        </w:tc>
        <w:tc>
          <w:tcPr>
            <w:tcW w:w="851" w:type="dxa"/>
            <w:shd w:val="clear" w:color="auto" w:fill="DEEAF6" w:themeFill="accent1" w:themeFillTint="33"/>
            <w:vAlign w:val="bottom"/>
          </w:tcPr>
          <w:p w14:paraId="05D4A1DF"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-9,0</w:t>
            </w:r>
          </w:p>
        </w:tc>
        <w:tc>
          <w:tcPr>
            <w:tcW w:w="850" w:type="dxa"/>
            <w:shd w:val="clear" w:color="auto" w:fill="DEEAF6" w:themeFill="accent1" w:themeFillTint="33"/>
            <w:vAlign w:val="bottom"/>
          </w:tcPr>
          <w:p w14:paraId="495298F1"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-4,8</w:t>
            </w:r>
          </w:p>
        </w:tc>
        <w:tc>
          <w:tcPr>
            <w:tcW w:w="851" w:type="dxa"/>
            <w:shd w:val="clear" w:color="auto" w:fill="DEEAF6" w:themeFill="accent1" w:themeFillTint="33"/>
            <w:vAlign w:val="bottom"/>
          </w:tcPr>
          <w:p w14:paraId="00C2207C"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-3,6</w:t>
            </w:r>
          </w:p>
        </w:tc>
        <w:tc>
          <w:tcPr>
            <w:tcW w:w="850" w:type="dxa"/>
            <w:shd w:val="clear" w:color="auto" w:fill="DEEAF6" w:themeFill="accent1" w:themeFillTint="33"/>
            <w:vAlign w:val="bottom"/>
          </w:tcPr>
          <w:p w14:paraId="3264DABD" w14:textId="77777777" w:rsidR="002A4F3D" w:rsidRPr="00AC5954" w:rsidRDefault="002A4F3D" w:rsidP="00284BE8">
            <w:pPr>
              <w:spacing w:after="0" w:line="240" w:lineRule="auto"/>
              <w:jc w:val="right"/>
              <w:rPr>
                <w:rFonts w:ascii="Times New Roman" w:eastAsia="Calibri" w:hAnsi="Times New Roman"/>
                <w:sz w:val="20"/>
                <w:szCs w:val="20"/>
              </w:rPr>
            </w:pPr>
            <w:r>
              <w:rPr>
                <w:rFonts w:ascii="Times New Roman" w:eastAsia="Calibri" w:hAnsi="Times New Roman"/>
                <w:sz w:val="20"/>
                <w:szCs w:val="20"/>
              </w:rPr>
              <w:t>-</w:t>
            </w:r>
          </w:p>
        </w:tc>
      </w:tr>
      <w:tr w:rsidR="002A4F3D" w:rsidRPr="006C3F86" w14:paraId="252B0668" w14:textId="77777777" w:rsidTr="00284BE8">
        <w:trPr>
          <w:jc w:val="center"/>
        </w:trPr>
        <w:tc>
          <w:tcPr>
            <w:tcW w:w="3119" w:type="dxa"/>
            <w:shd w:val="clear" w:color="auto" w:fill="auto"/>
          </w:tcPr>
          <w:p w14:paraId="3E17FBB4" w14:textId="77777777" w:rsidR="002A4F3D" w:rsidRPr="006C3F86" w:rsidRDefault="002A4F3D" w:rsidP="00284BE8">
            <w:pPr>
              <w:spacing w:after="0" w:line="240" w:lineRule="auto"/>
              <w:rPr>
                <w:rFonts w:ascii="Times New Roman" w:hAnsi="Times New Roman"/>
                <w:b/>
                <w:bCs/>
                <w:snapToGrid w:val="0"/>
                <w:sz w:val="20"/>
                <w:szCs w:val="20"/>
              </w:rPr>
            </w:pPr>
            <w:r w:rsidRPr="00A07882">
              <w:rPr>
                <w:rFonts w:ascii="Times New Roman" w:hAnsi="Times New Roman"/>
                <w:bCs/>
                <w:sz w:val="20"/>
                <w:szCs w:val="20"/>
              </w:rPr>
              <w:t>Vispārējās valdības kopējais parāds (% no IKP)</w:t>
            </w:r>
          </w:p>
        </w:tc>
        <w:tc>
          <w:tcPr>
            <w:tcW w:w="694" w:type="dxa"/>
            <w:shd w:val="clear" w:color="auto" w:fill="auto"/>
            <w:vAlign w:val="center"/>
          </w:tcPr>
          <w:p w14:paraId="39200D18" w14:textId="77777777" w:rsidR="002A4F3D" w:rsidRPr="006C3F86" w:rsidRDefault="002A4F3D" w:rsidP="00284BE8">
            <w:pPr>
              <w:spacing w:after="0" w:line="240" w:lineRule="auto"/>
              <w:jc w:val="center"/>
              <w:rPr>
                <w:rFonts w:ascii="Times New Roman" w:hAnsi="Times New Roman"/>
                <w:sz w:val="20"/>
                <w:szCs w:val="20"/>
              </w:rPr>
            </w:pPr>
          </w:p>
        </w:tc>
        <w:tc>
          <w:tcPr>
            <w:tcW w:w="850" w:type="dxa"/>
            <w:shd w:val="clear" w:color="auto" w:fill="auto"/>
            <w:vAlign w:val="center"/>
          </w:tcPr>
          <w:p w14:paraId="1DA3305B" w14:textId="77777777" w:rsidR="002A4F3D" w:rsidRPr="00CA0D60" w:rsidRDefault="002A4F3D" w:rsidP="00284BE8">
            <w:pPr>
              <w:tabs>
                <w:tab w:val="decimal" w:pos="330"/>
              </w:tabs>
              <w:spacing w:after="0" w:line="240" w:lineRule="auto"/>
              <w:jc w:val="right"/>
              <w:rPr>
                <w:rFonts w:ascii="Times New Roman" w:hAnsi="Times New Roman"/>
                <w:sz w:val="20"/>
                <w:szCs w:val="20"/>
                <w:highlight w:val="yellow"/>
              </w:rPr>
            </w:pPr>
          </w:p>
        </w:tc>
        <w:tc>
          <w:tcPr>
            <w:tcW w:w="851" w:type="dxa"/>
            <w:shd w:val="clear" w:color="auto" w:fill="auto"/>
            <w:vAlign w:val="center"/>
          </w:tcPr>
          <w:p w14:paraId="1882D659" w14:textId="77777777" w:rsidR="002A4F3D" w:rsidRPr="00CA0D60" w:rsidRDefault="002A4F3D" w:rsidP="00284BE8">
            <w:pPr>
              <w:tabs>
                <w:tab w:val="decimal" w:pos="330"/>
              </w:tabs>
              <w:spacing w:after="0" w:line="240" w:lineRule="auto"/>
              <w:jc w:val="right"/>
              <w:rPr>
                <w:rFonts w:ascii="Times New Roman" w:hAnsi="Times New Roman"/>
                <w:sz w:val="20"/>
                <w:szCs w:val="20"/>
                <w:highlight w:val="yellow"/>
              </w:rPr>
            </w:pPr>
          </w:p>
        </w:tc>
        <w:tc>
          <w:tcPr>
            <w:tcW w:w="850" w:type="dxa"/>
            <w:shd w:val="clear" w:color="auto" w:fill="auto"/>
            <w:vAlign w:val="center"/>
          </w:tcPr>
          <w:p w14:paraId="6E65CC27" w14:textId="77777777" w:rsidR="002A4F3D" w:rsidRPr="00CA0D60" w:rsidRDefault="002A4F3D" w:rsidP="00284BE8">
            <w:pPr>
              <w:tabs>
                <w:tab w:val="decimal" w:pos="330"/>
              </w:tabs>
              <w:spacing w:after="0" w:line="240" w:lineRule="auto"/>
              <w:jc w:val="right"/>
              <w:rPr>
                <w:rFonts w:ascii="Times New Roman" w:hAnsi="Times New Roman"/>
                <w:sz w:val="20"/>
                <w:szCs w:val="20"/>
                <w:highlight w:val="yellow"/>
              </w:rPr>
            </w:pPr>
          </w:p>
        </w:tc>
        <w:tc>
          <w:tcPr>
            <w:tcW w:w="851" w:type="dxa"/>
            <w:shd w:val="clear" w:color="auto" w:fill="auto"/>
            <w:vAlign w:val="center"/>
          </w:tcPr>
          <w:p w14:paraId="5255DA5F" w14:textId="77777777" w:rsidR="002A4F3D" w:rsidRPr="00CA0D60" w:rsidRDefault="002A4F3D" w:rsidP="00284BE8">
            <w:pPr>
              <w:tabs>
                <w:tab w:val="decimal" w:pos="330"/>
              </w:tabs>
              <w:spacing w:after="0" w:line="240" w:lineRule="auto"/>
              <w:jc w:val="right"/>
              <w:rPr>
                <w:rFonts w:ascii="Times New Roman" w:eastAsia="Arial Unicode MS" w:hAnsi="Times New Roman"/>
                <w:sz w:val="20"/>
                <w:szCs w:val="20"/>
                <w:highlight w:val="yellow"/>
              </w:rPr>
            </w:pPr>
          </w:p>
        </w:tc>
        <w:tc>
          <w:tcPr>
            <w:tcW w:w="850" w:type="dxa"/>
            <w:shd w:val="clear" w:color="auto" w:fill="auto"/>
            <w:vAlign w:val="center"/>
          </w:tcPr>
          <w:p w14:paraId="42A73F0F" w14:textId="77777777" w:rsidR="002A4F3D" w:rsidRPr="00CA0D60" w:rsidRDefault="002A4F3D" w:rsidP="00284BE8">
            <w:pPr>
              <w:spacing w:after="0" w:line="240" w:lineRule="auto"/>
              <w:jc w:val="right"/>
              <w:rPr>
                <w:rFonts w:ascii="Times New Roman" w:hAnsi="Times New Roman"/>
                <w:sz w:val="20"/>
                <w:szCs w:val="20"/>
                <w:highlight w:val="yellow"/>
              </w:rPr>
            </w:pPr>
          </w:p>
        </w:tc>
      </w:tr>
      <w:tr w:rsidR="002A4F3D" w:rsidRPr="00C10F9A" w14:paraId="17A90DAC" w14:textId="77777777" w:rsidTr="007067C3">
        <w:trPr>
          <w:jc w:val="center"/>
        </w:trPr>
        <w:tc>
          <w:tcPr>
            <w:tcW w:w="3119" w:type="dxa"/>
            <w:shd w:val="clear" w:color="auto" w:fill="DEEAF6" w:themeFill="accent1" w:themeFillTint="33"/>
          </w:tcPr>
          <w:p w14:paraId="7EA18318" w14:textId="77777777" w:rsidR="002A4F3D" w:rsidRPr="00C10F9A" w:rsidRDefault="002A4F3D" w:rsidP="00284BE8">
            <w:pPr>
              <w:spacing w:after="0" w:line="240" w:lineRule="auto"/>
              <w:jc w:val="right"/>
              <w:rPr>
                <w:rFonts w:ascii="Times New Roman" w:hAnsi="Times New Roman"/>
                <w:bCs/>
                <w:sz w:val="20"/>
                <w:szCs w:val="20"/>
              </w:rPr>
            </w:pPr>
            <w:r>
              <w:rPr>
                <w:rFonts w:ascii="Times New Roman" w:hAnsi="Times New Roman"/>
                <w:bCs/>
                <w:sz w:val="20"/>
                <w:szCs w:val="20"/>
              </w:rPr>
              <w:t>2019.</w:t>
            </w:r>
            <w:r w:rsidRPr="00A07882">
              <w:rPr>
                <w:rFonts w:ascii="Times New Roman" w:hAnsi="Times New Roman"/>
                <w:bCs/>
                <w:sz w:val="20"/>
                <w:szCs w:val="20"/>
              </w:rPr>
              <w:t>gads</w:t>
            </w:r>
          </w:p>
        </w:tc>
        <w:tc>
          <w:tcPr>
            <w:tcW w:w="694" w:type="dxa"/>
            <w:shd w:val="clear" w:color="auto" w:fill="DEEAF6" w:themeFill="accent1" w:themeFillTint="33"/>
            <w:vAlign w:val="center"/>
          </w:tcPr>
          <w:p w14:paraId="152F1C38" w14:textId="77777777" w:rsidR="002A4F3D" w:rsidRPr="00C10F9A" w:rsidRDefault="002A4F3D" w:rsidP="00284BE8">
            <w:pPr>
              <w:spacing w:after="0" w:line="240" w:lineRule="auto"/>
              <w:jc w:val="center"/>
              <w:rPr>
                <w:rFonts w:ascii="Times New Roman" w:hAnsi="Times New Roman"/>
                <w:sz w:val="20"/>
                <w:szCs w:val="20"/>
              </w:rPr>
            </w:pPr>
          </w:p>
        </w:tc>
        <w:tc>
          <w:tcPr>
            <w:tcW w:w="850" w:type="dxa"/>
            <w:shd w:val="clear" w:color="auto" w:fill="DEEAF6" w:themeFill="accent1" w:themeFillTint="33"/>
            <w:vAlign w:val="center"/>
          </w:tcPr>
          <w:p w14:paraId="4B5A446B" w14:textId="77777777" w:rsidR="002A4F3D" w:rsidRPr="00C10F9A" w:rsidRDefault="002A4F3D" w:rsidP="00284BE8">
            <w:pPr>
              <w:spacing w:after="0" w:line="240" w:lineRule="auto"/>
              <w:jc w:val="right"/>
              <w:rPr>
                <w:rFonts w:ascii="Times New Roman" w:hAnsi="Times New Roman"/>
                <w:sz w:val="20"/>
                <w:szCs w:val="20"/>
              </w:rPr>
            </w:pPr>
            <w:r>
              <w:rPr>
                <w:rFonts w:ascii="Times New Roman" w:hAnsi="Times New Roman"/>
                <w:color w:val="000000" w:themeColor="text1"/>
                <w:sz w:val="20"/>
              </w:rPr>
              <w:t>37</w:t>
            </w:r>
            <w:r w:rsidRPr="00916F9A">
              <w:rPr>
                <w:rFonts w:ascii="Times New Roman" w:hAnsi="Times New Roman"/>
                <w:color w:val="000000" w:themeColor="text1"/>
                <w:sz w:val="20"/>
              </w:rPr>
              <w:t>,4</w:t>
            </w:r>
          </w:p>
        </w:tc>
        <w:tc>
          <w:tcPr>
            <w:tcW w:w="851" w:type="dxa"/>
            <w:shd w:val="clear" w:color="auto" w:fill="DEEAF6" w:themeFill="accent1" w:themeFillTint="33"/>
            <w:vAlign w:val="center"/>
          </w:tcPr>
          <w:p w14:paraId="60FF9FED" w14:textId="77777777" w:rsidR="002A4F3D" w:rsidRPr="00C10F9A" w:rsidRDefault="002A4F3D" w:rsidP="00284BE8">
            <w:pPr>
              <w:spacing w:after="0" w:line="240" w:lineRule="auto"/>
              <w:jc w:val="right"/>
              <w:rPr>
                <w:rFonts w:ascii="Times New Roman" w:hAnsi="Times New Roman"/>
                <w:sz w:val="20"/>
                <w:szCs w:val="20"/>
              </w:rPr>
            </w:pPr>
            <w:r>
              <w:rPr>
                <w:rFonts w:ascii="Times New Roman" w:hAnsi="Times New Roman"/>
                <w:color w:val="000000" w:themeColor="text1"/>
                <w:sz w:val="20"/>
              </w:rPr>
              <w:t>36,1</w:t>
            </w:r>
          </w:p>
        </w:tc>
        <w:tc>
          <w:tcPr>
            <w:tcW w:w="850" w:type="dxa"/>
            <w:shd w:val="clear" w:color="auto" w:fill="DEEAF6" w:themeFill="accent1" w:themeFillTint="33"/>
            <w:vAlign w:val="center"/>
          </w:tcPr>
          <w:p w14:paraId="49A725E2" w14:textId="77777777" w:rsidR="002A4F3D" w:rsidRPr="00C10F9A" w:rsidRDefault="002A4F3D" w:rsidP="00284BE8">
            <w:pPr>
              <w:spacing w:after="0" w:line="240" w:lineRule="auto"/>
              <w:jc w:val="right"/>
              <w:rPr>
                <w:rFonts w:ascii="Times New Roman" w:hAnsi="Times New Roman"/>
                <w:sz w:val="20"/>
                <w:szCs w:val="20"/>
              </w:rPr>
            </w:pPr>
            <w:r>
              <w:rPr>
                <w:rFonts w:ascii="Times New Roman" w:hAnsi="Times New Roman"/>
                <w:color w:val="000000" w:themeColor="text1"/>
                <w:sz w:val="20"/>
              </w:rPr>
              <w:t>33,5</w:t>
            </w:r>
          </w:p>
        </w:tc>
        <w:tc>
          <w:tcPr>
            <w:tcW w:w="851" w:type="dxa"/>
            <w:shd w:val="clear" w:color="auto" w:fill="DEEAF6" w:themeFill="accent1" w:themeFillTint="33"/>
            <w:vAlign w:val="center"/>
          </w:tcPr>
          <w:p w14:paraId="2C652053" w14:textId="77777777" w:rsidR="002A4F3D" w:rsidRPr="00C10F9A" w:rsidRDefault="002A4F3D" w:rsidP="00284BE8">
            <w:pPr>
              <w:spacing w:after="0" w:line="240" w:lineRule="auto"/>
              <w:jc w:val="right"/>
              <w:rPr>
                <w:rFonts w:ascii="Times New Roman" w:hAnsi="Times New Roman"/>
                <w:sz w:val="20"/>
                <w:szCs w:val="20"/>
              </w:rPr>
            </w:pPr>
            <w:r>
              <w:rPr>
                <w:rFonts w:ascii="Times New Roman" w:hAnsi="Times New Roman"/>
                <w:color w:val="000000" w:themeColor="text1"/>
                <w:sz w:val="20"/>
              </w:rPr>
              <w:t>33,1</w:t>
            </w:r>
          </w:p>
        </w:tc>
        <w:tc>
          <w:tcPr>
            <w:tcW w:w="850" w:type="dxa"/>
            <w:shd w:val="clear" w:color="auto" w:fill="DEEAF6" w:themeFill="accent1" w:themeFillTint="33"/>
            <w:vAlign w:val="center"/>
          </w:tcPr>
          <w:p w14:paraId="3E95E618" w14:textId="77777777" w:rsidR="002A4F3D" w:rsidRPr="00C10F9A" w:rsidRDefault="002A4F3D" w:rsidP="00284BE8">
            <w:pPr>
              <w:tabs>
                <w:tab w:val="decimal" w:pos="330"/>
              </w:tabs>
              <w:spacing w:after="0" w:line="240" w:lineRule="auto"/>
              <w:jc w:val="right"/>
              <w:rPr>
                <w:rFonts w:ascii="Times New Roman" w:hAnsi="Times New Roman"/>
                <w:sz w:val="20"/>
                <w:szCs w:val="20"/>
              </w:rPr>
            </w:pPr>
            <w:r>
              <w:rPr>
                <w:rFonts w:ascii="Times New Roman" w:hAnsi="Times New Roman"/>
                <w:color w:val="000000" w:themeColor="text1"/>
                <w:sz w:val="20"/>
              </w:rPr>
              <w:t>-</w:t>
            </w:r>
          </w:p>
        </w:tc>
      </w:tr>
      <w:tr w:rsidR="002149A7" w:rsidRPr="00C10F9A" w14:paraId="1204DCFB" w14:textId="77777777" w:rsidTr="0067167C">
        <w:trPr>
          <w:trHeight w:val="70"/>
          <w:jc w:val="center"/>
        </w:trPr>
        <w:tc>
          <w:tcPr>
            <w:tcW w:w="3119" w:type="dxa"/>
            <w:shd w:val="clear" w:color="auto" w:fill="auto"/>
          </w:tcPr>
          <w:p w14:paraId="4B7E48FD" w14:textId="77777777" w:rsidR="002149A7" w:rsidRPr="00C10F9A" w:rsidRDefault="002149A7" w:rsidP="002149A7">
            <w:pPr>
              <w:spacing w:after="0" w:line="240" w:lineRule="auto"/>
              <w:jc w:val="right"/>
              <w:rPr>
                <w:rFonts w:ascii="Times New Roman" w:hAnsi="Times New Roman"/>
                <w:bCs/>
                <w:sz w:val="20"/>
                <w:szCs w:val="20"/>
              </w:rPr>
            </w:pPr>
            <w:r>
              <w:rPr>
                <w:rFonts w:ascii="Times New Roman" w:hAnsi="Times New Roman"/>
                <w:bCs/>
                <w:sz w:val="20"/>
                <w:szCs w:val="20"/>
              </w:rPr>
              <w:t>2020.</w:t>
            </w:r>
            <w:r w:rsidRPr="00A07882">
              <w:rPr>
                <w:rFonts w:ascii="Times New Roman" w:hAnsi="Times New Roman"/>
                <w:bCs/>
                <w:sz w:val="20"/>
                <w:szCs w:val="20"/>
              </w:rPr>
              <w:t>gads</w:t>
            </w:r>
            <w:r>
              <w:rPr>
                <w:rFonts w:ascii="Times New Roman" w:hAnsi="Times New Roman"/>
                <w:bCs/>
                <w:sz w:val="20"/>
                <w:szCs w:val="20"/>
              </w:rPr>
              <w:t xml:space="preserve"> (Covid-19 scenārijs)</w:t>
            </w:r>
          </w:p>
        </w:tc>
        <w:tc>
          <w:tcPr>
            <w:tcW w:w="694" w:type="dxa"/>
            <w:shd w:val="clear" w:color="auto" w:fill="auto"/>
            <w:vAlign w:val="center"/>
          </w:tcPr>
          <w:p w14:paraId="46C2F304" w14:textId="77777777" w:rsidR="002149A7" w:rsidRPr="00C10F9A" w:rsidRDefault="002149A7" w:rsidP="002149A7">
            <w:pPr>
              <w:spacing w:after="0" w:line="240" w:lineRule="auto"/>
              <w:jc w:val="center"/>
              <w:rPr>
                <w:rFonts w:ascii="Times New Roman" w:hAnsi="Times New Roman"/>
                <w:sz w:val="20"/>
                <w:szCs w:val="20"/>
              </w:rPr>
            </w:pPr>
          </w:p>
        </w:tc>
        <w:tc>
          <w:tcPr>
            <w:tcW w:w="850" w:type="dxa"/>
            <w:shd w:val="clear" w:color="auto" w:fill="auto"/>
          </w:tcPr>
          <w:p w14:paraId="3FF1C9E1" w14:textId="62F61E47"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36,9</w:t>
            </w:r>
          </w:p>
        </w:tc>
        <w:tc>
          <w:tcPr>
            <w:tcW w:w="851" w:type="dxa"/>
            <w:shd w:val="clear" w:color="auto" w:fill="auto"/>
          </w:tcPr>
          <w:p w14:paraId="39DA8605" w14:textId="16F47099" w:rsidR="002149A7" w:rsidRPr="002149A7" w:rsidRDefault="002149A7" w:rsidP="002149A7">
            <w:pPr>
              <w:spacing w:after="0" w:line="240" w:lineRule="auto"/>
              <w:jc w:val="right"/>
              <w:rPr>
                <w:rFonts w:ascii="Times New Roman" w:hAnsi="Times New Roman" w:cs="Times New Roman"/>
                <w:sz w:val="20"/>
                <w:szCs w:val="20"/>
              </w:rPr>
            </w:pPr>
            <w:r w:rsidRPr="002149A7">
              <w:rPr>
                <w:rFonts w:ascii="Times New Roman" w:hAnsi="Times New Roman" w:cs="Times New Roman"/>
                <w:sz w:val="20"/>
              </w:rPr>
              <w:t>51,7</w:t>
            </w:r>
          </w:p>
        </w:tc>
        <w:tc>
          <w:tcPr>
            <w:tcW w:w="850" w:type="dxa"/>
            <w:shd w:val="clear" w:color="auto" w:fill="auto"/>
          </w:tcPr>
          <w:p w14:paraId="0F543A06" w14:textId="3A905927" w:rsidR="002149A7" w:rsidRPr="002149A7" w:rsidRDefault="002149A7" w:rsidP="002149A7">
            <w:pPr>
              <w:spacing w:after="0" w:line="240" w:lineRule="auto"/>
              <w:jc w:val="right"/>
              <w:rPr>
                <w:rFonts w:ascii="Times New Roman" w:hAnsi="Times New Roman" w:cs="Times New Roman"/>
                <w:sz w:val="20"/>
                <w:szCs w:val="20"/>
              </w:rPr>
            </w:pPr>
            <w:r w:rsidRPr="002149A7">
              <w:rPr>
                <w:rFonts w:ascii="Times New Roman" w:hAnsi="Times New Roman" w:cs="Times New Roman"/>
                <w:sz w:val="20"/>
              </w:rPr>
              <w:t>52,2</w:t>
            </w:r>
          </w:p>
        </w:tc>
        <w:tc>
          <w:tcPr>
            <w:tcW w:w="851" w:type="dxa"/>
            <w:shd w:val="clear" w:color="auto" w:fill="auto"/>
          </w:tcPr>
          <w:p w14:paraId="2D42A13E" w14:textId="4EB8F027" w:rsidR="002149A7" w:rsidRPr="002149A7" w:rsidRDefault="002149A7" w:rsidP="002149A7">
            <w:pPr>
              <w:spacing w:after="0" w:line="240" w:lineRule="auto"/>
              <w:jc w:val="right"/>
              <w:rPr>
                <w:rFonts w:ascii="Times New Roman" w:hAnsi="Times New Roman" w:cs="Times New Roman"/>
                <w:sz w:val="20"/>
                <w:szCs w:val="20"/>
              </w:rPr>
            </w:pPr>
            <w:r w:rsidRPr="002149A7">
              <w:rPr>
                <w:rFonts w:ascii="Times New Roman" w:hAnsi="Times New Roman" w:cs="Times New Roman"/>
                <w:sz w:val="20"/>
              </w:rPr>
              <w:t>53,3</w:t>
            </w:r>
          </w:p>
        </w:tc>
        <w:tc>
          <w:tcPr>
            <w:tcW w:w="850" w:type="dxa"/>
            <w:shd w:val="clear" w:color="auto" w:fill="auto"/>
          </w:tcPr>
          <w:p w14:paraId="70308FAD" w14:textId="27E1F0D8" w:rsidR="002149A7" w:rsidRPr="002149A7" w:rsidRDefault="002149A7" w:rsidP="002149A7">
            <w:pPr>
              <w:spacing w:after="0" w:line="240" w:lineRule="auto"/>
              <w:jc w:val="right"/>
              <w:rPr>
                <w:rFonts w:ascii="Times New Roman" w:hAnsi="Times New Roman" w:cs="Times New Roman"/>
                <w:sz w:val="20"/>
                <w:szCs w:val="20"/>
              </w:rPr>
            </w:pPr>
            <w:r w:rsidRPr="002149A7">
              <w:rPr>
                <w:rFonts w:ascii="Times New Roman" w:hAnsi="Times New Roman" w:cs="Times New Roman"/>
                <w:sz w:val="20"/>
              </w:rPr>
              <w:t>53,1</w:t>
            </w:r>
          </w:p>
        </w:tc>
      </w:tr>
      <w:tr w:rsidR="002149A7" w:rsidRPr="00C10F9A" w14:paraId="06EA30BE" w14:textId="77777777" w:rsidTr="0067167C">
        <w:trPr>
          <w:jc w:val="center"/>
        </w:trPr>
        <w:tc>
          <w:tcPr>
            <w:tcW w:w="3119" w:type="dxa"/>
            <w:shd w:val="clear" w:color="auto" w:fill="DEEAF6" w:themeFill="accent1" w:themeFillTint="33"/>
          </w:tcPr>
          <w:p w14:paraId="5F9E49D8" w14:textId="77777777" w:rsidR="002149A7" w:rsidRPr="00C10F9A" w:rsidRDefault="002149A7" w:rsidP="002149A7">
            <w:pPr>
              <w:spacing w:after="0" w:line="240" w:lineRule="auto"/>
              <w:jc w:val="right"/>
              <w:rPr>
                <w:rFonts w:ascii="Times New Roman" w:hAnsi="Times New Roman"/>
                <w:bCs/>
                <w:snapToGrid w:val="0"/>
                <w:sz w:val="20"/>
                <w:szCs w:val="20"/>
              </w:rPr>
            </w:pPr>
            <w:r w:rsidRPr="001361E8">
              <w:rPr>
                <w:rFonts w:ascii="Times New Roman" w:hAnsi="Times New Roman"/>
                <w:sz w:val="20"/>
              </w:rPr>
              <w:t>Izmaiņas</w:t>
            </w:r>
          </w:p>
        </w:tc>
        <w:tc>
          <w:tcPr>
            <w:tcW w:w="694" w:type="dxa"/>
            <w:shd w:val="clear" w:color="auto" w:fill="DEEAF6" w:themeFill="accent1" w:themeFillTint="33"/>
            <w:vAlign w:val="center"/>
          </w:tcPr>
          <w:p w14:paraId="5683DA4E" w14:textId="77777777" w:rsidR="002149A7" w:rsidRPr="00C10F9A" w:rsidRDefault="002149A7" w:rsidP="002149A7">
            <w:pPr>
              <w:spacing w:after="0" w:line="240" w:lineRule="auto"/>
              <w:jc w:val="center"/>
              <w:rPr>
                <w:rFonts w:ascii="Times New Roman" w:hAnsi="Times New Roman"/>
                <w:sz w:val="20"/>
                <w:szCs w:val="20"/>
              </w:rPr>
            </w:pPr>
          </w:p>
        </w:tc>
        <w:tc>
          <w:tcPr>
            <w:tcW w:w="850" w:type="dxa"/>
            <w:shd w:val="clear" w:color="auto" w:fill="DEEAF6" w:themeFill="accent1" w:themeFillTint="33"/>
          </w:tcPr>
          <w:p w14:paraId="1B5ABF53" w14:textId="21E15ECB"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-0,5</w:t>
            </w:r>
          </w:p>
        </w:tc>
        <w:tc>
          <w:tcPr>
            <w:tcW w:w="851" w:type="dxa"/>
            <w:shd w:val="clear" w:color="auto" w:fill="DEEAF6" w:themeFill="accent1" w:themeFillTint="33"/>
          </w:tcPr>
          <w:p w14:paraId="036A9698" w14:textId="5DFE60CB"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+15,6</w:t>
            </w:r>
          </w:p>
        </w:tc>
        <w:tc>
          <w:tcPr>
            <w:tcW w:w="850" w:type="dxa"/>
            <w:shd w:val="clear" w:color="auto" w:fill="DEEAF6" w:themeFill="accent1" w:themeFillTint="33"/>
          </w:tcPr>
          <w:p w14:paraId="2B1FE49E" w14:textId="02D43DCA"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+18,7</w:t>
            </w:r>
          </w:p>
        </w:tc>
        <w:tc>
          <w:tcPr>
            <w:tcW w:w="851" w:type="dxa"/>
            <w:shd w:val="clear" w:color="auto" w:fill="DEEAF6" w:themeFill="accent1" w:themeFillTint="33"/>
          </w:tcPr>
          <w:p w14:paraId="01923900" w14:textId="23533365"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+20,2</w:t>
            </w:r>
          </w:p>
        </w:tc>
        <w:tc>
          <w:tcPr>
            <w:tcW w:w="850" w:type="dxa"/>
            <w:shd w:val="clear" w:color="auto" w:fill="DEEAF6" w:themeFill="accent1" w:themeFillTint="33"/>
          </w:tcPr>
          <w:p w14:paraId="61A15FEF" w14:textId="4D9A7007" w:rsidR="002149A7" w:rsidRPr="002149A7" w:rsidRDefault="002149A7" w:rsidP="002149A7">
            <w:pPr>
              <w:tabs>
                <w:tab w:val="decimal" w:pos="330"/>
              </w:tabs>
              <w:spacing w:after="0" w:line="240" w:lineRule="auto"/>
              <w:jc w:val="right"/>
              <w:rPr>
                <w:rFonts w:ascii="Times New Roman" w:hAnsi="Times New Roman" w:cs="Times New Roman"/>
                <w:sz w:val="20"/>
                <w:szCs w:val="20"/>
              </w:rPr>
            </w:pPr>
            <w:r w:rsidRPr="002149A7">
              <w:rPr>
                <w:rFonts w:ascii="Times New Roman" w:hAnsi="Times New Roman" w:cs="Times New Roman"/>
                <w:sz w:val="20"/>
              </w:rPr>
              <w:t>-</w:t>
            </w:r>
          </w:p>
        </w:tc>
      </w:tr>
    </w:tbl>
    <w:p w14:paraId="04AEA016" w14:textId="77777777" w:rsidR="007F6EE6" w:rsidRDefault="007F6EE6" w:rsidP="002A4F3D">
      <w:pPr>
        <w:pStyle w:val="teksts"/>
        <w:spacing w:before="120" w:after="60"/>
        <w:ind w:firstLine="720"/>
        <w:rPr>
          <w:rFonts w:ascii="Times New Roman" w:eastAsia="Calibri" w:hAnsi="Times New Roman"/>
          <w:szCs w:val="24"/>
        </w:rPr>
      </w:pPr>
    </w:p>
    <w:p w14:paraId="615C8A97" w14:textId="1B22003C" w:rsidR="002A4F3D" w:rsidRPr="00816EAB" w:rsidRDefault="002A4F3D" w:rsidP="002149A7">
      <w:pPr>
        <w:pStyle w:val="teksts"/>
        <w:spacing w:after="0"/>
        <w:ind w:firstLine="720"/>
        <w:rPr>
          <w:rFonts w:ascii="Times New Roman" w:eastAsia="Calibri" w:hAnsi="Times New Roman"/>
          <w:szCs w:val="24"/>
        </w:rPr>
      </w:pPr>
      <w:r>
        <w:rPr>
          <w:rFonts w:ascii="Times New Roman" w:eastAsia="Calibri" w:hAnsi="Times New Roman"/>
          <w:szCs w:val="24"/>
        </w:rPr>
        <w:t>Ņemot vērā izstrādāto Covid-19 ietekmes makroekonomisko scenāriju, kā rezultātā būtiski samazināsies nodokļu ieņēmumi un pieaugs sociālās apdrošināšanas budžeta izdevumi, kā arī Saeimas un valdības pieņemtos lēmumus atbalsta pasākumu ieviešanai, lai novērstu Covid-19 ietekmi, vispārējās valdības budžeta deficīts 2020.</w:t>
      </w:r>
      <w:r w:rsidR="007278C7">
        <w:rPr>
          <w:rFonts w:ascii="Times New Roman" w:eastAsia="Calibri" w:hAnsi="Times New Roman"/>
          <w:szCs w:val="24"/>
        </w:rPr>
        <w:t xml:space="preserve"> </w:t>
      </w:r>
      <w:r>
        <w:rPr>
          <w:rFonts w:ascii="Times New Roman" w:eastAsia="Calibri" w:hAnsi="Times New Roman"/>
          <w:szCs w:val="24"/>
        </w:rPr>
        <w:t xml:space="preserve">un nākamajiem gadiem tiek prognozēts būtiski augstāks nekā iepriekšējā Stabilitātes programmā. Vispārējās </w:t>
      </w:r>
      <w:r w:rsidR="006F6C78">
        <w:rPr>
          <w:rFonts w:ascii="Times New Roman" w:eastAsia="Calibri" w:hAnsi="Times New Roman"/>
          <w:szCs w:val="24"/>
        </w:rPr>
        <w:t>valdības budžeta deficīts 2020.</w:t>
      </w:r>
      <w:r>
        <w:rPr>
          <w:rFonts w:ascii="Times New Roman" w:eastAsia="Calibri" w:hAnsi="Times New Roman"/>
          <w:szCs w:val="24"/>
        </w:rPr>
        <w:t>gadā tie</w:t>
      </w:r>
      <w:r w:rsidR="006F6C78">
        <w:rPr>
          <w:rFonts w:ascii="Times New Roman" w:eastAsia="Calibri" w:hAnsi="Times New Roman"/>
          <w:szCs w:val="24"/>
        </w:rPr>
        <w:t>k prognozēts 9,4% no IKP, 2021.</w:t>
      </w:r>
      <w:r>
        <w:rPr>
          <w:rFonts w:ascii="Times New Roman" w:eastAsia="Calibri" w:hAnsi="Times New Roman"/>
          <w:szCs w:val="24"/>
        </w:rPr>
        <w:t xml:space="preserve">gadā 5,0% no IKP, </w:t>
      </w:r>
      <w:r w:rsidR="006F6C78">
        <w:rPr>
          <w:rFonts w:ascii="Times New Roman" w:eastAsia="Calibri" w:hAnsi="Times New Roman"/>
          <w:szCs w:val="24"/>
        </w:rPr>
        <w:t>2022.gadā 3,9% no IKP un 2023.</w:t>
      </w:r>
      <w:r>
        <w:rPr>
          <w:rFonts w:ascii="Times New Roman" w:eastAsia="Calibri" w:hAnsi="Times New Roman"/>
          <w:szCs w:val="24"/>
        </w:rPr>
        <w:t>gadā 2,7% no IKP.</w:t>
      </w:r>
      <w:r w:rsidRPr="00816EAB">
        <w:rPr>
          <w:rFonts w:ascii="Times New Roman" w:eastAsia="Calibri" w:hAnsi="Times New Roman"/>
          <w:szCs w:val="24"/>
        </w:rPr>
        <w:t xml:space="preserve"> </w:t>
      </w:r>
    </w:p>
    <w:p w14:paraId="20E07A24" w14:textId="198826E8" w:rsidR="00AF2AA1" w:rsidRPr="00AF2AA1" w:rsidRDefault="00AF2AA1" w:rsidP="00AF2AA1">
      <w:pPr>
        <w:rPr>
          <w:highlight w:val="yellow"/>
        </w:rPr>
      </w:pPr>
    </w:p>
    <w:p w14:paraId="3A010C11" w14:textId="77777777" w:rsidR="005E1888" w:rsidRPr="00E32A5F" w:rsidRDefault="00AF2AA1" w:rsidP="00E32A5F">
      <w:pPr>
        <w:pStyle w:val="Heading2"/>
        <w:numPr>
          <w:ilvl w:val="1"/>
          <w:numId w:val="10"/>
        </w:numPr>
        <w:spacing w:before="0"/>
        <w:ind w:left="709" w:firstLine="0"/>
        <w:rPr>
          <w:rFonts w:ascii="Times New Roman" w:hAnsi="Times New Roman" w:cs="Times New Roman"/>
          <w:sz w:val="24"/>
        </w:rPr>
      </w:pPr>
      <w:bookmarkStart w:id="47" w:name="_Toc38887980"/>
      <w:r w:rsidRPr="00E32A5F">
        <w:rPr>
          <w:rFonts w:ascii="Times New Roman" w:hAnsi="Times New Roman" w:cs="Times New Roman"/>
          <w:sz w:val="24"/>
          <w:szCs w:val="24"/>
        </w:rPr>
        <w:t>Valsts sniegtie galvojumi</w:t>
      </w:r>
      <w:bookmarkEnd w:id="47"/>
      <w:r w:rsidRPr="00E32A5F">
        <w:rPr>
          <w:rFonts w:ascii="Times New Roman" w:hAnsi="Times New Roman" w:cs="Times New Roman"/>
          <w:sz w:val="32"/>
        </w:rPr>
        <w:t xml:space="preserve"> </w:t>
      </w:r>
    </w:p>
    <w:p w14:paraId="773C04F3" w14:textId="77777777" w:rsidR="00E32A5F" w:rsidRDefault="00E32A5F" w:rsidP="005E1888">
      <w:pPr>
        <w:spacing w:after="0" w:line="240" w:lineRule="auto"/>
        <w:ind w:firstLine="720"/>
        <w:jc w:val="both"/>
        <w:rPr>
          <w:rFonts w:ascii="Times New Roman" w:eastAsia="Times New Roman" w:hAnsi="Times New Roman" w:cs="Times New Roman"/>
          <w:sz w:val="24"/>
          <w:szCs w:val="24"/>
        </w:rPr>
      </w:pPr>
    </w:p>
    <w:p w14:paraId="559D14CA" w14:textId="3624F190" w:rsidR="005E1888" w:rsidRPr="005E1888" w:rsidRDefault="005E1888" w:rsidP="005E1888">
      <w:pPr>
        <w:spacing w:after="0" w:line="240" w:lineRule="auto"/>
        <w:ind w:firstLine="720"/>
        <w:jc w:val="both"/>
        <w:rPr>
          <w:rFonts w:ascii="Times New Roman" w:eastAsia="Times New Roman" w:hAnsi="Times New Roman" w:cs="Times New Roman"/>
          <w:sz w:val="24"/>
          <w:szCs w:val="24"/>
        </w:rPr>
      </w:pPr>
      <w:r w:rsidRPr="005E1888">
        <w:rPr>
          <w:rFonts w:ascii="Times New Roman" w:eastAsia="Times New Roman" w:hAnsi="Times New Roman" w:cs="Times New Roman"/>
          <w:sz w:val="24"/>
          <w:szCs w:val="24"/>
        </w:rPr>
        <w:t>L</w:t>
      </w:r>
      <w:r w:rsidR="0061132A">
        <w:rPr>
          <w:rFonts w:ascii="Times New Roman" w:eastAsia="Times New Roman" w:hAnsi="Times New Roman" w:cs="Times New Roman"/>
          <w:sz w:val="24"/>
          <w:szCs w:val="24"/>
        </w:rPr>
        <w:t>ikums “Par valsts budžetu 2019.</w:t>
      </w:r>
      <w:r w:rsidRPr="005E1888">
        <w:rPr>
          <w:rFonts w:ascii="Times New Roman" w:eastAsia="Times New Roman" w:hAnsi="Times New Roman" w:cs="Times New Roman"/>
          <w:sz w:val="24"/>
          <w:szCs w:val="24"/>
        </w:rPr>
        <w:t xml:space="preserve">gadam” jaunus valsts galvojumus neparedzēja, taču noteica, ka saskaņā ar </w:t>
      </w:r>
      <w:hyperlink r:id="rId24" w:tgtFrame="_blank" w:history="1">
        <w:r w:rsidRPr="005E1888">
          <w:rPr>
            <w:rFonts w:ascii="Times New Roman" w:eastAsia="Times New Roman" w:hAnsi="Times New Roman" w:cs="Times New Roman"/>
            <w:sz w:val="24"/>
            <w:szCs w:val="24"/>
          </w:rPr>
          <w:t>Lauksaimniecības un lauku attīstības likumu</w:t>
        </w:r>
      </w:hyperlink>
      <w:r w:rsidRPr="005E1888">
        <w:rPr>
          <w:rFonts w:ascii="Times New Roman" w:eastAsia="Times New Roman" w:hAnsi="Times New Roman" w:cs="Times New Roman"/>
          <w:sz w:val="24"/>
          <w:szCs w:val="24"/>
        </w:rPr>
        <w:t xml:space="preserve"> un </w:t>
      </w:r>
      <w:hyperlink r:id="rId25" w:tgtFrame="_blank" w:history="1">
        <w:r w:rsidRPr="005E1888">
          <w:rPr>
            <w:rFonts w:ascii="Times New Roman" w:eastAsia="Times New Roman" w:hAnsi="Times New Roman" w:cs="Times New Roman"/>
            <w:sz w:val="24"/>
            <w:szCs w:val="24"/>
          </w:rPr>
          <w:t>Attīstības finanšu institūcijas likumu</w:t>
        </w:r>
      </w:hyperlink>
      <w:r w:rsidR="0061132A">
        <w:rPr>
          <w:rFonts w:ascii="Times New Roman" w:eastAsia="Times New Roman" w:hAnsi="Times New Roman" w:cs="Times New Roman"/>
          <w:sz w:val="24"/>
          <w:szCs w:val="24"/>
        </w:rPr>
        <w:t>,</w:t>
      </w:r>
      <w:r w:rsidRPr="005E1888">
        <w:rPr>
          <w:rFonts w:ascii="Times New Roman" w:eastAsia="Times New Roman" w:hAnsi="Times New Roman" w:cs="Times New Roman"/>
          <w:sz w:val="24"/>
          <w:szCs w:val="24"/>
        </w:rPr>
        <w:t xml:space="preserve"> valsts 270,0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xml:space="preserve"> apmērā atbild par </w:t>
      </w:r>
      <w:r>
        <w:rPr>
          <w:rFonts w:ascii="Times New Roman" w:eastAsia="Times New Roman" w:hAnsi="Times New Roman" w:cs="Times New Roman"/>
          <w:sz w:val="24"/>
          <w:szCs w:val="24"/>
        </w:rPr>
        <w:t>ALTUM</w:t>
      </w:r>
      <w:r w:rsidRPr="005E1888">
        <w:rPr>
          <w:rFonts w:ascii="Times New Roman" w:eastAsia="Times New Roman" w:hAnsi="Times New Roman" w:cs="Times New Roman"/>
          <w:sz w:val="24"/>
          <w:szCs w:val="24"/>
        </w:rPr>
        <w:t xml:space="preserve">  izsniegtajām garantijām.</w:t>
      </w:r>
    </w:p>
    <w:p w14:paraId="06335EBB" w14:textId="77777777" w:rsidR="005E1888" w:rsidRPr="005E1888" w:rsidRDefault="005E1888" w:rsidP="005E1888">
      <w:pPr>
        <w:spacing w:after="0" w:line="240" w:lineRule="auto"/>
        <w:ind w:firstLine="709"/>
        <w:jc w:val="both"/>
        <w:rPr>
          <w:rFonts w:ascii="Times New Roman" w:eastAsia="Times New Roman" w:hAnsi="Times New Roman" w:cs="Times New Roman"/>
          <w:bCs/>
          <w:sz w:val="24"/>
          <w:szCs w:val="24"/>
          <w:lang w:eastAsia="lv-LV"/>
        </w:rPr>
      </w:pPr>
      <w:r w:rsidRPr="005E1888">
        <w:rPr>
          <w:rFonts w:ascii="Times New Roman" w:eastAsia="Times New Roman" w:hAnsi="Times New Roman" w:cs="Times New Roman"/>
          <w:sz w:val="24"/>
          <w:szCs w:val="24"/>
          <w:lang w:eastAsia="lv-LV"/>
        </w:rPr>
        <w:t>V</w:t>
      </w:r>
      <w:r w:rsidRPr="005E1888">
        <w:rPr>
          <w:rFonts w:ascii="Times New Roman" w:eastAsia="Times New Roman" w:hAnsi="Times New Roman" w:cs="Times New Roman"/>
          <w:sz w:val="24"/>
          <w:szCs w:val="24"/>
        </w:rPr>
        <w:t xml:space="preserve">alsts galvojumu apmērs 2019.gada beigās bija 731,0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xml:space="preserve">, ko veidoja izmaksātā, bet vēl neatmaksātā valsts galvotā aizdevuma daļa 515,7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lang w:eastAsia="lv-LV"/>
        </w:rPr>
        <w:t xml:space="preserve"> </w:t>
      </w:r>
      <w:r w:rsidRPr="005E1888">
        <w:rPr>
          <w:rFonts w:ascii="Times New Roman" w:eastAsia="Times New Roman" w:hAnsi="Times New Roman" w:cs="Times New Roman"/>
          <w:sz w:val="24"/>
          <w:szCs w:val="24"/>
        </w:rPr>
        <w:t>un neizmaksātā valsts galvotā aizdevuma daļa 215,3 milj. </w:t>
      </w:r>
      <w:r w:rsidRPr="005E1888">
        <w:rPr>
          <w:rFonts w:ascii="Times New Roman" w:eastAsia="Times New Roman" w:hAnsi="Times New Roman" w:cs="Times New Roman"/>
          <w:bCs/>
          <w:i/>
          <w:sz w:val="24"/>
          <w:szCs w:val="24"/>
          <w:lang w:eastAsia="lv-LV"/>
        </w:rPr>
        <w:t>euro</w:t>
      </w:r>
      <w:r w:rsidRPr="005E1888">
        <w:rPr>
          <w:rFonts w:ascii="Times New Roman" w:eastAsia="Times New Roman" w:hAnsi="Times New Roman" w:cs="Times New Roman"/>
          <w:bCs/>
          <w:sz w:val="24"/>
          <w:szCs w:val="24"/>
          <w:lang w:eastAsia="lv-LV"/>
        </w:rPr>
        <w:t xml:space="preserve">. </w:t>
      </w:r>
    </w:p>
    <w:p w14:paraId="7BC5DB23" w14:textId="21298813" w:rsidR="005E1888" w:rsidRPr="005E1888" w:rsidRDefault="005E1888" w:rsidP="005E1888">
      <w:pPr>
        <w:spacing w:after="0" w:line="240" w:lineRule="auto"/>
        <w:ind w:firstLine="709"/>
        <w:jc w:val="both"/>
        <w:rPr>
          <w:rFonts w:ascii="Times New Roman" w:eastAsia="Times New Roman" w:hAnsi="Times New Roman" w:cs="Times New Roman"/>
          <w:bCs/>
          <w:sz w:val="24"/>
          <w:szCs w:val="24"/>
          <w:lang w:eastAsia="lv-LV"/>
        </w:rPr>
      </w:pPr>
      <w:r w:rsidRPr="005E1888">
        <w:rPr>
          <w:rFonts w:ascii="Times New Roman" w:eastAsia="Times New Roman" w:hAnsi="Times New Roman" w:cs="Times New Roman"/>
          <w:bCs/>
          <w:sz w:val="24"/>
          <w:szCs w:val="24"/>
          <w:lang w:eastAsia="lv-LV"/>
        </w:rPr>
        <w:t xml:space="preserve">Kopējais valsts galvoto aizdevumu atlikums 2019.gada beigās bija 515,7 milj. </w:t>
      </w:r>
      <w:r w:rsidRPr="005E1888">
        <w:rPr>
          <w:rFonts w:ascii="Times New Roman" w:eastAsia="Times New Roman" w:hAnsi="Times New Roman" w:cs="Times New Roman"/>
          <w:bCs/>
          <w:i/>
          <w:sz w:val="24"/>
          <w:szCs w:val="24"/>
          <w:lang w:eastAsia="lv-LV"/>
        </w:rPr>
        <w:t>euro</w:t>
      </w:r>
      <w:r w:rsidRPr="005E1888">
        <w:rPr>
          <w:rFonts w:ascii="Times New Roman" w:eastAsia="Times New Roman" w:hAnsi="Times New Roman" w:cs="Times New Roman"/>
          <w:bCs/>
          <w:sz w:val="24"/>
          <w:szCs w:val="24"/>
          <w:lang w:eastAsia="lv-LV"/>
        </w:rPr>
        <w:t xml:space="preserve"> jeb 1,7% no IKP (sk</w:t>
      </w:r>
      <w:r>
        <w:rPr>
          <w:rFonts w:ascii="Times New Roman" w:eastAsia="Times New Roman" w:hAnsi="Times New Roman" w:cs="Times New Roman"/>
          <w:bCs/>
          <w:sz w:val="24"/>
          <w:szCs w:val="24"/>
          <w:lang w:eastAsia="lv-LV"/>
        </w:rPr>
        <w:t>at</w:t>
      </w:r>
      <w:r w:rsidRPr="005E1888">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3.</w:t>
      </w:r>
      <w:r w:rsidR="009D7C7E">
        <w:rPr>
          <w:rFonts w:ascii="Times New Roman" w:eastAsia="Times New Roman" w:hAnsi="Times New Roman" w:cs="Times New Roman"/>
          <w:bCs/>
          <w:sz w:val="24"/>
          <w:szCs w:val="24"/>
          <w:lang w:eastAsia="lv-LV"/>
        </w:rPr>
        <w:t>10</w:t>
      </w:r>
      <w:r w:rsidRPr="005E1888">
        <w:rPr>
          <w:rFonts w:ascii="Times New Roman" w:eastAsia="Times New Roman" w:hAnsi="Times New Roman" w:cs="Times New Roman"/>
          <w:bCs/>
          <w:sz w:val="24"/>
          <w:szCs w:val="24"/>
          <w:lang w:eastAsia="lv-LV"/>
        </w:rPr>
        <w:t xml:space="preserve">.attēlu), kas ir par 38,1 milj. </w:t>
      </w:r>
      <w:r w:rsidRPr="005E1888">
        <w:rPr>
          <w:rFonts w:ascii="Times New Roman" w:eastAsia="Times New Roman" w:hAnsi="Times New Roman" w:cs="Times New Roman"/>
          <w:bCs/>
          <w:i/>
          <w:sz w:val="24"/>
          <w:szCs w:val="24"/>
          <w:lang w:eastAsia="lv-LV"/>
        </w:rPr>
        <w:t>euro</w:t>
      </w:r>
      <w:r w:rsidRPr="005E1888">
        <w:rPr>
          <w:rFonts w:ascii="Times New Roman" w:eastAsia="Times New Roman" w:hAnsi="Times New Roman" w:cs="Times New Roman"/>
          <w:bCs/>
          <w:sz w:val="24"/>
          <w:szCs w:val="24"/>
          <w:lang w:eastAsia="lv-LV"/>
        </w:rPr>
        <w:t xml:space="preserve"> vairāk nekā 2018.gada beigās. 2019.gadā, tāpat kā 2018.gadā, jauni valsts galvojumi tika sniegti tikai studiju un studējošo kreditēšanas programmas nodrošināšanai. </w:t>
      </w:r>
    </w:p>
    <w:p w14:paraId="18050652" w14:textId="77777777" w:rsidR="00174158" w:rsidRPr="005E1888" w:rsidRDefault="00174158" w:rsidP="00174158">
      <w:pPr>
        <w:spacing w:after="0" w:line="240" w:lineRule="auto"/>
        <w:ind w:firstLine="567"/>
        <w:jc w:val="both"/>
        <w:rPr>
          <w:rFonts w:ascii="Times New Roman" w:eastAsia="Times New Roman" w:hAnsi="Times New Roman" w:cs="Times New Roman"/>
          <w:sz w:val="24"/>
          <w:szCs w:val="24"/>
        </w:rPr>
      </w:pPr>
      <w:r w:rsidRPr="005E1888">
        <w:rPr>
          <w:rFonts w:ascii="Times New Roman" w:eastAsia="Times New Roman" w:hAnsi="Times New Roman" w:cs="Times New Roman"/>
          <w:sz w:val="24"/>
          <w:szCs w:val="24"/>
        </w:rPr>
        <w:t xml:space="preserve">Valsts galvoto aizdevumu portfelī lielāko apjomu veido valsts galvojumi par valsts ALTUM saistībām valsts atbalsta programmu īstenošanai (275,9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xml:space="preserve">), ārstniecības iestāžu galvoto aizdevumu saistības (134,2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un valsts galvojumi studējošo un studiju kreditēšanai (73,8 milj.</w:t>
      </w:r>
      <w:r>
        <w:rPr>
          <w:rFonts w:ascii="Times New Roman" w:eastAsia="Times New Roman" w:hAnsi="Times New Roman" w:cs="Times New Roman"/>
          <w:sz w:val="24"/>
          <w:szCs w:val="24"/>
        </w:rPr>
        <w:t xml:space="preserve">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Turpmāk paredzams, ka arvien lielāks īpatsvars galvoto aizdevumu portfelī būs mazo un vidējo uzņēmumu atbalstam un citu valsts atbalsta programmu īstenošanai.</w:t>
      </w:r>
    </w:p>
    <w:p w14:paraId="7074B82F" w14:textId="77777777" w:rsidR="005E1888" w:rsidRPr="005E1888" w:rsidRDefault="005E1888" w:rsidP="005E1888">
      <w:pPr>
        <w:spacing w:after="0" w:line="240" w:lineRule="auto"/>
        <w:ind w:firstLine="720"/>
        <w:jc w:val="both"/>
        <w:rPr>
          <w:rFonts w:ascii="Times New Roman" w:eastAsia="Times New Roman" w:hAnsi="Times New Roman" w:cs="Times New Roman"/>
          <w:sz w:val="24"/>
          <w:szCs w:val="24"/>
        </w:rPr>
      </w:pPr>
    </w:p>
    <w:p w14:paraId="48CAE79F" w14:textId="77777777" w:rsidR="005E1888" w:rsidRPr="005E1888" w:rsidRDefault="005E1888" w:rsidP="005E1888">
      <w:pPr>
        <w:spacing w:after="0" w:line="240" w:lineRule="auto"/>
        <w:jc w:val="center"/>
        <w:rPr>
          <w:rFonts w:ascii="Times New Roman" w:eastAsia="Times New Roman" w:hAnsi="Times New Roman" w:cs="Times New Roman"/>
          <w:sz w:val="24"/>
          <w:szCs w:val="24"/>
        </w:rPr>
      </w:pPr>
      <w:r w:rsidRPr="005E1888">
        <w:rPr>
          <w:rFonts w:ascii="Times New Roman" w:eastAsia="Times New Roman" w:hAnsi="Times New Roman" w:cs="Times New Roman"/>
          <w:noProof/>
          <w:sz w:val="24"/>
          <w:szCs w:val="24"/>
          <w:lang w:eastAsia="lv-LV"/>
        </w:rPr>
        <w:drawing>
          <wp:inline distT="0" distB="0" distL="0" distR="0" wp14:anchorId="52325959" wp14:editId="709A8FA9">
            <wp:extent cx="4809216" cy="2140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1265" cy="2146010"/>
                    </a:xfrm>
                    <a:prstGeom prst="rect">
                      <a:avLst/>
                    </a:prstGeom>
                    <a:noFill/>
                  </pic:spPr>
                </pic:pic>
              </a:graphicData>
            </a:graphic>
          </wp:inline>
        </w:drawing>
      </w:r>
    </w:p>
    <w:p w14:paraId="2B24A50A" w14:textId="359864A5" w:rsidR="005E1888" w:rsidRPr="005E1888" w:rsidRDefault="005E1888" w:rsidP="005E1888">
      <w:pPr>
        <w:spacing w:after="0" w:line="240" w:lineRule="auto"/>
        <w:jc w:val="center"/>
        <w:rPr>
          <w:rFonts w:ascii="Times New Roman" w:eastAsia="Times New Roman" w:hAnsi="Times New Roman" w:cs="Times New Roman"/>
          <w:sz w:val="24"/>
          <w:szCs w:val="24"/>
          <w:lang w:eastAsia="lv-LV"/>
        </w:rPr>
      </w:pPr>
      <w:r w:rsidRPr="009D7C7E">
        <w:rPr>
          <w:rFonts w:ascii="Times New Roman" w:eastAsia="Times New Roman" w:hAnsi="Times New Roman" w:cs="Times New Roman"/>
          <w:b/>
          <w:bCs/>
          <w:sz w:val="24"/>
          <w:szCs w:val="24"/>
        </w:rPr>
        <w:t>3.</w:t>
      </w:r>
      <w:r w:rsidR="009D7C7E" w:rsidRPr="009D7C7E">
        <w:rPr>
          <w:rFonts w:ascii="Times New Roman" w:eastAsia="Times New Roman" w:hAnsi="Times New Roman" w:cs="Times New Roman"/>
          <w:b/>
          <w:bCs/>
          <w:sz w:val="24"/>
          <w:szCs w:val="24"/>
        </w:rPr>
        <w:t>10</w:t>
      </w:r>
      <w:r w:rsidRPr="009D7C7E">
        <w:rPr>
          <w:rFonts w:ascii="Times New Roman" w:eastAsia="Times New Roman" w:hAnsi="Times New Roman" w:cs="Times New Roman"/>
          <w:b/>
          <w:bCs/>
          <w:sz w:val="24"/>
          <w:szCs w:val="24"/>
        </w:rPr>
        <w:t>.attēls.</w:t>
      </w:r>
      <w:r w:rsidRPr="005E1888">
        <w:rPr>
          <w:rFonts w:ascii="Times New Roman" w:eastAsia="Times New Roman" w:hAnsi="Times New Roman" w:cs="Times New Roman"/>
          <w:b/>
          <w:bCs/>
          <w:sz w:val="24"/>
          <w:szCs w:val="24"/>
        </w:rPr>
        <w:t xml:space="preserve"> Valsts galvoto aizdevumu atlikums attiecīgā gada beigās (milj. </w:t>
      </w:r>
      <w:r w:rsidRPr="005E1888">
        <w:rPr>
          <w:rFonts w:ascii="Times New Roman" w:eastAsia="Times New Roman" w:hAnsi="Times New Roman" w:cs="Times New Roman"/>
          <w:b/>
          <w:bCs/>
          <w:i/>
          <w:sz w:val="24"/>
          <w:szCs w:val="24"/>
        </w:rPr>
        <w:t>euro</w:t>
      </w:r>
      <w:r w:rsidRPr="005E1888">
        <w:rPr>
          <w:rFonts w:ascii="Times New Roman" w:eastAsia="Times New Roman" w:hAnsi="Times New Roman" w:cs="Times New Roman"/>
          <w:b/>
          <w:bCs/>
          <w:sz w:val="24"/>
          <w:szCs w:val="24"/>
        </w:rPr>
        <w:t>)</w:t>
      </w:r>
    </w:p>
    <w:p w14:paraId="37DC4826" w14:textId="77777777" w:rsidR="005E1888" w:rsidRPr="005E1888" w:rsidRDefault="005E1888" w:rsidP="005E1888">
      <w:pPr>
        <w:spacing w:after="0" w:line="240" w:lineRule="auto"/>
        <w:jc w:val="both"/>
        <w:rPr>
          <w:rFonts w:ascii="Times New Roman" w:eastAsia="Times New Roman" w:hAnsi="Times New Roman" w:cs="Times New Roman"/>
          <w:sz w:val="24"/>
          <w:szCs w:val="24"/>
          <w:lang w:eastAsia="lv-LV"/>
        </w:rPr>
      </w:pPr>
    </w:p>
    <w:p w14:paraId="2F2681AE" w14:textId="77777777" w:rsidR="005E1888" w:rsidRPr="005E1888" w:rsidRDefault="005E1888" w:rsidP="005E1888">
      <w:pPr>
        <w:spacing w:after="0" w:line="240" w:lineRule="auto"/>
        <w:ind w:firstLine="567"/>
        <w:jc w:val="both"/>
        <w:rPr>
          <w:rFonts w:ascii="Times New Roman" w:eastAsia="Times New Roman" w:hAnsi="Times New Roman" w:cs="Times New Roman"/>
          <w:sz w:val="24"/>
          <w:szCs w:val="24"/>
        </w:rPr>
      </w:pPr>
      <w:r w:rsidRPr="005E1888">
        <w:rPr>
          <w:rFonts w:ascii="Times New Roman" w:eastAsia="Times New Roman" w:hAnsi="Times New Roman" w:cs="Times New Roman"/>
          <w:sz w:val="24"/>
          <w:szCs w:val="24"/>
        </w:rPr>
        <w:t xml:space="preserve">Pastāvot varbūtībai, ka riskantāko valsts galvoto aizdevumu saistības vai to daļa varētu netikt izpildītas noteiktajā termiņā, likumā “Par valsts budžetu 2020.gadam” noteiktas valdības rīcības pieļaujamās robežas, lai segtu izdevumus, kas var rasties, pildot uz valsts budžetu attiecināmās valsts galvotā parāda saistības. Izvērtējot aizņēmēju finansiālo stāvokli, līdzšinējo kredītvēsturi, nodrošinājuma likviditāti un apjomu, kā arī citu pieejamo informāciju, valdības rīcības pieļaujamās robežas riskanto valsts galvoto aizdevumu saistību izpildei 2020.gadā ir noteiktas 2,1 milj. </w:t>
      </w:r>
      <w:r w:rsidRPr="005E1888">
        <w:rPr>
          <w:rFonts w:ascii="Times New Roman" w:eastAsia="Times New Roman" w:hAnsi="Times New Roman" w:cs="Times New Roman"/>
          <w:i/>
          <w:sz w:val="24"/>
          <w:szCs w:val="24"/>
        </w:rPr>
        <w:t>euro</w:t>
      </w:r>
      <w:r w:rsidRPr="005E1888">
        <w:rPr>
          <w:rFonts w:ascii="Times New Roman" w:eastAsia="Times New Roman" w:hAnsi="Times New Roman" w:cs="Times New Roman"/>
          <w:sz w:val="24"/>
          <w:szCs w:val="24"/>
        </w:rPr>
        <w:t xml:space="preserve"> apmērā. </w:t>
      </w:r>
    </w:p>
    <w:p w14:paraId="008169A5" w14:textId="388BD641" w:rsidR="00A96310" w:rsidRDefault="005E1888" w:rsidP="00A332B4">
      <w:pPr>
        <w:spacing w:after="0" w:line="240" w:lineRule="auto"/>
        <w:ind w:firstLine="567"/>
        <w:jc w:val="both"/>
        <w:rPr>
          <w:rFonts w:ascii="Times New Roman" w:eastAsia="Times New Roman" w:hAnsi="Times New Roman" w:cs="Times New Roman"/>
          <w:sz w:val="24"/>
          <w:szCs w:val="24"/>
        </w:rPr>
      </w:pPr>
      <w:r w:rsidRPr="005E1888">
        <w:rPr>
          <w:rFonts w:ascii="Times New Roman" w:eastAsia="Times New Roman" w:hAnsi="Times New Roman" w:cs="Times New Roman"/>
          <w:sz w:val="24"/>
          <w:szCs w:val="24"/>
        </w:rPr>
        <w:t>Šobrīd pasaules ekonomiku ir skāris satricinājums, ko izraisījis koronavīruss Covid-19. Covid-19 ietekmē Pasaules Veselības organizācija 2020.gada 11.martā izsludināja pandēmiju, kā rezultātā 2020.gada 12.martā visā Latvijas Republikas teritorijā tika izsludināta ārkārtējā situācija ar mērķi ierobežot Covid-19 vīrusa izplatību. Šī vīrusa izplatības ierobežošanas rezultātā būtiski pasliktinājusies finanšu situācija daudzās nozarēs ne tikai Latvijā, bet arī pasaules mērogā, tādēļ pastāv risks, ka valsts galvojuma saņēmējiem radīsies finanšu grūtības, lai segtu uzņemtās saistības, t.sk. Latvijas Republikas kā Ziemeļu Investīciju bankas Eiropas Investīciju bankas dalībvalsts galvoto Ziemeļu Investīciju bankas un Eiropas Investīciju bankas izsniegto investīciju aizdevumu saņēmējiem. Neskatoties uz to, ka pašreizējā tirgus prakse liecina, ka komercbankas piedāvā dažādus atvieglojumus (kredītbrīvdienas, samazinātas procentu likmes), šobrīd nav iespējams novērtēt, kādu ietekmi šī vīrusa radītā krīze atstās uz valsts izsniegtajiem galvojumiem. Līdz šim arī nav saņemta informācija no galvojumu saņēmējiem par iespējamo krīzes ietekmi.</w:t>
      </w:r>
    </w:p>
    <w:p w14:paraId="36641524" w14:textId="412A8D14" w:rsidR="009D2D01" w:rsidRPr="00A332B4" w:rsidRDefault="00A96310" w:rsidP="00A9631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FBE8214" w14:textId="3B51CFAC" w:rsidR="005536A9" w:rsidRDefault="00B94BCB" w:rsidP="00B74B22">
      <w:pPr>
        <w:pStyle w:val="Heading1"/>
        <w:numPr>
          <w:ilvl w:val="0"/>
          <w:numId w:val="10"/>
        </w:numPr>
        <w:ind w:left="284" w:hanging="283"/>
        <w:jc w:val="center"/>
        <w:rPr>
          <w:rFonts w:ascii="Times New Roman" w:hAnsi="Times New Roman" w:cs="Times New Roman"/>
          <w:sz w:val="32"/>
        </w:rPr>
      </w:pPr>
      <w:bookmarkStart w:id="48" w:name="_Toc38887981"/>
      <w:r w:rsidRPr="00416B51">
        <w:rPr>
          <w:rFonts w:ascii="Times New Roman" w:hAnsi="Times New Roman" w:cs="Times New Roman"/>
          <w:sz w:val="32"/>
        </w:rPr>
        <w:t>Valsts finanšu kvalitāte</w:t>
      </w:r>
      <w:bookmarkEnd w:id="48"/>
    </w:p>
    <w:p w14:paraId="4A9140BD" w14:textId="77777777" w:rsidR="00095171" w:rsidRPr="00416B51" w:rsidRDefault="00A307A3" w:rsidP="00A307A3">
      <w:pPr>
        <w:pStyle w:val="Heading2"/>
        <w:numPr>
          <w:ilvl w:val="0"/>
          <w:numId w:val="0"/>
        </w:numPr>
        <w:spacing w:after="240" w:line="240" w:lineRule="auto"/>
        <w:ind w:left="709"/>
        <w:rPr>
          <w:rFonts w:ascii="Times New Roman" w:hAnsi="Times New Roman" w:cs="Times New Roman"/>
          <w:sz w:val="24"/>
        </w:rPr>
      </w:pPr>
      <w:bookmarkStart w:id="49" w:name="_Toc510790667"/>
      <w:bookmarkStart w:id="50" w:name="_Toc5627374"/>
      <w:bookmarkStart w:id="51" w:name="_Toc38887982"/>
      <w:r w:rsidRPr="00416B51">
        <w:rPr>
          <w:rFonts w:ascii="Times New Roman" w:hAnsi="Times New Roman" w:cs="Times New Roman"/>
          <w:sz w:val="24"/>
        </w:rPr>
        <w:t xml:space="preserve">4.1. </w:t>
      </w:r>
      <w:bookmarkEnd w:id="49"/>
      <w:bookmarkEnd w:id="50"/>
      <w:r w:rsidR="00B94BCB" w:rsidRPr="00416B51">
        <w:rPr>
          <w:rFonts w:ascii="Times New Roman" w:hAnsi="Times New Roman" w:cs="Times New Roman"/>
          <w:sz w:val="24"/>
        </w:rPr>
        <w:t>Valsts budžeta līdzekļu efektivitāte un izlietojuma kontrole</w:t>
      </w:r>
      <w:bookmarkEnd w:id="51"/>
    </w:p>
    <w:p w14:paraId="36F18D5B" w14:textId="77777777" w:rsidR="00416B51" w:rsidRPr="007D4AE9" w:rsidRDefault="00416B51" w:rsidP="00416B51">
      <w:pPr>
        <w:pStyle w:val="Default"/>
        <w:ind w:firstLine="720"/>
        <w:jc w:val="both"/>
        <w:rPr>
          <w:color w:val="auto"/>
        </w:rPr>
      </w:pPr>
      <w:r w:rsidRPr="007D4AE9">
        <w:t>Valsts budžeta izstrādāšanas, apstiprināšanas un izpildes kārtību un atbildību budžeta procesā nosaka LBFV.</w:t>
      </w:r>
    </w:p>
    <w:p w14:paraId="6BC89EE5" w14:textId="77777777" w:rsidR="00416B51" w:rsidRPr="007D4AE9" w:rsidRDefault="00416B51" w:rsidP="00416B51">
      <w:pPr>
        <w:pStyle w:val="Default"/>
        <w:ind w:firstLine="720"/>
        <w:jc w:val="both"/>
      </w:pPr>
      <w:r w:rsidRPr="007D4AE9">
        <w:t xml:space="preserve">Saskaņā ar LBFV finanšu ministrs nodrošina gadskārtējā valsts budžeta likuma projekta izstrādi, </w:t>
      </w:r>
      <w:r w:rsidRPr="007D4AE9">
        <w:rPr>
          <w:color w:val="auto"/>
        </w:rPr>
        <w:t xml:space="preserve">pamatojoties uz </w:t>
      </w:r>
      <w:r w:rsidRPr="003C7327">
        <w:rPr>
          <w:color w:val="000000" w:themeColor="text1"/>
        </w:rPr>
        <w:t>Ietvara</w:t>
      </w:r>
      <w:r w:rsidRPr="007D4AE9">
        <w:rPr>
          <w:color w:val="auto"/>
        </w:rPr>
        <w:t xml:space="preserve"> likumu un budžeta pieprasījumiem. Finanšu ministrs izvērtē budžeta pieprasījumu atbilstību </w:t>
      </w:r>
      <w:r w:rsidRPr="003C7327">
        <w:rPr>
          <w:color w:val="000000" w:themeColor="text1"/>
        </w:rPr>
        <w:t>Ietvara</w:t>
      </w:r>
      <w:r w:rsidRPr="007D4AE9">
        <w:rPr>
          <w:color w:val="auto"/>
        </w:rPr>
        <w:t xml:space="preserve"> likumā noteiktajiem budžeta mērķiem un prioritārajiem attīstības virzieniem, kā arī ekonomiskuma un efektivitātes principiem un, ja nepieciešams, pieprasa papildu informāciju. Pamatojoties uz izvērtējumu</w:t>
      </w:r>
      <w:r w:rsidRPr="007D4AE9">
        <w:t xml:space="preserve"> un sniegto informāciju, finanšu ministrs līdz gadskārtējā valsts budžeta likuma projekta iesniegšanai MK pieņem lēmumu par budžeta pieprasījumu iekļaušanu gadskārtējā valsts budžeta likuma projektā. Finanšu ministrs jebkurā valsts budžeta likuma projekta izskatīšanas stadijā var izteikt savu viedokli, pievienot nepieciešamos atzinumus, kā arī atsevišķu revīziju rezultātus.</w:t>
      </w:r>
    </w:p>
    <w:p w14:paraId="0A849D66" w14:textId="77777777" w:rsidR="00416B51" w:rsidRPr="007D4AE9" w:rsidRDefault="00416B51" w:rsidP="00416B51">
      <w:pPr>
        <w:pStyle w:val="Default"/>
        <w:ind w:firstLine="720"/>
        <w:jc w:val="both"/>
        <w:rPr>
          <w:color w:val="auto"/>
        </w:rPr>
      </w:pPr>
      <w:r w:rsidRPr="007D4AE9">
        <w:rPr>
          <w:color w:val="auto"/>
        </w:rPr>
        <w:t>Finanšu ministrs</w:t>
      </w:r>
      <w:r w:rsidRPr="007D4AE9">
        <w:t xml:space="preserve"> arī </w:t>
      </w:r>
      <w:r w:rsidRPr="007D4AE9">
        <w:rPr>
          <w:color w:val="auto"/>
        </w:rPr>
        <w:t>ir atbildīgs</w:t>
      </w:r>
      <w:r w:rsidRPr="007D4AE9">
        <w:t xml:space="preserve"> par valsts budžeta izpildes procesa organizāciju un vadību, </w:t>
      </w:r>
      <w:r w:rsidRPr="007D4AE9">
        <w:rPr>
          <w:color w:val="auto"/>
        </w:rPr>
        <w:t>kā arī VK darbības uzraudzību atbilstoši LBFV prasībām.</w:t>
      </w:r>
    </w:p>
    <w:p w14:paraId="1C96FC3E" w14:textId="77777777" w:rsidR="00416B51" w:rsidRPr="007D4AE9" w:rsidRDefault="00416B51" w:rsidP="00416B51">
      <w:pPr>
        <w:pStyle w:val="Default"/>
        <w:ind w:firstLine="720"/>
        <w:jc w:val="both"/>
      </w:pPr>
      <w:r w:rsidRPr="007D4AE9">
        <w:t>Finanšu ministrs gadskārtējā valsts budžeta likumprojekta vai tā grozījumu izstrādes procesa laikā informē Saeimas Budžeta un finanšu (nodokļu) komisiju par valsts budžeta plānošanas gaitu, kā arī ne retāk kā reizi ceturksnī – par valsts budžeta izpildes gaitu.</w:t>
      </w:r>
    </w:p>
    <w:p w14:paraId="6757941D" w14:textId="77777777" w:rsidR="00416B51" w:rsidRPr="007D4AE9" w:rsidRDefault="00416B51" w:rsidP="00416B51">
      <w:pPr>
        <w:pStyle w:val="Default"/>
        <w:ind w:firstLine="720"/>
        <w:jc w:val="both"/>
      </w:pPr>
      <w:r w:rsidRPr="007D4AE9">
        <w:rPr>
          <w:color w:val="auto"/>
        </w:rPr>
        <w:t>Sa</w:t>
      </w:r>
      <w:r w:rsidRPr="007D4AE9">
        <w:t xml:space="preserve">skaņā ar LBFV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 </w:t>
      </w:r>
    </w:p>
    <w:p w14:paraId="25DA0237" w14:textId="77777777" w:rsidR="00416B51" w:rsidRPr="007D4AE9" w:rsidRDefault="00416B51" w:rsidP="00416B51">
      <w:pPr>
        <w:pStyle w:val="Default"/>
        <w:ind w:firstLine="720"/>
        <w:jc w:val="both"/>
      </w:pPr>
      <w:r w:rsidRPr="007D4AE9">
        <w:rPr>
          <w:color w:val="auto"/>
        </w:rPr>
        <w:t xml:space="preserve">Sākot ar 2016.gada 1.janvāri LBFV ir iekļauta norma, kas paredz MK nodrošināt pastāvīgu un sistemātisku valsts budžeta izdevumu pārskatīšanu, ļaujot efektīvāk un ekonomiskāk īstenot valsts politiku, kā arī optimizēt budžeta izdevumus un izvērtēt to atbilstību attīstības plānošanas dokumentos noteiktajām prioritātēm un mērķiem. </w:t>
      </w:r>
      <w:r w:rsidRPr="007D4AE9">
        <w:t xml:space="preserve">MK ik gadu pieņem lēmumu par valsts budžeta izdevumu pārskatīšanas tvērumu vienlaikus ar budžeta sagatavošanas grafika apstiprināšanu. Savukārt finanšu ministrs atbilstoši minētajam grafikam iesniedz MK valsts budžeta izdevumu pārskatīšanas rezultātus un priekšlikumus par šo rezultātu izmantošanu </w:t>
      </w:r>
      <w:r w:rsidRPr="003C7327">
        <w:rPr>
          <w:color w:val="000000" w:themeColor="text1"/>
        </w:rPr>
        <w:t>Ietvara</w:t>
      </w:r>
      <w:r w:rsidRPr="007D4AE9">
        <w:t xml:space="preserve"> likuma projekta un gadskārtējā valsts budžeta likuma projekta izstrādes procesā.</w:t>
      </w:r>
    </w:p>
    <w:p w14:paraId="3793BE1D" w14:textId="15D5D920" w:rsidR="00416B51" w:rsidRPr="000774C9" w:rsidRDefault="00416B51" w:rsidP="00416B51">
      <w:pPr>
        <w:pStyle w:val="Default"/>
        <w:ind w:firstLine="720"/>
        <w:jc w:val="both"/>
      </w:pPr>
      <w:r w:rsidRPr="00255E55">
        <w:t xml:space="preserve">Tvērumā 2020.gadam ietverti trīs tematiskie bloki, kas paredz valsts budžeta finansēto funkciju fundamentālu analīzi, nozaru ministriju pārraudzībā esošo finansēšanas politiku analīzi un vidēja termiņa izdevumu pārskatīšanas rezultātu analīzi (skat. </w:t>
      </w:r>
      <w:r>
        <w:t>4</w:t>
      </w:r>
      <w:r w:rsidRPr="00255E55">
        <w:t>.1.attēlā).</w:t>
      </w:r>
    </w:p>
    <w:p w14:paraId="39F138F9" w14:textId="1CE8085F" w:rsidR="00416B51" w:rsidRPr="00754704" w:rsidRDefault="00416B51" w:rsidP="00416B51">
      <w:pPr>
        <w:pStyle w:val="Default"/>
        <w:jc w:val="center"/>
        <w:rPr>
          <w:sz w:val="28"/>
          <w:szCs w:val="28"/>
          <w:highlight w:val="yellow"/>
        </w:rPr>
      </w:pPr>
      <w:r w:rsidRPr="00754704">
        <w:rPr>
          <w:noProof/>
        </w:rPr>
        <w:drawing>
          <wp:inline distT="0" distB="0" distL="0" distR="0" wp14:anchorId="4AC83AF8" wp14:editId="7E8B2810">
            <wp:extent cx="5274310" cy="33870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387021"/>
                    </a:xfrm>
                    <a:prstGeom prst="rect">
                      <a:avLst/>
                    </a:prstGeom>
                    <a:noFill/>
                    <a:ln>
                      <a:noFill/>
                    </a:ln>
                  </pic:spPr>
                </pic:pic>
              </a:graphicData>
            </a:graphic>
          </wp:inline>
        </w:drawing>
      </w:r>
      <w:r>
        <w:rPr>
          <w:b/>
        </w:rPr>
        <w:t>4</w:t>
      </w:r>
      <w:r w:rsidRPr="00A34A50">
        <w:rPr>
          <w:b/>
        </w:rPr>
        <w:t>.1.attēls: Izdevu</w:t>
      </w:r>
      <w:r w:rsidR="0011360C">
        <w:rPr>
          <w:b/>
        </w:rPr>
        <w:t>mu pārskatīšanas tvērums 2020.g</w:t>
      </w:r>
      <w:r w:rsidRPr="00A34A50">
        <w:rPr>
          <w:b/>
        </w:rPr>
        <w:t>adam.</w:t>
      </w:r>
    </w:p>
    <w:p w14:paraId="76238B82" w14:textId="77777777" w:rsidR="00416B51" w:rsidRDefault="00416B51" w:rsidP="00416B51">
      <w:pPr>
        <w:pStyle w:val="Default"/>
        <w:ind w:firstLine="720"/>
        <w:jc w:val="both"/>
        <w:rPr>
          <w:sz w:val="28"/>
          <w:szCs w:val="28"/>
        </w:rPr>
      </w:pPr>
    </w:p>
    <w:p w14:paraId="4CABFF60" w14:textId="77777777" w:rsidR="00416B51" w:rsidRPr="007D4AE9" w:rsidRDefault="00416B51" w:rsidP="00416B51">
      <w:pPr>
        <w:pStyle w:val="Default"/>
        <w:ind w:firstLine="720"/>
        <w:jc w:val="both"/>
        <w:rPr>
          <w:color w:val="auto"/>
        </w:rPr>
      </w:pPr>
      <w:r w:rsidRPr="007D4AE9">
        <w:t>Valsts budžetu veido</w:t>
      </w:r>
      <w:r w:rsidRPr="007D4AE9">
        <w:rPr>
          <w:color w:val="auto"/>
        </w:rPr>
        <w:t xml:space="preserve"> budžeta programmas, kuru struktūru nosaka institūcijas darbības stratēģijā definētie darbības (rīcības) virzieni vai ministrijas vai citas centrālās valsts iestādes nolikumā noteiktās funkcijas. Tādējādi tiek veidota sasaiste budžeta izstrādei ar politikas plānošanu, jo viens no institūciju darbības stratēģijas uzdevumiem vidējā termiņā ir panākt, ka budžeta programmas nodrošina attīstības plānošanas dokumentos izvirzīto mērķu un plānoto rezultātu un to rezultatīvo rādītāju sasniegšanu. Ministrijas un citas centrālās valsts iestādes katru gadu iekļauj budžeta pieprasījumos valsts budžeta programmu darbības rezultātus, kurus</w:t>
      </w:r>
      <w:r w:rsidRPr="007D4AE9">
        <w:t xml:space="preserve"> </w:t>
      </w:r>
      <w:r w:rsidRPr="007D4AE9">
        <w:rPr>
          <w:color w:val="auto"/>
        </w:rPr>
        <w:t xml:space="preserve">pēc iespējas veido attīstības plānošanas dokumentos plānotie darbības rezultāti un to rezultatīvie rādītāji. </w:t>
      </w:r>
      <w:r>
        <w:rPr>
          <w:color w:val="auto"/>
        </w:rPr>
        <w:t>P</w:t>
      </w:r>
      <w:r w:rsidRPr="007D4AE9">
        <w:rPr>
          <w:color w:val="auto"/>
        </w:rPr>
        <w:t>ilnveido</w:t>
      </w:r>
      <w:r>
        <w:rPr>
          <w:color w:val="auto"/>
        </w:rPr>
        <w:t>jot</w:t>
      </w:r>
      <w:r w:rsidRPr="007D4AE9">
        <w:rPr>
          <w:color w:val="auto"/>
        </w:rPr>
        <w:t xml:space="preserve"> budžeta paskaidrojumu saturu ar mērķi sniegt informāciju par valsts budžetu kā politikas realizācijas instrumentu</w:t>
      </w:r>
      <w:r>
        <w:rPr>
          <w:color w:val="auto"/>
        </w:rPr>
        <w:t xml:space="preserve"> un </w:t>
      </w:r>
      <w:r w:rsidRPr="007D4AE9">
        <w:rPr>
          <w:color w:val="auto"/>
        </w:rPr>
        <w:t>palielin</w:t>
      </w:r>
      <w:r>
        <w:rPr>
          <w:color w:val="auto"/>
        </w:rPr>
        <w:t>āt</w:t>
      </w:r>
      <w:r w:rsidRPr="007D4AE9">
        <w:rPr>
          <w:color w:val="auto"/>
        </w:rPr>
        <w:t xml:space="preserve"> budžeta paskaidrojumos esošās informācijas uztveramību</w:t>
      </w:r>
      <w:r>
        <w:rPr>
          <w:color w:val="auto"/>
        </w:rPr>
        <w:t xml:space="preserve"> – tika ieviestas</w:t>
      </w:r>
      <w:r w:rsidRPr="007D4AE9">
        <w:rPr>
          <w:color w:val="auto"/>
        </w:rPr>
        <w:t xml:space="preserve"> Politikas un resursu vadības kar</w:t>
      </w:r>
      <w:r>
        <w:rPr>
          <w:color w:val="auto"/>
        </w:rPr>
        <w:t xml:space="preserve">tes, </w:t>
      </w:r>
      <w:r w:rsidRPr="007D4AE9">
        <w:rPr>
          <w:color w:val="auto"/>
        </w:rPr>
        <w:t>kur</w:t>
      </w:r>
      <w:r>
        <w:rPr>
          <w:color w:val="auto"/>
        </w:rPr>
        <w:t>as</w:t>
      </w:r>
      <w:r w:rsidRPr="007D4AE9">
        <w:rPr>
          <w:color w:val="auto"/>
        </w:rPr>
        <w:t xml:space="preserve"> snie</w:t>
      </w:r>
      <w:r>
        <w:rPr>
          <w:color w:val="auto"/>
        </w:rPr>
        <w:t>dz</w:t>
      </w:r>
      <w:r w:rsidRPr="007D4AE9">
        <w:rPr>
          <w:color w:val="auto"/>
        </w:rPr>
        <w:t xml:space="preserve"> </w:t>
      </w:r>
      <w:r>
        <w:rPr>
          <w:color w:val="auto"/>
        </w:rPr>
        <w:t xml:space="preserve">padziļinātu </w:t>
      </w:r>
      <w:r w:rsidRPr="007D4AE9">
        <w:rPr>
          <w:color w:val="auto"/>
        </w:rPr>
        <w:t>priekšstat</w:t>
      </w:r>
      <w:r>
        <w:rPr>
          <w:color w:val="auto"/>
        </w:rPr>
        <w:t>u</w:t>
      </w:r>
      <w:r w:rsidRPr="007D4AE9">
        <w:rPr>
          <w:color w:val="auto"/>
        </w:rPr>
        <w:t xml:space="preserve"> par nozaru politiku rezultātu sasniegšanā ieguldītajiem resursiem (finanšu un cilvēkresursiem) un par nozares darbības rezultātā sniegto labumu sabiedrībai.</w:t>
      </w:r>
    </w:p>
    <w:p w14:paraId="7D70D72B" w14:textId="77777777" w:rsidR="00416B51" w:rsidRPr="007D4AE9" w:rsidRDefault="00416B51" w:rsidP="00416B51">
      <w:pPr>
        <w:pStyle w:val="Default"/>
        <w:ind w:firstLine="720"/>
        <w:jc w:val="both"/>
        <w:rPr>
          <w:color w:val="auto"/>
        </w:rPr>
      </w:pPr>
      <w:r w:rsidRPr="007D4AE9">
        <w:rPr>
          <w:color w:val="auto"/>
        </w:rPr>
        <w:t>Papildus pilnveido</w:t>
      </w:r>
      <w:r>
        <w:rPr>
          <w:color w:val="auto"/>
        </w:rPr>
        <w:t>tais</w:t>
      </w:r>
      <w:r w:rsidRPr="007D4AE9">
        <w:rPr>
          <w:color w:val="auto"/>
        </w:rPr>
        <w:t xml:space="preserve"> budžeta formāts ir devis iespēju interaktīvā un uzskatāmā veidā informēt Latvijas iedzīvotājus par to, kādās jomās un kādā apmērā tiek ieguldīta nodokļu maksātāju nauda un kādi rezultāti sagaidāmi. Ikvienam interesentam FM tīmekļvietnē ir pieejama: </w:t>
      </w:r>
    </w:p>
    <w:p w14:paraId="6CFB8FE5" w14:textId="77777777" w:rsidR="00416B51" w:rsidRPr="007D4AE9" w:rsidRDefault="00416B51" w:rsidP="00416B51">
      <w:pPr>
        <w:pStyle w:val="Default"/>
        <w:numPr>
          <w:ilvl w:val="0"/>
          <w:numId w:val="33"/>
        </w:numPr>
        <w:ind w:left="993"/>
        <w:jc w:val="both"/>
      </w:pPr>
      <w:r w:rsidRPr="007D4AE9">
        <w:t>interaktīvā budžeta infografika, kas ļauj lietotājam iepazīties ar deviņām budžeta ieguldījuma jomām (piemēram, veselība, izglītība, sociālā aizsardzība u.c.) un tām novirzīto finansējumu, kā arī uzzināt detalizētu informāciju par ieguldījuma virzieniem katrā no nozarēm un finansējuma avotiem. Papildus tiek sniegta informācija par rezultātiem, kuri sagaidāmi no valsts budžeta finansējuma ieguldīšanas attiecīgajā jomā;</w:t>
      </w:r>
    </w:p>
    <w:p w14:paraId="09CC2707" w14:textId="77777777" w:rsidR="00416B51" w:rsidRPr="007D4AE9" w:rsidRDefault="00416B51" w:rsidP="00416B51">
      <w:pPr>
        <w:pStyle w:val="Default"/>
        <w:numPr>
          <w:ilvl w:val="0"/>
          <w:numId w:val="33"/>
        </w:numPr>
        <w:ind w:left="993"/>
        <w:jc w:val="both"/>
      </w:pPr>
      <w:r w:rsidRPr="007D4AE9">
        <w:t xml:space="preserve">vizualizēti ministriju un citu centrālo valsts iestāžu budžeti gan kopsavilkumā, gan detalizēti. Lietotājs var iepazīties ar ministriju un citu centrālo valsts iestāžu darbības jomām un tām novirzīto finansējumu, kā arī gūt priekšstatu par nozares darbības rezultātā sniegto labumu sabiedrībai. Tas tiek atspoguļots politikas un resursu vadības kartēs, kurās vienkopus ir sniegta iespējami aptveroša un raksturojoša informācija par nozares darbu attiecīgajā jomā – mērķis, tā sasniegšanā ieguldāmie resursi (angļu val. – </w:t>
      </w:r>
      <w:r w:rsidRPr="007D4AE9">
        <w:rPr>
          <w:i/>
        </w:rPr>
        <w:t>inputs</w:t>
      </w:r>
      <w:r w:rsidRPr="007D4AE9">
        <w:t xml:space="preserve">), sagaidāmie darbības rezultāti (angļu val. – </w:t>
      </w:r>
      <w:r w:rsidRPr="007D4AE9">
        <w:rPr>
          <w:i/>
        </w:rPr>
        <w:t>outputs</w:t>
      </w:r>
      <w:r w:rsidRPr="007D4AE9">
        <w:t xml:space="preserve">) un augstākā līmeņa sasniedzamie nozaru politikas un kvalitātes rādītāji (angļu val. – </w:t>
      </w:r>
      <w:r w:rsidRPr="007D4AE9">
        <w:rPr>
          <w:i/>
        </w:rPr>
        <w:t>outcomes</w:t>
      </w:r>
      <w:r w:rsidRPr="007D4AE9">
        <w:t>).</w:t>
      </w:r>
    </w:p>
    <w:p w14:paraId="7801DB21" w14:textId="77777777" w:rsidR="00416B51" w:rsidRPr="007D4AE9" w:rsidRDefault="00416B51" w:rsidP="00416B51">
      <w:pPr>
        <w:pStyle w:val="Default"/>
        <w:ind w:firstLine="720"/>
        <w:jc w:val="both"/>
        <w:rPr>
          <w:color w:val="auto"/>
        </w:rPr>
      </w:pPr>
      <w:r w:rsidRPr="007D4AE9">
        <w:rPr>
          <w:color w:val="auto"/>
        </w:rPr>
        <w:t>Sagatavojot pārskatu par valsts budžeta izpildes analīzi, ministrijas un citas centrālās valsts iestādes sniedz skaidrojumus par iepriekš plānotajiem rezultātiem un to rezultatīvajiem rādītājiem, to izpildi gada laikā, kā arī par rezultatīvo rādītāju vērtību izpildes novirzēm no plānotajām rezultatīvo rādītāju vērtībām, kas pārsniedz 15</w:t>
      </w:r>
      <w:r>
        <w:rPr>
          <w:color w:val="auto"/>
        </w:rPr>
        <w:t> </w:t>
      </w:r>
      <w:r w:rsidRPr="007D4AE9">
        <w:rPr>
          <w:color w:val="auto"/>
        </w:rPr>
        <w:t>procentus (gan pozitīvā, gan negatīvā nozīmē). FM apkopo, izvērtē un nodrošina gan Politikas un resursu vadības kartēs norādīto rezultātu un to rezultatīvo rādītāju, gan valsts budžeta programmu (apakšprogrammu) darbības rezultātu un to rezultatīvo rādītāju uzkrāšanu.</w:t>
      </w:r>
    </w:p>
    <w:p w14:paraId="7A408BE7" w14:textId="77777777" w:rsidR="00416B51" w:rsidRPr="007D4AE9" w:rsidRDefault="00416B51" w:rsidP="00416B51">
      <w:pPr>
        <w:pStyle w:val="Default"/>
        <w:ind w:firstLine="720"/>
        <w:jc w:val="both"/>
      </w:pPr>
      <w:r w:rsidRPr="007D4AE9">
        <w:t>LBFV nosaka sekojošus valsts budžeta izpildes organizatoriskos aspektus:</w:t>
      </w:r>
    </w:p>
    <w:p w14:paraId="19441422" w14:textId="77777777" w:rsidR="00416B51" w:rsidRPr="007D4AE9" w:rsidRDefault="00416B51" w:rsidP="00416B51">
      <w:pPr>
        <w:pStyle w:val="Default"/>
        <w:numPr>
          <w:ilvl w:val="0"/>
          <w:numId w:val="33"/>
        </w:numPr>
        <w:ind w:left="993"/>
        <w:jc w:val="both"/>
        <w:rPr>
          <w:color w:val="auto"/>
        </w:rPr>
      </w:pPr>
      <w:r w:rsidRPr="007D4AE9">
        <w:t xml:space="preserve">valsts budžeta izpildītāji var veikt valsts budžeta izdevumus vai uzņemties īstermiņa saistības tikai to finansēšanas plānos noteikto asignējumu ietvaros, kurus izsniedz VK. Savukārt VK piešķir asignējumus izdevumiem saskaņā ar gadskārtējā valsts budžeta likumā noteikto apropriāciju un nodrošina to izpildi MK noteiktajā kārtībā. </w:t>
      </w:r>
      <w:r w:rsidRPr="007D4AE9">
        <w:rPr>
          <w:color w:val="auto"/>
        </w:rPr>
        <w:t>Ministrijas un citas centrālās valsts iestādes ir atbildīgas par gadskārtējā valsts budžeta likumā noteiktās apropriācijas izpildes kontroles sistēmas izveidi un par VK norēķinu kontos ieskaitīto valsts budžeta līdzekļu izlietojuma kontroli atbilstoši paredzētajiem mērķiem;</w:t>
      </w:r>
    </w:p>
    <w:p w14:paraId="63C50F87" w14:textId="77777777" w:rsidR="00416B51" w:rsidRPr="007D4AE9" w:rsidRDefault="00416B51" w:rsidP="00416B51">
      <w:pPr>
        <w:pStyle w:val="Default"/>
        <w:numPr>
          <w:ilvl w:val="0"/>
          <w:numId w:val="33"/>
        </w:numPr>
        <w:ind w:left="993"/>
        <w:jc w:val="both"/>
      </w:pPr>
      <w:r w:rsidRPr="007D4AE9">
        <w:t>budžeta iestādes var uzņemties valsts budžeta ilgtermiņa saistības, nepārsniedzot saimnieciskā gada valsts budžeta likumā noteiktos valsts budžeta ilgtermiņa saistību maksimāli pieļaujamos apjomus;</w:t>
      </w:r>
    </w:p>
    <w:p w14:paraId="19F18A35" w14:textId="77777777" w:rsidR="00416B51" w:rsidRPr="007D4AE9" w:rsidRDefault="00416B51" w:rsidP="00416B51">
      <w:pPr>
        <w:pStyle w:val="Default"/>
        <w:numPr>
          <w:ilvl w:val="0"/>
          <w:numId w:val="33"/>
        </w:numPr>
        <w:ind w:left="993"/>
        <w:jc w:val="both"/>
        <w:rPr>
          <w:color w:val="auto"/>
        </w:rPr>
      </w:pPr>
      <w:r w:rsidRPr="007D4AE9">
        <w:rPr>
          <w:color w:val="auto"/>
        </w:rPr>
        <w:t>valsts budžeta iestādes asignējumu saņemšanai un izdevumu veikšanai no valsts budžeta līdzekļiem atver valsts pamatbudžeta un valsts speciālā budžeta kontus tikai VK. Budžeta nefinansētas iestādes atver norēķinu kontus tikai VK. Valsts budžeta līdzekļu saņemšanai un no tiem finansēto izdevumu izdarīšanai budžeta finansētas institūcijas (izņemot valsts budžeta iestādes) atver norēķinu kontus tikai VK, ja citos normatīvajos aktos nav noteikts citādi. Pašvaldības, no valsts budžeta daļēji finansētas atvasinātas publiskas personas un kapitālsabiedrības, kurās ieguldīta valsts vai pašvaldību kapitāla daļa, var atvērt norēķinu kontus VK naudas līdzekļiem, kuri nav saņemti no valsts budžeta;</w:t>
      </w:r>
    </w:p>
    <w:p w14:paraId="624FD6C3" w14:textId="77777777" w:rsidR="00416B51" w:rsidRPr="007D4AE9" w:rsidRDefault="00416B51" w:rsidP="00416B51">
      <w:pPr>
        <w:pStyle w:val="Default"/>
        <w:numPr>
          <w:ilvl w:val="0"/>
          <w:numId w:val="33"/>
        </w:numPr>
        <w:ind w:left="993"/>
        <w:jc w:val="both"/>
      </w:pPr>
      <w:r w:rsidRPr="007D4AE9">
        <w:t>ministrijas un citas centrālās valsts budžeta iestādes un pašvaldības MK noteiktajā kārtībā sagatavo un iesniedz VK ceturkšņa pārskatus, savukārt, VK kārto valsts budžeta finanšu uzskaiti. VK sagatavo regulārus oficiālos un operatīvos pārskatus un sniedz informāciju par valsts un pašvaldību budžetu izpildi, nodrošinot FM, citu iestāžu, kā arī sabiedrības informēšanu par budžeta izpildes gaitu.</w:t>
      </w:r>
    </w:p>
    <w:p w14:paraId="2BEEE9EE" w14:textId="77777777" w:rsidR="00416B51" w:rsidRPr="007D4AE9" w:rsidRDefault="00416B51" w:rsidP="00416B51">
      <w:pPr>
        <w:pStyle w:val="Default"/>
        <w:jc w:val="both"/>
      </w:pPr>
    </w:p>
    <w:p w14:paraId="0791294E" w14:textId="77777777" w:rsidR="00416B51" w:rsidRPr="007D4AE9" w:rsidRDefault="00416B51" w:rsidP="00416B51">
      <w:pPr>
        <w:pStyle w:val="Default"/>
        <w:ind w:firstLine="720"/>
        <w:jc w:val="both"/>
        <w:rPr>
          <w:color w:val="auto"/>
        </w:rPr>
      </w:pPr>
      <w:r w:rsidRPr="007D4AE9">
        <w:rPr>
          <w:color w:val="auto"/>
        </w:rPr>
        <w:t>Lai stiprinātu līdzekļu izlietojuma kontroles iespējas, LBFV ir ietverta norma, kas nosaka, ka finanšu ministram ir tiesības dot rīkojumu VK aizkavēt vai samazināt asignējumu noteiktam periodam, ja finanšu ministrs ir saņēmis rakstveida ziņojumu par vismaz viena šāda nosacījuma iestāšanos:</w:t>
      </w:r>
    </w:p>
    <w:p w14:paraId="66EA40A4" w14:textId="22460C40" w:rsidR="00416B51" w:rsidRPr="007D4AE9" w:rsidRDefault="00416B51" w:rsidP="00416B51">
      <w:pPr>
        <w:pStyle w:val="Default"/>
        <w:numPr>
          <w:ilvl w:val="0"/>
          <w:numId w:val="34"/>
        </w:numPr>
        <w:ind w:left="993"/>
        <w:jc w:val="both"/>
        <w:rPr>
          <w:color w:val="auto"/>
        </w:rPr>
      </w:pPr>
      <w:r w:rsidRPr="007D4AE9">
        <w:rPr>
          <w:color w:val="auto"/>
        </w:rPr>
        <w:t>triju mēnešu periodā valsts budžeta nodokļu un ne</w:t>
      </w:r>
      <w:r w:rsidR="006F38BE">
        <w:rPr>
          <w:color w:val="auto"/>
        </w:rPr>
        <w:t>-</w:t>
      </w:r>
      <w:r w:rsidRPr="007D4AE9">
        <w:rPr>
          <w:color w:val="auto"/>
        </w:rPr>
        <w:t>nodokļu faktiskie ieņēmumi attiecībā pret attiecīgajā periodā paredzētajiem ieņēmumie</w:t>
      </w:r>
      <w:r>
        <w:rPr>
          <w:color w:val="auto"/>
        </w:rPr>
        <w:t>m samazinās vairāk nekā par 0,5</w:t>
      </w:r>
      <w:r w:rsidRPr="007D4AE9">
        <w:rPr>
          <w:color w:val="auto"/>
        </w:rPr>
        <w:t>% no gadskārtējā valsts budžeta likumā noteiktās IKP prognozes vai faktiskais uzkrātais valsts budžeta finansiālais deficīts triju mēnešu periodā pārsniedz attiecīgajam periodam paredzēto valsts budžeta finansiā</w:t>
      </w:r>
      <w:r>
        <w:rPr>
          <w:color w:val="auto"/>
        </w:rPr>
        <w:t>lo deficītu vairāk nekā par 0,5</w:t>
      </w:r>
      <w:r w:rsidRPr="007D4AE9">
        <w:rPr>
          <w:color w:val="auto"/>
        </w:rPr>
        <w:t>% no gadskārtējā valsts budžeta likumā noteiktās IKP prognozes, vai VK budžeta kontos nav pietiekama līdzekļu apjoma, lai segtu nākamajam mēnesim plānotās maksājumu saistības;</w:t>
      </w:r>
    </w:p>
    <w:p w14:paraId="43BED355" w14:textId="77777777" w:rsidR="00416B51" w:rsidRPr="007D4AE9" w:rsidRDefault="00416B51" w:rsidP="00416B51">
      <w:pPr>
        <w:pStyle w:val="Default"/>
        <w:numPr>
          <w:ilvl w:val="0"/>
          <w:numId w:val="34"/>
        </w:numPr>
        <w:ind w:left="993"/>
        <w:jc w:val="both"/>
        <w:rPr>
          <w:color w:val="auto"/>
        </w:rPr>
      </w:pPr>
      <w:r w:rsidRPr="007D4AE9">
        <w:rPr>
          <w:color w:val="auto"/>
        </w:rPr>
        <w:t>ja finanšu ministrs ir saņēmis rakstveida ziņojumu par šīs daļas 1.punktā minētā nosacījuma iestāšanos.</w:t>
      </w:r>
    </w:p>
    <w:p w14:paraId="0ABE321C" w14:textId="77777777" w:rsidR="00416B51" w:rsidRPr="007D4AE9" w:rsidRDefault="00416B51" w:rsidP="00416B51">
      <w:pPr>
        <w:pStyle w:val="Default"/>
        <w:ind w:left="993"/>
        <w:jc w:val="both"/>
        <w:rPr>
          <w:color w:val="auto"/>
        </w:rPr>
      </w:pPr>
    </w:p>
    <w:p w14:paraId="3D950190" w14:textId="77777777" w:rsidR="00416B51" w:rsidRPr="007D4AE9" w:rsidRDefault="00416B51" w:rsidP="00416B51">
      <w:pPr>
        <w:pStyle w:val="Default"/>
        <w:ind w:firstLine="720"/>
        <w:jc w:val="both"/>
        <w:rPr>
          <w:color w:val="auto"/>
        </w:rPr>
      </w:pPr>
      <w:r w:rsidRPr="007D4AE9">
        <w:rPr>
          <w:color w:val="auto"/>
        </w:rPr>
        <w:t xml:space="preserve">Galvenās LBFV noteiktās sankcijas par neatbilstošu rīcību ar budžeta līdzekļiem: </w:t>
      </w:r>
    </w:p>
    <w:p w14:paraId="1869BD4B" w14:textId="77777777" w:rsidR="00416B51" w:rsidRPr="007D4AE9" w:rsidRDefault="00416B51" w:rsidP="00416B51">
      <w:pPr>
        <w:pStyle w:val="Default"/>
        <w:numPr>
          <w:ilvl w:val="0"/>
          <w:numId w:val="30"/>
        </w:numPr>
        <w:ind w:left="993" w:hanging="357"/>
        <w:jc w:val="both"/>
        <w:rPr>
          <w:color w:val="auto"/>
        </w:rPr>
      </w:pPr>
      <w:r w:rsidRPr="007D4AE9">
        <w:rPr>
          <w:color w:val="auto"/>
        </w:rPr>
        <w:t>par valsts budžetam pienākošos summu nesavlaicīgu vai nepilnīgu iemaksu VK budžeta kontos – VK (ja tas nav paredzēts citas valsts institūcijas kompetencē) piedzen iemaksāšanai pamatbudžeta ieņēmumos neiemaksāto summu un v</w:t>
      </w:r>
      <w:r>
        <w:rPr>
          <w:color w:val="auto"/>
        </w:rPr>
        <w:t>ar piedzīt nokavējuma naudu 0,1</w:t>
      </w:r>
      <w:r w:rsidRPr="007D4AE9">
        <w:rPr>
          <w:color w:val="auto"/>
        </w:rPr>
        <w:t>%</w:t>
      </w:r>
      <w:r>
        <w:rPr>
          <w:color w:val="auto"/>
        </w:rPr>
        <w:t xml:space="preserve"> </w:t>
      </w:r>
      <w:r w:rsidRPr="007D4AE9">
        <w:rPr>
          <w:color w:val="auto"/>
        </w:rPr>
        <w:t xml:space="preserve">apmērā no laikā nenomaksātās summas par katru nokavēto maksājuma dienu, ja normatīvajos aktos nav noteikta cita kārtība; </w:t>
      </w:r>
    </w:p>
    <w:p w14:paraId="2B8FA0C4" w14:textId="77777777" w:rsidR="00416B51" w:rsidRPr="007D4AE9" w:rsidRDefault="00416B51" w:rsidP="00416B51">
      <w:pPr>
        <w:pStyle w:val="Default"/>
        <w:numPr>
          <w:ilvl w:val="0"/>
          <w:numId w:val="30"/>
        </w:numPr>
        <w:ind w:left="993"/>
        <w:jc w:val="both"/>
        <w:rPr>
          <w:color w:val="auto"/>
        </w:rPr>
      </w:pPr>
      <w:r w:rsidRPr="007D4AE9">
        <w:rPr>
          <w:color w:val="auto"/>
        </w:rPr>
        <w:t xml:space="preserve">lai segtu budžetam radušos zaudējumus, VK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 līdzekļi; ja budžeta finansētas institūcijas vadītājs ir uzņēmies saistības, pārsniedzot VK sniegto asignējumu; </w:t>
      </w:r>
    </w:p>
    <w:p w14:paraId="401753B9" w14:textId="77777777" w:rsidR="00416B51" w:rsidRPr="007D4AE9" w:rsidRDefault="00416B51" w:rsidP="00416B51">
      <w:pPr>
        <w:pStyle w:val="Default"/>
        <w:numPr>
          <w:ilvl w:val="0"/>
          <w:numId w:val="30"/>
        </w:numPr>
        <w:ind w:left="993"/>
        <w:jc w:val="both"/>
        <w:rPr>
          <w:color w:val="auto"/>
        </w:rPr>
      </w:pPr>
      <w:r w:rsidRPr="007D4AE9">
        <w:rPr>
          <w:color w:val="auto"/>
        </w:rPr>
        <w:t xml:space="preserve">ja budžeta finansētas institūcijas, budžeta nefinansētas iestādes un pašvaldības, kā arī kapitālsabiedrības, kurās ir ieguldīta valsts vai pašvaldību kapitāla daļa, ir pārkāpušas LBFV paredzētos finanšu vadības noteikumus, finanšu ministrs, VK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 </w:t>
      </w:r>
    </w:p>
    <w:p w14:paraId="59F3B5D9" w14:textId="77777777" w:rsidR="00416B51" w:rsidRPr="007D4AE9" w:rsidRDefault="00416B51" w:rsidP="00416B51">
      <w:pPr>
        <w:pStyle w:val="Default"/>
        <w:numPr>
          <w:ilvl w:val="0"/>
          <w:numId w:val="30"/>
        </w:numPr>
        <w:ind w:left="993"/>
        <w:jc w:val="both"/>
        <w:rPr>
          <w:color w:val="auto"/>
        </w:rPr>
      </w:pPr>
      <w:r w:rsidRPr="007D4AE9">
        <w:rPr>
          <w:color w:val="auto"/>
        </w:rPr>
        <w:t xml:space="preserve">VK atbilstoši Pašvaldību finanšu izlīdzināšanas likumam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 </w:t>
      </w:r>
    </w:p>
    <w:p w14:paraId="75943745" w14:textId="77777777" w:rsidR="00416B51" w:rsidRPr="007D4AE9" w:rsidRDefault="00416B51" w:rsidP="00416B51">
      <w:pPr>
        <w:pStyle w:val="Default"/>
        <w:jc w:val="both"/>
        <w:rPr>
          <w:color w:val="auto"/>
        </w:rPr>
      </w:pPr>
    </w:p>
    <w:p w14:paraId="5219526B" w14:textId="77777777" w:rsidR="00416B51" w:rsidRPr="007D4AE9" w:rsidRDefault="00416B51" w:rsidP="00416B51">
      <w:pPr>
        <w:pStyle w:val="Default"/>
        <w:ind w:firstLine="720"/>
        <w:jc w:val="both"/>
        <w:rPr>
          <w:color w:val="auto"/>
        </w:rPr>
      </w:pPr>
      <w:r w:rsidRPr="007D4AE9">
        <w:rPr>
          <w:color w:val="auto"/>
        </w:rPr>
        <w:t>Lai saglabātu vispārējo ekonomisko līdzsvaru un nodrošinātu vienotu valsts finansiālo politiku, gadskārtējā valsts budžeta likumā atsevišķi tiek noteikti pašvaldību aizņēmumu un galvojumu kopējā palielinājuma apjomi.</w:t>
      </w:r>
    </w:p>
    <w:p w14:paraId="307BB28E" w14:textId="77777777" w:rsidR="00416B51" w:rsidRPr="007D4AE9" w:rsidRDefault="00416B51" w:rsidP="00416B51">
      <w:pPr>
        <w:pStyle w:val="Default"/>
        <w:ind w:firstLine="720"/>
        <w:jc w:val="both"/>
        <w:rPr>
          <w:color w:val="auto"/>
        </w:rPr>
      </w:pPr>
      <w:r w:rsidRPr="007D4AE9">
        <w:rPr>
          <w:color w:val="auto"/>
        </w:rPr>
        <w:t xml:space="preserve">No summas, kas pašvaldībai pienākas no iedzīvotāju ienākuma nodokļa vai no pašvaldību finanšu izlīdzināšanas fonda dotācijas, VK ir tiesības ieturēt summas šādos gadījumos un šādā apmērā: </w:t>
      </w:r>
    </w:p>
    <w:p w14:paraId="147DC9B4" w14:textId="77777777" w:rsidR="00416B51" w:rsidRPr="007D4AE9" w:rsidRDefault="00416B51" w:rsidP="00416B51">
      <w:pPr>
        <w:pStyle w:val="Default"/>
        <w:numPr>
          <w:ilvl w:val="0"/>
          <w:numId w:val="32"/>
        </w:numPr>
        <w:ind w:left="993" w:hanging="357"/>
        <w:jc w:val="both"/>
        <w:rPr>
          <w:color w:val="auto"/>
        </w:rPr>
      </w:pPr>
      <w:r w:rsidRPr="007D4AE9">
        <w:rPr>
          <w:color w:val="auto"/>
        </w:rPr>
        <w:t xml:space="preserve">ja pašvaldība nenodrošina valsts aizdevumu līgumos noteikto saistību savlaicīgu izpildi – savlaicīgi nesamaksātās summas apmērā; </w:t>
      </w:r>
    </w:p>
    <w:p w14:paraId="38AFC93F" w14:textId="77777777" w:rsidR="00416B51" w:rsidRPr="007D4AE9" w:rsidRDefault="00416B51" w:rsidP="00416B51">
      <w:pPr>
        <w:pStyle w:val="Default"/>
        <w:numPr>
          <w:ilvl w:val="0"/>
          <w:numId w:val="31"/>
        </w:numPr>
        <w:ind w:left="993"/>
        <w:jc w:val="both"/>
        <w:rPr>
          <w:color w:val="auto"/>
        </w:rPr>
      </w:pPr>
      <w:r w:rsidRPr="007D4AE9">
        <w:rPr>
          <w:color w:val="auto"/>
        </w:rPr>
        <w:t>ja pašvaldība nenodrošina valsts aizdevuma izmantošanu atbilstoši aizdevumu līgumā noteiktajam mērķim – pēc finanšu ministra rīkojuma neatbilstoši līgumā noteiktajam mērķim izmantotās aizdevuma summas apmērā.</w:t>
      </w:r>
    </w:p>
    <w:p w14:paraId="416D6143" w14:textId="72043B82" w:rsidR="0049031F" w:rsidRDefault="0049031F" w:rsidP="00044EB5">
      <w:pPr>
        <w:autoSpaceDE w:val="0"/>
        <w:autoSpaceDN w:val="0"/>
        <w:adjustRightInd w:val="0"/>
        <w:spacing w:after="0" w:line="240" w:lineRule="auto"/>
        <w:jc w:val="both"/>
        <w:rPr>
          <w:rFonts w:ascii="Times New Roman" w:hAnsi="Times New Roman" w:cs="Times New Roman"/>
          <w:sz w:val="24"/>
          <w:szCs w:val="24"/>
          <w:highlight w:val="yellow"/>
        </w:rPr>
      </w:pPr>
    </w:p>
    <w:p w14:paraId="276BD0BB" w14:textId="77777777" w:rsidR="00416B51" w:rsidRPr="00D551C4" w:rsidRDefault="00416B51" w:rsidP="00044EB5">
      <w:pPr>
        <w:autoSpaceDE w:val="0"/>
        <w:autoSpaceDN w:val="0"/>
        <w:adjustRightInd w:val="0"/>
        <w:spacing w:after="0" w:line="240" w:lineRule="auto"/>
        <w:jc w:val="both"/>
        <w:rPr>
          <w:rFonts w:ascii="Times New Roman" w:hAnsi="Times New Roman" w:cs="Times New Roman"/>
          <w:sz w:val="24"/>
          <w:szCs w:val="24"/>
          <w:highlight w:val="yellow"/>
        </w:rPr>
      </w:pPr>
    </w:p>
    <w:p w14:paraId="1C390F93" w14:textId="77777777" w:rsidR="00095171" w:rsidRPr="00416B51" w:rsidRDefault="00A307A3" w:rsidP="00B74B22">
      <w:pPr>
        <w:pStyle w:val="Heading2"/>
        <w:numPr>
          <w:ilvl w:val="1"/>
          <w:numId w:val="11"/>
        </w:numPr>
        <w:spacing w:before="0" w:after="240" w:line="240" w:lineRule="auto"/>
        <w:ind w:left="1134" w:hanging="425"/>
        <w:rPr>
          <w:rFonts w:ascii="Times New Roman" w:hAnsi="Times New Roman" w:cs="Times New Roman"/>
          <w:sz w:val="24"/>
        </w:rPr>
      </w:pPr>
      <w:bookmarkStart w:id="52" w:name="_Toc510790668"/>
      <w:bookmarkStart w:id="53" w:name="_Toc5627375"/>
      <w:r w:rsidRPr="00416B51">
        <w:rPr>
          <w:rFonts w:ascii="Times New Roman" w:hAnsi="Times New Roman" w:cs="Times New Roman"/>
          <w:sz w:val="24"/>
        </w:rPr>
        <w:t xml:space="preserve"> </w:t>
      </w:r>
      <w:bookmarkStart w:id="54" w:name="_Toc38887983"/>
      <w:bookmarkEnd w:id="52"/>
      <w:bookmarkEnd w:id="53"/>
      <w:r w:rsidR="00B94BCB" w:rsidRPr="00416B51">
        <w:rPr>
          <w:rFonts w:ascii="Times New Roman" w:hAnsi="Times New Roman" w:cs="Times New Roman"/>
          <w:sz w:val="24"/>
        </w:rPr>
        <w:t>Ieņēmumu struktūras un sistēmas efektivitāte</w:t>
      </w:r>
      <w:bookmarkEnd w:id="54"/>
    </w:p>
    <w:p w14:paraId="24D3A20F" w14:textId="4D722EB3" w:rsidR="00A753EF" w:rsidRPr="00374BEB" w:rsidRDefault="00A753EF" w:rsidP="00374BEB">
      <w:pPr>
        <w:pStyle w:val="Heading3"/>
        <w:numPr>
          <w:ilvl w:val="2"/>
          <w:numId w:val="35"/>
        </w:numPr>
        <w:rPr>
          <w:rFonts w:ascii="Times New Roman" w:eastAsia="Times New Roman" w:hAnsi="Times New Roman" w:cs="Times New Roman"/>
          <w:sz w:val="24"/>
          <w:szCs w:val="24"/>
        </w:rPr>
      </w:pPr>
      <w:bookmarkStart w:id="55" w:name="_Toc38887984"/>
      <w:r w:rsidRPr="00374BEB">
        <w:rPr>
          <w:rFonts w:ascii="Times New Roman" w:eastAsia="Times New Roman" w:hAnsi="Times New Roman" w:cs="Times New Roman"/>
          <w:sz w:val="24"/>
          <w:szCs w:val="24"/>
        </w:rPr>
        <w:t>Stabilitātes programmas bāzes scenārija nodokļu ieņēmumu prognozes</w:t>
      </w:r>
      <w:bookmarkEnd w:id="55"/>
    </w:p>
    <w:p w14:paraId="65FCDD55" w14:textId="77777777" w:rsidR="00A753EF" w:rsidRPr="00A753EF" w:rsidRDefault="00A753EF" w:rsidP="00A753EF">
      <w:pPr>
        <w:spacing w:after="0" w:line="240" w:lineRule="auto"/>
        <w:rPr>
          <w:rFonts w:ascii="Times New Roman" w:eastAsia="Calibri" w:hAnsi="Times New Roman" w:cs="Times New Roman"/>
          <w:sz w:val="24"/>
          <w:highlight w:val="yellow"/>
        </w:rPr>
      </w:pPr>
    </w:p>
    <w:p w14:paraId="30C3F573" w14:textId="7480B3A6" w:rsidR="00A753EF" w:rsidRPr="00A753EF" w:rsidRDefault="0011360C" w:rsidP="00A753EF">
      <w:pPr>
        <w:spacing w:after="0" w:line="240" w:lineRule="auto"/>
        <w:ind w:firstLine="709"/>
        <w:jc w:val="both"/>
        <w:rPr>
          <w:rFonts w:ascii="Times New Roman" w:eastAsia="Times New Roman" w:hAnsi="Times New Roman" w:cs="Times New Roman"/>
          <w:sz w:val="24"/>
          <w:szCs w:val="28"/>
          <w:lang w:eastAsia="lv-LV"/>
        </w:rPr>
      </w:pPr>
      <w:r>
        <w:rPr>
          <w:rFonts w:ascii="Times New Roman" w:eastAsia="Times New Roman" w:hAnsi="Times New Roman" w:cs="Times New Roman"/>
          <w:sz w:val="24"/>
          <w:szCs w:val="28"/>
          <w:lang w:eastAsia="lv-LV"/>
        </w:rPr>
        <w:t>Ar 2018.gada 1.</w:t>
      </w:r>
      <w:r w:rsidR="00A753EF" w:rsidRPr="00A753EF">
        <w:rPr>
          <w:rFonts w:ascii="Times New Roman" w:eastAsia="Times New Roman" w:hAnsi="Times New Roman" w:cs="Times New Roman"/>
          <w:sz w:val="24"/>
          <w:szCs w:val="28"/>
          <w:lang w:eastAsia="lv-LV"/>
        </w:rPr>
        <w:t xml:space="preserve">janvāri stājās spēkā </w:t>
      </w:r>
      <w:r w:rsidR="00A753EF" w:rsidRPr="00A753EF">
        <w:rPr>
          <w:rFonts w:ascii="Times New Roman" w:eastAsia="Times New Roman" w:hAnsi="Times New Roman" w:cs="Times New Roman"/>
          <w:i/>
          <w:sz w:val="24"/>
          <w:szCs w:val="28"/>
          <w:lang w:eastAsia="lv-LV"/>
        </w:rPr>
        <w:t>Nodokļu reforma</w:t>
      </w:r>
      <w:r w:rsidR="00A753EF" w:rsidRPr="00A753EF">
        <w:rPr>
          <w:rFonts w:ascii="Times New Roman" w:eastAsia="Times New Roman" w:hAnsi="Times New Roman" w:cs="Times New Roman"/>
          <w:sz w:val="24"/>
          <w:szCs w:val="28"/>
          <w:lang w:eastAsia="lv-LV"/>
        </w:rPr>
        <w:t xml:space="preserve">. </w:t>
      </w:r>
      <w:r w:rsidR="00A753EF" w:rsidRPr="00A753EF">
        <w:rPr>
          <w:rFonts w:ascii="Times New Roman" w:eastAsia="Times New Roman" w:hAnsi="Times New Roman" w:cs="Times New Roman"/>
          <w:i/>
          <w:sz w:val="24"/>
          <w:szCs w:val="28"/>
          <w:lang w:eastAsia="lv-LV"/>
        </w:rPr>
        <w:t>Nodokļu reformas</w:t>
      </w:r>
      <w:r w:rsidR="00A753EF" w:rsidRPr="00A753EF">
        <w:rPr>
          <w:rFonts w:ascii="Times New Roman" w:eastAsia="Times New Roman" w:hAnsi="Times New Roman" w:cs="Times New Roman"/>
          <w:sz w:val="24"/>
          <w:szCs w:val="28"/>
          <w:lang w:eastAsia="lv-LV"/>
        </w:rPr>
        <w:t xml:space="preserve"> mērķis ir nodrošināt stabilu un prognozējamu nod</w:t>
      </w:r>
      <w:r>
        <w:rPr>
          <w:rFonts w:ascii="Times New Roman" w:eastAsia="Times New Roman" w:hAnsi="Times New Roman" w:cs="Times New Roman"/>
          <w:sz w:val="24"/>
          <w:szCs w:val="28"/>
          <w:lang w:eastAsia="lv-LV"/>
        </w:rPr>
        <w:t>okļu politiku vismaz līdz 2021.</w:t>
      </w:r>
      <w:r w:rsidR="00A753EF" w:rsidRPr="00A753EF">
        <w:rPr>
          <w:rFonts w:ascii="Times New Roman" w:eastAsia="Times New Roman" w:hAnsi="Times New Roman" w:cs="Times New Roman"/>
          <w:sz w:val="24"/>
          <w:szCs w:val="28"/>
          <w:lang w:eastAsia="lv-LV"/>
        </w:rPr>
        <w:t xml:space="preserve">gadam, līdz ar to 2019.gadā nozīmīgas papildu izmaiņas, kas stājās spēkā ar 2020.gadu, nodokļu politikā nav veiktas. Savukārt tās izmaiņas, kas veiktas pēc </w:t>
      </w:r>
      <w:r w:rsidR="00A753EF" w:rsidRPr="00A753EF">
        <w:rPr>
          <w:rFonts w:ascii="Times New Roman" w:eastAsia="Times New Roman" w:hAnsi="Times New Roman" w:cs="Times New Roman"/>
          <w:i/>
          <w:sz w:val="24"/>
          <w:szCs w:val="28"/>
          <w:lang w:eastAsia="lv-LV"/>
        </w:rPr>
        <w:t>Nodokļu reformas</w:t>
      </w:r>
      <w:r w:rsidR="00A753EF" w:rsidRPr="00A753EF">
        <w:rPr>
          <w:rFonts w:ascii="Times New Roman" w:eastAsia="Times New Roman" w:hAnsi="Times New Roman" w:cs="Times New Roman"/>
          <w:sz w:val="24"/>
          <w:szCs w:val="28"/>
          <w:lang w:eastAsia="lv-LV"/>
        </w:rPr>
        <w:t xml:space="preserve"> apstiprināšanas, klasificējamas kā uzlabošanas un pilnveidošanas pasākumi. </w:t>
      </w:r>
    </w:p>
    <w:p w14:paraId="68AC0202"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0"/>
          <w:highlight w:val="yellow"/>
        </w:rPr>
      </w:pPr>
      <w:r w:rsidRPr="00A753EF">
        <w:rPr>
          <w:rFonts w:ascii="Times New Roman" w:eastAsia="Times New Roman" w:hAnsi="Times New Roman" w:cs="Times New Roman"/>
          <w:sz w:val="24"/>
          <w:szCs w:val="20"/>
          <w:highlight w:val="yellow"/>
        </w:rPr>
        <w:t xml:space="preserve"> </w:t>
      </w:r>
    </w:p>
    <w:p w14:paraId="29D600A3" w14:textId="77777777" w:rsidR="00A753EF" w:rsidRPr="00A753EF" w:rsidRDefault="00A753EF" w:rsidP="00A753EF">
      <w:pPr>
        <w:keepNext/>
        <w:spacing w:before="120" w:after="60" w:line="240" w:lineRule="auto"/>
        <w:ind w:left="567"/>
        <w:jc w:val="right"/>
        <w:rPr>
          <w:rFonts w:ascii="Times New Roman" w:eastAsia="Times New Roman" w:hAnsi="Times New Roman" w:cs="Times New Roman"/>
          <w:b/>
          <w:sz w:val="24"/>
          <w:szCs w:val="20"/>
        </w:rPr>
      </w:pPr>
      <w:r w:rsidRPr="007F6EE6">
        <w:rPr>
          <w:rFonts w:ascii="Times New Roman" w:eastAsia="Times New Roman" w:hAnsi="Times New Roman" w:cs="Times New Roman"/>
          <w:b/>
          <w:sz w:val="24"/>
          <w:szCs w:val="20"/>
        </w:rPr>
        <w:t>4.1.tabula.</w:t>
      </w:r>
      <w:r w:rsidRPr="00A753EF">
        <w:rPr>
          <w:rFonts w:ascii="Times New Roman" w:eastAsia="Times New Roman" w:hAnsi="Times New Roman" w:cs="Times New Roman"/>
          <w:b/>
          <w:sz w:val="24"/>
          <w:szCs w:val="20"/>
        </w:rPr>
        <w:t xml:space="preserve"> Nodokļu ieņēmumi vispārējās valdības budžetā (S.13), milj. </w:t>
      </w:r>
      <w:r w:rsidRPr="00A753EF">
        <w:rPr>
          <w:rFonts w:ascii="Times New Roman" w:eastAsia="Times New Roman" w:hAnsi="Times New Roman" w:cs="Times New Roman"/>
          <w:b/>
          <w:i/>
          <w:sz w:val="24"/>
          <w:szCs w:val="24"/>
        </w:rPr>
        <w:t>euro</w:t>
      </w:r>
    </w:p>
    <w:tbl>
      <w:tblPr>
        <w:tblStyle w:val="GridTable6Colorful-Accent1"/>
        <w:tblW w:w="8430" w:type="dxa"/>
        <w:jc w:val="center"/>
        <w:tblLayout w:type="fixed"/>
        <w:tblLook w:val="04A0" w:firstRow="1" w:lastRow="0" w:firstColumn="1" w:lastColumn="0" w:noHBand="0" w:noVBand="1"/>
      </w:tblPr>
      <w:tblGrid>
        <w:gridCol w:w="2405"/>
        <w:gridCol w:w="1287"/>
        <w:gridCol w:w="921"/>
        <w:gridCol w:w="922"/>
        <w:gridCol w:w="1053"/>
        <w:gridCol w:w="921"/>
        <w:gridCol w:w="921"/>
      </w:tblGrid>
      <w:tr w:rsidR="0011360C" w:rsidRPr="0011360C" w14:paraId="0FC08917" w14:textId="77777777" w:rsidTr="0011360C">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405" w:type="dxa"/>
          </w:tcPr>
          <w:p w14:paraId="11E33500" w14:textId="77777777" w:rsidR="00A753EF" w:rsidRPr="0011360C" w:rsidRDefault="00A753EF" w:rsidP="00A753EF">
            <w:pPr>
              <w:rPr>
                <w:rFonts w:ascii="Times New Roman" w:eastAsia="Times New Roman" w:hAnsi="Times New Roman" w:cs="Times New Roman"/>
                <w:color w:val="000000" w:themeColor="text1"/>
                <w:sz w:val="20"/>
                <w:szCs w:val="20"/>
              </w:rPr>
            </w:pPr>
          </w:p>
        </w:tc>
        <w:tc>
          <w:tcPr>
            <w:tcW w:w="1287" w:type="dxa"/>
          </w:tcPr>
          <w:p w14:paraId="5474F4ED" w14:textId="77777777" w:rsidR="00A753EF" w:rsidRPr="0011360C" w:rsidRDefault="00A753EF" w:rsidP="00A753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Kods (EKS)</w:t>
            </w:r>
          </w:p>
        </w:tc>
        <w:tc>
          <w:tcPr>
            <w:tcW w:w="921" w:type="dxa"/>
          </w:tcPr>
          <w:p w14:paraId="25E4FD38" w14:textId="77777777" w:rsidR="00A753EF" w:rsidRPr="0011360C"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2019</w:t>
            </w:r>
          </w:p>
        </w:tc>
        <w:tc>
          <w:tcPr>
            <w:tcW w:w="922" w:type="dxa"/>
          </w:tcPr>
          <w:p w14:paraId="5CD30E01" w14:textId="77777777" w:rsidR="00A753EF" w:rsidRPr="0011360C"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2020</w:t>
            </w:r>
          </w:p>
        </w:tc>
        <w:tc>
          <w:tcPr>
            <w:tcW w:w="1053" w:type="dxa"/>
          </w:tcPr>
          <w:p w14:paraId="27CD3334" w14:textId="77777777" w:rsidR="00A753EF" w:rsidRPr="0011360C"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2021</w:t>
            </w:r>
          </w:p>
        </w:tc>
        <w:tc>
          <w:tcPr>
            <w:tcW w:w="921" w:type="dxa"/>
          </w:tcPr>
          <w:p w14:paraId="06320884" w14:textId="77777777" w:rsidR="00A753EF" w:rsidRPr="0011360C"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2022</w:t>
            </w:r>
          </w:p>
        </w:tc>
        <w:tc>
          <w:tcPr>
            <w:tcW w:w="921" w:type="dxa"/>
          </w:tcPr>
          <w:p w14:paraId="487D7363" w14:textId="77777777" w:rsidR="00A753EF" w:rsidRPr="0011360C"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2023</w:t>
            </w:r>
          </w:p>
        </w:tc>
      </w:tr>
      <w:tr w:rsidR="0011360C" w:rsidRPr="0011360C" w14:paraId="327C52A6" w14:textId="77777777" w:rsidTr="0011360C">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405" w:type="dxa"/>
          </w:tcPr>
          <w:p w14:paraId="6857EEF3" w14:textId="77777777" w:rsidR="00A753EF" w:rsidRPr="0011360C" w:rsidRDefault="00A753EF" w:rsidP="00A753EF">
            <w:pPr>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Nodokļu ieņēmumi</w:t>
            </w:r>
          </w:p>
        </w:tc>
        <w:tc>
          <w:tcPr>
            <w:tcW w:w="1287" w:type="dxa"/>
          </w:tcPr>
          <w:p w14:paraId="1076D7F1" w14:textId="77777777" w:rsidR="00A753EF" w:rsidRPr="0011360C" w:rsidRDefault="00A753EF" w:rsidP="00A753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921" w:type="dxa"/>
          </w:tcPr>
          <w:p w14:paraId="3A46EF19" w14:textId="77777777" w:rsidR="00A753EF" w:rsidRPr="0011360C" w:rsidRDefault="00A753EF" w:rsidP="00A753EF">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922" w:type="dxa"/>
          </w:tcPr>
          <w:p w14:paraId="4E4F74E9" w14:textId="77777777" w:rsidR="00A753EF" w:rsidRPr="0011360C" w:rsidRDefault="00A753EF" w:rsidP="00A753EF">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1053" w:type="dxa"/>
          </w:tcPr>
          <w:p w14:paraId="5944FEE3" w14:textId="77777777" w:rsidR="00A753EF" w:rsidRPr="0011360C" w:rsidRDefault="00A753EF" w:rsidP="00A753EF">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921" w:type="dxa"/>
          </w:tcPr>
          <w:p w14:paraId="46F3280D" w14:textId="77777777" w:rsidR="00A753EF" w:rsidRPr="0011360C" w:rsidRDefault="00A753EF" w:rsidP="00A753EF">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921" w:type="dxa"/>
          </w:tcPr>
          <w:p w14:paraId="79544F8A" w14:textId="77777777" w:rsidR="00A753EF" w:rsidRPr="0011360C" w:rsidRDefault="00A753EF" w:rsidP="00A753EF">
            <w:pPr>
              <w:tabs>
                <w:tab w:val="decimal" w:pos="48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r>
      <w:tr w:rsidR="0011360C" w:rsidRPr="0011360C" w14:paraId="053A4810" w14:textId="77777777" w:rsidTr="0011360C">
        <w:trPr>
          <w:trHeight w:val="45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67B8B56" w14:textId="77777777" w:rsidR="00A753EF" w:rsidRPr="0011360C" w:rsidRDefault="00A753EF" w:rsidP="00A753EF">
            <w:pPr>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1. Ražošanas un importa nodokļi</w:t>
            </w:r>
          </w:p>
        </w:tc>
        <w:tc>
          <w:tcPr>
            <w:tcW w:w="1287" w:type="dxa"/>
            <w:vAlign w:val="center"/>
          </w:tcPr>
          <w:p w14:paraId="2C9D44B3"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D.2</w:t>
            </w:r>
          </w:p>
        </w:tc>
        <w:tc>
          <w:tcPr>
            <w:tcW w:w="921" w:type="dxa"/>
            <w:vAlign w:val="center"/>
          </w:tcPr>
          <w:p w14:paraId="2861546E"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4 319,7</w:t>
            </w:r>
          </w:p>
        </w:tc>
        <w:tc>
          <w:tcPr>
            <w:tcW w:w="922" w:type="dxa"/>
            <w:vAlign w:val="center"/>
          </w:tcPr>
          <w:p w14:paraId="38F0CBCA" w14:textId="44E240ED"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4</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635,9</w:t>
            </w:r>
          </w:p>
        </w:tc>
        <w:tc>
          <w:tcPr>
            <w:tcW w:w="1053" w:type="dxa"/>
            <w:vAlign w:val="center"/>
          </w:tcPr>
          <w:p w14:paraId="08C6D755" w14:textId="3C6BE759"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4</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885,5</w:t>
            </w:r>
          </w:p>
        </w:tc>
        <w:tc>
          <w:tcPr>
            <w:tcW w:w="921" w:type="dxa"/>
            <w:vAlign w:val="center"/>
          </w:tcPr>
          <w:p w14:paraId="4F3F8E47" w14:textId="73881564"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5</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060,0</w:t>
            </w:r>
          </w:p>
        </w:tc>
        <w:tc>
          <w:tcPr>
            <w:tcW w:w="921" w:type="dxa"/>
            <w:vAlign w:val="center"/>
          </w:tcPr>
          <w:p w14:paraId="54420EB0" w14:textId="40433743"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5</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334,6</w:t>
            </w:r>
          </w:p>
        </w:tc>
      </w:tr>
      <w:tr w:rsidR="0011360C" w:rsidRPr="0011360C" w14:paraId="72D56366" w14:textId="77777777" w:rsidTr="0011360C">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7EB444A" w14:textId="77777777" w:rsidR="00A753EF" w:rsidRPr="0011360C" w:rsidRDefault="00A753EF" w:rsidP="00A753EF">
            <w:pPr>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 xml:space="preserve">2. </w:t>
            </w:r>
            <w:r w:rsidRPr="0011360C">
              <w:rPr>
                <w:rFonts w:ascii="Times New Roman" w:eastAsia="Times New Roman" w:hAnsi="Times New Roman" w:cs="Times New Roman"/>
                <w:snapToGrid w:val="0"/>
                <w:color w:val="000000" w:themeColor="text1"/>
                <w:sz w:val="20"/>
                <w:szCs w:val="20"/>
              </w:rPr>
              <w:t>Ienākuma un mantas kārtējie nodokļi</w:t>
            </w:r>
          </w:p>
        </w:tc>
        <w:tc>
          <w:tcPr>
            <w:tcW w:w="1287" w:type="dxa"/>
            <w:vAlign w:val="center"/>
          </w:tcPr>
          <w:p w14:paraId="07A78063" w14:textId="77777777"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D.5</w:t>
            </w:r>
          </w:p>
        </w:tc>
        <w:tc>
          <w:tcPr>
            <w:tcW w:w="921" w:type="dxa"/>
            <w:vAlign w:val="center"/>
          </w:tcPr>
          <w:p w14:paraId="3FF4FD9A" w14:textId="77777777"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2 129,5</w:t>
            </w:r>
          </w:p>
        </w:tc>
        <w:tc>
          <w:tcPr>
            <w:tcW w:w="922" w:type="dxa"/>
            <w:vAlign w:val="center"/>
          </w:tcPr>
          <w:p w14:paraId="34B1DA28" w14:textId="061E6644"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182,4</w:t>
            </w:r>
          </w:p>
        </w:tc>
        <w:tc>
          <w:tcPr>
            <w:tcW w:w="1053" w:type="dxa"/>
            <w:vAlign w:val="center"/>
          </w:tcPr>
          <w:p w14:paraId="260B08E0" w14:textId="5719A6F1"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349,4</w:t>
            </w:r>
          </w:p>
        </w:tc>
        <w:tc>
          <w:tcPr>
            <w:tcW w:w="921" w:type="dxa"/>
            <w:vAlign w:val="center"/>
          </w:tcPr>
          <w:p w14:paraId="106032C6" w14:textId="76EFDB85"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466,0</w:t>
            </w:r>
          </w:p>
        </w:tc>
        <w:tc>
          <w:tcPr>
            <w:tcW w:w="921" w:type="dxa"/>
            <w:vAlign w:val="center"/>
          </w:tcPr>
          <w:p w14:paraId="55888EA6" w14:textId="704E580E"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589,6</w:t>
            </w:r>
          </w:p>
        </w:tc>
      </w:tr>
      <w:tr w:rsidR="0011360C" w:rsidRPr="0011360C" w14:paraId="326C18DF" w14:textId="77777777" w:rsidTr="0011360C">
        <w:trPr>
          <w:trHeight w:val="22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F532BDF" w14:textId="77777777" w:rsidR="00A753EF" w:rsidRPr="0011360C" w:rsidRDefault="00A753EF" w:rsidP="00A753EF">
            <w:pPr>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 Kapitāla nodokļi</w:t>
            </w:r>
          </w:p>
        </w:tc>
        <w:tc>
          <w:tcPr>
            <w:tcW w:w="1287" w:type="dxa"/>
            <w:vAlign w:val="center"/>
          </w:tcPr>
          <w:p w14:paraId="34C718E7"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D.91</w:t>
            </w:r>
          </w:p>
        </w:tc>
        <w:tc>
          <w:tcPr>
            <w:tcW w:w="921" w:type="dxa"/>
            <w:vAlign w:val="center"/>
          </w:tcPr>
          <w:p w14:paraId="55131861"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11,5</w:t>
            </w:r>
          </w:p>
        </w:tc>
        <w:tc>
          <w:tcPr>
            <w:tcW w:w="922" w:type="dxa"/>
            <w:vAlign w:val="center"/>
          </w:tcPr>
          <w:p w14:paraId="589B1F7F"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5,4</w:t>
            </w:r>
          </w:p>
        </w:tc>
        <w:tc>
          <w:tcPr>
            <w:tcW w:w="1053" w:type="dxa"/>
            <w:vAlign w:val="center"/>
          </w:tcPr>
          <w:p w14:paraId="5214384E"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6,1</w:t>
            </w:r>
          </w:p>
        </w:tc>
        <w:tc>
          <w:tcPr>
            <w:tcW w:w="921" w:type="dxa"/>
            <w:vAlign w:val="center"/>
          </w:tcPr>
          <w:p w14:paraId="6CC0FB20"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6,7</w:t>
            </w:r>
          </w:p>
        </w:tc>
        <w:tc>
          <w:tcPr>
            <w:tcW w:w="921" w:type="dxa"/>
            <w:vAlign w:val="center"/>
          </w:tcPr>
          <w:p w14:paraId="426EDEF4"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7,2</w:t>
            </w:r>
          </w:p>
        </w:tc>
      </w:tr>
      <w:tr w:rsidR="0011360C" w:rsidRPr="0011360C" w14:paraId="64716220" w14:textId="77777777" w:rsidTr="0011360C">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80301DE" w14:textId="77777777" w:rsidR="00A753EF" w:rsidRPr="0011360C" w:rsidRDefault="00A753EF" w:rsidP="00A753EF">
            <w:pPr>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4. Sociālās iemaksas</w:t>
            </w:r>
          </w:p>
        </w:tc>
        <w:tc>
          <w:tcPr>
            <w:tcW w:w="1287" w:type="dxa"/>
            <w:vAlign w:val="center"/>
          </w:tcPr>
          <w:p w14:paraId="266BA034" w14:textId="77777777"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D.61</w:t>
            </w:r>
          </w:p>
        </w:tc>
        <w:tc>
          <w:tcPr>
            <w:tcW w:w="921" w:type="dxa"/>
            <w:vAlign w:val="center"/>
          </w:tcPr>
          <w:p w14:paraId="09EDBCCA" w14:textId="77777777"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3 052,2</w:t>
            </w:r>
          </w:p>
        </w:tc>
        <w:tc>
          <w:tcPr>
            <w:tcW w:w="922" w:type="dxa"/>
            <w:vAlign w:val="center"/>
          </w:tcPr>
          <w:p w14:paraId="00705951" w14:textId="12393D1C"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219,3</w:t>
            </w:r>
          </w:p>
        </w:tc>
        <w:tc>
          <w:tcPr>
            <w:tcW w:w="1053" w:type="dxa"/>
            <w:vAlign w:val="center"/>
          </w:tcPr>
          <w:p w14:paraId="711F3A49" w14:textId="1D9F5F36"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397,0</w:t>
            </w:r>
          </w:p>
        </w:tc>
        <w:tc>
          <w:tcPr>
            <w:tcW w:w="921" w:type="dxa"/>
            <w:vAlign w:val="center"/>
          </w:tcPr>
          <w:p w14:paraId="560BF5C2" w14:textId="5121172B"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562,9</w:t>
            </w:r>
          </w:p>
        </w:tc>
        <w:tc>
          <w:tcPr>
            <w:tcW w:w="921" w:type="dxa"/>
            <w:vAlign w:val="center"/>
          </w:tcPr>
          <w:p w14:paraId="23E006CB" w14:textId="1FADFAC1" w:rsidR="00A753EF" w:rsidRPr="0011360C"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730,6</w:t>
            </w:r>
          </w:p>
        </w:tc>
      </w:tr>
      <w:tr w:rsidR="0011360C" w:rsidRPr="0011360C" w14:paraId="7F83DEDD" w14:textId="77777777" w:rsidTr="0011360C">
        <w:trPr>
          <w:trHeight w:val="188"/>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CCE514B" w14:textId="77777777" w:rsidR="00A753EF" w:rsidRPr="0011360C" w:rsidRDefault="00A753EF" w:rsidP="00A753EF">
            <w:pPr>
              <w:jc w:val="right"/>
              <w:rPr>
                <w:rFonts w:ascii="Times New Roman" w:eastAsia="Times New Roman" w:hAnsi="Times New Roman" w:cs="Times New Roman"/>
                <w:i/>
                <w:color w:val="000000" w:themeColor="text1"/>
                <w:sz w:val="20"/>
                <w:szCs w:val="20"/>
              </w:rPr>
            </w:pPr>
            <w:r w:rsidRPr="0011360C">
              <w:rPr>
                <w:rFonts w:ascii="Times New Roman" w:eastAsia="Times New Roman" w:hAnsi="Times New Roman" w:cs="Times New Roman"/>
                <w:i/>
                <w:color w:val="000000" w:themeColor="text1"/>
                <w:sz w:val="20"/>
                <w:szCs w:val="20"/>
              </w:rPr>
              <w:t>No tā faktiskās sociālās iemaksas</w:t>
            </w:r>
          </w:p>
        </w:tc>
        <w:tc>
          <w:tcPr>
            <w:tcW w:w="1287" w:type="dxa"/>
            <w:vAlign w:val="center"/>
          </w:tcPr>
          <w:p w14:paraId="4211AB1F"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sz w:val="20"/>
                <w:szCs w:val="20"/>
              </w:rPr>
            </w:pPr>
            <w:r w:rsidRPr="0011360C">
              <w:rPr>
                <w:rFonts w:ascii="Times New Roman" w:eastAsia="Times New Roman" w:hAnsi="Times New Roman" w:cs="Times New Roman"/>
                <w:i/>
                <w:color w:val="000000" w:themeColor="text1"/>
                <w:sz w:val="20"/>
                <w:szCs w:val="20"/>
              </w:rPr>
              <w:t>D.611 un D.613</w:t>
            </w:r>
          </w:p>
        </w:tc>
        <w:tc>
          <w:tcPr>
            <w:tcW w:w="921" w:type="dxa"/>
            <w:vAlign w:val="center"/>
          </w:tcPr>
          <w:p w14:paraId="3ADEAE49" w14:textId="77777777"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2 904,8</w:t>
            </w:r>
          </w:p>
        </w:tc>
        <w:tc>
          <w:tcPr>
            <w:tcW w:w="922" w:type="dxa"/>
            <w:vAlign w:val="center"/>
          </w:tcPr>
          <w:p w14:paraId="0BD10130" w14:textId="0050D4DB"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111,2</w:t>
            </w:r>
          </w:p>
        </w:tc>
        <w:tc>
          <w:tcPr>
            <w:tcW w:w="1053" w:type="dxa"/>
            <w:vAlign w:val="center"/>
          </w:tcPr>
          <w:p w14:paraId="6C2739AB" w14:textId="10D17455"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288,9</w:t>
            </w:r>
          </w:p>
        </w:tc>
        <w:tc>
          <w:tcPr>
            <w:tcW w:w="921" w:type="dxa"/>
            <w:vAlign w:val="center"/>
          </w:tcPr>
          <w:p w14:paraId="37DC4DE8" w14:textId="6DAD2788"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454,8</w:t>
            </w:r>
          </w:p>
        </w:tc>
        <w:tc>
          <w:tcPr>
            <w:tcW w:w="921" w:type="dxa"/>
            <w:vAlign w:val="center"/>
          </w:tcPr>
          <w:p w14:paraId="19A58FA1" w14:textId="627BA33A" w:rsidR="00A753EF" w:rsidRPr="0011360C"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11360C">
              <w:rPr>
                <w:rFonts w:ascii="Times New Roman" w:eastAsia="Times New Roman" w:hAnsi="Times New Roman" w:cs="Times New Roman"/>
                <w:color w:val="000000" w:themeColor="text1"/>
                <w:sz w:val="20"/>
                <w:szCs w:val="20"/>
              </w:rPr>
              <w:t>3</w:t>
            </w:r>
            <w:r w:rsidR="00F46A3B" w:rsidRPr="00422981">
              <w:rPr>
                <w:rFonts w:ascii="Times New Roman" w:eastAsia="Times New Roman" w:hAnsi="Times New Roman" w:cs="Times New Roman"/>
                <w:color w:val="000000"/>
                <w:sz w:val="20"/>
                <w:szCs w:val="24"/>
                <w:lang w:eastAsia="lv-LV"/>
              </w:rPr>
              <w:t> </w:t>
            </w:r>
            <w:r w:rsidRPr="0011360C">
              <w:rPr>
                <w:rFonts w:ascii="Times New Roman" w:eastAsia="Times New Roman" w:hAnsi="Times New Roman" w:cs="Times New Roman"/>
                <w:color w:val="000000" w:themeColor="text1"/>
                <w:sz w:val="20"/>
                <w:szCs w:val="20"/>
              </w:rPr>
              <w:t>622,5</w:t>
            </w:r>
          </w:p>
        </w:tc>
      </w:tr>
    </w:tbl>
    <w:p w14:paraId="0109BA27"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0"/>
        </w:rPr>
      </w:pPr>
    </w:p>
    <w:p w14:paraId="6D371300"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 xml:space="preserve">Pēdējos gados nodokļu politika tika vērsta </w:t>
      </w:r>
      <w:r w:rsidRPr="00A753EF">
        <w:rPr>
          <w:rFonts w:ascii="Times New Roman" w:eastAsia="Times New Roman" w:hAnsi="Times New Roman" w:cs="Times New Roman"/>
          <w:sz w:val="24"/>
          <w:szCs w:val="24"/>
          <w:lang w:val="x-none" w:eastAsia="x-none"/>
        </w:rPr>
        <w:t>uz darbaspēka nodokļu sloga un ienākumu nevienlīdzības samazināšanu</w:t>
      </w:r>
      <w:r w:rsidRPr="00A753EF">
        <w:rPr>
          <w:rFonts w:ascii="Times New Roman" w:eastAsia="Times New Roman" w:hAnsi="Times New Roman" w:cs="Times New Roman"/>
          <w:sz w:val="24"/>
          <w:szCs w:val="20"/>
        </w:rPr>
        <w:t xml:space="preserve">. </w:t>
      </w:r>
    </w:p>
    <w:p w14:paraId="74E0E6FA" w14:textId="61F61922" w:rsidR="00A753EF" w:rsidRPr="00A753EF" w:rsidRDefault="00A753EF" w:rsidP="0011360C">
      <w:pPr>
        <w:spacing w:after="0" w:line="240" w:lineRule="auto"/>
        <w:ind w:firstLine="720"/>
        <w:jc w:val="both"/>
        <w:rPr>
          <w:rFonts w:ascii="Times New Roman" w:eastAsia="Calibri" w:hAnsi="Times New Roman" w:cs="Times New Roman"/>
          <w:sz w:val="24"/>
          <w:szCs w:val="24"/>
        </w:rPr>
      </w:pPr>
      <w:r w:rsidRPr="00A753EF">
        <w:rPr>
          <w:rFonts w:ascii="Times New Roman" w:eastAsia="Calibri" w:hAnsi="Times New Roman" w:cs="Times New Roman"/>
          <w:i/>
          <w:sz w:val="24"/>
          <w:szCs w:val="24"/>
        </w:rPr>
        <w:t>Nodokļu reformas</w:t>
      </w:r>
      <w:r w:rsidRPr="00A753EF">
        <w:rPr>
          <w:rFonts w:ascii="Times New Roman" w:eastAsia="Calibri" w:hAnsi="Times New Roman" w:cs="Times New Roman"/>
          <w:sz w:val="24"/>
          <w:szCs w:val="24"/>
        </w:rPr>
        <w:t xml:space="preserve"> viena no pamat</w:t>
      </w:r>
      <w:r w:rsidR="006F38BE">
        <w:rPr>
          <w:rFonts w:ascii="Times New Roman" w:eastAsia="Calibri" w:hAnsi="Times New Roman" w:cs="Times New Roman"/>
          <w:sz w:val="24"/>
          <w:szCs w:val="24"/>
        </w:rPr>
        <w:t>-</w:t>
      </w:r>
      <w:r w:rsidRPr="00A753EF">
        <w:rPr>
          <w:rFonts w:ascii="Times New Roman" w:eastAsia="Calibri" w:hAnsi="Times New Roman" w:cs="Times New Roman"/>
          <w:sz w:val="24"/>
          <w:szCs w:val="24"/>
        </w:rPr>
        <w:t>prioritātēm bija ienākumu nevienlīdzības mazināšana un tās ietvaros tika reali</w:t>
      </w:r>
      <w:r w:rsidR="00403B71">
        <w:rPr>
          <w:rFonts w:ascii="Times New Roman" w:eastAsia="Calibri" w:hAnsi="Times New Roman" w:cs="Times New Roman"/>
          <w:sz w:val="24"/>
          <w:szCs w:val="24"/>
        </w:rPr>
        <w:t>zēta darbaspēka nodokļu reforma</w:t>
      </w:r>
      <w:r w:rsidRPr="00A753EF">
        <w:rPr>
          <w:rFonts w:ascii="Times New Roman" w:eastAsia="Calibri" w:hAnsi="Times New Roman" w:cs="Times New Roman"/>
          <w:sz w:val="24"/>
          <w:szCs w:val="24"/>
        </w:rPr>
        <w:t xml:space="preserve">. Darbaspēka nodokļu reformas mērķis bija samazināt iedzīvotāju ienākuma nodokļa slogu jeb nodokļu plaisas rādītāju un palielināt iedzīvotāju ienākumus, paaugstinot minimālo darba algu, nosakot zemāku IIN likmi zemāku ienākumu saņēmējiem, kā arī paaugstinot diferencēto neapliekamo minimumu, atvieglojumu par apgādībā esošu personu un </w:t>
      </w:r>
      <w:r w:rsidRPr="00A753EF">
        <w:rPr>
          <w:rFonts w:ascii="Times New Roman" w:eastAsia="Times New Roman" w:hAnsi="Times New Roman" w:cs="Times New Roman"/>
          <w:noProof/>
          <w:sz w:val="24"/>
          <w:szCs w:val="24"/>
          <w:lang w:eastAsia="lv-LV"/>
        </w:rPr>
        <w:t>neapliekamo minimumu pensionāriem</w:t>
      </w:r>
      <w:r w:rsidRPr="00A753EF">
        <w:rPr>
          <w:rFonts w:ascii="Times New Roman" w:eastAsia="Calibri" w:hAnsi="Times New Roman" w:cs="Times New Roman"/>
          <w:sz w:val="24"/>
          <w:szCs w:val="24"/>
        </w:rPr>
        <w:t>. Darbaspēka nodokļu reforma atbilstoši pieņemtajiem likumiem tika ieviesta trīs gadu laikā, samazinot nodokļu slogu šajā laikā par apmēram 3 procentpunktiem. Sloga samazināšanu daļēji ierobežo valsts sociālās apdrošināšanas obligāto iemaksu likmes paaugstināšana par 1</w:t>
      </w:r>
      <w:r w:rsidR="0011360C" w:rsidRPr="00A753EF">
        <w:rPr>
          <w:rFonts w:ascii="Times New Roman" w:eastAsia="Calibri" w:hAnsi="Times New Roman" w:cs="Times New Roman"/>
          <w:sz w:val="24"/>
          <w:szCs w:val="24"/>
        </w:rPr>
        <w:t> </w:t>
      </w:r>
      <w:r w:rsidRPr="00A753EF">
        <w:rPr>
          <w:rFonts w:ascii="Times New Roman" w:eastAsia="Calibri" w:hAnsi="Times New Roman" w:cs="Times New Roman"/>
          <w:sz w:val="24"/>
          <w:szCs w:val="24"/>
        </w:rPr>
        <w:t>procentpunktu, kas pilnībā tika novirzīta kā papildu finansējums veselības aprūpes nozarei.</w:t>
      </w:r>
    </w:p>
    <w:p w14:paraId="7309F37D" w14:textId="77777777" w:rsidR="00A753EF" w:rsidRPr="00A753EF" w:rsidRDefault="00A753EF" w:rsidP="0011360C">
      <w:pPr>
        <w:spacing w:after="0" w:line="240" w:lineRule="auto"/>
        <w:ind w:firstLine="720"/>
        <w:jc w:val="both"/>
        <w:rPr>
          <w:rFonts w:ascii="Times New Roman" w:eastAsia="Calibri" w:hAnsi="Times New Roman" w:cs="Times New Roman"/>
          <w:sz w:val="24"/>
          <w:szCs w:val="24"/>
          <w:u w:val="single"/>
        </w:rPr>
      </w:pPr>
      <w:r w:rsidRPr="00A753EF">
        <w:rPr>
          <w:rFonts w:ascii="Times New Roman" w:eastAsia="Calibri" w:hAnsi="Times New Roman" w:cs="Times New Roman"/>
          <w:sz w:val="24"/>
          <w:szCs w:val="24"/>
        </w:rPr>
        <w:t>Papildus darbaspēka nodokļu izmaiņām, kas samazināja kopējos nodokļu ieņēmumus, vienlaikus tika īstenoti pasākumi, kuru mērķis bija nodrošināt nodokļa sloga pārvirzi no darbaspēka uz patēriņu un kapitālu, un aktīvāku ēnu ekonomikas apkarošanu.</w:t>
      </w:r>
    </w:p>
    <w:p w14:paraId="5FCEE730"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0"/>
        </w:rPr>
      </w:pPr>
    </w:p>
    <w:p w14:paraId="1F88021E" w14:textId="77777777" w:rsidR="00A753EF" w:rsidRPr="00A753EF" w:rsidRDefault="00A753EF" w:rsidP="00A753EF">
      <w:pPr>
        <w:spacing w:after="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Pievienotās vērtības nodoklis</w:t>
      </w:r>
    </w:p>
    <w:p w14:paraId="3FC5FF08"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Atbilstoši prognozētajai valsts ekonomikas izaugsmei, kā arī, ņemot vērā pēdējo gadu PVN ieņēmumu īpatsvara IKP palielināšanos, bāzes scenārijā sagaidāms</w:t>
      </w:r>
      <w:r w:rsidRPr="00A753EF">
        <w:rPr>
          <w:rFonts w:ascii="Times New Roman" w:eastAsia="Times New Roman" w:hAnsi="Times New Roman" w:cs="Times New Roman"/>
          <w:sz w:val="24"/>
          <w:szCs w:val="24"/>
        </w:rPr>
        <w:t xml:space="preserve"> stabils PVN ieņēmumu kāpums. </w:t>
      </w:r>
    </w:p>
    <w:p w14:paraId="29D5B059" w14:textId="5FA7A555"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 xml:space="preserve">PVN ieņēmumus 2020.gadā ietekmēs arī iepriekšējos gados pieņemtie grozījumi </w:t>
      </w:r>
      <w:r w:rsidR="0089342E" w:rsidRPr="00A753EF">
        <w:rPr>
          <w:rFonts w:ascii="Times New Roman" w:eastAsia="Times New Roman" w:hAnsi="Times New Roman" w:cs="Times New Roman"/>
          <w:sz w:val="24"/>
          <w:szCs w:val="20"/>
        </w:rPr>
        <w:t xml:space="preserve">PVN </w:t>
      </w:r>
      <w:r w:rsidRPr="00A753EF">
        <w:rPr>
          <w:rFonts w:ascii="Times New Roman" w:eastAsia="Times New Roman" w:hAnsi="Times New Roman" w:cs="Times New Roman"/>
          <w:sz w:val="24"/>
          <w:szCs w:val="20"/>
        </w:rPr>
        <w:t>likumā, kā, piemēram, ar 2019.gada 1.jūliju sašaurināts tvērums un izslēgti atsevišķi pakalpojumi melno un krāsaino metālu piegādēm, kam piemērojama reversā maksāšanas kārtība.</w:t>
      </w:r>
    </w:p>
    <w:p w14:paraId="05DB0307" w14:textId="0A7EAA79"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 xml:space="preserve">Prognozēs ņemtas vērā arī plānotās izmaiņas </w:t>
      </w:r>
      <w:r w:rsidR="0089342E" w:rsidRPr="00A753EF">
        <w:rPr>
          <w:rFonts w:ascii="Times New Roman" w:eastAsia="Times New Roman" w:hAnsi="Times New Roman" w:cs="Times New Roman"/>
          <w:sz w:val="24"/>
          <w:szCs w:val="20"/>
        </w:rPr>
        <w:t xml:space="preserve">PVN </w:t>
      </w:r>
      <w:r w:rsidRPr="00A753EF">
        <w:rPr>
          <w:rFonts w:ascii="Times New Roman" w:eastAsia="Times New Roman" w:hAnsi="Times New Roman" w:cs="Times New Roman"/>
          <w:sz w:val="24"/>
          <w:szCs w:val="20"/>
        </w:rPr>
        <w:t>likumā, kas paredz atmaksu kārtības maiņu, saīsinot noteikto termiņu, kādā valstij jāveic PVN atmaksas. Pasākumu bija plānots ieviest ar 2022.gadu un tas radītu fiskālo ietekmi tikai pēc naudas plūsmas ieviešanas gadā.</w:t>
      </w:r>
    </w:p>
    <w:p w14:paraId="017663F5" w14:textId="60CEDDAD"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 xml:space="preserve">Papildus minētajām izmaiņām PVN ieņēmumus ietekmē arī citi pasākumi, kas nav tieši saistīti ar </w:t>
      </w:r>
      <w:r w:rsidR="0089342E" w:rsidRPr="00A753EF">
        <w:rPr>
          <w:rFonts w:ascii="Times New Roman" w:eastAsia="Times New Roman" w:hAnsi="Times New Roman" w:cs="Times New Roman"/>
          <w:sz w:val="24"/>
          <w:szCs w:val="20"/>
        </w:rPr>
        <w:t xml:space="preserve">PVN </w:t>
      </w:r>
      <w:r w:rsidRPr="00A753EF">
        <w:rPr>
          <w:rFonts w:ascii="Times New Roman" w:eastAsia="Times New Roman" w:hAnsi="Times New Roman" w:cs="Times New Roman"/>
          <w:sz w:val="24"/>
          <w:szCs w:val="20"/>
        </w:rPr>
        <w:t>likuma izmaiņām, bet veicinās ieņēmumu pieaugumu, piemēram, izmaiņas akcīzes nodokļa piemērošanā, mēneša minimālās algas paaugstināšana (sk</w:t>
      </w:r>
      <w:r w:rsidR="0011360C">
        <w:rPr>
          <w:rFonts w:ascii="Times New Roman" w:eastAsia="Times New Roman" w:hAnsi="Times New Roman" w:cs="Times New Roman"/>
          <w:sz w:val="24"/>
          <w:szCs w:val="20"/>
        </w:rPr>
        <w:t>at</w:t>
      </w:r>
      <w:r w:rsidRPr="00A753EF">
        <w:rPr>
          <w:rFonts w:ascii="Times New Roman" w:eastAsia="Times New Roman" w:hAnsi="Times New Roman" w:cs="Times New Roman"/>
          <w:sz w:val="24"/>
          <w:szCs w:val="20"/>
        </w:rPr>
        <w:t xml:space="preserve">. </w:t>
      </w:r>
      <w:r w:rsidRPr="007F6EE6">
        <w:rPr>
          <w:rFonts w:ascii="Times New Roman" w:eastAsia="Times New Roman" w:hAnsi="Times New Roman" w:cs="Times New Roman"/>
          <w:sz w:val="24"/>
          <w:szCs w:val="20"/>
        </w:rPr>
        <w:t>4.2</w:t>
      </w:r>
      <w:r w:rsidRPr="00A753EF">
        <w:rPr>
          <w:rFonts w:ascii="Times New Roman" w:eastAsia="Times New Roman" w:hAnsi="Times New Roman" w:cs="Times New Roman"/>
          <w:sz w:val="24"/>
          <w:szCs w:val="20"/>
        </w:rPr>
        <w:t>.tabulu, kurā atspoguļoti visi PVN ieņēmumus ietekmējošie nodokļu politikas pasākumi).</w:t>
      </w:r>
    </w:p>
    <w:p w14:paraId="35E55D96" w14:textId="77777777" w:rsidR="00A753EF" w:rsidRPr="00A753EF" w:rsidRDefault="00A753EF" w:rsidP="00A753EF">
      <w:pPr>
        <w:spacing w:after="0" w:line="240" w:lineRule="auto"/>
        <w:rPr>
          <w:rFonts w:ascii="Times New Roman" w:eastAsia="Times New Roman" w:hAnsi="Times New Roman" w:cs="Times New Roman"/>
          <w:b/>
          <w:sz w:val="24"/>
          <w:szCs w:val="20"/>
        </w:rPr>
      </w:pPr>
    </w:p>
    <w:p w14:paraId="3B440415" w14:textId="77777777" w:rsidR="00A753EF" w:rsidRPr="00A753EF" w:rsidRDefault="00A753EF" w:rsidP="0011360C">
      <w:pPr>
        <w:spacing w:after="0" w:line="240" w:lineRule="auto"/>
        <w:jc w:val="right"/>
        <w:rPr>
          <w:rFonts w:ascii="Times New Roman" w:eastAsia="Times New Roman" w:hAnsi="Times New Roman" w:cs="Times New Roman"/>
          <w:b/>
          <w:sz w:val="24"/>
          <w:szCs w:val="20"/>
          <w:highlight w:val="yellow"/>
        </w:rPr>
      </w:pPr>
      <w:r w:rsidRPr="007F6EE6">
        <w:rPr>
          <w:rFonts w:ascii="Times New Roman" w:eastAsia="Times New Roman" w:hAnsi="Times New Roman" w:cs="Times New Roman"/>
          <w:b/>
          <w:sz w:val="24"/>
          <w:szCs w:val="20"/>
        </w:rPr>
        <w:t>4.2.tabula.</w:t>
      </w:r>
      <w:r w:rsidRPr="00A753EF">
        <w:rPr>
          <w:rFonts w:ascii="Times New Roman" w:eastAsia="Times New Roman" w:hAnsi="Times New Roman" w:cs="Times New Roman"/>
          <w:b/>
          <w:sz w:val="24"/>
          <w:szCs w:val="24"/>
        </w:rPr>
        <w:t xml:space="preserve"> Nodokļu politikas izmaiņu ietekme</w:t>
      </w:r>
      <w:r w:rsidRPr="00A753EF">
        <w:rPr>
          <w:rFonts w:ascii="Times New Roman" w:eastAsia="Times New Roman" w:hAnsi="Times New Roman" w:cs="Times New Roman"/>
          <w:b/>
          <w:sz w:val="24"/>
          <w:szCs w:val="24"/>
          <w:vertAlign w:val="superscript"/>
        </w:rPr>
        <w:footnoteReference w:id="28"/>
      </w:r>
      <w:r w:rsidRPr="00A753EF">
        <w:rPr>
          <w:rFonts w:ascii="Times New Roman" w:eastAsia="Times New Roman" w:hAnsi="Times New Roman" w:cs="Times New Roman"/>
          <w:b/>
          <w:sz w:val="24"/>
          <w:szCs w:val="24"/>
        </w:rPr>
        <w:t xml:space="preserve"> uz PVN ieņēmumiem, milj. </w:t>
      </w:r>
      <w:r w:rsidRPr="00A753EF">
        <w:rPr>
          <w:rFonts w:ascii="Times New Roman" w:eastAsia="Times New Roman" w:hAnsi="Times New Roman" w:cs="Times New Roman"/>
          <w:b/>
          <w:i/>
          <w:sz w:val="24"/>
          <w:szCs w:val="24"/>
        </w:rPr>
        <w:t>euro</w:t>
      </w:r>
    </w:p>
    <w:tbl>
      <w:tblPr>
        <w:tblStyle w:val="GridTable6Colorful-Accent1"/>
        <w:tblW w:w="8283" w:type="dxa"/>
        <w:jc w:val="center"/>
        <w:tblLayout w:type="fixed"/>
        <w:tblLook w:val="04A0" w:firstRow="1" w:lastRow="0" w:firstColumn="1" w:lastColumn="0" w:noHBand="0" w:noVBand="1"/>
      </w:tblPr>
      <w:tblGrid>
        <w:gridCol w:w="5240"/>
        <w:gridCol w:w="709"/>
        <w:gridCol w:w="709"/>
        <w:gridCol w:w="850"/>
        <w:gridCol w:w="775"/>
      </w:tblGrid>
      <w:tr w:rsidR="00A753EF" w:rsidRPr="00A753EF" w14:paraId="0547DE21" w14:textId="77777777" w:rsidTr="00A753EF">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3B5D6E99"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709" w:type="dxa"/>
          </w:tcPr>
          <w:p w14:paraId="0A68BCAD"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709" w:type="dxa"/>
          </w:tcPr>
          <w:p w14:paraId="6F1AEB32"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850" w:type="dxa"/>
          </w:tcPr>
          <w:p w14:paraId="76BDDFC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775" w:type="dxa"/>
          </w:tcPr>
          <w:p w14:paraId="6D3E2CC1"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400FB60E" w14:textId="77777777" w:rsidTr="00A753E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31214EC3"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709" w:type="dxa"/>
            <w:vAlign w:val="center"/>
          </w:tcPr>
          <w:p w14:paraId="65D76036"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1292DB80"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26FB75D9"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17E4D017"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6001A95" w14:textId="77777777" w:rsidTr="00A753EF">
        <w:trPr>
          <w:trHeight w:val="474"/>
          <w:jc w:val="center"/>
        </w:trPr>
        <w:tc>
          <w:tcPr>
            <w:cnfStyle w:val="001000000000" w:firstRow="0" w:lastRow="0" w:firstColumn="1" w:lastColumn="0" w:oddVBand="0" w:evenVBand="0" w:oddHBand="0" w:evenHBand="0" w:firstRowFirstColumn="0" w:firstRowLastColumn="0" w:lastRowFirstColumn="0" w:lastRowLastColumn="0"/>
            <w:tcW w:w="5240" w:type="dxa"/>
          </w:tcPr>
          <w:p w14:paraId="35C81DAA"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Tvēruma sašaurinājums melno un krāsaino metālu piegādēm, kam piemērojama reversā maksāšanas kārtība</w:t>
            </w:r>
          </w:p>
        </w:tc>
        <w:tc>
          <w:tcPr>
            <w:tcW w:w="709" w:type="dxa"/>
            <w:vAlign w:val="center"/>
          </w:tcPr>
          <w:p w14:paraId="5926CFC8"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-1,5</w:t>
            </w:r>
          </w:p>
        </w:tc>
        <w:tc>
          <w:tcPr>
            <w:tcW w:w="709" w:type="dxa"/>
            <w:vAlign w:val="center"/>
          </w:tcPr>
          <w:p w14:paraId="40FE215E"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7052FAB2"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3A687FEB"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76994CB1" w14:textId="77777777" w:rsidTr="00A753E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5D08B984"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PVN atmaksu kārtības maiņa</w:t>
            </w:r>
          </w:p>
        </w:tc>
        <w:tc>
          <w:tcPr>
            <w:tcW w:w="709" w:type="dxa"/>
            <w:vAlign w:val="center"/>
          </w:tcPr>
          <w:p w14:paraId="32C1F2AB"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55874B4F"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4260F096"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-60,0</w:t>
            </w:r>
          </w:p>
        </w:tc>
        <w:tc>
          <w:tcPr>
            <w:tcW w:w="775" w:type="dxa"/>
            <w:vAlign w:val="center"/>
          </w:tcPr>
          <w:p w14:paraId="1BFA90FF"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+60,0</w:t>
            </w:r>
          </w:p>
        </w:tc>
      </w:tr>
      <w:tr w:rsidR="00A753EF" w:rsidRPr="00A753EF" w14:paraId="59BA6A66" w14:textId="77777777" w:rsidTr="00A753EF">
        <w:trPr>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72201C22"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Diferencētā neapliekamā minimuma paaugstināšana</w:t>
            </w:r>
          </w:p>
        </w:tc>
        <w:tc>
          <w:tcPr>
            <w:tcW w:w="709" w:type="dxa"/>
            <w:vAlign w:val="center"/>
          </w:tcPr>
          <w:p w14:paraId="54E42BAD"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+3,0</w:t>
            </w:r>
          </w:p>
        </w:tc>
        <w:tc>
          <w:tcPr>
            <w:tcW w:w="709" w:type="dxa"/>
            <w:vAlign w:val="center"/>
          </w:tcPr>
          <w:p w14:paraId="506C7845"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6C4EC289"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2489E8F3"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A02318A" w14:textId="77777777" w:rsidTr="00A753E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5240" w:type="dxa"/>
          </w:tcPr>
          <w:p w14:paraId="5F90A6C4"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Ēnu ekonomikas ierobežošanas pasākums - Valdes locekļu atbildības pilnveidošana</w:t>
            </w:r>
          </w:p>
        </w:tc>
        <w:tc>
          <w:tcPr>
            <w:tcW w:w="709" w:type="dxa"/>
            <w:vAlign w:val="center"/>
          </w:tcPr>
          <w:p w14:paraId="4B5A93A1"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+2,4</w:t>
            </w:r>
          </w:p>
        </w:tc>
        <w:tc>
          <w:tcPr>
            <w:tcW w:w="709" w:type="dxa"/>
            <w:vAlign w:val="center"/>
          </w:tcPr>
          <w:p w14:paraId="6CDE6CF0"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2C063125"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049818F5"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433E354E" w14:textId="77777777" w:rsidTr="00A753EF">
        <w:trPr>
          <w:trHeight w:val="703"/>
          <w:jc w:val="center"/>
        </w:trPr>
        <w:tc>
          <w:tcPr>
            <w:cnfStyle w:val="001000000000" w:firstRow="0" w:lastRow="0" w:firstColumn="1" w:lastColumn="0" w:oddVBand="0" w:evenVBand="0" w:oddHBand="0" w:evenHBand="0" w:firstRowFirstColumn="0" w:firstRowLastColumn="0" w:lastRowFirstColumn="0" w:lastRowLastColumn="0"/>
            <w:tcW w:w="5240" w:type="dxa"/>
          </w:tcPr>
          <w:p w14:paraId="2133605D" w14:textId="675951F4" w:rsidR="00A753EF" w:rsidRPr="00A753EF" w:rsidRDefault="00A753EF" w:rsidP="0089342E">
            <w:pPr>
              <w:rPr>
                <w:rFonts w:ascii="Times New Roman" w:eastAsia="Times New Roman" w:hAnsi="Times New Roman" w:cs="Times New Roman"/>
                <w:color w:val="000000" w:themeColor="text1"/>
                <w:sz w:val="20"/>
                <w:szCs w:val="20"/>
                <w:highlight w:val="yellow"/>
              </w:rPr>
            </w:pPr>
            <w:r w:rsidRPr="00A753EF">
              <w:rPr>
                <w:rFonts w:ascii="Times New Roman" w:eastAsia="Times New Roman" w:hAnsi="Times New Roman" w:cs="Times New Roman"/>
                <w:color w:val="000000" w:themeColor="text1"/>
                <w:sz w:val="20"/>
                <w:szCs w:val="20"/>
              </w:rPr>
              <w:t xml:space="preserve">Ēnu ekonomikas ierobežošanas pasākums - Tiesību noteikšana </w:t>
            </w:r>
            <w:r w:rsidR="0089342E">
              <w:rPr>
                <w:rFonts w:ascii="Times New Roman" w:eastAsia="Times New Roman" w:hAnsi="Times New Roman" w:cs="Times New Roman"/>
                <w:color w:val="000000" w:themeColor="text1"/>
                <w:sz w:val="20"/>
                <w:szCs w:val="20"/>
              </w:rPr>
              <w:t>VID</w:t>
            </w:r>
            <w:r w:rsidRPr="00A753EF">
              <w:rPr>
                <w:rFonts w:ascii="Times New Roman" w:eastAsia="Times New Roman" w:hAnsi="Times New Roman" w:cs="Times New Roman"/>
                <w:color w:val="000000" w:themeColor="text1"/>
                <w:sz w:val="20"/>
                <w:szCs w:val="20"/>
              </w:rPr>
              <w:t xml:space="preserve"> sniegt informāciju par riskantajiem darījuma partneriem</w:t>
            </w:r>
          </w:p>
        </w:tc>
        <w:tc>
          <w:tcPr>
            <w:tcW w:w="709" w:type="dxa"/>
            <w:vAlign w:val="center"/>
          </w:tcPr>
          <w:p w14:paraId="4B049279"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+1,5</w:t>
            </w:r>
          </w:p>
        </w:tc>
        <w:tc>
          <w:tcPr>
            <w:tcW w:w="709" w:type="dxa"/>
            <w:vAlign w:val="center"/>
          </w:tcPr>
          <w:p w14:paraId="0973F8C3"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+0,3</w:t>
            </w:r>
          </w:p>
        </w:tc>
        <w:tc>
          <w:tcPr>
            <w:tcW w:w="850" w:type="dxa"/>
            <w:vAlign w:val="center"/>
          </w:tcPr>
          <w:p w14:paraId="411B0B49"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458CBD12"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4954EA3" w14:textId="77777777" w:rsidTr="00A753EF">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5240" w:type="dxa"/>
          </w:tcPr>
          <w:p w14:paraId="448FBC0A"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Mēneša minimālās algas paaugstināšana no 430 </w:t>
            </w:r>
            <w:r w:rsidRPr="00A753EF">
              <w:rPr>
                <w:rFonts w:ascii="Times New Roman" w:eastAsia="Times New Roman" w:hAnsi="Times New Roman" w:cs="Times New Roman"/>
                <w:i/>
                <w:color w:val="000000" w:themeColor="text1"/>
                <w:sz w:val="20"/>
                <w:szCs w:val="20"/>
              </w:rPr>
              <w:t>euro</w:t>
            </w:r>
            <w:r w:rsidRPr="00A753EF">
              <w:rPr>
                <w:rFonts w:ascii="Times New Roman" w:eastAsia="Times New Roman" w:hAnsi="Times New Roman" w:cs="Times New Roman"/>
                <w:color w:val="000000" w:themeColor="text1"/>
                <w:sz w:val="20"/>
                <w:szCs w:val="20"/>
              </w:rPr>
              <w:t xml:space="preserve"> līdz 500 </w:t>
            </w:r>
            <w:r w:rsidRPr="00A753EF">
              <w:rPr>
                <w:rFonts w:ascii="Times New Roman" w:eastAsia="Times New Roman" w:hAnsi="Times New Roman" w:cs="Times New Roman"/>
                <w:i/>
                <w:color w:val="000000" w:themeColor="text1"/>
                <w:sz w:val="20"/>
                <w:szCs w:val="20"/>
              </w:rPr>
              <w:t xml:space="preserve">euro </w:t>
            </w:r>
            <w:r w:rsidRPr="00A753EF">
              <w:rPr>
                <w:rFonts w:ascii="Times New Roman" w:eastAsia="Times New Roman" w:hAnsi="Times New Roman" w:cs="Times New Roman"/>
                <w:color w:val="000000" w:themeColor="text1"/>
                <w:sz w:val="20"/>
                <w:szCs w:val="20"/>
              </w:rPr>
              <w:t>ar 2021.gadu</w:t>
            </w:r>
          </w:p>
        </w:tc>
        <w:tc>
          <w:tcPr>
            <w:tcW w:w="709" w:type="dxa"/>
            <w:vAlign w:val="center"/>
          </w:tcPr>
          <w:p w14:paraId="592DA924"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47BEBE4B"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+3,8</w:t>
            </w:r>
          </w:p>
        </w:tc>
        <w:tc>
          <w:tcPr>
            <w:tcW w:w="850" w:type="dxa"/>
            <w:vAlign w:val="center"/>
          </w:tcPr>
          <w:p w14:paraId="7B971284"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6DAE58E6"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479510D4" w14:textId="77777777" w:rsidTr="00A753EF">
        <w:trPr>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7EF6B062"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starpproduktu definīcijas precizēšana</w:t>
            </w:r>
          </w:p>
        </w:tc>
        <w:tc>
          <w:tcPr>
            <w:tcW w:w="709" w:type="dxa"/>
            <w:vAlign w:val="center"/>
          </w:tcPr>
          <w:p w14:paraId="58D99264"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+1,4</w:t>
            </w:r>
          </w:p>
        </w:tc>
        <w:tc>
          <w:tcPr>
            <w:tcW w:w="709" w:type="dxa"/>
            <w:vAlign w:val="center"/>
          </w:tcPr>
          <w:p w14:paraId="2DD1EAA9"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+0,7</w:t>
            </w:r>
          </w:p>
        </w:tc>
        <w:tc>
          <w:tcPr>
            <w:tcW w:w="850" w:type="dxa"/>
            <w:vAlign w:val="center"/>
          </w:tcPr>
          <w:p w14:paraId="6924112F"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75" w:type="dxa"/>
            <w:vAlign w:val="center"/>
          </w:tcPr>
          <w:p w14:paraId="27B43655"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1BFF243B" w14:textId="77777777" w:rsidTr="00A753EF">
        <w:trPr>
          <w:cnfStyle w:val="000000100000" w:firstRow="0" w:lastRow="0" w:firstColumn="0" w:lastColumn="0" w:oddVBand="0" w:evenVBand="0" w:oddHBand="1" w:evenHBand="0" w:firstRowFirstColumn="0" w:firstRowLastColumn="0" w:lastRowFirstColumn="0" w:lastRowLastColumn="0"/>
          <w:trHeight w:val="933"/>
          <w:jc w:val="center"/>
        </w:trPr>
        <w:tc>
          <w:tcPr>
            <w:cnfStyle w:val="001000000000" w:firstRow="0" w:lastRow="0" w:firstColumn="1" w:lastColumn="0" w:oddVBand="0" w:evenVBand="0" w:oddHBand="0" w:evenHBand="0" w:firstRowFirstColumn="0" w:firstRowLastColumn="0" w:lastRowFirstColumn="0" w:lastRowLastColumn="0"/>
            <w:tcW w:w="5240" w:type="dxa"/>
          </w:tcPr>
          <w:p w14:paraId="3CB36677"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nodokļa atbrīvojumu atcelšana dabasgāzei, ko izmanto lauksaimniecībā izmantojamās zemes segto platību (siltumnīcu) siltumapgādei un rūpniecisko mājputnu novietņu (kūts) un inkubatoru siltumapgādei</w:t>
            </w:r>
          </w:p>
        </w:tc>
        <w:tc>
          <w:tcPr>
            <w:tcW w:w="709" w:type="dxa"/>
            <w:vAlign w:val="center"/>
          </w:tcPr>
          <w:p w14:paraId="496EA7B7"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3524F212"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50" w:type="dxa"/>
            <w:vAlign w:val="center"/>
          </w:tcPr>
          <w:p w14:paraId="6567672A"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+0,03</w:t>
            </w:r>
          </w:p>
        </w:tc>
        <w:tc>
          <w:tcPr>
            <w:tcW w:w="775" w:type="dxa"/>
            <w:vAlign w:val="center"/>
          </w:tcPr>
          <w:p w14:paraId="4AEDB32A"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150CD679" w14:textId="77777777" w:rsidTr="00A753EF">
        <w:trPr>
          <w:trHeight w:val="229"/>
          <w:jc w:val="center"/>
        </w:trPr>
        <w:tc>
          <w:tcPr>
            <w:cnfStyle w:val="001000000000" w:firstRow="0" w:lastRow="0" w:firstColumn="1" w:lastColumn="0" w:oddVBand="0" w:evenVBand="0" w:oddHBand="0" w:evenHBand="0" w:firstRowFirstColumn="0" w:firstRowLastColumn="0" w:lastRowFirstColumn="0" w:lastRowLastColumn="0"/>
            <w:tcW w:w="5240" w:type="dxa"/>
          </w:tcPr>
          <w:p w14:paraId="261DBA56"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709" w:type="dxa"/>
            <w:vAlign w:val="center"/>
          </w:tcPr>
          <w:p w14:paraId="5D8232FB"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+6,8</w:t>
            </w:r>
          </w:p>
        </w:tc>
        <w:tc>
          <w:tcPr>
            <w:tcW w:w="709" w:type="dxa"/>
            <w:vAlign w:val="center"/>
          </w:tcPr>
          <w:p w14:paraId="66EABACC"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+4,8</w:t>
            </w:r>
          </w:p>
        </w:tc>
        <w:tc>
          <w:tcPr>
            <w:tcW w:w="850" w:type="dxa"/>
            <w:vAlign w:val="center"/>
          </w:tcPr>
          <w:p w14:paraId="560D085D"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-59,97</w:t>
            </w:r>
          </w:p>
        </w:tc>
        <w:tc>
          <w:tcPr>
            <w:tcW w:w="775" w:type="dxa"/>
            <w:vAlign w:val="center"/>
          </w:tcPr>
          <w:p w14:paraId="4D06B2F9"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+60,0</w:t>
            </w:r>
          </w:p>
        </w:tc>
      </w:tr>
    </w:tbl>
    <w:p w14:paraId="288C9588" w14:textId="77777777" w:rsidR="00A753EF" w:rsidRPr="00A753EF" w:rsidRDefault="00A753EF" w:rsidP="00A753EF">
      <w:pPr>
        <w:keepNext/>
        <w:spacing w:after="0" w:line="240" w:lineRule="auto"/>
        <w:jc w:val="right"/>
        <w:rPr>
          <w:rFonts w:ascii="Times New Roman" w:eastAsia="Times New Roman" w:hAnsi="Times New Roman" w:cs="Times New Roman"/>
          <w:b/>
          <w:sz w:val="24"/>
          <w:szCs w:val="24"/>
          <w:highlight w:val="yellow"/>
        </w:rPr>
      </w:pPr>
    </w:p>
    <w:p w14:paraId="34515760" w14:textId="77777777" w:rsidR="00A753EF" w:rsidRPr="00A753EF" w:rsidRDefault="00A753EF" w:rsidP="00A753EF">
      <w:pPr>
        <w:spacing w:before="120" w:after="12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Uzņēmumu ienākuma nodoklis</w:t>
      </w:r>
    </w:p>
    <w:p w14:paraId="2F91D6F7" w14:textId="77777777" w:rsidR="00A753EF" w:rsidRPr="00A753EF" w:rsidRDefault="00A753EF" w:rsidP="00A753EF">
      <w:pPr>
        <w:spacing w:after="0" w:line="240" w:lineRule="auto"/>
        <w:ind w:firstLine="567"/>
        <w:jc w:val="both"/>
        <w:rPr>
          <w:rFonts w:ascii="Times New Roman" w:eastAsia="Times New Roman" w:hAnsi="Times New Roman" w:cs="Times New Roman"/>
          <w:color w:val="000000"/>
          <w:sz w:val="24"/>
          <w:szCs w:val="24"/>
          <w:lang w:eastAsia="lv-LV"/>
        </w:rPr>
      </w:pPr>
      <w:r w:rsidRPr="00A753EF">
        <w:rPr>
          <w:rFonts w:ascii="Times New Roman" w:eastAsia="Times New Roman" w:hAnsi="Times New Roman" w:cs="Times New Roman"/>
          <w:color w:val="000000"/>
          <w:sz w:val="24"/>
          <w:szCs w:val="24"/>
          <w:lang w:eastAsia="lv-LV"/>
        </w:rPr>
        <w:t>Ar 2018.gadu ieviests konceptuāli jauns uzņēmumu ienākuma nodokļa maksāšanas režīms. Jaunais modelis paredz nodokļa maksāšanas brīdi atlikt līdz brīdim, kad peļņa tiek sadalīta vai citādā veidā novirzīta tādiem izdevumiem, kuri nenodrošina uzņēmuma turpmāku attīstību.</w:t>
      </w:r>
    </w:p>
    <w:p w14:paraId="08F09A73"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iCs/>
          <w:sz w:val="24"/>
          <w:szCs w:val="20"/>
        </w:rPr>
        <w:t xml:space="preserve">Izmaiņas, kas ietekmēs </w:t>
      </w:r>
      <w:r w:rsidRPr="00A753EF">
        <w:rPr>
          <w:rFonts w:ascii="Times New Roman" w:eastAsia="Times New Roman" w:hAnsi="Times New Roman" w:cs="Times New Roman"/>
          <w:sz w:val="24"/>
          <w:szCs w:val="20"/>
        </w:rPr>
        <w:t>UIN</w:t>
      </w:r>
      <w:r w:rsidRPr="00A753EF">
        <w:rPr>
          <w:rFonts w:ascii="Times New Roman" w:eastAsia="Times New Roman" w:hAnsi="Times New Roman" w:cs="Times New Roman"/>
          <w:iCs/>
          <w:sz w:val="24"/>
          <w:szCs w:val="20"/>
        </w:rPr>
        <w:t xml:space="preserve"> ieņēmumus 2020.gadā, saistās ar</w:t>
      </w:r>
      <w:r w:rsidRPr="00A753EF">
        <w:rPr>
          <w:rFonts w:ascii="Times New Roman" w:eastAsia="Times New Roman" w:hAnsi="Times New Roman" w:cs="Times New Roman"/>
          <w:sz w:val="24"/>
          <w:szCs w:val="24"/>
        </w:rPr>
        <w:t xml:space="preserve"> </w:t>
      </w:r>
      <w:r w:rsidRPr="00A753EF">
        <w:rPr>
          <w:rFonts w:ascii="Times New Roman" w:eastAsia="Times New Roman" w:hAnsi="Times New Roman" w:cs="Times New Roman"/>
          <w:sz w:val="24"/>
          <w:szCs w:val="20"/>
        </w:rPr>
        <w:t xml:space="preserve">ziedojuma atlaides intensitātes palielināšanu līdz 85% no ziedojuma summas un nepārsniedzot 30% no nodokļa summas par dividendēm (terminēts līdz 2023.gadam), kā arī valsts akciju sabiedrības "Latvijas valsts meži" un "Latvijas Loto" dividendēs izmaksājamā peļņas daļas palielināšanu. </w:t>
      </w:r>
    </w:p>
    <w:p w14:paraId="1161E3A7" w14:textId="77777777" w:rsidR="00A753EF" w:rsidRPr="00A753EF" w:rsidRDefault="00A753EF" w:rsidP="00A753EF">
      <w:pPr>
        <w:spacing w:after="0" w:line="240" w:lineRule="auto"/>
        <w:ind w:firstLine="567"/>
        <w:jc w:val="both"/>
        <w:rPr>
          <w:rFonts w:ascii="Times New Roman" w:eastAsia="Times New Roman" w:hAnsi="Times New Roman" w:cs="Times New Roman"/>
          <w:iCs/>
          <w:sz w:val="24"/>
          <w:szCs w:val="20"/>
        </w:rPr>
      </w:pPr>
      <w:r w:rsidRPr="00A753EF">
        <w:rPr>
          <w:rFonts w:ascii="Times New Roman" w:eastAsia="Times New Roman" w:hAnsi="Times New Roman" w:cs="Times New Roman"/>
          <w:iCs/>
          <w:sz w:val="24"/>
          <w:szCs w:val="20"/>
        </w:rPr>
        <w:t xml:space="preserve">UIN ieņēmumus 2020.gadā un turpmākajos gados ietekmēs arī iepriekš pieņemtās likumdošanas izmaiņas saistībā ar </w:t>
      </w:r>
      <w:r w:rsidRPr="00A753EF">
        <w:rPr>
          <w:rFonts w:ascii="Times New Roman" w:eastAsia="Times New Roman" w:hAnsi="Times New Roman" w:cs="Times New Roman"/>
          <w:color w:val="000000"/>
          <w:sz w:val="24"/>
          <w:szCs w:val="24"/>
          <w:lang w:eastAsia="lv-LV"/>
        </w:rPr>
        <w:t>nodokļa atbalsta pasākumiem parādu nomaksai, ēnu ekonomikas apkarošanas pasākumiem skaidras naudas lietošanas ierobežojumos un čeku loterijas risinājums.</w:t>
      </w:r>
    </w:p>
    <w:p w14:paraId="73674825" w14:textId="77777777" w:rsidR="00A753EF" w:rsidRPr="00A753EF" w:rsidRDefault="00A753EF" w:rsidP="00A753EF">
      <w:pPr>
        <w:spacing w:after="0" w:line="240" w:lineRule="auto"/>
        <w:ind w:firstLine="720"/>
        <w:contextualSpacing/>
        <w:jc w:val="both"/>
        <w:rPr>
          <w:rFonts w:ascii="Times New Roman" w:eastAsia="Times New Roman" w:hAnsi="Times New Roman" w:cs="Times New Roman"/>
          <w:color w:val="000000"/>
          <w:sz w:val="24"/>
          <w:szCs w:val="24"/>
          <w:lang w:eastAsia="lv-LV"/>
        </w:rPr>
      </w:pPr>
    </w:p>
    <w:p w14:paraId="27829A1A" w14:textId="77777777" w:rsidR="00422981" w:rsidRDefault="00422981">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5C47A269" w14:textId="7A5B9C28" w:rsidR="00A753EF" w:rsidRPr="00A753EF" w:rsidRDefault="00A753EF" w:rsidP="00850C9D">
      <w:pPr>
        <w:spacing w:after="0" w:line="240" w:lineRule="auto"/>
        <w:ind w:firstLine="720"/>
        <w:contextualSpacing/>
        <w:jc w:val="right"/>
        <w:rPr>
          <w:rFonts w:ascii="Times New Roman" w:eastAsia="Times New Roman" w:hAnsi="Times New Roman" w:cs="Times New Roman"/>
          <w:b/>
          <w:i/>
          <w:sz w:val="24"/>
          <w:szCs w:val="24"/>
        </w:rPr>
      </w:pPr>
      <w:r w:rsidRPr="007F6EE6">
        <w:rPr>
          <w:rFonts w:ascii="Times New Roman" w:eastAsia="Times New Roman" w:hAnsi="Times New Roman" w:cs="Times New Roman"/>
          <w:b/>
          <w:sz w:val="24"/>
          <w:szCs w:val="20"/>
        </w:rPr>
        <w:t>4.3.tabula.</w:t>
      </w:r>
      <w:r w:rsidRPr="00A753EF">
        <w:rPr>
          <w:rFonts w:ascii="Times New Roman" w:eastAsia="Times New Roman" w:hAnsi="Times New Roman" w:cs="Times New Roman"/>
          <w:b/>
          <w:sz w:val="24"/>
          <w:szCs w:val="20"/>
        </w:rPr>
        <w:t xml:space="preserve"> Nodokļu politikas izmaiņu ietekme uz UIN ieņēmumiem,</w:t>
      </w:r>
      <w:r w:rsidR="00850C9D">
        <w:rPr>
          <w:rFonts w:ascii="Times New Roman" w:eastAsia="Times New Roman" w:hAnsi="Times New Roman" w:cs="Times New Roman"/>
          <w:b/>
          <w:sz w:val="24"/>
          <w:szCs w:val="20"/>
        </w:rPr>
        <w:br/>
      </w:r>
      <w:r w:rsidRPr="00A753EF">
        <w:rPr>
          <w:rFonts w:ascii="Times New Roman" w:eastAsia="Times New Roman" w:hAnsi="Times New Roman" w:cs="Times New Roman"/>
          <w:b/>
          <w:sz w:val="24"/>
          <w:szCs w:val="20"/>
        </w:rPr>
        <w:t xml:space="preserve"> milj. </w:t>
      </w:r>
      <w:r w:rsidRPr="00A753EF">
        <w:rPr>
          <w:rFonts w:ascii="Times New Roman" w:eastAsia="Times New Roman" w:hAnsi="Times New Roman" w:cs="Times New Roman"/>
          <w:b/>
          <w:i/>
          <w:sz w:val="24"/>
          <w:szCs w:val="24"/>
        </w:rPr>
        <w:t>euro</w:t>
      </w:r>
    </w:p>
    <w:tbl>
      <w:tblPr>
        <w:tblStyle w:val="GridTable6Colorful-Accent1"/>
        <w:tblW w:w="8296" w:type="dxa"/>
        <w:jc w:val="center"/>
        <w:tblLayout w:type="fixed"/>
        <w:tblLook w:val="04A0" w:firstRow="1" w:lastRow="0" w:firstColumn="1" w:lastColumn="0" w:noHBand="0" w:noVBand="1"/>
      </w:tblPr>
      <w:tblGrid>
        <w:gridCol w:w="5133"/>
        <w:gridCol w:w="790"/>
        <w:gridCol w:w="791"/>
        <w:gridCol w:w="791"/>
        <w:gridCol w:w="791"/>
      </w:tblGrid>
      <w:tr w:rsidR="00A753EF" w:rsidRPr="00A753EF" w14:paraId="754A027B" w14:textId="77777777" w:rsidTr="00A753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3" w:type="dxa"/>
          </w:tcPr>
          <w:p w14:paraId="432E706F"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790" w:type="dxa"/>
          </w:tcPr>
          <w:p w14:paraId="679C2771"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791" w:type="dxa"/>
          </w:tcPr>
          <w:p w14:paraId="6CA2011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791" w:type="dxa"/>
          </w:tcPr>
          <w:p w14:paraId="1E102CBE"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791" w:type="dxa"/>
          </w:tcPr>
          <w:p w14:paraId="6D912BCB"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607715B4" w14:textId="77777777" w:rsidTr="00A753E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133" w:type="dxa"/>
          </w:tcPr>
          <w:p w14:paraId="334E0CB7"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lang w:eastAsia="lv-LV"/>
              </w:rPr>
              <w:t>“Latvijas valsts meži” dividendēs izmaksājamās peļņas daļas palielināšana</w:t>
            </w:r>
          </w:p>
        </w:tc>
        <w:tc>
          <w:tcPr>
            <w:tcW w:w="790" w:type="dxa"/>
            <w:vAlign w:val="center"/>
          </w:tcPr>
          <w:p w14:paraId="544A8ED6"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+1,0</w:t>
            </w:r>
          </w:p>
        </w:tc>
        <w:tc>
          <w:tcPr>
            <w:tcW w:w="791" w:type="dxa"/>
            <w:vAlign w:val="center"/>
          </w:tcPr>
          <w:p w14:paraId="4B569716"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-10,0</w:t>
            </w:r>
          </w:p>
        </w:tc>
        <w:tc>
          <w:tcPr>
            <w:tcW w:w="791" w:type="dxa"/>
            <w:vAlign w:val="center"/>
          </w:tcPr>
          <w:p w14:paraId="53EEFDAF"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1287027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75DD4EDF" w14:textId="77777777" w:rsidTr="00A753EF">
        <w:trPr>
          <w:trHeight w:val="152"/>
          <w:jc w:val="center"/>
        </w:trPr>
        <w:tc>
          <w:tcPr>
            <w:cnfStyle w:val="001000000000" w:firstRow="0" w:lastRow="0" w:firstColumn="1" w:lastColumn="0" w:oddVBand="0" w:evenVBand="0" w:oddHBand="0" w:evenHBand="0" w:firstRowFirstColumn="0" w:firstRowLastColumn="0" w:lastRowFirstColumn="0" w:lastRowLastColumn="0"/>
            <w:tcW w:w="5133" w:type="dxa"/>
          </w:tcPr>
          <w:p w14:paraId="53887F3E" w14:textId="77777777" w:rsidR="00A753EF" w:rsidRPr="00A753EF" w:rsidRDefault="00A753EF" w:rsidP="00A753EF">
            <w:pPr>
              <w:contextualSpacing/>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lang w:eastAsia="lv-LV"/>
              </w:rPr>
              <w:t>“Latvijas loto” dividendēs izmaksājamās peļņas daļas palielināšana</w:t>
            </w:r>
          </w:p>
        </w:tc>
        <w:tc>
          <w:tcPr>
            <w:tcW w:w="790" w:type="dxa"/>
            <w:vAlign w:val="center"/>
          </w:tcPr>
          <w:p w14:paraId="36865A18" w14:textId="77777777" w:rsidR="00A753EF" w:rsidRPr="00A753EF" w:rsidRDefault="00A753EF" w:rsidP="00A753EF">
            <w:pPr>
              <w:tabs>
                <w:tab w:val="decimal" w:pos="458"/>
              </w:tabs>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+0,04</w:t>
            </w:r>
          </w:p>
        </w:tc>
        <w:tc>
          <w:tcPr>
            <w:tcW w:w="791" w:type="dxa"/>
            <w:vAlign w:val="center"/>
          </w:tcPr>
          <w:p w14:paraId="5B3B2C2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0818A69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-0,04</w:t>
            </w:r>
          </w:p>
        </w:tc>
        <w:tc>
          <w:tcPr>
            <w:tcW w:w="791" w:type="dxa"/>
            <w:vAlign w:val="center"/>
          </w:tcPr>
          <w:p w14:paraId="34BA9B1C"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2E5D964D" w14:textId="77777777" w:rsidTr="00A753EF">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5133" w:type="dxa"/>
          </w:tcPr>
          <w:p w14:paraId="4627A8B6" w14:textId="77777777" w:rsidR="00A753EF" w:rsidRPr="00A753EF" w:rsidRDefault="00A753EF" w:rsidP="00A753EF">
            <w:pPr>
              <w:contextualSpacing/>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Ziedojuma atlaides intensitātes palielināšana</w:t>
            </w:r>
          </w:p>
        </w:tc>
        <w:tc>
          <w:tcPr>
            <w:tcW w:w="790" w:type="dxa"/>
          </w:tcPr>
          <w:p w14:paraId="7A8036F0" w14:textId="77777777" w:rsidR="00A753EF" w:rsidRPr="00A753EF" w:rsidRDefault="00A753EF" w:rsidP="00A753EF">
            <w:pPr>
              <w:tabs>
                <w:tab w:val="decimal" w:pos="458"/>
              </w:tabs>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-5,1</w:t>
            </w:r>
          </w:p>
        </w:tc>
        <w:tc>
          <w:tcPr>
            <w:tcW w:w="791" w:type="dxa"/>
          </w:tcPr>
          <w:p w14:paraId="23C899D0"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tcPr>
          <w:p w14:paraId="61C18785"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tcPr>
          <w:p w14:paraId="5878D3AE"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+5,1</w:t>
            </w:r>
          </w:p>
        </w:tc>
      </w:tr>
      <w:tr w:rsidR="00A753EF" w:rsidRPr="00A753EF" w14:paraId="4AFD65EE" w14:textId="77777777" w:rsidTr="00A753EF">
        <w:trPr>
          <w:trHeight w:val="152"/>
          <w:jc w:val="center"/>
        </w:trPr>
        <w:tc>
          <w:tcPr>
            <w:cnfStyle w:val="001000000000" w:firstRow="0" w:lastRow="0" w:firstColumn="1" w:lastColumn="0" w:oddVBand="0" w:evenVBand="0" w:oddHBand="0" w:evenHBand="0" w:firstRowFirstColumn="0" w:firstRowLastColumn="0" w:lastRowFirstColumn="0" w:lastRowLastColumn="0"/>
            <w:tcW w:w="5133" w:type="dxa"/>
          </w:tcPr>
          <w:p w14:paraId="575BC483" w14:textId="77777777" w:rsidR="00A753EF" w:rsidRPr="00A753EF" w:rsidRDefault="00A753EF" w:rsidP="00A753EF">
            <w:pPr>
              <w:contextualSpacing/>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Skaidras naudas lietošanas ierobežojumi</w:t>
            </w:r>
          </w:p>
        </w:tc>
        <w:tc>
          <w:tcPr>
            <w:tcW w:w="790" w:type="dxa"/>
            <w:vAlign w:val="center"/>
          </w:tcPr>
          <w:p w14:paraId="768ECCCC" w14:textId="77777777" w:rsidR="00A753EF" w:rsidRPr="00A753EF" w:rsidRDefault="00A753EF" w:rsidP="00A753EF">
            <w:pPr>
              <w:tabs>
                <w:tab w:val="decimal" w:pos="458"/>
              </w:tabs>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+0,1</w:t>
            </w:r>
          </w:p>
        </w:tc>
        <w:tc>
          <w:tcPr>
            <w:tcW w:w="791" w:type="dxa"/>
            <w:vAlign w:val="center"/>
          </w:tcPr>
          <w:p w14:paraId="5F53ADEF"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2844A588"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6C8F27F9"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27056BE8"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3" w:type="dxa"/>
          </w:tcPr>
          <w:p w14:paraId="763C39A5"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Nodokļa atbalsta pasākumi</w:t>
            </w:r>
          </w:p>
        </w:tc>
        <w:tc>
          <w:tcPr>
            <w:tcW w:w="790" w:type="dxa"/>
            <w:vAlign w:val="center"/>
          </w:tcPr>
          <w:p w14:paraId="7F7C5524"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-1,3</w:t>
            </w:r>
          </w:p>
        </w:tc>
        <w:tc>
          <w:tcPr>
            <w:tcW w:w="791" w:type="dxa"/>
            <w:vAlign w:val="center"/>
          </w:tcPr>
          <w:p w14:paraId="5FDB3CFD"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78BF99F0"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698178D5"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22C98D34" w14:textId="77777777" w:rsidTr="00A753EF">
        <w:trPr>
          <w:jc w:val="center"/>
        </w:trPr>
        <w:tc>
          <w:tcPr>
            <w:cnfStyle w:val="001000000000" w:firstRow="0" w:lastRow="0" w:firstColumn="1" w:lastColumn="0" w:oddVBand="0" w:evenVBand="0" w:oddHBand="0" w:evenHBand="0" w:firstRowFirstColumn="0" w:firstRowLastColumn="0" w:lastRowFirstColumn="0" w:lastRowLastColumn="0"/>
            <w:tcW w:w="5133" w:type="dxa"/>
          </w:tcPr>
          <w:p w14:paraId="160965AC"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Čeku loterijas risinājums</w:t>
            </w:r>
          </w:p>
        </w:tc>
        <w:tc>
          <w:tcPr>
            <w:tcW w:w="790" w:type="dxa"/>
            <w:vAlign w:val="center"/>
          </w:tcPr>
          <w:p w14:paraId="018E286B"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color w:val="000000" w:themeColor="text1"/>
                <w:sz w:val="20"/>
                <w:szCs w:val="20"/>
              </w:rPr>
              <w:t>+0,3</w:t>
            </w:r>
          </w:p>
        </w:tc>
        <w:tc>
          <w:tcPr>
            <w:tcW w:w="791" w:type="dxa"/>
            <w:vAlign w:val="center"/>
          </w:tcPr>
          <w:p w14:paraId="45B1357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3A5BD5BE"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91" w:type="dxa"/>
            <w:vAlign w:val="center"/>
          </w:tcPr>
          <w:p w14:paraId="7023A6F9"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07237894"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3" w:type="dxa"/>
          </w:tcPr>
          <w:p w14:paraId="293AC95A"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790" w:type="dxa"/>
            <w:vAlign w:val="center"/>
          </w:tcPr>
          <w:p w14:paraId="4F4B43C8"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-5,0</w:t>
            </w:r>
          </w:p>
        </w:tc>
        <w:tc>
          <w:tcPr>
            <w:tcW w:w="791" w:type="dxa"/>
            <w:vAlign w:val="center"/>
          </w:tcPr>
          <w:p w14:paraId="15743171"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b/>
                <w:color w:val="000000" w:themeColor="text1"/>
                <w:sz w:val="20"/>
                <w:szCs w:val="20"/>
              </w:rPr>
              <w:t>-10,0</w:t>
            </w:r>
          </w:p>
        </w:tc>
        <w:tc>
          <w:tcPr>
            <w:tcW w:w="791" w:type="dxa"/>
            <w:vAlign w:val="center"/>
          </w:tcPr>
          <w:p w14:paraId="2599711A"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-0,04</w:t>
            </w:r>
          </w:p>
        </w:tc>
        <w:tc>
          <w:tcPr>
            <w:tcW w:w="791" w:type="dxa"/>
            <w:vAlign w:val="center"/>
          </w:tcPr>
          <w:p w14:paraId="0A94BD01"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+5,1</w:t>
            </w:r>
          </w:p>
        </w:tc>
      </w:tr>
    </w:tbl>
    <w:p w14:paraId="76D5757E" w14:textId="77777777" w:rsidR="00A753EF" w:rsidRPr="00A753EF" w:rsidRDefault="00A753EF" w:rsidP="00A753EF">
      <w:pPr>
        <w:spacing w:after="0" w:line="240" w:lineRule="auto"/>
        <w:rPr>
          <w:rFonts w:ascii="Times New Roman" w:eastAsia="Calibri" w:hAnsi="Times New Roman" w:cs="Times New Roman"/>
          <w:sz w:val="24"/>
          <w:highlight w:val="yellow"/>
        </w:rPr>
      </w:pPr>
    </w:p>
    <w:p w14:paraId="760957A9" w14:textId="77777777" w:rsidR="00A753EF" w:rsidRPr="00A753EF" w:rsidRDefault="00A753EF" w:rsidP="00A753EF">
      <w:pPr>
        <w:spacing w:before="120" w:after="12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Akcīzes nodoklis</w:t>
      </w:r>
    </w:p>
    <w:p w14:paraId="5F74D605" w14:textId="6B8609ED" w:rsidR="00A753EF" w:rsidRPr="00A753EF" w:rsidRDefault="00A753EF" w:rsidP="00A753EF">
      <w:pPr>
        <w:spacing w:after="0" w:line="240" w:lineRule="auto"/>
        <w:ind w:firstLine="567"/>
        <w:jc w:val="both"/>
        <w:rPr>
          <w:rFonts w:ascii="Times New Roman" w:eastAsia="Times New Roman" w:hAnsi="Times New Roman" w:cs="Times New Roman"/>
          <w:sz w:val="24"/>
          <w:szCs w:val="24"/>
        </w:rPr>
      </w:pPr>
      <w:r w:rsidRPr="00A753EF">
        <w:rPr>
          <w:rFonts w:ascii="Times New Roman" w:eastAsia="Times New Roman" w:hAnsi="Times New Roman" w:cs="Times New Roman"/>
          <w:color w:val="000000"/>
          <w:sz w:val="24"/>
          <w:szCs w:val="24"/>
        </w:rPr>
        <w:t xml:space="preserve">Nodokļu reformas ietvaros </w:t>
      </w:r>
      <w:r w:rsidRPr="00A753EF">
        <w:rPr>
          <w:rFonts w:ascii="Times New Roman" w:eastAsia="Times New Roman" w:hAnsi="Times New Roman" w:cs="Times New Roman"/>
          <w:sz w:val="24"/>
          <w:szCs w:val="24"/>
        </w:rPr>
        <w:t xml:space="preserve">2017.gada 27.jūlijā tika pieņemti grozījumi likumā „Par akcīzes nodokli”, ar ko tika noteiktas izmaiņas attiecībā uz </w:t>
      </w:r>
      <w:r w:rsidRPr="00A753EF">
        <w:rPr>
          <w:rFonts w:ascii="Times New Roman" w:eastAsia="Times New Roman" w:hAnsi="Times New Roman" w:cs="Times New Roman"/>
          <w:b/>
          <w:sz w:val="24"/>
          <w:szCs w:val="24"/>
        </w:rPr>
        <w:t>akcīzes nodokļa</w:t>
      </w:r>
      <w:r w:rsidRPr="00A753EF">
        <w:rPr>
          <w:rFonts w:ascii="Times New Roman" w:eastAsia="Times New Roman" w:hAnsi="Times New Roman" w:cs="Times New Roman"/>
          <w:sz w:val="24"/>
          <w:szCs w:val="24"/>
        </w:rPr>
        <w:t xml:space="preserve"> likmēm alkoholiskajiem dzērieniem, alum, tabakas izstrādājumiem un naftas produktiem, ko izmanto par degvielu, 2018.</w:t>
      </w:r>
      <w:r w:rsidR="0011360C" w:rsidRPr="007D4AE9">
        <w:t>–</w:t>
      </w:r>
      <w:r w:rsidRPr="00A753EF">
        <w:rPr>
          <w:rFonts w:ascii="Times New Roman" w:eastAsia="Times New Roman" w:hAnsi="Times New Roman" w:cs="Times New Roman"/>
          <w:sz w:val="24"/>
          <w:szCs w:val="24"/>
        </w:rPr>
        <w:t>2020.gadā.</w:t>
      </w:r>
    </w:p>
    <w:p w14:paraId="20435FC0" w14:textId="298DE07E" w:rsidR="00A753EF" w:rsidRPr="007F6EE6" w:rsidRDefault="00A753EF" w:rsidP="00A753EF">
      <w:pPr>
        <w:spacing w:after="0" w:line="240" w:lineRule="auto"/>
        <w:ind w:firstLine="567"/>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color w:val="000000"/>
          <w:sz w:val="24"/>
          <w:szCs w:val="24"/>
        </w:rPr>
        <w:t xml:space="preserve">Ar minētajiem grozījumiem tika noteikts </w:t>
      </w:r>
      <w:r w:rsidRPr="00A753EF">
        <w:rPr>
          <w:rFonts w:ascii="Times New Roman" w:eastAsia="Times New Roman" w:hAnsi="Times New Roman" w:cs="Times New Roman"/>
          <w:b/>
          <w:color w:val="000000"/>
          <w:sz w:val="24"/>
          <w:szCs w:val="24"/>
        </w:rPr>
        <w:t>akcīzes nodokļa naftas produktiem</w:t>
      </w:r>
      <w:r w:rsidRPr="00A753EF">
        <w:rPr>
          <w:rFonts w:ascii="Times New Roman" w:eastAsia="Times New Roman" w:hAnsi="Times New Roman" w:cs="Times New Roman"/>
          <w:color w:val="000000"/>
          <w:sz w:val="24"/>
          <w:szCs w:val="24"/>
        </w:rPr>
        <w:t>, ko izmanto par degvielu, pieaugums ar 2018.gada un 2020</w:t>
      </w:r>
      <w:r w:rsidRPr="007F6EE6">
        <w:rPr>
          <w:rFonts w:ascii="Times New Roman" w:eastAsia="Times New Roman" w:hAnsi="Times New Roman" w:cs="Times New Roman"/>
          <w:color w:val="000000"/>
          <w:sz w:val="24"/>
          <w:szCs w:val="24"/>
        </w:rPr>
        <w:t>.gada 1.janvāri (sk</w:t>
      </w:r>
      <w:r w:rsidR="0011360C" w:rsidRPr="007F6EE6">
        <w:rPr>
          <w:rFonts w:ascii="Times New Roman" w:eastAsia="Times New Roman" w:hAnsi="Times New Roman" w:cs="Times New Roman"/>
          <w:color w:val="000000"/>
          <w:sz w:val="24"/>
          <w:szCs w:val="24"/>
        </w:rPr>
        <w:t>at</w:t>
      </w:r>
      <w:r w:rsidRPr="007F6EE6">
        <w:rPr>
          <w:rFonts w:ascii="Times New Roman" w:eastAsia="Times New Roman" w:hAnsi="Times New Roman" w:cs="Times New Roman"/>
          <w:color w:val="000000"/>
          <w:sz w:val="24"/>
          <w:szCs w:val="24"/>
        </w:rPr>
        <w:t>.</w:t>
      </w:r>
      <w:r w:rsidR="00077771">
        <w:rPr>
          <w:rFonts w:ascii="Times New Roman" w:eastAsia="Times New Roman" w:hAnsi="Times New Roman" w:cs="Times New Roman"/>
          <w:color w:val="000000"/>
          <w:sz w:val="24"/>
          <w:szCs w:val="24"/>
        </w:rPr>
        <w:t xml:space="preserve"> </w:t>
      </w:r>
      <w:r w:rsidRPr="007F6EE6">
        <w:rPr>
          <w:rFonts w:ascii="Times New Roman" w:eastAsia="Times New Roman" w:hAnsi="Times New Roman" w:cs="Times New Roman"/>
          <w:color w:val="000000"/>
          <w:sz w:val="24"/>
          <w:szCs w:val="24"/>
        </w:rPr>
        <w:t>4.4.tabulu).</w:t>
      </w:r>
    </w:p>
    <w:p w14:paraId="53BD0BBC" w14:textId="77777777" w:rsidR="00A753EF" w:rsidRPr="007F6EE6" w:rsidRDefault="00A753EF" w:rsidP="00A753EF">
      <w:pPr>
        <w:spacing w:after="0" w:line="240" w:lineRule="auto"/>
        <w:ind w:firstLine="567"/>
        <w:jc w:val="both"/>
        <w:rPr>
          <w:rFonts w:ascii="Times New Roman" w:eastAsia="Times New Roman" w:hAnsi="Times New Roman" w:cs="Times New Roman"/>
          <w:color w:val="000000"/>
          <w:sz w:val="24"/>
          <w:szCs w:val="24"/>
        </w:rPr>
      </w:pPr>
    </w:p>
    <w:p w14:paraId="167813F9" w14:textId="77777777" w:rsidR="00A753EF" w:rsidRPr="00A753EF" w:rsidRDefault="00A753EF" w:rsidP="00850C9D">
      <w:pPr>
        <w:spacing w:after="0" w:line="240" w:lineRule="auto"/>
        <w:ind w:firstLine="567"/>
        <w:jc w:val="right"/>
        <w:rPr>
          <w:rFonts w:ascii="Times New Roman" w:eastAsia="Times New Roman" w:hAnsi="Times New Roman" w:cs="Times New Roman"/>
          <w:b/>
          <w:sz w:val="24"/>
          <w:szCs w:val="20"/>
        </w:rPr>
      </w:pPr>
      <w:r w:rsidRPr="007F6EE6">
        <w:rPr>
          <w:rFonts w:ascii="Times New Roman" w:eastAsia="Times New Roman" w:hAnsi="Times New Roman" w:cs="Times New Roman"/>
          <w:b/>
          <w:sz w:val="24"/>
          <w:szCs w:val="20"/>
        </w:rPr>
        <w:t>4.4.tabula. Akcīzes nodokļa likmes</w:t>
      </w:r>
      <w:r w:rsidRPr="00A753EF">
        <w:rPr>
          <w:rFonts w:ascii="Times New Roman" w:eastAsia="Times New Roman" w:hAnsi="Times New Roman" w:cs="Times New Roman"/>
          <w:b/>
          <w:sz w:val="24"/>
          <w:szCs w:val="20"/>
        </w:rPr>
        <w:t xml:space="preserve"> naftas produktiem</w:t>
      </w:r>
    </w:p>
    <w:tbl>
      <w:tblPr>
        <w:tblStyle w:val="GridTable6Colorful-Accent110"/>
        <w:tblW w:w="8931" w:type="dxa"/>
        <w:jc w:val="center"/>
        <w:tblLook w:val="04A0" w:firstRow="1" w:lastRow="0" w:firstColumn="1" w:lastColumn="0" w:noHBand="0" w:noVBand="1"/>
      </w:tblPr>
      <w:tblGrid>
        <w:gridCol w:w="6096"/>
        <w:gridCol w:w="1559"/>
        <w:gridCol w:w="1276"/>
      </w:tblGrid>
      <w:tr w:rsidR="00A753EF" w:rsidRPr="00A753EF" w14:paraId="60A82855" w14:textId="77777777" w:rsidTr="00DE3E1F">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noWrap/>
            <w:hideMark/>
          </w:tcPr>
          <w:p w14:paraId="17A307C8" w14:textId="77777777" w:rsidR="00A753EF" w:rsidRPr="00A753EF" w:rsidRDefault="00A753EF" w:rsidP="00A753EF">
            <w:pPr>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Akcīzes nodokļa objekts</w:t>
            </w:r>
          </w:p>
        </w:tc>
        <w:tc>
          <w:tcPr>
            <w:tcW w:w="1559" w:type="dxa"/>
            <w:noWrap/>
            <w:vAlign w:val="center"/>
            <w:hideMark/>
          </w:tcPr>
          <w:p w14:paraId="646E52B4" w14:textId="77777777" w:rsidR="00A753EF" w:rsidRPr="00A753EF"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01.01.2018.</w:t>
            </w:r>
          </w:p>
        </w:tc>
        <w:tc>
          <w:tcPr>
            <w:tcW w:w="1276" w:type="dxa"/>
            <w:noWrap/>
            <w:vAlign w:val="center"/>
            <w:hideMark/>
          </w:tcPr>
          <w:p w14:paraId="7767B56E" w14:textId="77777777" w:rsidR="00A753EF" w:rsidRPr="00A753EF"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01.01.2020.</w:t>
            </w:r>
          </w:p>
        </w:tc>
      </w:tr>
      <w:tr w:rsidR="00A753EF" w:rsidRPr="00A753EF" w14:paraId="352C939C" w14:textId="77777777" w:rsidTr="00A753E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14:paraId="2E2029F5"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Svinu nesaturošs benzīns,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1 000 litriem</w:t>
            </w:r>
          </w:p>
        </w:tc>
        <w:tc>
          <w:tcPr>
            <w:tcW w:w="1559" w:type="dxa"/>
            <w:noWrap/>
            <w:vAlign w:val="bottom"/>
            <w:hideMark/>
          </w:tcPr>
          <w:p w14:paraId="22F6771E"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476,0</w:t>
            </w:r>
          </w:p>
        </w:tc>
        <w:tc>
          <w:tcPr>
            <w:tcW w:w="1276" w:type="dxa"/>
            <w:noWrap/>
            <w:vAlign w:val="bottom"/>
            <w:hideMark/>
          </w:tcPr>
          <w:p w14:paraId="64448EF1"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509,0</w:t>
            </w:r>
          </w:p>
        </w:tc>
      </w:tr>
      <w:tr w:rsidR="00A753EF" w:rsidRPr="00A753EF" w14:paraId="5B3CCCF7" w14:textId="77777777" w:rsidTr="00DE3E1F">
        <w:trPr>
          <w:trHeight w:val="325"/>
          <w:jc w:val="center"/>
        </w:trPr>
        <w:tc>
          <w:tcPr>
            <w:cnfStyle w:val="001000000000" w:firstRow="0" w:lastRow="0" w:firstColumn="1" w:lastColumn="0" w:oddVBand="0" w:evenVBand="0" w:oddHBand="0" w:evenHBand="0" w:firstRowFirstColumn="0" w:firstRowLastColumn="0" w:lastRowFirstColumn="0" w:lastRowLastColumn="0"/>
            <w:tcW w:w="6096" w:type="dxa"/>
            <w:shd w:val="clear" w:color="auto" w:fill="auto"/>
            <w:hideMark/>
          </w:tcPr>
          <w:p w14:paraId="0A279C45"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Svinu saturošs benzīns,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1 000 litriem</w:t>
            </w:r>
          </w:p>
        </w:tc>
        <w:tc>
          <w:tcPr>
            <w:tcW w:w="1559" w:type="dxa"/>
            <w:shd w:val="clear" w:color="auto" w:fill="auto"/>
            <w:noWrap/>
            <w:vAlign w:val="bottom"/>
            <w:hideMark/>
          </w:tcPr>
          <w:p w14:paraId="2CA2B951"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594,0</w:t>
            </w:r>
          </w:p>
        </w:tc>
        <w:tc>
          <w:tcPr>
            <w:tcW w:w="1276" w:type="dxa"/>
            <w:shd w:val="clear" w:color="auto" w:fill="auto"/>
            <w:noWrap/>
            <w:vAlign w:val="bottom"/>
            <w:hideMark/>
          </w:tcPr>
          <w:p w14:paraId="79AC1F61"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594,0</w:t>
            </w:r>
          </w:p>
        </w:tc>
      </w:tr>
      <w:tr w:rsidR="00A753EF" w:rsidRPr="00A753EF" w14:paraId="26D731F1" w14:textId="77777777" w:rsidTr="00A753E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14:paraId="468FFBF8"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Dīzeļdegviela, petroleja,</w:t>
            </w:r>
            <w:r w:rsidRPr="00A753EF">
              <w:rPr>
                <w:rFonts w:ascii="Calibri" w:eastAsia="Times New Roman" w:hAnsi="Calibri" w:cs="Times New Roman"/>
                <w:color w:val="2E74B5"/>
              </w:rPr>
              <w:t xml:space="preserve"> </w:t>
            </w:r>
            <w:r w:rsidRPr="00A753EF">
              <w:rPr>
                <w:rFonts w:ascii="Times New Roman" w:eastAsia="Times New Roman" w:hAnsi="Times New Roman" w:cs="Times New Roman"/>
                <w:color w:val="000000"/>
                <w:sz w:val="20"/>
                <w:szCs w:val="20"/>
                <w:lang w:eastAsia="lv-LV"/>
              </w:rPr>
              <w:t>degvieleļļa</w:t>
            </w:r>
            <w:r w:rsidRPr="00A753EF">
              <w:rPr>
                <w:rFonts w:ascii="Times New Roman" w:eastAsia="Times New Roman" w:hAnsi="Times New Roman" w:cs="Times New Roman"/>
                <w:color w:val="000000"/>
                <w:sz w:val="18"/>
                <w:szCs w:val="20"/>
                <w:lang w:eastAsia="lv-LV"/>
              </w:rPr>
              <w:t>*</w:t>
            </w:r>
            <w:r w:rsidRPr="00A753EF">
              <w:rPr>
                <w:rFonts w:ascii="Times New Roman" w:eastAsia="Times New Roman" w:hAnsi="Times New Roman" w:cs="Times New Roman"/>
                <w:color w:val="000000"/>
                <w:sz w:val="20"/>
                <w:szCs w:val="20"/>
                <w:lang w:eastAsia="lv-LV"/>
              </w:rPr>
              <w:t xml:space="preserve">,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1 000 litriem</w:t>
            </w:r>
          </w:p>
        </w:tc>
        <w:tc>
          <w:tcPr>
            <w:tcW w:w="1559" w:type="dxa"/>
            <w:noWrap/>
            <w:vAlign w:val="bottom"/>
            <w:hideMark/>
          </w:tcPr>
          <w:p w14:paraId="1CC22393"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372,0</w:t>
            </w:r>
          </w:p>
        </w:tc>
        <w:tc>
          <w:tcPr>
            <w:tcW w:w="1276" w:type="dxa"/>
            <w:noWrap/>
            <w:vAlign w:val="bottom"/>
            <w:hideMark/>
          </w:tcPr>
          <w:p w14:paraId="5EDB8702"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414,0</w:t>
            </w:r>
          </w:p>
        </w:tc>
      </w:tr>
      <w:tr w:rsidR="00A753EF" w:rsidRPr="00A753EF" w14:paraId="1EB951ED" w14:textId="77777777" w:rsidTr="00DE3E1F">
        <w:trPr>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14:paraId="28A3B8B4"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Dīzeļdegviela, ko izmanto lauksaimniecībā</w:t>
            </w:r>
            <w:r w:rsidRPr="00A753EF">
              <w:rPr>
                <w:rFonts w:ascii="Times New Roman" w:eastAsia="Times New Roman" w:hAnsi="Times New Roman" w:cs="Times New Roman"/>
                <w:color w:val="000000"/>
                <w:sz w:val="18"/>
                <w:szCs w:val="20"/>
                <w:lang w:eastAsia="lv-LV"/>
              </w:rPr>
              <w:t xml:space="preserve">**,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1 000 litriem</w:t>
            </w:r>
          </w:p>
        </w:tc>
        <w:tc>
          <w:tcPr>
            <w:tcW w:w="1559" w:type="dxa"/>
            <w:noWrap/>
            <w:vAlign w:val="center"/>
            <w:hideMark/>
          </w:tcPr>
          <w:p w14:paraId="2BF1962D"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55,8</w:t>
            </w:r>
            <w:r w:rsidRPr="00A753EF">
              <w:rPr>
                <w:rFonts w:ascii="Times New Roman" w:eastAsia="Times New Roman" w:hAnsi="Times New Roman" w:cs="Times New Roman"/>
                <w:color w:val="000000"/>
                <w:sz w:val="16"/>
                <w:szCs w:val="20"/>
                <w:lang w:eastAsia="lv-LV"/>
              </w:rPr>
              <w:t>***</w:t>
            </w:r>
          </w:p>
        </w:tc>
        <w:tc>
          <w:tcPr>
            <w:tcW w:w="1276" w:type="dxa"/>
            <w:noWrap/>
            <w:vAlign w:val="center"/>
            <w:hideMark/>
          </w:tcPr>
          <w:p w14:paraId="6E1B0C72"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62,1</w:t>
            </w:r>
          </w:p>
        </w:tc>
      </w:tr>
      <w:tr w:rsidR="00A753EF" w:rsidRPr="00A753EF" w14:paraId="316CC59C" w14:textId="77777777" w:rsidTr="00A753E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6096" w:type="dxa"/>
            <w:hideMark/>
          </w:tcPr>
          <w:p w14:paraId="4688A2C6"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Sašķidrinātās naftas gāzes,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1 000 kg</w:t>
            </w:r>
          </w:p>
        </w:tc>
        <w:tc>
          <w:tcPr>
            <w:tcW w:w="1559" w:type="dxa"/>
            <w:noWrap/>
            <w:vAlign w:val="bottom"/>
            <w:hideMark/>
          </w:tcPr>
          <w:p w14:paraId="02D9702F"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244,0</w:t>
            </w:r>
          </w:p>
        </w:tc>
        <w:tc>
          <w:tcPr>
            <w:tcW w:w="1276" w:type="dxa"/>
            <w:noWrap/>
            <w:vAlign w:val="bottom"/>
            <w:hideMark/>
          </w:tcPr>
          <w:p w14:paraId="6AB15DEA"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285,0</w:t>
            </w:r>
          </w:p>
        </w:tc>
      </w:tr>
    </w:tbl>
    <w:p w14:paraId="34E5B5DC" w14:textId="77777777" w:rsidR="00A753EF" w:rsidRPr="00A753EF" w:rsidRDefault="00A753EF" w:rsidP="00A753EF">
      <w:pPr>
        <w:spacing w:after="0" w:line="240" w:lineRule="auto"/>
        <w:jc w:val="both"/>
        <w:rPr>
          <w:rFonts w:ascii="Times New Roman" w:eastAsia="Times New Roman" w:hAnsi="Times New Roman" w:cs="Times New Roman"/>
          <w:sz w:val="18"/>
          <w:szCs w:val="18"/>
        </w:rPr>
      </w:pPr>
      <w:r w:rsidRPr="00A753EF">
        <w:rPr>
          <w:rFonts w:ascii="Times New Roman" w:eastAsia="Calibri" w:hAnsi="Times New Roman" w:cs="Times New Roman"/>
          <w:i/>
          <w:sz w:val="18"/>
          <w:szCs w:val="18"/>
        </w:rPr>
        <w:t>*</w:t>
      </w:r>
      <w:r w:rsidRPr="00A753EF">
        <w:rPr>
          <w:rFonts w:ascii="Times New Roman" w:eastAsia="Calibri" w:hAnsi="Times New Roman" w:cs="Times New Roman"/>
          <w:sz w:val="18"/>
          <w:szCs w:val="18"/>
        </w:rPr>
        <w:t xml:space="preserve"> </w:t>
      </w:r>
      <w:r w:rsidRPr="00A753EF">
        <w:rPr>
          <w:rFonts w:ascii="Times New Roman" w:eastAsia="Calibri" w:hAnsi="Times New Roman" w:cs="Times New Roman"/>
          <w:i/>
          <w:sz w:val="18"/>
          <w:szCs w:val="18"/>
        </w:rPr>
        <w:t>degvieleļļai, kuras kolorimetriskais indekss ir mazāks par 2,0 un kinemātiskā viskozitāte 50°C ir mazāka par 25 mm2/s, to aizstājējproduktiem un komponentiem</w:t>
      </w:r>
    </w:p>
    <w:p w14:paraId="6B7E77A2" w14:textId="77777777" w:rsidR="00A753EF" w:rsidRPr="00A753EF" w:rsidRDefault="00A753EF" w:rsidP="00A753EF">
      <w:pPr>
        <w:spacing w:after="0" w:line="240" w:lineRule="auto"/>
        <w:rPr>
          <w:rFonts w:ascii="Times New Roman" w:eastAsia="Calibri" w:hAnsi="Times New Roman" w:cs="Times New Roman"/>
          <w:i/>
          <w:color w:val="000000"/>
          <w:sz w:val="18"/>
          <w:szCs w:val="18"/>
        </w:rPr>
      </w:pPr>
      <w:r w:rsidRPr="00A753EF">
        <w:rPr>
          <w:rFonts w:ascii="Times New Roman" w:eastAsia="Calibri" w:hAnsi="Times New Roman" w:cs="Times New Roman"/>
          <w:i/>
          <w:sz w:val="18"/>
          <w:szCs w:val="18"/>
        </w:rPr>
        <w:t>**</w:t>
      </w:r>
      <w:r w:rsidRPr="00A753EF">
        <w:rPr>
          <w:rFonts w:ascii="Times New Roman" w:eastAsia="Calibri" w:hAnsi="Times New Roman" w:cs="Times New Roman"/>
          <w:i/>
          <w:color w:val="000000"/>
          <w:sz w:val="18"/>
          <w:szCs w:val="18"/>
        </w:rPr>
        <w:t>iezīmētā (marķētā) dīzeļdegviela (gāzeļļa), ko izmanto lauksaimniecības produkcijas ražošanai, lauksaimniecības zemes apstrādei un meža vai purva zemes apstrādei, kurā kultivē dzērvenes vai mellenes, kā arī zemes apstrādei zem zivju dīķiem</w:t>
      </w:r>
    </w:p>
    <w:p w14:paraId="6DC08353" w14:textId="77777777" w:rsidR="00A753EF" w:rsidRPr="00A753EF" w:rsidRDefault="00A753EF" w:rsidP="00A753EF">
      <w:pPr>
        <w:spacing w:after="0" w:line="240" w:lineRule="auto"/>
        <w:jc w:val="both"/>
        <w:rPr>
          <w:rFonts w:ascii="Times New Roman" w:eastAsia="Calibri" w:hAnsi="Times New Roman" w:cs="Times New Roman"/>
          <w:i/>
          <w:color w:val="000000"/>
          <w:sz w:val="18"/>
          <w:szCs w:val="18"/>
        </w:rPr>
      </w:pPr>
      <w:r w:rsidRPr="00A753EF">
        <w:rPr>
          <w:rFonts w:ascii="Times New Roman" w:eastAsia="Calibri" w:hAnsi="Times New Roman" w:cs="Times New Roman"/>
          <w:i/>
          <w:color w:val="000000"/>
          <w:sz w:val="18"/>
          <w:szCs w:val="18"/>
        </w:rPr>
        <w:t>*** likme spēkā ar 2018.gada 1.jūliju. Līdz 2018.gada 30.jūnijam likme 50,0 euro par 1 000 litriem.</w:t>
      </w:r>
    </w:p>
    <w:p w14:paraId="0D7B0290" w14:textId="77777777" w:rsidR="00A753EF" w:rsidRPr="00A753EF" w:rsidRDefault="00A753EF" w:rsidP="00A753EF">
      <w:pPr>
        <w:spacing w:after="0" w:line="240" w:lineRule="auto"/>
        <w:ind w:firstLine="567"/>
        <w:jc w:val="both"/>
        <w:rPr>
          <w:rFonts w:ascii="Times New Roman" w:eastAsia="Calibri" w:hAnsi="Times New Roman" w:cs="Times New Roman"/>
          <w:sz w:val="24"/>
        </w:rPr>
      </w:pPr>
    </w:p>
    <w:p w14:paraId="431E0815"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4"/>
        </w:rPr>
      </w:pPr>
      <w:r w:rsidRPr="00A753EF">
        <w:rPr>
          <w:rFonts w:ascii="Times New Roman" w:eastAsia="Times New Roman" w:hAnsi="Times New Roman" w:cs="Times New Roman"/>
          <w:color w:val="000000"/>
          <w:sz w:val="24"/>
          <w:szCs w:val="24"/>
        </w:rPr>
        <w:t xml:space="preserve">Attiecībā uz </w:t>
      </w:r>
      <w:r w:rsidRPr="00A753EF">
        <w:rPr>
          <w:rFonts w:ascii="Times New Roman" w:eastAsia="Times New Roman" w:hAnsi="Times New Roman" w:cs="Times New Roman"/>
          <w:b/>
          <w:sz w:val="24"/>
          <w:szCs w:val="24"/>
        </w:rPr>
        <w:t>tabakas izstrādājumiem</w:t>
      </w:r>
      <w:r w:rsidRPr="00A753EF">
        <w:rPr>
          <w:rFonts w:ascii="Times New Roman" w:eastAsia="Times New Roman" w:hAnsi="Times New Roman" w:cs="Times New Roman"/>
          <w:sz w:val="24"/>
          <w:szCs w:val="24"/>
        </w:rPr>
        <w:t xml:space="preserve"> tika paredzēts šāds akcīzes nodokļa pieaugums:</w:t>
      </w:r>
    </w:p>
    <w:p w14:paraId="7228E930" w14:textId="0E95E6EF" w:rsidR="00A753EF" w:rsidRPr="00A753EF" w:rsidRDefault="00A753EF" w:rsidP="00A753EF">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b/>
          <w:sz w:val="24"/>
          <w:szCs w:val="24"/>
        </w:rPr>
        <w:t xml:space="preserve">cigaretēm </w:t>
      </w:r>
      <w:r w:rsidRPr="00A753EF">
        <w:rPr>
          <w:rFonts w:ascii="Times New Roman" w:eastAsia="Times New Roman" w:hAnsi="Times New Roman" w:cs="Times New Roman"/>
          <w:color w:val="000000"/>
          <w:sz w:val="24"/>
          <w:szCs w:val="24"/>
        </w:rPr>
        <w:t xml:space="preserve">ar 2019.gada 1.jūliju akcīzes nodokļa specifiskā likme tika paaugstināta līdz 78,7 </w:t>
      </w:r>
      <w:r w:rsidRPr="00A753EF">
        <w:rPr>
          <w:rFonts w:ascii="Times New Roman" w:eastAsia="Times New Roman" w:hAnsi="Times New Roman" w:cs="Times New Roman"/>
          <w:i/>
          <w:color w:val="000000"/>
          <w:sz w:val="24"/>
          <w:szCs w:val="24"/>
        </w:rPr>
        <w:t>euro</w:t>
      </w:r>
      <w:r w:rsidRPr="00A753EF">
        <w:rPr>
          <w:rFonts w:ascii="Times New Roman" w:eastAsia="Times New Roman" w:hAnsi="Times New Roman" w:cs="Times New Roman"/>
          <w:color w:val="000000"/>
          <w:sz w:val="24"/>
          <w:szCs w:val="24"/>
        </w:rPr>
        <w:t xml:space="preserve"> par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sz w:val="24"/>
          <w:szCs w:val="24"/>
        </w:rPr>
        <w:t xml:space="preserve">000 cigaretēm, bet minimālais nodokļa līmenis līdz 114,7 </w:t>
      </w:r>
      <w:r w:rsidRPr="00A753EF">
        <w:rPr>
          <w:rFonts w:ascii="Times New Roman" w:eastAsia="Times New Roman" w:hAnsi="Times New Roman" w:cs="Times New Roman"/>
          <w:i/>
          <w:color w:val="000000"/>
          <w:sz w:val="24"/>
          <w:szCs w:val="24"/>
        </w:rPr>
        <w:t>euro</w:t>
      </w:r>
      <w:r w:rsidRPr="00A753EF">
        <w:rPr>
          <w:rFonts w:ascii="Times New Roman" w:eastAsia="Times New Roman" w:hAnsi="Times New Roman" w:cs="Times New Roman"/>
          <w:color w:val="000000"/>
          <w:sz w:val="24"/>
          <w:szCs w:val="24"/>
        </w:rPr>
        <w:t xml:space="preserve"> par 1</w:t>
      </w:r>
      <w:r w:rsidR="00F46A3B" w:rsidRPr="00422981">
        <w:rPr>
          <w:rFonts w:ascii="Times New Roman" w:eastAsia="Times New Roman" w:hAnsi="Times New Roman" w:cs="Times New Roman"/>
          <w:color w:val="000000"/>
          <w:sz w:val="20"/>
          <w:szCs w:val="24"/>
          <w:lang w:eastAsia="lv-LV"/>
        </w:rPr>
        <w:t> </w:t>
      </w:r>
      <w:r w:rsidRPr="00A753EF">
        <w:rPr>
          <w:rFonts w:ascii="Times New Roman" w:eastAsia="Times New Roman" w:hAnsi="Times New Roman" w:cs="Times New Roman"/>
          <w:color w:val="000000"/>
          <w:sz w:val="24"/>
          <w:szCs w:val="24"/>
        </w:rPr>
        <w:t>000 cigaretēm;</w:t>
      </w:r>
    </w:p>
    <w:p w14:paraId="2686D54B" w14:textId="77777777" w:rsidR="00A753EF" w:rsidRPr="00A753EF" w:rsidRDefault="00A753EF" w:rsidP="00A753EF">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b/>
          <w:color w:val="000000"/>
          <w:sz w:val="24"/>
          <w:szCs w:val="24"/>
        </w:rPr>
        <w:t xml:space="preserve">cigāriem un cigarillām </w:t>
      </w:r>
      <w:r w:rsidRPr="00A753EF">
        <w:rPr>
          <w:rFonts w:ascii="Times New Roman" w:eastAsia="Times New Roman" w:hAnsi="Times New Roman" w:cs="Times New Roman"/>
          <w:color w:val="000000"/>
          <w:sz w:val="24"/>
          <w:szCs w:val="24"/>
        </w:rPr>
        <w:t>ar 2020.gada 1.janvāri akcīzes nodokļa likme tika paaugstināta no 88,0 </w:t>
      </w:r>
      <w:r w:rsidRPr="00A753EF">
        <w:rPr>
          <w:rFonts w:ascii="Times New Roman" w:eastAsia="Times New Roman" w:hAnsi="Times New Roman" w:cs="Times New Roman"/>
          <w:i/>
          <w:color w:val="000000"/>
          <w:sz w:val="24"/>
          <w:szCs w:val="24"/>
        </w:rPr>
        <w:t>euro</w:t>
      </w:r>
      <w:r w:rsidRPr="00A753EF">
        <w:rPr>
          <w:rFonts w:ascii="Times New Roman" w:eastAsia="Times New Roman" w:hAnsi="Times New Roman" w:cs="Times New Roman"/>
          <w:color w:val="000000"/>
          <w:sz w:val="24"/>
          <w:szCs w:val="24"/>
        </w:rPr>
        <w:t xml:space="preserve"> līdz 95,2</w:t>
      </w:r>
      <w:r w:rsidRPr="00A753EF">
        <w:rPr>
          <w:rFonts w:ascii="Times New Roman" w:eastAsia="Times New Roman" w:hAnsi="Times New Roman" w:cs="Times New Roman"/>
          <w:i/>
          <w:color w:val="000000"/>
          <w:sz w:val="24"/>
          <w:szCs w:val="24"/>
        </w:rPr>
        <w:t xml:space="preserve"> euro </w:t>
      </w:r>
      <w:r w:rsidRPr="00A753EF">
        <w:rPr>
          <w:rFonts w:ascii="Times New Roman" w:eastAsia="Times New Roman" w:hAnsi="Times New Roman" w:cs="Times New Roman"/>
          <w:color w:val="000000"/>
          <w:sz w:val="24"/>
          <w:szCs w:val="24"/>
        </w:rPr>
        <w:t>par 1 000 cigāriem vai cigarillām;</w:t>
      </w:r>
    </w:p>
    <w:p w14:paraId="1DB165A8" w14:textId="77777777" w:rsidR="00A753EF" w:rsidRPr="007F6EE6" w:rsidRDefault="00A753EF" w:rsidP="00A753EF">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b/>
          <w:color w:val="000000"/>
          <w:sz w:val="24"/>
          <w:szCs w:val="24"/>
        </w:rPr>
        <w:t xml:space="preserve">smēķējamai tabakai </w:t>
      </w:r>
      <w:r w:rsidRPr="00A753EF">
        <w:rPr>
          <w:rFonts w:ascii="Times New Roman" w:eastAsia="Times New Roman" w:hAnsi="Times New Roman" w:cs="Times New Roman"/>
          <w:color w:val="000000"/>
          <w:sz w:val="24"/>
          <w:szCs w:val="24"/>
        </w:rPr>
        <w:t>ar 2020.gada 1.janvāri akcīzes nodokļa likme tika paaugstināta no 70,0 līdz 75</w:t>
      </w:r>
      <w:r w:rsidRPr="007F6EE6">
        <w:rPr>
          <w:rFonts w:ascii="Times New Roman" w:eastAsia="Times New Roman" w:hAnsi="Times New Roman" w:cs="Times New Roman"/>
          <w:color w:val="000000"/>
          <w:sz w:val="24"/>
          <w:szCs w:val="24"/>
        </w:rPr>
        <w:t>,0 </w:t>
      </w:r>
      <w:r w:rsidRPr="007F6EE6">
        <w:rPr>
          <w:rFonts w:ascii="Times New Roman" w:eastAsia="Times New Roman" w:hAnsi="Times New Roman" w:cs="Times New Roman"/>
          <w:i/>
          <w:color w:val="000000"/>
          <w:sz w:val="24"/>
          <w:szCs w:val="24"/>
        </w:rPr>
        <w:t xml:space="preserve">euro </w:t>
      </w:r>
      <w:r w:rsidRPr="007F6EE6">
        <w:rPr>
          <w:rFonts w:ascii="Times New Roman" w:eastAsia="Times New Roman" w:hAnsi="Times New Roman" w:cs="Times New Roman"/>
          <w:color w:val="000000"/>
          <w:sz w:val="24"/>
          <w:szCs w:val="24"/>
        </w:rPr>
        <w:t>par 1 000 gramiem tabakas.</w:t>
      </w:r>
    </w:p>
    <w:p w14:paraId="3995957B" w14:textId="77777777" w:rsidR="00A753EF" w:rsidRPr="007F6EE6" w:rsidRDefault="00A753EF" w:rsidP="00A753EF">
      <w:pPr>
        <w:spacing w:after="0" w:line="240" w:lineRule="auto"/>
        <w:ind w:firstLine="567"/>
        <w:jc w:val="both"/>
        <w:rPr>
          <w:rFonts w:ascii="Times New Roman" w:eastAsia="Times New Roman" w:hAnsi="Times New Roman" w:cs="Times New Roman"/>
          <w:sz w:val="24"/>
          <w:szCs w:val="24"/>
        </w:rPr>
      </w:pPr>
      <w:r w:rsidRPr="007F6EE6">
        <w:rPr>
          <w:rFonts w:ascii="Times New Roman" w:eastAsia="Times New Roman" w:hAnsi="Times New Roman" w:cs="Times New Roman"/>
          <w:sz w:val="24"/>
          <w:szCs w:val="24"/>
        </w:rPr>
        <w:t xml:space="preserve">4.5.tabulā apkopotas akcīzes nodokļa tabakas izstrādājumiem likmes. </w:t>
      </w:r>
    </w:p>
    <w:p w14:paraId="3A94530B" w14:textId="77777777" w:rsidR="00A753EF" w:rsidRPr="007F6EE6" w:rsidRDefault="00A753EF" w:rsidP="00A753EF">
      <w:pPr>
        <w:spacing w:after="0" w:line="240" w:lineRule="auto"/>
        <w:ind w:firstLine="567"/>
        <w:jc w:val="both"/>
        <w:rPr>
          <w:rFonts w:ascii="Times New Roman" w:eastAsia="Times New Roman" w:hAnsi="Times New Roman" w:cs="Times New Roman"/>
          <w:color w:val="FF0000"/>
          <w:sz w:val="24"/>
          <w:szCs w:val="24"/>
        </w:rPr>
      </w:pPr>
    </w:p>
    <w:p w14:paraId="556E4FB7" w14:textId="77777777" w:rsidR="00422981" w:rsidRDefault="00422981">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6742B226" w14:textId="54F1A5B1" w:rsidR="00A753EF" w:rsidRPr="00A753EF" w:rsidRDefault="00A753EF" w:rsidP="00850C9D">
      <w:pPr>
        <w:keepNext/>
        <w:spacing w:before="120" w:after="60" w:line="240" w:lineRule="auto"/>
        <w:jc w:val="right"/>
        <w:rPr>
          <w:rFonts w:ascii="Times New Roman" w:eastAsia="Times New Roman" w:hAnsi="Times New Roman" w:cs="Times New Roman"/>
          <w:b/>
          <w:sz w:val="24"/>
          <w:szCs w:val="20"/>
        </w:rPr>
      </w:pPr>
      <w:r w:rsidRPr="007F6EE6">
        <w:rPr>
          <w:rFonts w:ascii="Times New Roman" w:eastAsia="Times New Roman" w:hAnsi="Times New Roman" w:cs="Times New Roman"/>
          <w:b/>
          <w:sz w:val="24"/>
          <w:szCs w:val="20"/>
        </w:rPr>
        <w:t>4.5.tabula. Akcīzes</w:t>
      </w:r>
      <w:r w:rsidRPr="00A753EF">
        <w:rPr>
          <w:rFonts w:ascii="Times New Roman" w:eastAsia="Times New Roman" w:hAnsi="Times New Roman" w:cs="Times New Roman"/>
          <w:b/>
          <w:sz w:val="24"/>
          <w:szCs w:val="20"/>
        </w:rPr>
        <w:t xml:space="preserve"> nodokļa likmes tabakas izstrādājumiem</w:t>
      </w:r>
    </w:p>
    <w:tbl>
      <w:tblPr>
        <w:tblStyle w:val="GridTable6Colorful-Accent110"/>
        <w:tblW w:w="8388" w:type="dxa"/>
        <w:jc w:val="center"/>
        <w:tblLook w:val="04A0" w:firstRow="1" w:lastRow="0" w:firstColumn="1" w:lastColumn="0" w:noHBand="0" w:noVBand="1"/>
      </w:tblPr>
      <w:tblGrid>
        <w:gridCol w:w="5282"/>
        <w:gridCol w:w="1553"/>
        <w:gridCol w:w="1553"/>
      </w:tblGrid>
      <w:tr w:rsidR="00A753EF" w:rsidRPr="00A753EF" w14:paraId="6936FC65" w14:textId="77777777" w:rsidTr="00DE3E1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282" w:type="dxa"/>
            <w:noWrap/>
            <w:vAlign w:val="center"/>
            <w:hideMark/>
          </w:tcPr>
          <w:p w14:paraId="04B93DE4" w14:textId="77777777" w:rsidR="00A753EF" w:rsidRPr="00A753EF" w:rsidRDefault="00A753EF" w:rsidP="00A753EF">
            <w:pPr>
              <w:jc w:val="center"/>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Akcīzes nodokļa objekts</w:t>
            </w:r>
          </w:p>
        </w:tc>
        <w:tc>
          <w:tcPr>
            <w:tcW w:w="3106" w:type="dxa"/>
            <w:gridSpan w:val="2"/>
            <w:vAlign w:val="center"/>
          </w:tcPr>
          <w:p w14:paraId="5187FE63" w14:textId="77777777" w:rsidR="00A753EF" w:rsidRPr="00A753EF" w:rsidRDefault="00A753EF" w:rsidP="00A753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753EF">
              <w:rPr>
                <w:rFonts w:ascii="Times New Roman" w:eastAsia="Times New Roman" w:hAnsi="Times New Roman" w:cs="Times New Roman"/>
                <w:color w:val="000000"/>
                <w:sz w:val="20"/>
                <w:szCs w:val="20"/>
                <w:lang w:eastAsia="lv-LV"/>
              </w:rPr>
              <w:t>Likmes spēkā stāšanās datums</w:t>
            </w:r>
          </w:p>
        </w:tc>
      </w:tr>
      <w:tr w:rsidR="00A753EF" w:rsidRPr="00A753EF" w14:paraId="374E8A8B" w14:textId="77777777" w:rsidTr="00A753E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282" w:type="dxa"/>
            <w:noWrap/>
            <w:hideMark/>
          </w:tcPr>
          <w:p w14:paraId="7D7DA620" w14:textId="77777777" w:rsidR="00A753EF" w:rsidRPr="00A753EF" w:rsidRDefault="00A753EF" w:rsidP="00A753EF">
            <w:pPr>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Cigaretes</w:t>
            </w:r>
          </w:p>
        </w:tc>
        <w:tc>
          <w:tcPr>
            <w:tcW w:w="3106" w:type="dxa"/>
            <w:gridSpan w:val="2"/>
            <w:noWrap/>
            <w:vAlign w:val="center"/>
            <w:hideMark/>
          </w:tcPr>
          <w:p w14:paraId="585B07FE"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753EF">
              <w:rPr>
                <w:rFonts w:ascii="Times New Roman" w:eastAsia="Times New Roman" w:hAnsi="Times New Roman" w:cs="Times New Roman"/>
                <w:b/>
                <w:bCs/>
                <w:color w:val="000000"/>
                <w:sz w:val="20"/>
                <w:szCs w:val="20"/>
                <w:lang w:eastAsia="lv-LV"/>
              </w:rPr>
              <w:t>01.07.2019.</w:t>
            </w:r>
          </w:p>
        </w:tc>
      </w:tr>
      <w:tr w:rsidR="00A753EF" w:rsidRPr="00A753EF" w14:paraId="485CC728" w14:textId="77777777" w:rsidTr="00DE3E1F">
        <w:trPr>
          <w:trHeight w:val="264"/>
          <w:jc w:val="center"/>
        </w:trPr>
        <w:tc>
          <w:tcPr>
            <w:cnfStyle w:val="001000000000" w:firstRow="0" w:lastRow="0" w:firstColumn="1" w:lastColumn="0" w:oddVBand="0" w:evenVBand="0" w:oddHBand="0" w:evenHBand="0" w:firstRowFirstColumn="0" w:firstRowLastColumn="0" w:lastRowFirstColumn="0" w:lastRowLastColumn="0"/>
            <w:tcW w:w="5282" w:type="dxa"/>
            <w:hideMark/>
          </w:tcPr>
          <w:p w14:paraId="5B25C638" w14:textId="3FEE15EF"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Nodokļa likme,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sz w:val="20"/>
                <w:szCs w:val="20"/>
                <w:lang w:eastAsia="lv-LV"/>
              </w:rPr>
              <w:t>000 gab.</w:t>
            </w:r>
          </w:p>
        </w:tc>
        <w:tc>
          <w:tcPr>
            <w:tcW w:w="3106" w:type="dxa"/>
            <w:gridSpan w:val="2"/>
            <w:noWrap/>
            <w:vAlign w:val="center"/>
            <w:hideMark/>
          </w:tcPr>
          <w:p w14:paraId="5332365F"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78,7</w:t>
            </w:r>
          </w:p>
        </w:tc>
      </w:tr>
      <w:tr w:rsidR="00A753EF" w:rsidRPr="00A753EF" w14:paraId="46E3B441" w14:textId="77777777" w:rsidTr="00DE3E1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282" w:type="dxa"/>
            <w:shd w:val="clear" w:color="auto" w:fill="auto"/>
            <w:hideMark/>
          </w:tcPr>
          <w:p w14:paraId="2A5131E8" w14:textId="4BE4A353"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Nodokļa minimālais līmenis,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sz w:val="20"/>
                <w:szCs w:val="20"/>
                <w:lang w:eastAsia="lv-LV"/>
              </w:rPr>
              <w:t>000 gab.</w:t>
            </w:r>
          </w:p>
        </w:tc>
        <w:tc>
          <w:tcPr>
            <w:tcW w:w="3106" w:type="dxa"/>
            <w:gridSpan w:val="2"/>
            <w:shd w:val="clear" w:color="auto" w:fill="auto"/>
            <w:noWrap/>
            <w:vAlign w:val="center"/>
            <w:hideMark/>
          </w:tcPr>
          <w:p w14:paraId="07F46C19"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114,7</w:t>
            </w:r>
          </w:p>
        </w:tc>
      </w:tr>
      <w:tr w:rsidR="00A753EF" w:rsidRPr="00A753EF" w14:paraId="27842BCE" w14:textId="77777777" w:rsidTr="00DE3E1F">
        <w:trPr>
          <w:trHeight w:val="264"/>
          <w:jc w:val="center"/>
        </w:trPr>
        <w:tc>
          <w:tcPr>
            <w:cnfStyle w:val="001000000000" w:firstRow="0" w:lastRow="0" w:firstColumn="1" w:lastColumn="0" w:oddVBand="0" w:evenVBand="0" w:oddHBand="0" w:evenHBand="0" w:firstRowFirstColumn="0" w:firstRowLastColumn="0" w:lastRowFirstColumn="0" w:lastRowLastColumn="0"/>
            <w:tcW w:w="5282" w:type="dxa"/>
            <w:hideMark/>
          </w:tcPr>
          <w:p w14:paraId="2886EBCB" w14:textId="77777777"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Procentuālā likme no mazumtirdzniecības cenas</w:t>
            </w:r>
          </w:p>
        </w:tc>
        <w:tc>
          <w:tcPr>
            <w:tcW w:w="3106" w:type="dxa"/>
            <w:gridSpan w:val="2"/>
            <w:noWrap/>
            <w:vAlign w:val="center"/>
            <w:hideMark/>
          </w:tcPr>
          <w:p w14:paraId="5B109DD7"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20%</w:t>
            </w:r>
          </w:p>
        </w:tc>
      </w:tr>
      <w:tr w:rsidR="00A753EF" w:rsidRPr="00A753EF" w14:paraId="64A2F64A" w14:textId="77777777" w:rsidTr="00A753E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282" w:type="dxa"/>
            <w:noWrap/>
            <w:hideMark/>
          </w:tcPr>
          <w:p w14:paraId="14914A7E" w14:textId="77777777" w:rsidR="00A753EF" w:rsidRPr="00A753EF" w:rsidRDefault="00A753EF" w:rsidP="00A753EF">
            <w:pPr>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Cigāri un cigarillas</w:t>
            </w:r>
          </w:p>
        </w:tc>
        <w:tc>
          <w:tcPr>
            <w:tcW w:w="1553" w:type="dxa"/>
            <w:noWrap/>
            <w:vAlign w:val="center"/>
          </w:tcPr>
          <w:p w14:paraId="24E37048"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753EF">
              <w:rPr>
                <w:rFonts w:ascii="Times New Roman" w:eastAsia="Times New Roman" w:hAnsi="Times New Roman" w:cs="Times New Roman"/>
                <w:b/>
                <w:bCs/>
                <w:color w:val="000000"/>
                <w:sz w:val="20"/>
                <w:szCs w:val="20"/>
                <w:lang w:eastAsia="lv-LV"/>
              </w:rPr>
              <w:t>01.01.2019.</w:t>
            </w:r>
          </w:p>
        </w:tc>
        <w:tc>
          <w:tcPr>
            <w:tcW w:w="1552" w:type="dxa"/>
            <w:vAlign w:val="center"/>
          </w:tcPr>
          <w:p w14:paraId="44574FF3"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753EF">
              <w:rPr>
                <w:rFonts w:ascii="Times New Roman" w:eastAsia="Times New Roman" w:hAnsi="Times New Roman" w:cs="Times New Roman"/>
                <w:b/>
                <w:bCs/>
                <w:color w:val="000000"/>
                <w:sz w:val="20"/>
                <w:szCs w:val="20"/>
                <w:lang w:eastAsia="lv-LV"/>
              </w:rPr>
              <w:t>01.01.2020.</w:t>
            </w:r>
          </w:p>
        </w:tc>
      </w:tr>
      <w:tr w:rsidR="00A753EF" w:rsidRPr="00A753EF" w14:paraId="54A3DF21" w14:textId="77777777" w:rsidTr="00DE3E1F">
        <w:trPr>
          <w:trHeight w:val="264"/>
          <w:jc w:val="center"/>
        </w:trPr>
        <w:tc>
          <w:tcPr>
            <w:cnfStyle w:val="001000000000" w:firstRow="0" w:lastRow="0" w:firstColumn="1" w:lastColumn="0" w:oddVBand="0" w:evenVBand="0" w:oddHBand="0" w:evenHBand="0" w:firstRowFirstColumn="0" w:firstRowLastColumn="0" w:lastRowFirstColumn="0" w:lastRowLastColumn="0"/>
            <w:tcW w:w="5282" w:type="dxa"/>
            <w:hideMark/>
          </w:tcPr>
          <w:p w14:paraId="5ACF6CFE" w14:textId="10DC20CA"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Nodokļa likme,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sz w:val="20"/>
                <w:szCs w:val="20"/>
                <w:lang w:eastAsia="lv-LV"/>
              </w:rPr>
              <w:t>000 gab.</w:t>
            </w:r>
          </w:p>
        </w:tc>
        <w:tc>
          <w:tcPr>
            <w:tcW w:w="1553" w:type="dxa"/>
            <w:noWrap/>
            <w:vAlign w:val="center"/>
          </w:tcPr>
          <w:p w14:paraId="62952CA1"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88,0</w:t>
            </w:r>
          </w:p>
        </w:tc>
        <w:tc>
          <w:tcPr>
            <w:tcW w:w="1552" w:type="dxa"/>
            <w:vAlign w:val="center"/>
          </w:tcPr>
          <w:p w14:paraId="0FDE0CF5"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95,2</w:t>
            </w:r>
          </w:p>
        </w:tc>
      </w:tr>
      <w:tr w:rsidR="00A753EF" w:rsidRPr="00A753EF" w14:paraId="38799E84" w14:textId="77777777" w:rsidTr="00A753E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282" w:type="dxa"/>
            <w:noWrap/>
            <w:hideMark/>
          </w:tcPr>
          <w:p w14:paraId="2DB3E3CF" w14:textId="77777777" w:rsidR="00A753EF" w:rsidRPr="00A753EF" w:rsidRDefault="00A753EF" w:rsidP="00A753EF">
            <w:pPr>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Smēķējamā tabaka</w:t>
            </w:r>
          </w:p>
        </w:tc>
        <w:tc>
          <w:tcPr>
            <w:tcW w:w="1553" w:type="dxa"/>
            <w:noWrap/>
            <w:vAlign w:val="center"/>
          </w:tcPr>
          <w:p w14:paraId="69374879"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753EF">
              <w:rPr>
                <w:rFonts w:ascii="Times New Roman" w:eastAsia="Times New Roman" w:hAnsi="Times New Roman" w:cs="Times New Roman"/>
                <w:b/>
                <w:bCs/>
                <w:color w:val="000000"/>
                <w:sz w:val="20"/>
                <w:szCs w:val="20"/>
                <w:lang w:eastAsia="lv-LV"/>
              </w:rPr>
              <w:t>01.01.2019.</w:t>
            </w:r>
          </w:p>
        </w:tc>
        <w:tc>
          <w:tcPr>
            <w:tcW w:w="1552" w:type="dxa"/>
            <w:vAlign w:val="center"/>
          </w:tcPr>
          <w:p w14:paraId="08E446B7"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753EF">
              <w:rPr>
                <w:rFonts w:ascii="Times New Roman" w:eastAsia="Times New Roman" w:hAnsi="Times New Roman" w:cs="Times New Roman"/>
                <w:b/>
                <w:bCs/>
                <w:color w:val="000000"/>
                <w:sz w:val="20"/>
                <w:szCs w:val="20"/>
                <w:lang w:eastAsia="lv-LV"/>
              </w:rPr>
              <w:t>01.01.2020.</w:t>
            </w:r>
          </w:p>
        </w:tc>
      </w:tr>
      <w:tr w:rsidR="00A753EF" w:rsidRPr="00A753EF" w14:paraId="0DA8B345" w14:textId="77777777" w:rsidTr="00DE3E1F">
        <w:trPr>
          <w:trHeight w:val="543"/>
          <w:jc w:val="center"/>
        </w:trPr>
        <w:tc>
          <w:tcPr>
            <w:cnfStyle w:val="001000000000" w:firstRow="0" w:lastRow="0" w:firstColumn="1" w:lastColumn="0" w:oddVBand="0" w:evenVBand="0" w:oddHBand="0" w:evenHBand="0" w:firstRowFirstColumn="0" w:firstRowLastColumn="0" w:lastRowFirstColumn="0" w:lastRowLastColumn="0"/>
            <w:tcW w:w="5282" w:type="dxa"/>
            <w:hideMark/>
          </w:tcPr>
          <w:p w14:paraId="2CC30519" w14:textId="4ADB0660" w:rsidR="00A753EF" w:rsidRPr="00A753EF" w:rsidRDefault="00A753EF" w:rsidP="00A753EF">
            <w:pPr>
              <w:ind w:left="313"/>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 xml:space="preserve">Smalki sagriezta tabaka, cita smēķējamā tabaka, tabakas lapas, karsējamā tabaka, </w:t>
            </w:r>
            <w:r w:rsidRPr="00A753EF">
              <w:rPr>
                <w:rFonts w:ascii="Times New Roman" w:eastAsia="Times New Roman" w:hAnsi="Times New Roman" w:cs="Times New Roman"/>
                <w:i/>
                <w:color w:val="000000"/>
                <w:sz w:val="20"/>
                <w:szCs w:val="20"/>
                <w:lang w:eastAsia="lv-LV"/>
              </w:rPr>
              <w:t>euro</w:t>
            </w:r>
            <w:r w:rsidRPr="00A753EF">
              <w:rPr>
                <w:rFonts w:ascii="Times New Roman" w:eastAsia="Times New Roman" w:hAnsi="Times New Roman" w:cs="Times New Roman"/>
                <w:color w:val="000000"/>
                <w:sz w:val="20"/>
                <w:szCs w:val="20"/>
                <w:lang w:eastAsia="lv-LV"/>
              </w:rPr>
              <w:t xml:space="preserve"> par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sz w:val="20"/>
                <w:szCs w:val="20"/>
                <w:lang w:eastAsia="lv-LV"/>
              </w:rPr>
              <w:t>000 g.</w:t>
            </w:r>
          </w:p>
        </w:tc>
        <w:tc>
          <w:tcPr>
            <w:tcW w:w="1553" w:type="dxa"/>
            <w:noWrap/>
            <w:vAlign w:val="center"/>
          </w:tcPr>
          <w:p w14:paraId="50A74D13"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70,0</w:t>
            </w:r>
          </w:p>
        </w:tc>
        <w:tc>
          <w:tcPr>
            <w:tcW w:w="1552" w:type="dxa"/>
            <w:vAlign w:val="center"/>
          </w:tcPr>
          <w:p w14:paraId="3D44A632"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753EF">
              <w:rPr>
                <w:rFonts w:ascii="Times New Roman" w:eastAsia="Times New Roman" w:hAnsi="Times New Roman" w:cs="Times New Roman"/>
                <w:color w:val="000000"/>
                <w:sz w:val="20"/>
                <w:szCs w:val="20"/>
                <w:lang w:eastAsia="lv-LV"/>
              </w:rPr>
              <w:t>75,0</w:t>
            </w:r>
          </w:p>
        </w:tc>
      </w:tr>
    </w:tbl>
    <w:p w14:paraId="1BF20F26" w14:textId="77777777" w:rsidR="00A753EF" w:rsidRPr="00A753EF" w:rsidRDefault="00A753EF" w:rsidP="00A753EF">
      <w:pPr>
        <w:spacing w:after="0" w:line="240" w:lineRule="auto"/>
        <w:ind w:firstLine="567"/>
        <w:jc w:val="both"/>
        <w:rPr>
          <w:rFonts w:ascii="Times New Roman" w:eastAsia="Times New Roman" w:hAnsi="Times New Roman" w:cs="Times New Roman"/>
          <w:i/>
          <w:color w:val="000000"/>
          <w:sz w:val="24"/>
          <w:szCs w:val="24"/>
        </w:rPr>
      </w:pPr>
    </w:p>
    <w:p w14:paraId="303BD74F" w14:textId="77777777" w:rsidR="00A753EF" w:rsidRPr="00A753EF" w:rsidRDefault="00A753EF" w:rsidP="00A753EF">
      <w:pPr>
        <w:spacing w:after="0" w:line="240" w:lineRule="auto"/>
        <w:ind w:firstLine="567"/>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color w:val="000000"/>
          <w:sz w:val="24"/>
          <w:szCs w:val="24"/>
        </w:rPr>
        <w:t xml:space="preserve">Papildus iepriekš minētajam saskaņā ar 2019.gada 4.aprīlī pieņemtajiem grozījumiem Tabakas izstrādājumu, augu smēķēšanas produktu, elektronisko smēķēšanas ierīču un to šķidrumu aprites likumā ar 2020.gada 1.oktobri mazumtirdzniecības vietās būs aizliegts izvietot tabakas izstrādājumus, augu smēķēšanas produktus, elektroniskās smēķēšanas ierīces un uzpildes tvertnes pircējiem redzamā vietā. </w:t>
      </w:r>
    </w:p>
    <w:p w14:paraId="02BFB583" w14:textId="50DABB56" w:rsidR="00A753EF" w:rsidRPr="00A753EF" w:rsidRDefault="00A753EF" w:rsidP="00A753EF">
      <w:pPr>
        <w:spacing w:after="0" w:line="240" w:lineRule="auto"/>
        <w:ind w:firstLine="567"/>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color w:val="000000"/>
          <w:sz w:val="24"/>
          <w:szCs w:val="24"/>
        </w:rPr>
        <w:t>Savukārt, pamatojoties uz Eiropas Parlamenta un Padomes direktīvu 2014/40/ES, kas ti</w:t>
      </w:r>
      <w:r w:rsidR="0011360C">
        <w:rPr>
          <w:rFonts w:ascii="Times New Roman" w:eastAsia="Times New Roman" w:hAnsi="Times New Roman" w:cs="Times New Roman"/>
          <w:color w:val="000000"/>
          <w:sz w:val="24"/>
          <w:szCs w:val="24"/>
        </w:rPr>
        <w:t>ka pieņemta 2014.gada 19.maijā,</w:t>
      </w:r>
      <w:r w:rsidRPr="00A753EF">
        <w:rPr>
          <w:rFonts w:ascii="Times New Roman" w:eastAsia="Times New Roman" w:hAnsi="Times New Roman" w:cs="Times New Roman"/>
          <w:color w:val="000000"/>
          <w:sz w:val="24"/>
          <w:szCs w:val="24"/>
        </w:rPr>
        <w:t xml:space="preserve"> ar 2020.gada 20.maiju ar mentolu aromatizētu cigarešu un tinamās tabakas izstrādājumu tirdzniecība ES būs aizliegta. </w:t>
      </w:r>
    </w:p>
    <w:p w14:paraId="0FA324D4" w14:textId="77777777" w:rsidR="00A753EF" w:rsidRPr="00A753EF" w:rsidRDefault="00A753EF" w:rsidP="00A753EF">
      <w:pPr>
        <w:spacing w:after="0" w:line="240" w:lineRule="auto"/>
        <w:ind w:firstLine="567"/>
        <w:jc w:val="both"/>
        <w:rPr>
          <w:rFonts w:ascii="Times New Roman" w:eastAsia="Times New Roman" w:hAnsi="Times New Roman" w:cs="Times New Roman"/>
          <w:color w:val="000000"/>
          <w:sz w:val="24"/>
          <w:szCs w:val="24"/>
        </w:rPr>
      </w:pPr>
    </w:p>
    <w:p w14:paraId="00C8A260" w14:textId="77777777" w:rsidR="00A753EF" w:rsidRPr="00A753EF" w:rsidRDefault="00A753EF" w:rsidP="00A753EF">
      <w:pPr>
        <w:spacing w:after="0" w:line="240" w:lineRule="auto"/>
        <w:ind w:firstLine="567"/>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color w:val="000000"/>
          <w:sz w:val="24"/>
          <w:szCs w:val="24"/>
        </w:rPr>
        <w:t xml:space="preserve">Nodokļu reformas ietvaros pakāpenisks likmju paaugstinājums tika paredzēts arī akcīzes nodoklim </w:t>
      </w:r>
      <w:r w:rsidRPr="00A753EF">
        <w:rPr>
          <w:rFonts w:ascii="Times New Roman" w:eastAsia="Times New Roman" w:hAnsi="Times New Roman" w:cs="Times New Roman"/>
          <w:b/>
          <w:color w:val="000000"/>
          <w:sz w:val="24"/>
          <w:szCs w:val="24"/>
        </w:rPr>
        <w:t>alkoholiskajiem dzērieniem un alum</w:t>
      </w:r>
      <w:r w:rsidRPr="00A753EF">
        <w:rPr>
          <w:rFonts w:ascii="Times New Roman" w:eastAsia="Times New Roman" w:hAnsi="Times New Roman" w:cs="Times New Roman"/>
          <w:color w:val="000000"/>
          <w:sz w:val="24"/>
          <w:szCs w:val="24"/>
        </w:rPr>
        <w:t xml:space="preserve">, paredzot likmju pieaugumu ar 2018., 2019. un 2020.gada 1.martu. </w:t>
      </w:r>
    </w:p>
    <w:p w14:paraId="2C0A00B0" w14:textId="33F5E9CE" w:rsidR="00A753EF" w:rsidRPr="00A753EF" w:rsidRDefault="00A753EF" w:rsidP="00A753EF">
      <w:pPr>
        <w:spacing w:after="0" w:line="240" w:lineRule="auto"/>
        <w:ind w:firstLine="720"/>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Būtisko akcīzes nodokļa likmju atšķirību dēļ Latvijā un Igaunijā jau 2017. un 2018.gadā attīstījās alkoholisko dzērienu un alus tirdzniecība Latvijas – Igaunijas pierobežā. Lai arī iepriekš Igaunijā bija plānots turpināt paaugstināt akcīzes nodokļa likmes alkoholiskajiem dzērieniem un alum arī 2019. un 2020.gadā, tomēr 2018.gada nogalē tika nolemts tās saglabāt 2</w:t>
      </w:r>
      <w:r w:rsidR="0011360C">
        <w:rPr>
          <w:rFonts w:ascii="Times New Roman" w:eastAsia="Times New Roman" w:hAnsi="Times New Roman" w:cs="Times New Roman"/>
          <w:sz w:val="24"/>
          <w:szCs w:val="20"/>
        </w:rPr>
        <w:t>018.gada līmenī. Savukārt 2019.</w:t>
      </w:r>
      <w:r w:rsidRPr="00A753EF">
        <w:rPr>
          <w:rFonts w:ascii="Times New Roman" w:eastAsia="Times New Roman" w:hAnsi="Times New Roman" w:cs="Times New Roman"/>
          <w:sz w:val="24"/>
          <w:szCs w:val="20"/>
        </w:rPr>
        <w:t xml:space="preserve">gada 13.jūnijā Igaunijas valdība nolēma par 25% samazināt akcīzes nodokļa likmes pārējiem alkoholiskajiem dzērieniem, </w:t>
      </w:r>
      <w:r w:rsidRPr="00A753EF">
        <w:rPr>
          <w:rFonts w:ascii="Times New Roman" w:eastAsia="Times New Roman" w:hAnsi="Times New Roman" w:cs="Times New Roman"/>
          <w:sz w:val="24"/>
          <w:szCs w:val="24"/>
        </w:rPr>
        <w:t>raudzētajiem dzērieniem ar absolūtā spirta saturu zem 6 tilpumprocentiem un alum.</w:t>
      </w:r>
    </w:p>
    <w:p w14:paraId="16C9222E" w14:textId="7F2047CD" w:rsidR="00A753EF" w:rsidRPr="00A753EF" w:rsidRDefault="00A753EF" w:rsidP="00A753EF">
      <w:pPr>
        <w:spacing w:after="0" w:line="240" w:lineRule="auto"/>
        <w:ind w:firstLine="720"/>
        <w:jc w:val="both"/>
        <w:rPr>
          <w:rFonts w:ascii="Times New Roman" w:eastAsia="Times New Roman" w:hAnsi="Times New Roman" w:cs="Times New Roman"/>
          <w:color w:val="000000"/>
          <w:sz w:val="24"/>
          <w:szCs w:val="24"/>
        </w:rPr>
      </w:pPr>
      <w:r w:rsidRPr="00A753EF">
        <w:rPr>
          <w:rFonts w:ascii="Times New Roman" w:eastAsia="Times New Roman" w:hAnsi="Times New Roman" w:cs="Times New Roman"/>
          <w:sz w:val="24"/>
          <w:szCs w:val="20"/>
        </w:rPr>
        <w:t>Ņemot vērā to, ka Igaunijas parlamenta lēmums par 25% samazināt akcīzes nodokļa likmes atsevišķiem alkoholisko dzērienu veidiem pasliktinātu Latvijas konkurētspēju ar kaimiņvalstīm un negatīvi ietekmētu alkoholisko dzērienu apriti Latvijā, it īpaši Latvijas – Igaunijas pierobežā, Latvijai saglabājot iepriekš plānotās akcīzes nodokļa likmes, 2019.gada 8.jūlijā Saeima pieņēma grozījumus likumā “Par akcīzes nodokli”, akcīzes nodokļa likmi pārējiem alkoholiskajiem dzērieniem laika periodā no 2019.gada 1.augusta līdz 2020.gada 29.februārim samazinot līdz 1</w:t>
      </w:r>
      <w:r w:rsidR="0011360C"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sz w:val="24"/>
          <w:szCs w:val="20"/>
        </w:rPr>
        <w:t xml:space="preserve">564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100 litriem absolūtā spirta. </w:t>
      </w:r>
    </w:p>
    <w:p w14:paraId="3D30ED34" w14:textId="77777777" w:rsidR="00A753EF" w:rsidRPr="00A753EF" w:rsidRDefault="00A753EF" w:rsidP="00A753EF">
      <w:pPr>
        <w:spacing w:after="0" w:line="240" w:lineRule="auto"/>
        <w:ind w:firstLine="567"/>
        <w:jc w:val="both"/>
        <w:rPr>
          <w:rFonts w:ascii="Times New Roman" w:eastAsia="Calibri" w:hAnsi="Times New Roman" w:cs="Times New Roman"/>
          <w:sz w:val="24"/>
          <w:szCs w:val="24"/>
        </w:rPr>
      </w:pPr>
      <w:r w:rsidRPr="00A753EF">
        <w:rPr>
          <w:rFonts w:ascii="Times New Roman" w:eastAsia="Calibri" w:hAnsi="Times New Roman" w:cs="Times New Roman"/>
          <w:sz w:val="24"/>
          <w:szCs w:val="24"/>
        </w:rPr>
        <w:t>2019.gadā kopējais alkoholisko dzērienu un alus patēriņa pieauguma temps bija lēnāks nekā tika prognozēts, sastādot plānu, kā arī pierobežas tirdzniecības apjoms, salīdzinot ar 2018.gadu, samazinājās, kā rezultātā, ņemot vērā arī akcīzes nodokļa likmes samazinājumu stiprajam alkoholam ar 2019.gada 1.augustu, veidojās 2019.gada akcīzes nodokļa ieņēmumu plāna neizpilde 28,4 milj. </w:t>
      </w:r>
      <w:r w:rsidRPr="00A753EF">
        <w:rPr>
          <w:rFonts w:ascii="Times New Roman" w:eastAsia="Times New Roman" w:hAnsi="Times New Roman" w:cs="Times New Roman"/>
          <w:bCs/>
          <w:i/>
          <w:sz w:val="24"/>
          <w:szCs w:val="24"/>
        </w:rPr>
        <w:t>euro</w:t>
      </w:r>
      <w:r w:rsidRPr="00A753EF">
        <w:rPr>
          <w:rFonts w:ascii="Times New Roman" w:eastAsia="Calibri" w:hAnsi="Times New Roman" w:cs="Times New Roman"/>
          <w:sz w:val="24"/>
          <w:szCs w:val="24"/>
        </w:rPr>
        <w:t xml:space="preserve"> apmērā. </w:t>
      </w:r>
    </w:p>
    <w:p w14:paraId="1908C5B6" w14:textId="2F53AB94" w:rsidR="00A753EF" w:rsidRPr="00D00031" w:rsidRDefault="00A753EF" w:rsidP="00A753EF">
      <w:pPr>
        <w:spacing w:after="0" w:line="240" w:lineRule="auto"/>
        <w:ind w:firstLine="567"/>
        <w:jc w:val="both"/>
        <w:rPr>
          <w:rFonts w:ascii="Times New Roman" w:eastAsia="Times New Roman" w:hAnsi="Times New Roman" w:cs="Times New Roman"/>
          <w:color w:val="000000"/>
          <w:sz w:val="24"/>
          <w:szCs w:val="24"/>
        </w:rPr>
      </w:pPr>
      <w:r w:rsidRPr="00A753EF">
        <w:rPr>
          <w:rFonts w:ascii="Times New Roman" w:eastAsia="Calibri" w:hAnsi="Times New Roman" w:cs="Times New Roman"/>
          <w:sz w:val="24"/>
          <w:szCs w:val="24"/>
        </w:rPr>
        <w:t>Lai novērstu negatīvo ietekmi no alkoholisko dzērienu patēriņa pieauguma tempa palēninājuma uz Latvijas komersantiem, kas veic darbības ar alkoholiskajiem dzērieniem, Saeima 2020.gada 20.februārī nolēma iepriekš plānotā likmju paaugstinājuma (stiprajam alkoholam par 29,5%, pārējiem alkoholisko dzērienu veidiem un alum - par aptuveni 1</w:t>
      </w:r>
      <w:r w:rsidR="0011360C">
        <w:rPr>
          <w:rFonts w:ascii="Times New Roman" w:eastAsia="Calibri" w:hAnsi="Times New Roman" w:cs="Times New Roman"/>
          <w:sz w:val="24"/>
          <w:szCs w:val="24"/>
        </w:rPr>
        <w:t xml:space="preserve">0%) ar 2020.gada 1.martu vietā </w:t>
      </w:r>
      <w:r w:rsidRPr="00A753EF">
        <w:rPr>
          <w:rFonts w:ascii="Times New Roman" w:eastAsia="Calibri" w:hAnsi="Times New Roman" w:cs="Times New Roman"/>
          <w:sz w:val="24"/>
          <w:szCs w:val="24"/>
        </w:rPr>
        <w:t>noteikt pakāpenisku akcīzes nodokļa likmju paaugstināšanu – akcīzes nodokļa likmes visiem alkoholiskajiem dzērieniem, izņemot raudzētos dzērienus ar absolūtā spirta saturu l</w:t>
      </w:r>
      <w:r w:rsidR="00020572">
        <w:rPr>
          <w:rFonts w:ascii="Times New Roman" w:eastAsia="Calibri" w:hAnsi="Times New Roman" w:cs="Times New Roman"/>
          <w:sz w:val="24"/>
          <w:szCs w:val="24"/>
        </w:rPr>
        <w:t>īdz 6 tilpumprocentiem, un alum</w:t>
      </w:r>
      <w:r w:rsidRPr="00A753EF">
        <w:rPr>
          <w:rFonts w:ascii="Times New Roman" w:eastAsia="Calibri" w:hAnsi="Times New Roman" w:cs="Times New Roman"/>
          <w:sz w:val="24"/>
          <w:szCs w:val="24"/>
        </w:rPr>
        <w:t xml:space="preserve"> 2020. un 2021.gadā paaugstināt vidēji par 5%. </w:t>
      </w:r>
      <w:r w:rsidRPr="00A753EF">
        <w:rPr>
          <w:rFonts w:ascii="Times New Roman" w:eastAsia="Times New Roman" w:hAnsi="Times New Roman" w:cs="Times New Roman"/>
          <w:color w:val="000000"/>
          <w:sz w:val="24"/>
          <w:szCs w:val="24"/>
        </w:rPr>
        <w:t xml:space="preserve">Visu izmaiņu rezultāts attiecībā uz alkoholiskajiem dzērieniem un alu </w:t>
      </w:r>
      <w:r w:rsidRPr="00D00031">
        <w:rPr>
          <w:rFonts w:ascii="Times New Roman" w:eastAsia="Times New Roman" w:hAnsi="Times New Roman" w:cs="Times New Roman"/>
          <w:color w:val="000000"/>
          <w:sz w:val="24"/>
          <w:szCs w:val="24"/>
        </w:rPr>
        <w:t xml:space="preserve">atspoguļots </w:t>
      </w:r>
      <w:r w:rsidR="00D00031">
        <w:rPr>
          <w:rFonts w:ascii="Times New Roman" w:eastAsia="Times New Roman" w:hAnsi="Times New Roman" w:cs="Times New Roman"/>
          <w:color w:val="000000"/>
          <w:sz w:val="24"/>
          <w:szCs w:val="24"/>
        </w:rPr>
        <w:t>4.6.</w:t>
      </w:r>
      <w:r w:rsidRPr="00D00031">
        <w:rPr>
          <w:rFonts w:ascii="Times New Roman" w:eastAsia="Times New Roman" w:hAnsi="Times New Roman" w:cs="Times New Roman"/>
          <w:color w:val="000000"/>
          <w:sz w:val="24"/>
          <w:szCs w:val="24"/>
        </w:rPr>
        <w:t>tabulā.</w:t>
      </w:r>
    </w:p>
    <w:p w14:paraId="389C42BF" w14:textId="780716AD" w:rsidR="00422981" w:rsidRDefault="00422981">
      <w:pPr>
        <w:rPr>
          <w:rFonts w:ascii="Times New Roman" w:eastAsia="Times New Roman" w:hAnsi="Times New Roman" w:cs="Times New Roman"/>
          <w:b/>
          <w:sz w:val="24"/>
          <w:szCs w:val="20"/>
        </w:rPr>
      </w:pPr>
    </w:p>
    <w:p w14:paraId="0793311F" w14:textId="60A51826" w:rsidR="00A753EF" w:rsidRPr="00A753EF" w:rsidRDefault="00A753EF" w:rsidP="00020572">
      <w:pPr>
        <w:spacing w:after="0" w:line="240" w:lineRule="auto"/>
        <w:ind w:firstLine="567"/>
        <w:jc w:val="right"/>
        <w:rPr>
          <w:rFonts w:ascii="Times New Roman" w:eastAsia="Times New Roman" w:hAnsi="Times New Roman" w:cs="Times New Roman"/>
          <w:b/>
          <w:i/>
          <w:sz w:val="24"/>
          <w:szCs w:val="24"/>
        </w:rPr>
      </w:pPr>
      <w:r w:rsidRPr="00D00031">
        <w:rPr>
          <w:rFonts w:ascii="Times New Roman" w:eastAsia="Times New Roman" w:hAnsi="Times New Roman" w:cs="Times New Roman"/>
          <w:b/>
          <w:sz w:val="24"/>
          <w:szCs w:val="20"/>
        </w:rPr>
        <w:t>4.6.tabula. Akcīzes nodokļa likmes alkoholiskajiem dzērieniem</w:t>
      </w:r>
      <w:r w:rsidRPr="00A753EF">
        <w:rPr>
          <w:rFonts w:ascii="Times New Roman" w:eastAsia="Times New Roman" w:hAnsi="Times New Roman" w:cs="Times New Roman"/>
          <w:b/>
          <w:sz w:val="24"/>
          <w:szCs w:val="20"/>
        </w:rPr>
        <w:t xml:space="preserve"> un alum </w:t>
      </w:r>
    </w:p>
    <w:tbl>
      <w:tblPr>
        <w:tblStyle w:val="GridTable6Colorful-Accent110"/>
        <w:tblW w:w="9036" w:type="dxa"/>
        <w:jc w:val="center"/>
        <w:tblLayout w:type="fixed"/>
        <w:tblLook w:val="04A0" w:firstRow="1" w:lastRow="0" w:firstColumn="1" w:lastColumn="0" w:noHBand="0" w:noVBand="1"/>
      </w:tblPr>
      <w:tblGrid>
        <w:gridCol w:w="5665"/>
        <w:gridCol w:w="1134"/>
        <w:gridCol w:w="1134"/>
        <w:gridCol w:w="1103"/>
      </w:tblGrid>
      <w:tr w:rsidR="00A753EF" w:rsidRPr="00A753EF" w14:paraId="02D69521" w14:textId="77777777" w:rsidTr="00A753EF">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DEEAF6"/>
            <w:noWrap/>
            <w:vAlign w:val="center"/>
          </w:tcPr>
          <w:p w14:paraId="34D030E7" w14:textId="77777777" w:rsidR="00A753EF" w:rsidRPr="00A753EF" w:rsidRDefault="00A753EF" w:rsidP="00A753EF">
            <w:pPr>
              <w:jc w:val="cente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Alkoholiskā dzēriena veids</w:t>
            </w:r>
          </w:p>
        </w:tc>
        <w:tc>
          <w:tcPr>
            <w:tcW w:w="3371" w:type="dxa"/>
            <w:gridSpan w:val="3"/>
            <w:shd w:val="clear" w:color="auto" w:fill="DEEAF6"/>
            <w:vAlign w:val="center"/>
          </w:tcPr>
          <w:p w14:paraId="31F0ED91" w14:textId="77777777" w:rsidR="00A753EF" w:rsidRPr="00A753EF" w:rsidRDefault="00A753EF" w:rsidP="00A75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A753EF">
              <w:rPr>
                <w:rFonts w:ascii="Times New Roman" w:eastAsia="Times New Roman" w:hAnsi="Times New Roman" w:cs="Times New Roman"/>
                <w:color w:val="000000"/>
                <w:sz w:val="20"/>
                <w:szCs w:val="20"/>
                <w:lang w:eastAsia="lv-LV"/>
              </w:rPr>
              <w:t>Likmes spēkā stāšanās datums</w:t>
            </w:r>
          </w:p>
        </w:tc>
      </w:tr>
      <w:tr w:rsidR="00A753EF" w:rsidRPr="00A753EF" w14:paraId="6F14116E" w14:textId="77777777" w:rsidTr="00A753EF">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noWrap/>
            <w:hideMark/>
          </w:tcPr>
          <w:p w14:paraId="7D23CCB8" w14:textId="77777777" w:rsidR="00A753EF" w:rsidRPr="00A753EF" w:rsidRDefault="00A753EF" w:rsidP="00A753EF">
            <w:pPr>
              <w:rPr>
                <w:rFonts w:ascii="Times New Roman" w:eastAsia="Times New Roman" w:hAnsi="Times New Roman" w:cs="Times New Roman"/>
                <w:color w:val="000000"/>
                <w:sz w:val="20"/>
                <w:szCs w:val="24"/>
                <w:lang w:eastAsia="lv-LV"/>
              </w:rPr>
            </w:pPr>
          </w:p>
        </w:tc>
        <w:tc>
          <w:tcPr>
            <w:tcW w:w="1134" w:type="dxa"/>
            <w:noWrap/>
            <w:hideMark/>
          </w:tcPr>
          <w:p w14:paraId="61719A1B"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4"/>
                <w:lang w:eastAsia="lv-LV"/>
              </w:rPr>
            </w:pPr>
            <w:r w:rsidRPr="00A753EF">
              <w:rPr>
                <w:rFonts w:ascii="Times New Roman" w:eastAsia="Times New Roman" w:hAnsi="Times New Roman" w:cs="Times New Roman"/>
                <w:b/>
                <w:color w:val="000000" w:themeColor="text1"/>
                <w:sz w:val="18"/>
                <w:szCs w:val="24"/>
                <w:lang w:eastAsia="lv-LV"/>
              </w:rPr>
              <w:t>01.03.2019.</w:t>
            </w:r>
          </w:p>
        </w:tc>
        <w:tc>
          <w:tcPr>
            <w:tcW w:w="1134" w:type="dxa"/>
          </w:tcPr>
          <w:p w14:paraId="5E31DC4B"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4"/>
                <w:lang w:eastAsia="lv-LV"/>
              </w:rPr>
            </w:pPr>
            <w:r w:rsidRPr="00A753EF">
              <w:rPr>
                <w:rFonts w:ascii="Times New Roman" w:eastAsia="Times New Roman" w:hAnsi="Times New Roman" w:cs="Times New Roman"/>
                <w:b/>
                <w:color w:val="000000"/>
                <w:sz w:val="18"/>
                <w:szCs w:val="24"/>
                <w:lang w:eastAsia="lv-LV"/>
              </w:rPr>
              <w:t>01.03.2020.</w:t>
            </w:r>
          </w:p>
        </w:tc>
        <w:tc>
          <w:tcPr>
            <w:tcW w:w="1103" w:type="dxa"/>
          </w:tcPr>
          <w:p w14:paraId="39DD04F6"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24"/>
                <w:lang w:eastAsia="lv-LV"/>
              </w:rPr>
            </w:pPr>
            <w:r w:rsidRPr="00A753EF">
              <w:rPr>
                <w:rFonts w:ascii="Times New Roman" w:eastAsia="Times New Roman" w:hAnsi="Times New Roman" w:cs="Times New Roman"/>
                <w:b/>
                <w:color w:val="000000"/>
                <w:sz w:val="18"/>
                <w:szCs w:val="24"/>
                <w:lang w:eastAsia="lv-LV"/>
              </w:rPr>
              <w:t>01.03.2021.</w:t>
            </w:r>
          </w:p>
        </w:tc>
      </w:tr>
      <w:tr w:rsidR="00A753EF" w:rsidRPr="00A753EF" w14:paraId="013E03B5" w14:textId="77777777" w:rsidTr="00DE3E1F">
        <w:trPr>
          <w:trHeight w:val="401"/>
          <w:jc w:val="center"/>
        </w:trPr>
        <w:tc>
          <w:tcPr>
            <w:cnfStyle w:val="001000000000" w:firstRow="0" w:lastRow="0" w:firstColumn="1" w:lastColumn="0" w:oddVBand="0" w:evenVBand="0" w:oddHBand="0" w:evenHBand="0" w:firstRowFirstColumn="0" w:firstRowLastColumn="0" w:lastRowFirstColumn="0" w:lastRowLastColumn="0"/>
            <w:tcW w:w="5665" w:type="dxa"/>
            <w:hideMark/>
          </w:tcPr>
          <w:p w14:paraId="6FED8E69" w14:textId="77777777"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 xml:space="preserve">Vīns, raudzētie dzērieni ar absolūtā spirta saturu virs 6 tilpumprocentiem un starpprodukti ar absolūtā spirta saturu līdz 15 tilpumprocentiem,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100 litriem</w:t>
            </w:r>
          </w:p>
        </w:tc>
        <w:tc>
          <w:tcPr>
            <w:tcW w:w="1134" w:type="dxa"/>
            <w:noWrap/>
            <w:vAlign w:val="center"/>
            <w:hideMark/>
          </w:tcPr>
          <w:p w14:paraId="077D5041"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101,</w:t>
            </w:r>
          </w:p>
        </w:tc>
        <w:tc>
          <w:tcPr>
            <w:tcW w:w="1134" w:type="dxa"/>
            <w:vAlign w:val="center"/>
          </w:tcPr>
          <w:p w14:paraId="6D7C75B3"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106,0</w:t>
            </w:r>
          </w:p>
        </w:tc>
        <w:tc>
          <w:tcPr>
            <w:tcW w:w="1103" w:type="dxa"/>
            <w:vAlign w:val="center"/>
          </w:tcPr>
          <w:p w14:paraId="5ABC34AF"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111,0</w:t>
            </w:r>
          </w:p>
        </w:tc>
      </w:tr>
      <w:tr w:rsidR="00A753EF" w:rsidRPr="00A753EF" w14:paraId="63100010" w14:textId="77777777" w:rsidTr="00A753EF">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5665" w:type="dxa"/>
            <w:hideMark/>
          </w:tcPr>
          <w:p w14:paraId="4320D9F8" w14:textId="77777777"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 xml:space="preserve">Raudzētie dzērieni ar absolūtā spirta saturu līdz 6 tilpumprocentiem,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100 litriem</w:t>
            </w:r>
          </w:p>
        </w:tc>
        <w:tc>
          <w:tcPr>
            <w:tcW w:w="1134" w:type="dxa"/>
            <w:noWrap/>
            <w:vAlign w:val="center"/>
            <w:hideMark/>
          </w:tcPr>
          <w:p w14:paraId="5E56E72B"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64,0</w:t>
            </w:r>
          </w:p>
        </w:tc>
        <w:tc>
          <w:tcPr>
            <w:tcW w:w="1134" w:type="dxa"/>
            <w:vAlign w:val="center"/>
          </w:tcPr>
          <w:p w14:paraId="46EF4D63"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64,0</w:t>
            </w:r>
          </w:p>
        </w:tc>
        <w:tc>
          <w:tcPr>
            <w:tcW w:w="1103" w:type="dxa"/>
            <w:vAlign w:val="center"/>
          </w:tcPr>
          <w:p w14:paraId="6578B6F7"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64,0</w:t>
            </w:r>
          </w:p>
        </w:tc>
      </w:tr>
      <w:tr w:rsidR="00A753EF" w:rsidRPr="00A753EF" w14:paraId="45612B72" w14:textId="77777777" w:rsidTr="00DE3E1F">
        <w:trPr>
          <w:trHeight w:val="267"/>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hideMark/>
          </w:tcPr>
          <w:p w14:paraId="77DF59F3" w14:textId="77777777"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 xml:space="preserve">Starpprodukti ar absolūtā spirta saturu no 15 tilpumprocentiem līdz 22 tilpumprocentiem,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100 litriem</w:t>
            </w:r>
          </w:p>
        </w:tc>
        <w:tc>
          <w:tcPr>
            <w:tcW w:w="1134" w:type="dxa"/>
            <w:shd w:val="clear" w:color="auto" w:fill="auto"/>
            <w:noWrap/>
            <w:vAlign w:val="center"/>
            <w:hideMark/>
          </w:tcPr>
          <w:p w14:paraId="4E8AADF2"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168,0</w:t>
            </w:r>
          </w:p>
        </w:tc>
        <w:tc>
          <w:tcPr>
            <w:tcW w:w="1134" w:type="dxa"/>
            <w:shd w:val="clear" w:color="auto" w:fill="auto"/>
            <w:vAlign w:val="center"/>
          </w:tcPr>
          <w:p w14:paraId="394001B1"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176,0</w:t>
            </w:r>
          </w:p>
        </w:tc>
        <w:tc>
          <w:tcPr>
            <w:tcW w:w="1103" w:type="dxa"/>
            <w:shd w:val="clear" w:color="auto" w:fill="auto"/>
            <w:vAlign w:val="center"/>
          </w:tcPr>
          <w:p w14:paraId="678DC8E7"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185,0</w:t>
            </w:r>
          </w:p>
        </w:tc>
      </w:tr>
      <w:tr w:rsidR="00A753EF" w:rsidRPr="00A753EF" w14:paraId="748BDA6F" w14:textId="77777777" w:rsidTr="00A753EF">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hideMark/>
          </w:tcPr>
          <w:p w14:paraId="3BCC92F9" w14:textId="77777777"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 xml:space="preserve">Pārējie alkoholiskie dzērieni,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100 litriem absolūta spirta</w:t>
            </w:r>
          </w:p>
        </w:tc>
        <w:tc>
          <w:tcPr>
            <w:tcW w:w="1134" w:type="dxa"/>
            <w:noWrap/>
            <w:vAlign w:val="center"/>
            <w:hideMark/>
          </w:tcPr>
          <w:p w14:paraId="322F3D24"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1 840,0/</w:t>
            </w:r>
          </w:p>
          <w:p w14:paraId="59494A05" w14:textId="36C18895"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w:t>
            </w:r>
            <w:r w:rsidR="00F46A3B" w:rsidRPr="00422981">
              <w:rPr>
                <w:rFonts w:ascii="Times New Roman" w:eastAsia="Times New Roman" w:hAnsi="Times New Roman" w:cs="Times New Roman"/>
                <w:color w:val="000000"/>
                <w:sz w:val="20"/>
                <w:szCs w:val="24"/>
                <w:lang w:eastAsia="lv-LV"/>
              </w:rPr>
              <w:t> </w:t>
            </w:r>
            <w:r w:rsidRPr="00422981">
              <w:rPr>
                <w:rFonts w:ascii="Times New Roman" w:eastAsia="Times New Roman" w:hAnsi="Times New Roman" w:cs="Times New Roman"/>
                <w:color w:val="000000"/>
                <w:sz w:val="20"/>
                <w:szCs w:val="24"/>
                <w:lang w:eastAsia="lv-LV"/>
              </w:rPr>
              <w:t>564,0*</w:t>
            </w:r>
          </w:p>
        </w:tc>
        <w:tc>
          <w:tcPr>
            <w:tcW w:w="1134" w:type="dxa"/>
            <w:vAlign w:val="center"/>
          </w:tcPr>
          <w:p w14:paraId="6BA987A4"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1642,0</w:t>
            </w:r>
          </w:p>
        </w:tc>
        <w:tc>
          <w:tcPr>
            <w:tcW w:w="1103" w:type="dxa"/>
            <w:vAlign w:val="center"/>
          </w:tcPr>
          <w:p w14:paraId="61C59902"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1 724,0</w:t>
            </w:r>
          </w:p>
        </w:tc>
      </w:tr>
      <w:tr w:rsidR="00A753EF" w:rsidRPr="00A753EF" w14:paraId="3931642D" w14:textId="77777777" w:rsidTr="00DE3E1F">
        <w:trPr>
          <w:trHeight w:val="133"/>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hideMark/>
          </w:tcPr>
          <w:p w14:paraId="3447C611" w14:textId="698854A8"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Alu</w:t>
            </w:r>
            <w:r w:rsidR="00F46A3B">
              <w:rPr>
                <w:rFonts w:ascii="Times New Roman" w:eastAsia="Times New Roman" w:hAnsi="Times New Roman" w:cs="Times New Roman"/>
                <w:color w:val="000000"/>
                <w:sz w:val="20"/>
                <w:szCs w:val="24"/>
                <w:lang w:eastAsia="lv-LV"/>
              </w:rPr>
              <w:t xml:space="preserve">s,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katru absolūtā spirta tilpumprocentu par 100 litriem</w:t>
            </w:r>
          </w:p>
        </w:tc>
        <w:tc>
          <w:tcPr>
            <w:tcW w:w="1134" w:type="dxa"/>
            <w:shd w:val="clear" w:color="auto" w:fill="auto"/>
            <w:noWrap/>
            <w:vAlign w:val="center"/>
          </w:tcPr>
          <w:p w14:paraId="408649D3"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7,4</w:t>
            </w:r>
          </w:p>
        </w:tc>
        <w:tc>
          <w:tcPr>
            <w:tcW w:w="1134" w:type="dxa"/>
            <w:shd w:val="clear" w:color="auto" w:fill="auto"/>
            <w:vAlign w:val="center"/>
          </w:tcPr>
          <w:p w14:paraId="7ACB00B6"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7,8</w:t>
            </w:r>
          </w:p>
        </w:tc>
        <w:tc>
          <w:tcPr>
            <w:tcW w:w="1103" w:type="dxa"/>
            <w:shd w:val="clear" w:color="auto" w:fill="auto"/>
            <w:vAlign w:val="center"/>
          </w:tcPr>
          <w:p w14:paraId="58E736E2" w14:textId="77777777" w:rsidR="00A753EF" w:rsidRPr="00422981"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8,2</w:t>
            </w:r>
          </w:p>
        </w:tc>
      </w:tr>
      <w:tr w:rsidR="00A753EF" w:rsidRPr="00A753EF" w14:paraId="61D92957" w14:textId="77777777" w:rsidTr="00A753EF">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hideMark/>
          </w:tcPr>
          <w:p w14:paraId="36DCF7A7" w14:textId="77777777" w:rsidR="00A753EF" w:rsidRPr="00A753EF" w:rsidRDefault="00A753EF" w:rsidP="00A753EF">
            <w:pPr>
              <w:rPr>
                <w:rFonts w:ascii="Times New Roman" w:eastAsia="Times New Roman" w:hAnsi="Times New Roman" w:cs="Times New Roman"/>
                <w:color w:val="000000"/>
                <w:sz w:val="20"/>
                <w:szCs w:val="24"/>
                <w:lang w:eastAsia="lv-LV"/>
              </w:rPr>
            </w:pPr>
            <w:r w:rsidRPr="00A753EF">
              <w:rPr>
                <w:rFonts w:ascii="Times New Roman" w:eastAsia="Times New Roman" w:hAnsi="Times New Roman" w:cs="Times New Roman"/>
                <w:color w:val="000000"/>
                <w:sz w:val="20"/>
                <w:szCs w:val="24"/>
                <w:lang w:eastAsia="lv-LV"/>
              </w:rPr>
              <w:t xml:space="preserve">Akcīzes nodokļa minimālais līmenis, </w:t>
            </w:r>
            <w:r w:rsidRPr="00A753EF">
              <w:rPr>
                <w:rFonts w:ascii="Times New Roman" w:eastAsia="Times New Roman" w:hAnsi="Times New Roman" w:cs="Times New Roman"/>
                <w:i/>
                <w:color w:val="000000"/>
                <w:sz w:val="20"/>
                <w:szCs w:val="24"/>
                <w:lang w:eastAsia="lv-LV"/>
              </w:rPr>
              <w:t>euro</w:t>
            </w:r>
            <w:r w:rsidRPr="00A753EF">
              <w:rPr>
                <w:rFonts w:ascii="Times New Roman" w:eastAsia="Times New Roman" w:hAnsi="Times New Roman" w:cs="Times New Roman"/>
                <w:color w:val="000000"/>
                <w:sz w:val="20"/>
                <w:szCs w:val="24"/>
                <w:lang w:eastAsia="lv-LV"/>
              </w:rPr>
              <w:t xml:space="preserve"> par 100 litriem alus</w:t>
            </w:r>
          </w:p>
        </w:tc>
        <w:tc>
          <w:tcPr>
            <w:tcW w:w="1134" w:type="dxa"/>
            <w:noWrap/>
            <w:vAlign w:val="center"/>
          </w:tcPr>
          <w:p w14:paraId="56158B52"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13,6</w:t>
            </w:r>
          </w:p>
        </w:tc>
        <w:tc>
          <w:tcPr>
            <w:tcW w:w="1134" w:type="dxa"/>
            <w:vAlign w:val="center"/>
          </w:tcPr>
          <w:p w14:paraId="138EB7D6"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14,4</w:t>
            </w:r>
          </w:p>
        </w:tc>
        <w:tc>
          <w:tcPr>
            <w:tcW w:w="1103" w:type="dxa"/>
            <w:vAlign w:val="center"/>
          </w:tcPr>
          <w:p w14:paraId="652F478F" w14:textId="77777777" w:rsidR="00A753EF" w:rsidRPr="00422981"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422981">
              <w:rPr>
                <w:rFonts w:ascii="Times New Roman" w:eastAsia="Times New Roman" w:hAnsi="Times New Roman" w:cs="Times New Roman"/>
                <w:color w:val="000000"/>
                <w:sz w:val="20"/>
                <w:szCs w:val="24"/>
                <w:lang w:eastAsia="lv-LV"/>
              </w:rPr>
              <w:t>15,2</w:t>
            </w:r>
          </w:p>
        </w:tc>
      </w:tr>
    </w:tbl>
    <w:p w14:paraId="6313DA20" w14:textId="77777777" w:rsidR="00A753EF" w:rsidRPr="00A753EF" w:rsidRDefault="00A753EF" w:rsidP="00A753EF">
      <w:pPr>
        <w:spacing w:after="0" w:line="240" w:lineRule="auto"/>
        <w:jc w:val="both"/>
        <w:rPr>
          <w:rFonts w:ascii="Times New Roman" w:eastAsia="Times New Roman" w:hAnsi="Times New Roman" w:cs="Times New Roman"/>
          <w:i/>
          <w:color w:val="000000"/>
          <w:sz w:val="24"/>
          <w:szCs w:val="24"/>
        </w:rPr>
      </w:pPr>
      <w:r w:rsidRPr="00A753EF">
        <w:rPr>
          <w:rFonts w:ascii="Times New Roman" w:eastAsia="Times New Roman" w:hAnsi="Times New Roman" w:cs="Times New Roman"/>
          <w:i/>
          <w:color w:val="000000"/>
          <w:sz w:val="20"/>
          <w:szCs w:val="24"/>
        </w:rPr>
        <w:t>*likme spēkā no 01.08.2019.</w:t>
      </w:r>
    </w:p>
    <w:p w14:paraId="0BA3F092" w14:textId="77777777" w:rsidR="00A753EF" w:rsidRPr="00A753EF" w:rsidRDefault="00A753EF" w:rsidP="00A753EF">
      <w:pPr>
        <w:spacing w:after="0" w:line="240" w:lineRule="auto"/>
        <w:ind w:firstLine="709"/>
        <w:jc w:val="both"/>
        <w:rPr>
          <w:rFonts w:ascii="Times New Roman" w:eastAsia="Times New Roman" w:hAnsi="Times New Roman" w:cs="Times New Roman"/>
          <w:b/>
          <w:i/>
          <w:sz w:val="24"/>
          <w:szCs w:val="28"/>
          <w:u w:val="single"/>
          <w:lang w:eastAsia="lv-LV"/>
        </w:rPr>
      </w:pPr>
    </w:p>
    <w:p w14:paraId="2B50B694"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8"/>
          <w:lang w:eastAsia="lv-LV"/>
        </w:rPr>
      </w:pPr>
      <w:r w:rsidRPr="00A753EF">
        <w:rPr>
          <w:rFonts w:ascii="Times New Roman" w:eastAsia="Times New Roman" w:hAnsi="Times New Roman" w:cs="Times New Roman"/>
          <w:sz w:val="24"/>
          <w:szCs w:val="28"/>
          <w:lang w:eastAsia="lv-LV"/>
        </w:rPr>
        <w:t>Papildus iepriekš minētajām akcīzes nodokļa likmju izmaiņām saskaņā ar 2020.gada 6.februārī pieņemtajiem grozījumiem likumā “Par akcīzes nodokli”:</w:t>
      </w:r>
    </w:p>
    <w:p w14:paraId="527925AE" w14:textId="77777777" w:rsidR="00A753EF" w:rsidRPr="00020572" w:rsidRDefault="00A753EF" w:rsidP="00020572">
      <w:pPr>
        <w:pStyle w:val="ListParagraph"/>
        <w:numPr>
          <w:ilvl w:val="0"/>
          <w:numId w:val="37"/>
        </w:numPr>
        <w:spacing w:after="0" w:line="240" w:lineRule="auto"/>
        <w:ind w:left="993"/>
        <w:jc w:val="both"/>
        <w:rPr>
          <w:rFonts w:ascii="Times New Roman" w:eastAsia="Times New Roman" w:hAnsi="Times New Roman" w:cs="Times New Roman"/>
          <w:sz w:val="24"/>
          <w:szCs w:val="28"/>
          <w:lang w:eastAsia="lv-LV"/>
        </w:rPr>
      </w:pPr>
      <w:r w:rsidRPr="00020572">
        <w:rPr>
          <w:rFonts w:ascii="Times New Roman" w:eastAsia="Times New Roman" w:hAnsi="Times New Roman" w:cs="Times New Roman"/>
          <w:sz w:val="24"/>
          <w:szCs w:val="28"/>
          <w:lang w:eastAsia="lv-LV"/>
        </w:rPr>
        <w:t>ar 2020.gada 1.maiju tiks precizēta starpproduktu definīcija, novēršot nekorektu akcīzes nodokļa likmes piemērošanu alkoholiskajiem kokteiļiem, tādā veidā izvairoties no nodokļa nomaksas pilnā apmērā;</w:t>
      </w:r>
    </w:p>
    <w:p w14:paraId="0CA75CDB" w14:textId="77777777" w:rsidR="00A753EF" w:rsidRPr="00020572" w:rsidRDefault="00A753EF" w:rsidP="00020572">
      <w:pPr>
        <w:pStyle w:val="ListParagraph"/>
        <w:numPr>
          <w:ilvl w:val="0"/>
          <w:numId w:val="37"/>
        </w:numPr>
        <w:spacing w:after="0" w:line="240" w:lineRule="auto"/>
        <w:ind w:left="993"/>
        <w:jc w:val="both"/>
        <w:rPr>
          <w:rFonts w:ascii="Times New Roman" w:eastAsia="Times New Roman" w:hAnsi="Times New Roman" w:cs="Times New Roman"/>
          <w:sz w:val="24"/>
          <w:szCs w:val="28"/>
          <w:lang w:eastAsia="lv-LV"/>
        </w:rPr>
      </w:pPr>
      <w:r w:rsidRPr="00020572">
        <w:rPr>
          <w:rFonts w:ascii="Times New Roman" w:eastAsia="Times New Roman" w:hAnsi="Times New Roman" w:cs="Times New Roman"/>
          <w:sz w:val="24"/>
          <w:szCs w:val="28"/>
          <w:lang w:eastAsia="lv-LV"/>
        </w:rPr>
        <w:t>ar 2020.gada 1.maiju tiks nodrošināta vienota pieeja dīzeļdegvielas iegādē attiecībā uz zvejniekiem. Piekrastes zvejniekiem saglabāta iepriekš  normatīvajos aktos noteiktā kārtība – iespēja ostu teritorijās iegādāties no akcīzes nodokļa atbrīvotu dīzeļdegvielu izmantošanai zvejas kuģos piekrastes ūdeņos. Savukārt tiem piekrastes un iekšējo ūdeņu zvejniekiem, kuri nevar rast iespēju ostu teritorijās iegādāties no akcīzes nodokļa atbrīvotu dīzeļdegvielu izmantošanai zvejas kuģos, paredzēta samazinātas akcīzes nodokļa likmes piemērošana marķētai dīzeļdegvielai izmantošanai zvejas kuģos piekrastes un iekšējos ūdeņos, vienlaikus ieviešot akcīzes nodokļa atmaksu piekrastes ūdeņu zvejniekiem par to zvejas kuģos izmantoto marķēto dīzeļdegvielu ar samazinātu akcīzes nodokļa likmi;</w:t>
      </w:r>
    </w:p>
    <w:p w14:paraId="0BA1EC78" w14:textId="77777777" w:rsidR="00A753EF" w:rsidRPr="00020572" w:rsidRDefault="00A753EF" w:rsidP="00020572">
      <w:pPr>
        <w:pStyle w:val="ListParagraph"/>
        <w:numPr>
          <w:ilvl w:val="0"/>
          <w:numId w:val="37"/>
        </w:numPr>
        <w:spacing w:after="0" w:line="240" w:lineRule="auto"/>
        <w:ind w:left="993"/>
        <w:jc w:val="both"/>
        <w:rPr>
          <w:rFonts w:ascii="Times New Roman" w:eastAsia="Times New Roman" w:hAnsi="Times New Roman" w:cs="Times New Roman"/>
          <w:sz w:val="24"/>
          <w:szCs w:val="28"/>
          <w:lang w:eastAsia="lv-LV"/>
        </w:rPr>
      </w:pPr>
      <w:r w:rsidRPr="00020572">
        <w:rPr>
          <w:rFonts w:ascii="Times New Roman" w:eastAsia="Times New Roman" w:hAnsi="Times New Roman" w:cs="Times New Roman"/>
          <w:sz w:val="24"/>
          <w:szCs w:val="28"/>
          <w:lang w:eastAsia="lv-LV"/>
        </w:rPr>
        <w:t>ar 2022.gada 1.janvāri tiks atcelti akcīzes nodokļa atbrīvojumi dabasgāzei, ko izmanto lauksaimniecībā izmantojamās zemes segto platību (siltumnīcu) siltumapgādei un rūpniecisko mājputnu novietņu (kūts) un inkubatoru siltumapgādei;</w:t>
      </w:r>
    </w:p>
    <w:p w14:paraId="5DF95FD4" w14:textId="77777777" w:rsidR="00A753EF" w:rsidRPr="00020572" w:rsidRDefault="00A753EF" w:rsidP="00020572">
      <w:pPr>
        <w:pStyle w:val="ListParagraph"/>
        <w:numPr>
          <w:ilvl w:val="0"/>
          <w:numId w:val="37"/>
        </w:numPr>
        <w:spacing w:after="0" w:line="240" w:lineRule="auto"/>
        <w:ind w:left="993"/>
        <w:jc w:val="both"/>
        <w:rPr>
          <w:rFonts w:ascii="Times New Roman" w:eastAsia="Times New Roman" w:hAnsi="Times New Roman" w:cs="Times New Roman"/>
          <w:sz w:val="24"/>
          <w:szCs w:val="28"/>
          <w:lang w:eastAsia="lv-LV"/>
        </w:rPr>
      </w:pPr>
      <w:r w:rsidRPr="00020572">
        <w:rPr>
          <w:rFonts w:ascii="Times New Roman" w:eastAsia="Times New Roman" w:hAnsi="Times New Roman" w:cs="Times New Roman"/>
          <w:sz w:val="24"/>
          <w:szCs w:val="28"/>
          <w:lang w:eastAsia="lv-LV"/>
        </w:rPr>
        <w:t xml:space="preserve">ar 2022.gada 1.janvāri bezalkoholiskajiem dzērieniem ar cukura saturu no 8 gramiem uz 100 mililitriem tiek noteikta paaugstināta akcīzes nodokļa likme 14,00 </w:t>
      </w:r>
      <w:r w:rsidRPr="00020572">
        <w:rPr>
          <w:rFonts w:ascii="Times New Roman" w:eastAsia="Times New Roman" w:hAnsi="Times New Roman" w:cs="Times New Roman"/>
          <w:i/>
          <w:sz w:val="24"/>
          <w:szCs w:val="28"/>
          <w:lang w:eastAsia="lv-LV"/>
        </w:rPr>
        <w:t>euro</w:t>
      </w:r>
      <w:r w:rsidRPr="00020572">
        <w:rPr>
          <w:rFonts w:ascii="Times New Roman" w:eastAsia="Times New Roman" w:hAnsi="Times New Roman" w:cs="Times New Roman"/>
          <w:sz w:val="24"/>
          <w:szCs w:val="28"/>
          <w:lang w:eastAsia="lv-LV"/>
        </w:rPr>
        <w:t xml:space="preserve"> par 100 litriem.</w:t>
      </w:r>
    </w:p>
    <w:p w14:paraId="42DE369C" w14:textId="77777777" w:rsidR="00A753EF" w:rsidRPr="00020572" w:rsidRDefault="00A753EF" w:rsidP="00A753EF">
      <w:pPr>
        <w:spacing w:after="0" w:line="240" w:lineRule="auto"/>
        <w:jc w:val="both"/>
        <w:rPr>
          <w:rFonts w:ascii="Times New Roman" w:eastAsia="Calibri" w:hAnsi="Times New Roman" w:cs="Times New Roman"/>
          <w:iCs/>
          <w:spacing w:val="2"/>
          <w:sz w:val="16"/>
          <w:szCs w:val="16"/>
        </w:rPr>
      </w:pPr>
    </w:p>
    <w:p w14:paraId="0DB144D4" w14:textId="77777777" w:rsidR="00422981" w:rsidRDefault="00422981">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61E1DC68" w14:textId="4DF36688"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rPr>
      </w:pPr>
      <w:r w:rsidRPr="00D00031">
        <w:rPr>
          <w:rFonts w:ascii="Times New Roman" w:eastAsia="Times New Roman" w:hAnsi="Times New Roman" w:cs="Times New Roman"/>
          <w:b/>
          <w:sz w:val="24"/>
          <w:szCs w:val="20"/>
        </w:rPr>
        <w:t>4.7.tabula</w:t>
      </w:r>
      <w:r w:rsidRPr="00A753EF">
        <w:rPr>
          <w:rFonts w:ascii="Times New Roman" w:eastAsia="Times New Roman" w:hAnsi="Times New Roman" w:cs="Times New Roman"/>
          <w:b/>
          <w:sz w:val="24"/>
          <w:szCs w:val="20"/>
        </w:rPr>
        <w:t>. Nodokļu politikas izmaiņu ietekme uz akcīzes nodokļa ieņēmumiem, milj. </w:t>
      </w:r>
      <w:r w:rsidRPr="00A753EF">
        <w:rPr>
          <w:rFonts w:ascii="Times New Roman" w:eastAsia="Times New Roman" w:hAnsi="Times New Roman" w:cs="Times New Roman"/>
          <w:b/>
          <w:i/>
          <w:sz w:val="24"/>
          <w:szCs w:val="20"/>
        </w:rPr>
        <w:t>euro</w:t>
      </w:r>
    </w:p>
    <w:tbl>
      <w:tblPr>
        <w:tblStyle w:val="GridTable6Colorful-Accent1"/>
        <w:tblW w:w="9322" w:type="dxa"/>
        <w:jc w:val="center"/>
        <w:tblLayout w:type="fixed"/>
        <w:tblLook w:val="04A0" w:firstRow="1" w:lastRow="0" w:firstColumn="1" w:lastColumn="0" w:noHBand="0" w:noVBand="1"/>
      </w:tblPr>
      <w:tblGrid>
        <w:gridCol w:w="6516"/>
        <w:gridCol w:w="709"/>
        <w:gridCol w:w="708"/>
        <w:gridCol w:w="709"/>
        <w:gridCol w:w="680"/>
      </w:tblGrid>
      <w:tr w:rsidR="00A753EF" w:rsidRPr="00A753EF" w14:paraId="1B1484F2" w14:textId="77777777" w:rsidTr="004229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30D1648A"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709" w:type="dxa"/>
          </w:tcPr>
          <w:p w14:paraId="6C0AC50B"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708" w:type="dxa"/>
          </w:tcPr>
          <w:p w14:paraId="743618B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709" w:type="dxa"/>
          </w:tcPr>
          <w:p w14:paraId="5A5E85D5"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680" w:type="dxa"/>
          </w:tcPr>
          <w:p w14:paraId="7741317D"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1DD14E3B" w14:textId="77777777" w:rsidTr="00422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7D3CE731" w14:textId="6358378C"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nodokļa likmes pārējiem alkoholiskajiem dzērieniem samazināšana no 1840 līdz 1</w:t>
            </w:r>
            <w:r w:rsidR="00020572" w:rsidRPr="00A753EF">
              <w:rPr>
                <w:rFonts w:ascii="Times New Roman" w:eastAsia="Times New Roman" w:hAnsi="Times New Roman" w:cs="Times New Roman"/>
                <w:color w:val="000000"/>
                <w:sz w:val="24"/>
                <w:szCs w:val="24"/>
              </w:rPr>
              <w:t> </w:t>
            </w:r>
            <w:r w:rsidRPr="00A753EF">
              <w:rPr>
                <w:rFonts w:ascii="Times New Roman" w:eastAsia="Times New Roman" w:hAnsi="Times New Roman" w:cs="Times New Roman"/>
                <w:color w:val="000000" w:themeColor="text1"/>
                <w:sz w:val="20"/>
                <w:szCs w:val="20"/>
              </w:rPr>
              <w:t xml:space="preserve">564 </w:t>
            </w:r>
            <w:r w:rsidRPr="00A753EF">
              <w:rPr>
                <w:rFonts w:ascii="Times New Roman" w:eastAsia="Times New Roman" w:hAnsi="Times New Roman" w:cs="Times New Roman"/>
                <w:i/>
                <w:color w:val="000000" w:themeColor="text1"/>
                <w:sz w:val="20"/>
                <w:szCs w:val="20"/>
              </w:rPr>
              <w:t>euro</w:t>
            </w:r>
            <w:r w:rsidRPr="00A753EF">
              <w:rPr>
                <w:rFonts w:ascii="Times New Roman" w:eastAsia="Times New Roman" w:hAnsi="Times New Roman" w:cs="Times New Roman"/>
                <w:color w:val="000000" w:themeColor="text1"/>
                <w:sz w:val="20"/>
                <w:szCs w:val="20"/>
              </w:rPr>
              <w:t xml:space="preserve"> par 100 litriem no 01.08.2019. līdz 29.02.2020.</w:t>
            </w:r>
          </w:p>
        </w:tc>
        <w:tc>
          <w:tcPr>
            <w:tcW w:w="709" w:type="dxa"/>
            <w:vAlign w:val="center"/>
          </w:tcPr>
          <w:p w14:paraId="247E343F"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-2,8</w:t>
            </w:r>
          </w:p>
        </w:tc>
        <w:tc>
          <w:tcPr>
            <w:tcW w:w="708" w:type="dxa"/>
            <w:vAlign w:val="center"/>
          </w:tcPr>
          <w:p w14:paraId="18A708AA"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5B0428F0"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80" w:type="dxa"/>
            <w:vAlign w:val="center"/>
          </w:tcPr>
          <w:p w14:paraId="49A36E75"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0943D06D" w14:textId="77777777" w:rsidTr="00422981">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01B2EB1B"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nodokļa  likmju alkoholiskajiem dzērieniem lēnāka paaugstināšana ar 01.03.2020. un ar 01.03.2021.(par 5% katru gadu) iepriekš plānoto aptuveni 10% vietā (stiprajam alkoholam plānotais pieaugums bija 29,5%)</w:t>
            </w:r>
          </w:p>
        </w:tc>
        <w:tc>
          <w:tcPr>
            <w:tcW w:w="709" w:type="dxa"/>
            <w:vAlign w:val="center"/>
          </w:tcPr>
          <w:p w14:paraId="47F20ABA"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-10,1</w:t>
            </w:r>
          </w:p>
        </w:tc>
        <w:tc>
          <w:tcPr>
            <w:tcW w:w="708" w:type="dxa"/>
            <w:vAlign w:val="center"/>
          </w:tcPr>
          <w:p w14:paraId="2B9269F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+9,2</w:t>
            </w:r>
          </w:p>
        </w:tc>
        <w:tc>
          <w:tcPr>
            <w:tcW w:w="709" w:type="dxa"/>
            <w:vAlign w:val="center"/>
          </w:tcPr>
          <w:p w14:paraId="2AF75ABB"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+1,1</w:t>
            </w:r>
          </w:p>
        </w:tc>
        <w:tc>
          <w:tcPr>
            <w:tcW w:w="680" w:type="dxa"/>
            <w:vAlign w:val="center"/>
          </w:tcPr>
          <w:p w14:paraId="6E608E66"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647D1A03" w14:textId="77777777" w:rsidTr="00422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099F9255" w14:textId="3692DF34"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nodokļa  likmju alum lēnāka paaugstināšana ar 01.03.2020. un ar 01.03.2021.(par 5% katru gad</w:t>
            </w:r>
            <w:r w:rsidR="00020572">
              <w:rPr>
                <w:rFonts w:ascii="Times New Roman" w:eastAsia="Times New Roman" w:hAnsi="Times New Roman" w:cs="Times New Roman"/>
                <w:color w:val="000000" w:themeColor="text1"/>
                <w:sz w:val="20"/>
                <w:szCs w:val="20"/>
              </w:rPr>
              <w:t>u) iepriekš plānoto</w:t>
            </w:r>
            <w:r w:rsidRPr="00A753EF">
              <w:rPr>
                <w:rFonts w:ascii="Times New Roman" w:eastAsia="Times New Roman" w:hAnsi="Times New Roman" w:cs="Times New Roman"/>
                <w:color w:val="000000" w:themeColor="text1"/>
                <w:sz w:val="20"/>
                <w:szCs w:val="20"/>
              </w:rPr>
              <w:t xml:space="preserve"> 10% vietā</w:t>
            </w:r>
          </w:p>
        </w:tc>
        <w:tc>
          <w:tcPr>
            <w:tcW w:w="709" w:type="dxa"/>
            <w:vAlign w:val="center"/>
          </w:tcPr>
          <w:p w14:paraId="49BD8B37"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-4,7</w:t>
            </w:r>
          </w:p>
        </w:tc>
        <w:tc>
          <w:tcPr>
            <w:tcW w:w="708" w:type="dxa"/>
            <w:vAlign w:val="center"/>
          </w:tcPr>
          <w:p w14:paraId="079289A3"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+4,6</w:t>
            </w:r>
          </w:p>
        </w:tc>
        <w:tc>
          <w:tcPr>
            <w:tcW w:w="709" w:type="dxa"/>
            <w:vAlign w:val="center"/>
          </w:tcPr>
          <w:p w14:paraId="1BB6DEBA"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+0,3</w:t>
            </w:r>
          </w:p>
        </w:tc>
        <w:tc>
          <w:tcPr>
            <w:tcW w:w="680" w:type="dxa"/>
            <w:vAlign w:val="center"/>
          </w:tcPr>
          <w:p w14:paraId="518B3500"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1DA8158C" w14:textId="77777777" w:rsidTr="00422981">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2E5BDD34"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Starpproduktu definīcijas precizēšana</w:t>
            </w:r>
          </w:p>
        </w:tc>
        <w:tc>
          <w:tcPr>
            <w:tcW w:w="709" w:type="dxa"/>
            <w:vAlign w:val="center"/>
          </w:tcPr>
          <w:p w14:paraId="1541CDE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+6.7</w:t>
            </w:r>
          </w:p>
        </w:tc>
        <w:tc>
          <w:tcPr>
            <w:tcW w:w="708" w:type="dxa"/>
            <w:vAlign w:val="center"/>
          </w:tcPr>
          <w:p w14:paraId="18844792"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+3,3</w:t>
            </w:r>
          </w:p>
        </w:tc>
        <w:tc>
          <w:tcPr>
            <w:tcW w:w="709" w:type="dxa"/>
            <w:vAlign w:val="center"/>
          </w:tcPr>
          <w:p w14:paraId="25BA782B"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80" w:type="dxa"/>
            <w:vAlign w:val="center"/>
          </w:tcPr>
          <w:p w14:paraId="7DA0D21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7BA534EB" w14:textId="77777777" w:rsidTr="00422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544F4C0A"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Akcīzes nodokļa atbrīvojumu atcelšana dabasgāzei, ko izmanto lauksaimniecībā izmantojamās zemes segto platību (siltumnīcu) siltumapgādei un rūpniecisko mājputnu novietņu (kūts) un inkubatoru siltumapgādei</w:t>
            </w:r>
          </w:p>
        </w:tc>
        <w:tc>
          <w:tcPr>
            <w:tcW w:w="709" w:type="dxa"/>
            <w:vAlign w:val="center"/>
          </w:tcPr>
          <w:p w14:paraId="0124ED9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8" w:type="dxa"/>
            <w:vAlign w:val="center"/>
          </w:tcPr>
          <w:p w14:paraId="00BC2236"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09" w:type="dxa"/>
            <w:vAlign w:val="center"/>
          </w:tcPr>
          <w:p w14:paraId="4C792F5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+0,1</w:t>
            </w:r>
          </w:p>
        </w:tc>
        <w:tc>
          <w:tcPr>
            <w:tcW w:w="680" w:type="dxa"/>
            <w:vAlign w:val="center"/>
          </w:tcPr>
          <w:p w14:paraId="601AB52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63F5D590" w14:textId="77777777" w:rsidTr="00422981">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0BEC16B5"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709" w:type="dxa"/>
            <w:vAlign w:val="center"/>
          </w:tcPr>
          <w:p w14:paraId="7B2FD0A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-10,9</w:t>
            </w:r>
          </w:p>
        </w:tc>
        <w:tc>
          <w:tcPr>
            <w:tcW w:w="708" w:type="dxa"/>
            <w:vAlign w:val="center"/>
          </w:tcPr>
          <w:p w14:paraId="7463972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+17,1</w:t>
            </w:r>
          </w:p>
        </w:tc>
        <w:tc>
          <w:tcPr>
            <w:tcW w:w="709" w:type="dxa"/>
            <w:vAlign w:val="center"/>
          </w:tcPr>
          <w:p w14:paraId="2BAA1439"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+1,5</w:t>
            </w:r>
          </w:p>
        </w:tc>
        <w:tc>
          <w:tcPr>
            <w:tcW w:w="680" w:type="dxa"/>
            <w:vAlign w:val="center"/>
          </w:tcPr>
          <w:p w14:paraId="36D6A7F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r>
    </w:tbl>
    <w:p w14:paraId="690EEFAB" w14:textId="77777777" w:rsidR="00A753EF" w:rsidRPr="00A753EF" w:rsidRDefault="00A753EF" w:rsidP="00A753EF">
      <w:pPr>
        <w:spacing w:after="0" w:line="240" w:lineRule="auto"/>
        <w:jc w:val="both"/>
        <w:rPr>
          <w:rFonts w:ascii="Times New Roman" w:eastAsia="Times New Roman" w:hAnsi="Times New Roman" w:cs="Times New Roman"/>
          <w:sz w:val="24"/>
          <w:szCs w:val="20"/>
        </w:rPr>
      </w:pPr>
    </w:p>
    <w:p w14:paraId="5652064A" w14:textId="77777777" w:rsidR="00A753EF" w:rsidRPr="00A753EF" w:rsidRDefault="00A753EF" w:rsidP="00A753EF">
      <w:pPr>
        <w:spacing w:before="120" w:after="12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Iedzīvotāju ienākuma nodoklis</w:t>
      </w:r>
    </w:p>
    <w:p w14:paraId="23C8349A"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 xml:space="preserve">IIN ieņēmumus galvenokārt ietekmē tautsaimniecībā nodarbināto skaits, nodarbināto ienākumi, ar IIN neapliekamā minimuma un atvieglojumu apmērs, minimālā darba alga, kā arī ieviestās likumdošanas izmaiņas. </w:t>
      </w:r>
    </w:p>
    <w:p w14:paraId="5296CB1D"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4"/>
        </w:rPr>
      </w:pPr>
      <w:r w:rsidRPr="00A753EF">
        <w:rPr>
          <w:rFonts w:ascii="Times New Roman" w:eastAsia="Times New Roman" w:hAnsi="Times New Roman" w:cs="Times New Roman"/>
          <w:iCs/>
          <w:sz w:val="24"/>
          <w:szCs w:val="20"/>
        </w:rPr>
        <w:t xml:space="preserve">Izmaiņas, kas ietekmēs </w:t>
      </w:r>
      <w:r w:rsidRPr="00A753EF">
        <w:rPr>
          <w:rFonts w:ascii="Times New Roman" w:eastAsia="Times New Roman" w:hAnsi="Times New Roman" w:cs="Times New Roman"/>
          <w:sz w:val="24"/>
          <w:szCs w:val="20"/>
        </w:rPr>
        <w:t>IIN</w:t>
      </w:r>
      <w:r w:rsidRPr="00A753EF">
        <w:rPr>
          <w:rFonts w:ascii="Times New Roman" w:eastAsia="Times New Roman" w:hAnsi="Times New Roman" w:cs="Times New Roman"/>
          <w:iCs/>
          <w:sz w:val="24"/>
          <w:szCs w:val="20"/>
        </w:rPr>
        <w:t xml:space="preserve"> ieņēmumus 2020.gadā, saistās ar</w:t>
      </w:r>
      <w:r w:rsidRPr="00A753EF">
        <w:rPr>
          <w:rFonts w:ascii="Times New Roman" w:eastAsia="Times New Roman" w:hAnsi="Times New Roman" w:cs="Times New Roman"/>
          <w:sz w:val="24"/>
          <w:szCs w:val="24"/>
        </w:rPr>
        <w:t xml:space="preserve"> diferencētā neapliekamā minimuma straujāku paaugstināšanu, kā arī ēnu ekonomikas ierobežošanas pasākumu, kas paredz valdes locekļu atbildības pilnveidošanu, savukārt minimālās mēneša darba algas paaugstināšana </w:t>
      </w:r>
      <w:r w:rsidRPr="00A753EF">
        <w:rPr>
          <w:rFonts w:ascii="Times New Roman" w:eastAsia="Times New Roman" w:hAnsi="Times New Roman" w:cs="Times New Roman"/>
          <w:iCs/>
          <w:sz w:val="24"/>
          <w:szCs w:val="20"/>
        </w:rPr>
        <w:t xml:space="preserve">ietekmēs </w:t>
      </w:r>
      <w:r w:rsidRPr="00A753EF">
        <w:rPr>
          <w:rFonts w:ascii="Times New Roman" w:eastAsia="Times New Roman" w:hAnsi="Times New Roman" w:cs="Times New Roman"/>
          <w:sz w:val="24"/>
          <w:szCs w:val="20"/>
        </w:rPr>
        <w:t>IIN</w:t>
      </w:r>
      <w:r w:rsidRPr="00A753EF">
        <w:rPr>
          <w:rFonts w:ascii="Times New Roman" w:eastAsia="Times New Roman" w:hAnsi="Times New Roman" w:cs="Times New Roman"/>
          <w:iCs/>
          <w:sz w:val="24"/>
          <w:szCs w:val="20"/>
        </w:rPr>
        <w:t xml:space="preserve"> ieņēmumus no</w:t>
      </w:r>
      <w:r w:rsidRPr="00A753EF">
        <w:rPr>
          <w:rFonts w:ascii="Times New Roman" w:eastAsia="Times New Roman" w:hAnsi="Times New Roman" w:cs="Times New Roman"/>
          <w:sz w:val="24"/>
          <w:szCs w:val="24"/>
        </w:rPr>
        <w:t xml:space="preserve"> 2021.gada.</w:t>
      </w:r>
    </w:p>
    <w:p w14:paraId="7DFB0933" w14:textId="77777777" w:rsidR="00A753EF" w:rsidRPr="00A753EF" w:rsidRDefault="00A753EF" w:rsidP="00020572">
      <w:pPr>
        <w:keepNext/>
        <w:spacing w:before="120" w:after="60" w:line="240" w:lineRule="auto"/>
        <w:ind w:left="360"/>
        <w:jc w:val="right"/>
        <w:rPr>
          <w:rFonts w:ascii="Times New Roman" w:eastAsia="Times New Roman" w:hAnsi="Times New Roman" w:cs="Times New Roman"/>
          <w:b/>
          <w:sz w:val="24"/>
          <w:szCs w:val="20"/>
        </w:rPr>
      </w:pPr>
      <w:r w:rsidRPr="00D00031">
        <w:rPr>
          <w:rFonts w:ascii="Times New Roman" w:eastAsia="Times New Roman" w:hAnsi="Times New Roman" w:cs="Times New Roman"/>
          <w:b/>
          <w:sz w:val="24"/>
          <w:szCs w:val="20"/>
        </w:rPr>
        <w:t>4.8.tabula</w:t>
      </w:r>
      <w:r w:rsidRPr="00A753EF">
        <w:rPr>
          <w:rFonts w:ascii="Times New Roman" w:eastAsia="Times New Roman" w:hAnsi="Times New Roman" w:cs="Times New Roman"/>
          <w:b/>
          <w:sz w:val="24"/>
          <w:szCs w:val="20"/>
        </w:rPr>
        <w:t xml:space="preserve"> Diferencētais neapliekamais minimums 2020.gadam</w:t>
      </w:r>
    </w:p>
    <w:tbl>
      <w:tblPr>
        <w:tblStyle w:val="GridTable6Colorful-Accent1"/>
        <w:tblW w:w="8923" w:type="dxa"/>
        <w:jc w:val="center"/>
        <w:tblLayout w:type="fixed"/>
        <w:tblLook w:val="04A0" w:firstRow="1" w:lastRow="0" w:firstColumn="1" w:lastColumn="0" w:noHBand="0" w:noVBand="1"/>
      </w:tblPr>
      <w:tblGrid>
        <w:gridCol w:w="5524"/>
        <w:gridCol w:w="1559"/>
        <w:gridCol w:w="1840"/>
      </w:tblGrid>
      <w:tr w:rsidR="00A753EF" w:rsidRPr="00A753EF" w14:paraId="091C8591" w14:textId="77777777" w:rsidTr="00422981">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524" w:type="dxa"/>
          </w:tcPr>
          <w:p w14:paraId="229CD86C" w14:textId="77777777" w:rsidR="00A753EF" w:rsidRPr="00A753EF" w:rsidRDefault="00A753EF" w:rsidP="00A753EF">
            <w:pPr>
              <w:autoSpaceDE w:val="0"/>
              <w:autoSpaceDN w:val="0"/>
              <w:adjustRightInd w:val="0"/>
              <w:ind w:left="457"/>
              <w:jc w:val="center"/>
              <w:rPr>
                <w:rFonts w:ascii="Times New Roman" w:eastAsia="Times New Roman" w:hAnsi="Times New Roman" w:cs="Times New Roman"/>
                <w:color w:val="000000" w:themeColor="text1"/>
                <w:sz w:val="20"/>
                <w:szCs w:val="24"/>
              </w:rPr>
            </w:pPr>
          </w:p>
        </w:tc>
        <w:tc>
          <w:tcPr>
            <w:tcW w:w="1559" w:type="dxa"/>
            <w:vAlign w:val="center"/>
          </w:tcPr>
          <w:p w14:paraId="76277A7A" w14:textId="77777777" w:rsidR="00A753EF" w:rsidRPr="00A753EF" w:rsidRDefault="00A753EF" w:rsidP="00A753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2020 (nodokļu reforma)</w:t>
            </w:r>
          </w:p>
        </w:tc>
        <w:tc>
          <w:tcPr>
            <w:tcW w:w="1840" w:type="dxa"/>
            <w:vAlign w:val="center"/>
          </w:tcPr>
          <w:p w14:paraId="639292F4" w14:textId="77777777" w:rsidR="00A753EF" w:rsidRPr="00A753EF" w:rsidRDefault="00A753EF" w:rsidP="00A753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2020 (pēdējās aktuālās izmaiņas)</w:t>
            </w:r>
          </w:p>
        </w:tc>
      </w:tr>
      <w:tr w:rsidR="00A753EF" w:rsidRPr="00A753EF" w14:paraId="3F8CB43F" w14:textId="77777777" w:rsidTr="0042298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524" w:type="dxa"/>
          </w:tcPr>
          <w:p w14:paraId="263CC6DF" w14:textId="77777777" w:rsidR="00A753EF" w:rsidRPr="00A753EF" w:rsidRDefault="00A753EF" w:rsidP="00A753EF">
            <w:pPr>
              <w:autoSpaceDE w:val="0"/>
              <w:autoSpaceDN w:val="0"/>
              <w:adjustRightInd w:val="0"/>
              <w:ind w:left="32"/>
              <w:rPr>
                <w:rFonts w:ascii="Times New Roman" w:eastAsia="Times New Roman" w:hAnsi="Times New Roman" w:cs="Times New Roman"/>
                <w:color w:val="000000" w:themeColor="text1"/>
                <w:sz w:val="20"/>
                <w:vertAlign w:val="subscript"/>
              </w:rPr>
            </w:pPr>
            <w:r w:rsidRPr="00A753EF">
              <w:rPr>
                <w:rFonts w:ascii="Times New Roman" w:eastAsia="Times New Roman" w:hAnsi="Times New Roman" w:cs="Times New Roman"/>
                <w:color w:val="000000" w:themeColor="text1"/>
                <w:sz w:val="20"/>
              </w:rPr>
              <w:t>Maksimālais neapliekamais minimums</w:t>
            </w:r>
          </w:p>
        </w:tc>
        <w:tc>
          <w:tcPr>
            <w:tcW w:w="1559" w:type="dxa"/>
            <w:vAlign w:val="center"/>
          </w:tcPr>
          <w:p w14:paraId="04A61F86" w14:textId="77777777" w:rsidR="00A753EF" w:rsidRPr="00A753EF" w:rsidRDefault="00A753EF" w:rsidP="00A753E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rPr>
            </w:pPr>
            <w:r w:rsidRPr="00A753EF">
              <w:rPr>
                <w:rFonts w:ascii="Times New Roman" w:eastAsia="Times New Roman" w:hAnsi="Times New Roman" w:cs="Times New Roman"/>
                <w:bCs/>
                <w:color w:val="000000" w:themeColor="text1"/>
                <w:sz w:val="20"/>
              </w:rPr>
              <w:t>250</w:t>
            </w:r>
          </w:p>
        </w:tc>
        <w:tc>
          <w:tcPr>
            <w:tcW w:w="1840" w:type="dxa"/>
            <w:vAlign w:val="center"/>
          </w:tcPr>
          <w:p w14:paraId="7414083B" w14:textId="77777777" w:rsidR="00A753EF" w:rsidRPr="00A753EF" w:rsidRDefault="00A753EF" w:rsidP="00A753E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rPr>
            </w:pPr>
            <w:r w:rsidRPr="00A753EF">
              <w:rPr>
                <w:rFonts w:ascii="Times New Roman" w:eastAsia="Times New Roman" w:hAnsi="Times New Roman" w:cs="Times New Roman"/>
                <w:bCs/>
                <w:color w:val="000000" w:themeColor="text1"/>
                <w:sz w:val="20"/>
              </w:rPr>
              <w:t>300</w:t>
            </w:r>
          </w:p>
        </w:tc>
      </w:tr>
      <w:tr w:rsidR="00A753EF" w:rsidRPr="00A753EF" w14:paraId="4503C7E3" w14:textId="77777777" w:rsidTr="00422981">
        <w:trPr>
          <w:trHeight w:val="271"/>
          <w:jc w:val="center"/>
        </w:trPr>
        <w:tc>
          <w:tcPr>
            <w:cnfStyle w:val="001000000000" w:firstRow="0" w:lastRow="0" w:firstColumn="1" w:lastColumn="0" w:oddVBand="0" w:evenVBand="0" w:oddHBand="0" w:evenHBand="0" w:firstRowFirstColumn="0" w:firstRowLastColumn="0" w:lastRowFirstColumn="0" w:lastRowLastColumn="0"/>
            <w:tcW w:w="5524" w:type="dxa"/>
          </w:tcPr>
          <w:p w14:paraId="13EBB59F" w14:textId="77777777" w:rsidR="00A753EF" w:rsidRPr="00A753EF" w:rsidRDefault="00A753EF" w:rsidP="00A753EF">
            <w:pPr>
              <w:autoSpaceDE w:val="0"/>
              <w:autoSpaceDN w:val="0"/>
              <w:adjustRightInd w:val="0"/>
              <w:ind w:left="32"/>
              <w:rPr>
                <w:rFonts w:ascii="Times New Roman" w:eastAsia="Times New Roman" w:hAnsi="Times New Roman" w:cs="Times New Roman"/>
                <w:color w:val="000000" w:themeColor="text1"/>
                <w:sz w:val="20"/>
                <w:vertAlign w:val="subscript"/>
              </w:rPr>
            </w:pPr>
            <w:r w:rsidRPr="00A753EF">
              <w:rPr>
                <w:rFonts w:ascii="Times New Roman" w:eastAsia="Times New Roman" w:hAnsi="Times New Roman" w:cs="Times New Roman"/>
                <w:color w:val="000000" w:themeColor="text1"/>
                <w:sz w:val="20"/>
              </w:rPr>
              <w:t>Minimālais neapliekamais minimums</w:t>
            </w:r>
          </w:p>
        </w:tc>
        <w:tc>
          <w:tcPr>
            <w:tcW w:w="1559" w:type="dxa"/>
            <w:vAlign w:val="center"/>
          </w:tcPr>
          <w:p w14:paraId="54A35B58" w14:textId="77777777" w:rsidR="00A753EF" w:rsidRPr="00A753EF" w:rsidRDefault="00A753EF" w:rsidP="00A753E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rPr>
            </w:pPr>
            <w:r w:rsidRPr="00A753EF">
              <w:rPr>
                <w:rFonts w:ascii="Times New Roman" w:eastAsia="Times New Roman" w:hAnsi="Times New Roman" w:cs="Times New Roman"/>
                <w:bCs/>
                <w:color w:val="000000" w:themeColor="text1"/>
                <w:sz w:val="20"/>
              </w:rPr>
              <w:t>0</w:t>
            </w:r>
          </w:p>
        </w:tc>
        <w:tc>
          <w:tcPr>
            <w:tcW w:w="1840" w:type="dxa"/>
            <w:vAlign w:val="center"/>
          </w:tcPr>
          <w:p w14:paraId="19F41CDB" w14:textId="77777777" w:rsidR="00A753EF" w:rsidRPr="00A753EF" w:rsidRDefault="00A753EF" w:rsidP="00A753E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rPr>
            </w:pPr>
            <w:r w:rsidRPr="00A753EF">
              <w:rPr>
                <w:rFonts w:ascii="Times New Roman" w:eastAsia="Times New Roman" w:hAnsi="Times New Roman" w:cs="Times New Roman"/>
                <w:bCs/>
                <w:color w:val="000000" w:themeColor="text1"/>
                <w:sz w:val="20"/>
              </w:rPr>
              <w:t>0</w:t>
            </w:r>
          </w:p>
        </w:tc>
      </w:tr>
      <w:tr w:rsidR="00A753EF" w:rsidRPr="00A753EF" w14:paraId="57D30D97" w14:textId="77777777" w:rsidTr="0042298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524" w:type="dxa"/>
          </w:tcPr>
          <w:p w14:paraId="3D18307F" w14:textId="77777777" w:rsidR="00A753EF" w:rsidRPr="00A753EF" w:rsidRDefault="00A753EF" w:rsidP="00A753EF">
            <w:pPr>
              <w:autoSpaceDE w:val="0"/>
              <w:autoSpaceDN w:val="0"/>
              <w:adjustRightInd w:val="0"/>
              <w:ind w:left="32"/>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Apliekamā ienākuma maksimālā robeža</w:t>
            </w:r>
          </w:p>
        </w:tc>
        <w:tc>
          <w:tcPr>
            <w:tcW w:w="1559" w:type="dxa"/>
            <w:vAlign w:val="center"/>
          </w:tcPr>
          <w:p w14:paraId="64095A97" w14:textId="77777777" w:rsidR="00A753EF" w:rsidRPr="00A753EF" w:rsidRDefault="00A753EF" w:rsidP="00A753E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1 200</w:t>
            </w:r>
          </w:p>
        </w:tc>
        <w:tc>
          <w:tcPr>
            <w:tcW w:w="1840" w:type="dxa"/>
            <w:vAlign w:val="center"/>
          </w:tcPr>
          <w:p w14:paraId="55E5469E" w14:textId="77777777" w:rsidR="00A753EF" w:rsidRPr="00A753EF" w:rsidRDefault="00A753EF" w:rsidP="00A753E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1 200</w:t>
            </w:r>
          </w:p>
        </w:tc>
      </w:tr>
      <w:tr w:rsidR="00A753EF" w:rsidRPr="00A753EF" w14:paraId="1C8B7B6D" w14:textId="77777777" w:rsidTr="00422981">
        <w:trPr>
          <w:trHeight w:val="271"/>
          <w:jc w:val="center"/>
        </w:trPr>
        <w:tc>
          <w:tcPr>
            <w:cnfStyle w:val="001000000000" w:firstRow="0" w:lastRow="0" w:firstColumn="1" w:lastColumn="0" w:oddVBand="0" w:evenVBand="0" w:oddHBand="0" w:evenHBand="0" w:firstRowFirstColumn="0" w:firstRowLastColumn="0" w:lastRowFirstColumn="0" w:lastRowLastColumn="0"/>
            <w:tcW w:w="5524" w:type="dxa"/>
          </w:tcPr>
          <w:p w14:paraId="56BD2CCD" w14:textId="77777777" w:rsidR="00A753EF" w:rsidRPr="00A753EF" w:rsidRDefault="00A753EF" w:rsidP="00A753EF">
            <w:pPr>
              <w:autoSpaceDE w:val="0"/>
              <w:autoSpaceDN w:val="0"/>
              <w:adjustRightInd w:val="0"/>
              <w:ind w:left="32"/>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Apliekamā ienākuma minimālā robeža</w:t>
            </w:r>
          </w:p>
        </w:tc>
        <w:tc>
          <w:tcPr>
            <w:tcW w:w="1559" w:type="dxa"/>
            <w:vAlign w:val="center"/>
          </w:tcPr>
          <w:p w14:paraId="326C913C" w14:textId="77777777" w:rsidR="00A753EF" w:rsidRPr="00A753EF" w:rsidRDefault="00A753EF" w:rsidP="00A753E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440</w:t>
            </w:r>
          </w:p>
        </w:tc>
        <w:tc>
          <w:tcPr>
            <w:tcW w:w="1840" w:type="dxa"/>
            <w:vAlign w:val="center"/>
          </w:tcPr>
          <w:p w14:paraId="0A0C7FB2" w14:textId="77777777" w:rsidR="00A753EF" w:rsidRPr="00A753EF" w:rsidRDefault="00A753EF" w:rsidP="00A753E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500</w:t>
            </w:r>
          </w:p>
        </w:tc>
      </w:tr>
    </w:tbl>
    <w:p w14:paraId="2E0ABB12" w14:textId="77777777" w:rsidR="00A753EF" w:rsidRPr="00A753EF" w:rsidRDefault="00A753EF" w:rsidP="00A753EF">
      <w:pPr>
        <w:spacing w:after="0" w:line="240" w:lineRule="auto"/>
        <w:ind w:firstLine="709"/>
        <w:jc w:val="both"/>
        <w:rPr>
          <w:rFonts w:ascii="Times New Roman" w:eastAsia="Times New Roman" w:hAnsi="Times New Roman" w:cs="Times New Roman"/>
          <w:iCs/>
          <w:sz w:val="24"/>
          <w:szCs w:val="20"/>
        </w:rPr>
      </w:pPr>
    </w:p>
    <w:p w14:paraId="6CB77D66"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4"/>
        </w:rPr>
      </w:pPr>
      <w:r w:rsidRPr="00A753EF">
        <w:rPr>
          <w:rFonts w:ascii="Times New Roman" w:eastAsia="Times New Roman" w:hAnsi="Times New Roman" w:cs="Times New Roman"/>
          <w:iCs/>
          <w:sz w:val="24"/>
          <w:szCs w:val="20"/>
        </w:rPr>
        <w:t>Vēl joprojām IIN ieņēmumus 2020.gadā ietekmēs arī</w:t>
      </w:r>
      <w:r w:rsidRPr="00A753EF">
        <w:rPr>
          <w:rFonts w:ascii="Times New Roman" w:eastAsia="Times New Roman" w:hAnsi="Times New Roman" w:cs="Times New Roman"/>
          <w:sz w:val="24"/>
          <w:szCs w:val="24"/>
        </w:rPr>
        <w:t xml:space="preserve"> </w:t>
      </w:r>
      <w:r w:rsidRPr="00A753EF">
        <w:rPr>
          <w:rFonts w:ascii="Times New Roman" w:eastAsia="Times New Roman" w:hAnsi="Times New Roman" w:cs="Times New Roman"/>
          <w:i/>
          <w:sz w:val="24"/>
          <w:szCs w:val="20"/>
        </w:rPr>
        <w:t>Nodokļu reformas</w:t>
      </w:r>
      <w:r w:rsidRPr="00A753EF">
        <w:rPr>
          <w:rFonts w:ascii="Times New Roman" w:eastAsia="Times New Roman" w:hAnsi="Times New Roman" w:cs="Times New Roman"/>
          <w:sz w:val="24"/>
          <w:szCs w:val="20"/>
        </w:rPr>
        <w:t xml:space="preserve"> </w:t>
      </w:r>
      <w:r w:rsidRPr="00A753EF">
        <w:rPr>
          <w:rFonts w:ascii="Times New Roman" w:eastAsia="Times New Roman" w:hAnsi="Times New Roman" w:cs="Times New Roman"/>
          <w:noProof/>
          <w:sz w:val="24"/>
          <w:szCs w:val="24"/>
          <w:lang w:eastAsia="lv-LV"/>
        </w:rPr>
        <w:t>pasākumi</w:t>
      </w:r>
      <w:r w:rsidRPr="00A753EF">
        <w:rPr>
          <w:rFonts w:ascii="Times New Roman" w:eastAsia="Times New Roman" w:hAnsi="Times New Roman" w:cs="Times New Roman"/>
          <w:sz w:val="24"/>
          <w:szCs w:val="24"/>
        </w:rPr>
        <w:t>:</w:t>
      </w:r>
    </w:p>
    <w:p w14:paraId="5652A66B" w14:textId="77777777" w:rsidR="00A753EF" w:rsidRPr="00A753EF" w:rsidRDefault="00A753EF" w:rsidP="00A753EF">
      <w:pPr>
        <w:numPr>
          <w:ilvl w:val="0"/>
          <w:numId w:val="26"/>
        </w:numPr>
        <w:spacing w:after="0" w:line="240" w:lineRule="auto"/>
        <w:ind w:left="1134" w:hanging="357"/>
        <w:jc w:val="both"/>
        <w:rPr>
          <w:rFonts w:ascii="Times New Roman" w:eastAsia="Times New Roman" w:hAnsi="Times New Roman" w:cs="Times New Roman"/>
          <w:color w:val="000000"/>
          <w:sz w:val="24"/>
          <w:szCs w:val="24"/>
          <w:lang w:eastAsia="lv-LV"/>
        </w:rPr>
      </w:pPr>
      <w:r w:rsidRPr="00A753EF">
        <w:rPr>
          <w:rFonts w:ascii="Times New Roman" w:eastAsia="Times New Roman" w:hAnsi="Times New Roman" w:cs="Times New Roman"/>
          <w:color w:val="000000"/>
          <w:sz w:val="24"/>
          <w:szCs w:val="24"/>
          <w:lang w:eastAsia="lv-LV"/>
        </w:rPr>
        <w:t>atvieglojuma par apgādībā esošām personām paaugstināšana 2020.gadā 250 </w:t>
      </w:r>
      <w:r w:rsidRPr="00A753EF">
        <w:rPr>
          <w:rFonts w:ascii="Times New Roman" w:eastAsia="Times New Roman" w:hAnsi="Times New Roman" w:cs="Times New Roman"/>
          <w:i/>
          <w:color w:val="000000"/>
          <w:sz w:val="24"/>
          <w:szCs w:val="24"/>
          <w:lang w:eastAsia="lv-LV"/>
        </w:rPr>
        <w:t>euro</w:t>
      </w:r>
      <w:r w:rsidRPr="00A753EF">
        <w:rPr>
          <w:rFonts w:ascii="Times New Roman" w:eastAsia="Times New Roman" w:hAnsi="Times New Roman" w:cs="Times New Roman"/>
          <w:color w:val="000000"/>
          <w:sz w:val="24"/>
          <w:szCs w:val="24"/>
          <w:lang w:eastAsia="lv-LV"/>
        </w:rPr>
        <w:t xml:space="preserve"> mēnesī;</w:t>
      </w:r>
    </w:p>
    <w:p w14:paraId="3BC73428" w14:textId="77777777" w:rsidR="00A753EF" w:rsidRPr="00A753EF" w:rsidRDefault="00A753EF" w:rsidP="00A753EF">
      <w:pPr>
        <w:numPr>
          <w:ilvl w:val="0"/>
          <w:numId w:val="26"/>
        </w:numPr>
        <w:spacing w:after="0" w:line="240" w:lineRule="auto"/>
        <w:ind w:left="1134" w:hanging="357"/>
        <w:jc w:val="both"/>
        <w:rPr>
          <w:rFonts w:ascii="Times New Roman" w:eastAsia="Times New Roman" w:hAnsi="Times New Roman" w:cs="Times New Roman"/>
          <w:color w:val="000000"/>
          <w:sz w:val="24"/>
          <w:szCs w:val="24"/>
          <w:lang w:eastAsia="lv-LV"/>
        </w:rPr>
      </w:pPr>
      <w:r w:rsidRPr="00A753EF">
        <w:rPr>
          <w:rFonts w:ascii="Times New Roman" w:eastAsia="Times New Roman" w:hAnsi="Times New Roman" w:cs="Times New Roman"/>
          <w:sz w:val="24"/>
          <w:szCs w:val="24"/>
        </w:rPr>
        <w:t>neapliekamā minimuma pensionāriem paaugstināšana 2020.gadā līdz 300 </w:t>
      </w:r>
      <w:r w:rsidRPr="00A753EF">
        <w:rPr>
          <w:rFonts w:ascii="Times New Roman" w:eastAsia="Times New Roman" w:hAnsi="Times New Roman" w:cs="Times New Roman"/>
          <w:i/>
          <w:sz w:val="24"/>
          <w:szCs w:val="24"/>
        </w:rPr>
        <w:t>euro</w:t>
      </w:r>
      <w:r w:rsidRPr="00A753EF">
        <w:rPr>
          <w:rFonts w:ascii="Times New Roman" w:eastAsia="Times New Roman" w:hAnsi="Times New Roman" w:cs="Times New Roman"/>
          <w:sz w:val="24"/>
          <w:szCs w:val="24"/>
        </w:rPr>
        <w:t xml:space="preserve"> mēnesī;</w:t>
      </w:r>
    </w:p>
    <w:p w14:paraId="6428C1D7" w14:textId="77777777" w:rsidR="00A753EF" w:rsidRPr="00A753EF" w:rsidRDefault="00A753EF" w:rsidP="00A753EF">
      <w:pPr>
        <w:numPr>
          <w:ilvl w:val="0"/>
          <w:numId w:val="26"/>
        </w:numPr>
        <w:spacing w:after="0" w:line="240" w:lineRule="auto"/>
        <w:ind w:left="1134" w:hanging="357"/>
        <w:jc w:val="both"/>
        <w:rPr>
          <w:rFonts w:ascii="Times New Roman" w:eastAsia="Times New Roman" w:hAnsi="Times New Roman" w:cs="Times New Roman"/>
          <w:color w:val="000000"/>
          <w:sz w:val="24"/>
          <w:szCs w:val="24"/>
          <w:lang w:eastAsia="lv-LV"/>
        </w:rPr>
      </w:pPr>
      <w:r w:rsidRPr="00A753EF">
        <w:rPr>
          <w:rFonts w:ascii="Times New Roman" w:eastAsia="Times New Roman" w:hAnsi="Times New Roman" w:cs="Times New Roman"/>
          <w:sz w:val="24"/>
          <w:szCs w:val="24"/>
        </w:rPr>
        <w:t>izmaiņas dividenžu politikā saistībā ar reinvestētās peļņas režīma ieviešanu uzņēmumu ienākuma nodoklī;</w:t>
      </w:r>
    </w:p>
    <w:p w14:paraId="0AA130BF" w14:textId="77777777" w:rsidR="00A753EF" w:rsidRPr="00A753EF" w:rsidRDefault="00A753EF" w:rsidP="00A753EF">
      <w:pPr>
        <w:numPr>
          <w:ilvl w:val="0"/>
          <w:numId w:val="26"/>
        </w:numPr>
        <w:spacing w:after="0" w:line="240" w:lineRule="auto"/>
        <w:ind w:left="1134" w:hanging="357"/>
        <w:jc w:val="both"/>
        <w:rPr>
          <w:rFonts w:ascii="Times New Roman" w:eastAsia="Times New Roman" w:hAnsi="Times New Roman" w:cs="Times New Roman"/>
          <w:color w:val="000000"/>
          <w:sz w:val="24"/>
          <w:szCs w:val="24"/>
          <w:lang w:eastAsia="lv-LV"/>
        </w:rPr>
      </w:pPr>
      <w:r w:rsidRPr="00A753EF">
        <w:rPr>
          <w:rFonts w:ascii="Times New Roman" w:eastAsia="Times New Roman" w:hAnsi="Times New Roman" w:cs="Times New Roman"/>
          <w:sz w:val="24"/>
          <w:szCs w:val="24"/>
        </w:rPr>
        <w:t>ēnu ekonomikas mazināšanas un administrēšanas uzlabošanas pasākumi</w:t>
      </w:r>
      <w:r w:rsidRPr="00A753EF">
        <w:rPr>
          <w:rFonts w:ascii="Times New Roman" w:eastAsia="Times New Roman" w:hAnsi="Times New Roman" w:cs="Times New Roman"/>
          <w:color w:val="000000"/>
          <w:sz w:val="24"/>
          <w:szCs w:val="24"/>
          <w:lang w:eastAsia="lv-LV"/>
        </w:rPr>
        <w:t>.</w:t>
      </w:r>
    </w:p>
    <w:p w14:paraId="64D7C87B" w14:textId="77777777" w:rsidR="00A753EF" w:rsidRPr="00A753EF" w:rsidRDefault="00A753EF" w:rsidP="00A753EF">
      <w:pPr>
        <w:spacing w:after="0" w:line="240" w:lineRule="auto"/>
        <w:ind w:left="774"/>
        <w:jc w:val="both"/>
        <w:rPr>
          <w:rFonts w:ascii="Times New Roman" w:eastAsia="Times New Roman" w:hAnsi="Times New Roman" w:cs="Times New Roman"/>
          <w:color w:val="000000"/>
          <w:sz w:val="24"/>
          <w:szCs w:val="24"/>
          <w:lang w:eastAsia="lv-LV"/>
        </w:rPr>
      </w:pPr>
    </w:p>
    <w:p w14:paraId="45330042"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0"/>
        </w:rPr>
      </w:pPr>
      <w:r w:rsidRPr="00A753EF">
        <w:rPr>
          <w:rFonts w:ascii="Times New Roman" w:eastAsia="Times New Roman" w:hAnsi="Times New Roman" w:cs="Times New Roman"/>
          <w:color w:val="000000"/>
          <w:sz w:val="24"/>
          <w:szCs w:val="24"/>
          <w:lang w:eastAsia="lv-LV"/>
        </w:rPr>
        <w:t xml:space="preserve">Tāpat </w:t>
      </w:r>
      <w:r w:rsidRPr="00A753EF">
        <w:rPr>
          <w:rFonts w:ascii="Times New Roman" w:eastAsia="Times New Roman" w:hAnsi="Times New Roman" w:cs="Times New Roman"/>
          <w:sz w:val="24"/>
          <w:szCs w:val="20"/>
        </w:rPr>
        <w:t xml:space="preserve">IIN ieņēmumus ietekmēs arī iepriekš apstiprinātās likumdošanas izmaiņas saistībā ar pensionāru neapliekamā minimuma palielināšanu 2021.gadā līdz 330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mēnesī.</w:t>
      </w:r>
    </w:p>
    <w:p w14:paraId="509DBB31" w14:textId="77777777" w:rsidR="00A753EF" w:rsidRPr="00A753EF" w:rsidRDefault="00A753EF" w:rsidP="00A753EF">
      <w:pPr>
        <w:spacing w:after="0" w:line="240" w:lineRule="auto"/>
        <w:ind w:firstLine="709"/>
        <w:jc w:val="both"/>
        <w:rPr>
          <w:rFonts w:ascii="Times New Roman" w:eastAsia="Times New Roman" w:hAnsi="Times New Roman" w:cs="Times New Roman"/>
          <w:sz w:val="24"/>
          <w:szCs w:val="20"/>
        </w:rPr>
      </w:pPr>
    </w:p>
    <w:p w14:paraId="2058A07E" w14:textId="77777777" w:rsidR="00422981" w:rsidRDefault="00422981" w:rsidP="0053772A">
      <w:pPr>
        <w:spacing w:after="0" w:line="240" w:lineRule="auto"/>
        <w:ind w:left="851"/>
        <w:contextualSpacing/>
        <w:jc w:val="right"/>
        <w:rPr>
          <w:rFonts w:ascii="Times New Roman" w:eastAsia="Times New Roman" w:hAnsi="Times New Roman" w:cs="Times New Roman"/>
          <w:b/>
          <w:sz w:val="24"/>
          <w:szCs w:val="20"/>
        </w:rPr>
      </w:pPr>
    </w:p>
    <w:p w14:paraId="4E233120" w14:textId="2E7D84B3" w:rsidR="00A753EF" w:rsidRPr="00A753EF" w:rsidRDefault="00A753EF" w:rsidP="0053772A">
      <w:pPr>
        <w:spacing w:after="0" w:line="240" w:lineRule="auto"/>
        <w:ind w:left="851"/>
        <w:contextualSpacing/>
        <w:jc w:val="right"/>
        <w:rPr>
          <w:rFonts w:ascii="Times New Roman" w:eastAsia="Times New Roman" w:hAnsi="Times New Roman" w:cs="Times New Roman"/>
          <w:b/>
          <w:i/>
          <w:sz w:val="24"/>
          <w:szCs w:val="24"/>
        </w:rPr>
      </w:pPr>
      <w:r w:rsidRPr="00D00031">
        <w:rPr>
          <w:rFonts w:ascii="Times New Roman" w:eastAsia="Times New Roman" w:hAnsi="Times New Roman" w:cs="Times New Roman"/>
          <w:b/>
          <w:sz w:val="24"/>
          <w:szCs w:val="20"/>
        </w:rPr>
        <w:t>4.9.tabula</w:t>
      </w:r>
      <w:r w:rsidRPr="00A753EF">
        <w:rPr>
          <w:rFonts w:ascii="Times New Roman" w:eastAsia="Times New Roman" w:hAnsi="Times New Roman" w:cs="Times New Roman"/>
          <w:b/>
          <w:sz w:val="24"/>
          <w:szCs w:val="20"/>
        </w:rPr>
        <w:t>. Nodokļu politikas izmaiņu ietekme uz IIN ieņēmumiem, milj. </w:t>
      </w:r>
      <w:r w:rsidRPr="00A753EF">
        <w:rPr>
          <w:rFonts w:ascii="Times New Roman" w:eastAsia="Times New Roman" w:hAnsi="Times New Roman" w:cs="Times New Roman"/>
          <w:b/>
          <w:i/>
          <w:sz w:val="24"/>
          <w:szCs w:val="24"/>
        </w:rPr>
        <w:t>euro</w:t>
      </w:r>
    </w:p>
    <w:tbl>
      <w:tblPr>
        <w:tblStyle w:val="GridTable6Colorful-Accent1"/>
        <w:tblW w:w="8864" w:type="dxa"/>
        <w:jc w:val="center"/>
        <w:tblLayout w:type="fixed"/>
        <w:tblLook w:val="04A0" w:firstRow="1" w:lastRow="0" w:firstColumn="1" w:lastColumn="0" w:noHBand="0" w:noVBand="1"/>
      </w:tblPr>
      <w:tblGrid>
        <w:gridCol w:w="6878"/>
        <w:gridCol w:w="993"/>
        <w:gridCol w:w="993"/>
      </w:tblGrid>
      <w:tr w:rsidR="00A753EF" w:rsidRPr="00A753EF" w14:paraId="05DD05C5" w14:textId="77777777" w:rsidTr="005377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372068CD"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993" w:type="dxa"/>
          </w:tcPr>
          <w:p w14:paraId="71614195"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993" w:type="dxa"/>
          </w:tcPr>
          <w:p w14:paraId="3B1DEB6A"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r>
      <w:tr w:rsidR="00A753EF" w:rsidRPr="00A753EF" w14:paraId="5A862716" w14:textId="77777777" w:rsidTr="005377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0B331C41"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Diferencētā NM paaugstināšana</w:t>
            </w:r>
          </w:p>
        </w:tc>
        <w:tc>
          <w:tcPr>
            <w:tcW w:w="993" w:type="dxa"/>
            <w:vAlign w:val="center"/>
          </w:tcPr>
          <w:p w14:paraId="42CF9A3E"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-55,2</w:t>
            </w:r>
          </w:p>
        </w:tc>
        <w:tc>
          <w:tcPr>
            <w:tcW w:w="993" w:type="dxa"/>
            <w:vAlign w:val="center"/>
          </w:tcPr>
          <w:p w14:paraId="315D11F1"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0D9A89A0" w14:textId="77777777" w:rsidTr="0053772A">
        <w:trPr>
          <w:jc w:val="center"/>
        </w:trPr>
        <w:tc>
          <w:tcPr>
            <w:cnfStyle w:val="001000000000" w:firstRow="0" w:lastRow="0" w:firstColumn="1" w:lastColumn="0" w:oddVBand="0" w:evenVBand="0" w:oddHBand="0" w:evenHBand="0" w:firstRowFirstColumn="0" w:firstRowLastColumn="0" w:lastRowFirstColumn="0" w:lastRowLastColumn="0"/>
            <w:tcW w:w="6878" w:type="dxa"/>
          </w:tcPr>
          <w:p w14:paraId="67965D58"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Atvieglojuma par apgādībā esošu personu paaugstināšana</w:t>
            </w:r>
          </w:p>
        </w:tc>
        <w:tc>
          <w:tcPr>
            <w:tcW w:w="993" w:type="dxa"/>
            <w:vAlign w:val="center"/>
          </w:tcPr>
          <w:p w14:paraId="0E87D775"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-12,5</w:t>
            </w:r>
          </w:p>
        </w:tc>
        <w:tc>
          <w:tcPr>
            <w:tcW w:w="993" w:type="dxa"/>
            <w:vAlign w:val="center"/>
          </w:tcPr>
          <w:p w14:paraId="0C6158DB"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3AF337E8" w14:textId="77777777" w:rsidTr="005377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7C9E7E36"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Neapliekamā minimuma pensionāriem paaugstināšana</w:t>
            </w:r>
          </w:p>
        </w:tc>
        <w:tc>
          <w:tcPr>
            <w:tcW w:w="993" w:type="dxa"/>
            <w:vAlign w:val="center"/>
          </w:tcPr>
          <w:p w14:paraId="675CDB92"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-11,5</w:t>
            </w:r>
          </w:p>
        </w:tc>
        <w:tc>
          <w:tcPr>
            <w:tcW w:w="993" w:type="dxa"/>
            <w:vAlign w:val="center"/>
          </w:tcPr>
          <w:p w14:paraId="706056EA"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-11,8</w:t>
            </w:r>
          </w:p>
        </w:tc>
      </w:tr>
      <w:tr w:rsidR="00A753EF" w:rsidRPr="00A753EF" w14:paraId="2A31101A" w14:textId="77777777" w:rsidTr="0053772A">
        <w:trPr>
          <w:jc w:val="center"/>
        </w:trPr>
        <w:tc>
          <w:tcPr>
            <w:cnfStyle w:val="001000000000" w:firstRow="0" w:lastRow="0" w:firstColumn="1" w:lastColumn="0" w:oddVBand="0" w:evenVBand="0" w:oddHBand="0" w:evenHBand="0" w:firstRowFirstColumn="0" w:firstRowLastColumn="0" w:lastRowFirstColumn="0" w:lastRowLastColumn="0"/>
            <w:tcW w:w="6878" w:type="dxa"/>
          </w:tcPr>
          <w:p w14:paraId="1FB4A483"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Pārejas periods dividenžu izmaksai no iepriekšējo gadu nesadalītās peļņas 10% apmērā</w:t>
            </w:r>
          </w:p>
        </w:tc>
        <w:tc>
          <w:tcPr>
            <w:tcW w:w="993" w:type="dxa"/>
            <w:vAlign w:val="center"/>
          </w:tcPr>
          <w:p w14:paraId="7017F846"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-74,4</w:t>
            </w:r>
          </w:p>
        </w:tc>
        <w:tc>
          <w:tcPr>
            <w:tcW w:w="993" w:type="dxa"/>
            <w:vAlign w:val="center"/>
          </w:tcPr>
          <w:p w14:paraId="629C8898"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4D70D1A1" w14:textId="77777777" w:rsidTr="005377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374389F7"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Ēnu apkarošanas pasākumi</w:t>
            </w:r>
          </w:p>
        </w:tc>
        <w:tc>
          <w:tcPr>
            <w:tcW w:w="993" w:type="dxa"/>
            <w:vAlign w:val="center"/>
          </w:tcPr>
          <w:p w14:paraId="35109E60"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+0,6</w:t>
            </w:r>
          </w:p>
        </w:tc>
        <w:tc>
          <w:tcPr>
            <w:tcW w:w="993" w:type="dxa"/>
            <w:vAlign w:val="center"/>
          </w:tcPr>
          <w:p w14:paraId="599893F4"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3FDC5FCD" w14:textId="77777777" w:rsidTr="0053772A">
        <w:trPr>
          <w:jc w:val="center"/>
        </w:trPr>
        <w:tc>
          <w:tcPr>
            <w:cnfStyle w:val="001000000000" w:firstRow="0" w:lastRow="0" w:firstColumn="1" w:lastColumn="0" w:oddVBand="0" w:evenVBand="0" w:oddHBand="0" w:evenHBand="0" w:firstRowFirstColumn="0" w:firstRowLastColumn="0" w:lastRowFirstColumn="0" w:lastRowLastColumn="0"/>
            <w:tcW w:w="6878" w:type="dxa"/>
          </w:tcPr>
          <w:p w14:paraId="7C26ED18"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Iespēja laikā līdz 2 gadiem nomaksāt parādu, rezultātā dzēšot nokavējuma naudu un soda naudu</w:t>
            </w:r>
          </w:p>
        </w:tc>
        <w:tc>
          <w:tcPr>
            <w:tcW w:w="993" w:type="dxa"/>
            <w:vAlign w:val="center"/>
          </w:tcPr>
          <w:p w14:paraId="7C62A93A"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-4,3</w:t>
            </w:r>
          </w:p>
        </w:tc>
        <w:tc>
          <w:tcPr>
            <w:tcW w:w="993" w:type="dxa"/>
            <w:vAlign w:val="center"/>
          </w:tcPr>
          <w:p w14:paraId="70030B7B"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0E8E80DB" w14:textId="77777777" w:rsidTr="005377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04540787"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Risinājums čeku loterijas organizēšanai</w:t>
            </w:r>
          </w:p>
        </w:tc>
        <w:tc>
          <w:tcPr>
            <w:tcW w:w="993" w:type="dxa"/>
            <w:vAlign w:val="center"/>
          </w:tcPr>
          <w:p w14:paraId="26B18788"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+0,1</w:t>
            </w:r>
          </w:p>
        </w:tc>
        <w:tc>
          <w:tcPr>
            <w:tcW w:w="993" w:type="dxa"/>
            <w:vAlign w:val="center"/>
          </w:tcPr>
          <w:p w14:paraId="03A93CCF"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2C25531E" w14:textId="77777777" w:rsidTr="0053772A">
        <w:trPr>
          <w:jc w:val="center"/>
        </w:trPr>
        <w:tc>
          <w:tcPr>
            <w:cnfStyle w:val="001000000000" w:firstRow="0" w:lastRow="0" w:firstColumn="1" w:lastColumn="0" w:oddVBand="0" w:evenVBand="0" w:oddHBand="0" w:evenHBand="0" w:firstRowFirstColumn="0" w:firstRowLastColumn="0" w:lastRowFirstColumn="0" w:lastRowLastColumn="0"/>
            <w:tcW w:w="6878" w:type="dxa"/>
          </w:tcPr>
          <w:p w14:paraId="0BF2191E"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Ar 2021.gadu minimālās mēneša darba algas paaugstināšana līdz 500 euro/mēnesī</w:t>
            </w:r>
          </w:p>
        </w:tc>
        <w:tc>
          <w:tcPr>
            <w:tcW w:w="993" w:type="dxa"/>
            <w:vAlign w:val="center"/>
          </w:tcPr>
          <w:p w14:paraId="61BA5948"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p>
        </w:tc>
        <w:tc>
          <w:tcPr>
            <w:tcW w:w="993" w:type="dxa"/>
            <w:vAlign w:val="center"/>
          </w:tcPr>
          <w:p w14:paraId="450000A3"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+11,9</w:t>
            </w:r>
          </w:p>
        </w:tc>
      </w:tr>
      <w:tr w:rsidR="00A753EF" w:rsidRPr="00A753EF" w14:paraId="0E41658A" w14:textId="77777777" w:rsidTr="005377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8" w:type="dxa"/>
          </w:tcPr>
          <w:p w14:paraId="2EF280F0"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993" w:type="dxa"/>
            <w:vAlign w:val="center"/>
          </w:tcPr>
          <w:p w14:paraId="28494544"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-157,3</w:t>
            </w:r>
          </w:p>
        </w:tc>
        <w:tc>
          <w:tcPr>
            <w:tcW w:w="993" w:type="dxa"/>
            <w:vAlign w:val="center"/>
          </w:tcPr>
          <w:p w14:paraId="1DF2FF85"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+0,1</w:t>
            </w:r>
          </w:p>
        </w:tc>
      </w:tr>
    </w:tbl>
    <w:p w14:paraId="7DE118E6" w14:textId="77777777" w:rsidR="00A753EF" w:rsidRPr="00A753EF" w:rsidRDefault="00A753EF" w:rsidP="00A753EF">
      <w:pPr>
        <w:spacing w:before="120" w:after="0" w:line="240" w:lineRule="auto"/>
        <w:ind w:firstLine="567"/>
        <w:jc w:val="both"/>
        <w:rPr>
          <w:rFonts w:ascii="Times New Roman" w:eastAsia="Times New Roman" w:hAnsi="Times New Roman" w:cs="Times New Roman"/>
          <w:sz w:val="24"/>
          <w:szCs w:val="20"/>
        </w:rPr>
      </w:pPr>
      <w:r w:rsidRPr="00A753EF">
        <w:rPr>
          <w:rFonts w:ascii="Times New Roman" w:eastAsia="Times New Roman" w:hAnsi="Times New Roman" w:cs="Times New Roman"/>
          <w:iCs/>
          <w:sz w:val="24"/>
          <w:szCs w:val="20"/>
        </w:rPr>
        <w:t>Vidēja termiņa bāzes scenārijā makroekonomiskās attīstības prognozes 2020.gadā un turpmāk paredz stabilu darba samaksas fonda palielināšanos, kas savukārt palielinās darba nodokļu ieņēmumus turpmāko gadu laikā, kā arī IIN ieņēmumus ietekmēs veiktās likumdošanas izmaiņas.</w:t>
      </w:r>
    </w:p>
    <w:p w14:paraId="3F85317B" w14:textId="77777777" w:rsidR="00A753EF" w:rsidRPr="00A753EF" w:rsidRDefault="00A753EF" w:rsidP="00A753EF">
      <w:pPr>
        <w:spacing w:before="360" w:after="6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Sociālās apdrošināšanas iemaksas</w:t>
      </w:r>
      <w:r w:rsidRPr="00A753EF">
        <w:rPr>
          <w:rFonts w:ascii="Times New Roman" w:eastAsia="Times New Roman" w:hAnsi="Times New Roman" w:cs="Times New Roman"/>
          <w:b/>
          <w:sz w:val="24"/>
          <w:szCs w:val="24"/>
          <w:vertAlign w:val="superscript"/>
        </w:rPr>
        <w:footnoteReference w:id="29"/>
      </w:r>
    </w:p>
    <w:p w14:paraId="73C81452" w14:textId="77777777" w:rsidR="00A753EF" w:rsidRPr="00A753EF" w:rsidRDefault="00A753EF" w:rsidP="00A753EF">
      <w:pPr>
        <w:spacing w:after="0" w:line="240" w:lineRule="auto"/>
        <w:ind w:firstLine="709"/>
        <w:jc w:val="both"/>
        <w:rPr>
          <w:rFonts w:ascii="Times New Roman" w:eastAsia="Times New Roman" w:hAnsi="Times New Roman" w:cs="Times New Roman"/>
          <w:iCs/>
          <w:sz w:val="24"/>
          <w:szCs w:val="20"/>
          <w:lang w:val="x-none" w:eastAsia="x-none"/>
        </w:rPr>
      </w:pPr>
      <w:r w:rsidRPr="00A753EF">
        <w:rPr>
          <w:rFonts w:ascii="Times New Roman" w:eastAsia="Times New Roman" w:hAnsi="Times New Roman" w:cs="Times New Roman"/>
          <w:iCs/>
          <w:sz w:val="24"/>
          <w:szCs w:val="20"/>
          <w:lang w:val="x-none" w:eastAsia="x-none"/>
        </w:rPr>
        <w:t>Vidēja termiņa sociālās apdrošināšanas iemaksu ieņēmumu dinamiku noteiks ne tikai prognozētais darba samaksas fonda pieaugums, bet arī veiktās izmaiņas likumdošanā un</w:t>
      </w:r>
      <w:r w:rsidRPr="00A753EF">
        <w:rPr>
          <w:rFonts w:ascii="Times New Roman" w:eastAsia="Times New Roman" w:hAnsi="Times New Roman" w:cs="Times New Roman"/>
          <w:iCs/>
          <w:sz w:val="24"/>
          <w:szCs w:val="20"/>
          <w:lang w:eastAsia="x-none"/>
        </w:rPr>
        <w:t xml:space="preserve"> </w:t>
      </w:r>
      <w:r w:rsidRPr="00A753EF">
        <w:rPr>
          <w:rFonts w:ascii="Times New Roman" w:eastAsia="Times New Roman" w:hAnsi="Times New Roman" w:cs="Times New Roman"/>
          <w:iCs/>
          <w:sz w:val="24"/>
          <w:szCs w:val="20"/>
          <w:lang w:val="x-none" w:eastAsia="x-none"/>
        </w:rPr>
        <w:t>izmaiņas valsts fondēto pensiju shēmā.</w:t>
      </w:r>
      <w:r w:rsidRPr="00A753EF">
        <w:rPr>
          <w:rFonts w:ascii="Times New Roman" w:eastAsia="Times New Roman" w:hAnsi="Times New Roman" w:cs="Times New Roman"/>
          <w:iCs/>
          <w:sz w:val="24"/>
          <w:szCs w:val="20"/>
          <w:vertAlign w:val="superscript"/>
          <w:lang w:val="x-none" w:eastAsia="x-none"/>
        </w:rPr>
        <w:footnoteReference w:id="30"/>
      </w:r>
      <w:r w:rsidRPr="00A753EF">
        <w:rPr>
          <w:rFonts w:ascii="Times New Roman" w:eastAsia="Times New Roman" w:hAnsi="Times New Roman" w:cs="Times New Roman"/>
          <w:iCs/>
          <w:sz w:val="24"/>
          <w:szCs w:val="20"/>
          <w:vertAlign w:val="superscript"/>
          <w:lang w:val="x-none" w:eastAsia="x-none"/>
        </w:rPr>
        <w:t xml:space="preserve"> </w:t>
      </w:r>
    </w:p>
    <w:p w14:paraId="5DC0896B" w14:textId="04B153ED" w:rsidR="00A753EF" w:rsidRPr="00A753EF" w:rsidRDefault="00A753EF" w:rsidP="0053772A">
      <w:pPr>
        <w:spacing w:after="0" w:line="240" w:lineRule="auto"/>
        <w:ind w:firstLine="709"/>
        <w:jc w:val="both"/>
        <w:rPr>
          <w:rFonts w:ascii="Times New Roman" w:eastAsia="Calibri" w:hAnsi="Times New Roman" w:cs="Times New Roman"/>
          <w:sz w:val="24"/>
          <w:szCs w:val="24"/>
        </w:rPr>
      </w:pPr>
      <w:r w:rsidRPr="00A753EF">
        <w:rPr>
          <w:rFonts w:ascii="Times New Roman" w:eastAsia="Calibri" w:hAnsi="Times New Roman" w:cs="Times New Roman"/>
          <w:sz w:val="24"/>
        </w:rPr>
        <w:t>Nod</w:t>
      </w:r>
      <w:r w:rsidR="0053772A">
        <w:rPr>
          <w:rFonts w:ascii="Times New Roman" w:eastAsia="Calibri" w:hAnsi="Times New Roman" w:cs="Times New Roman"/>
          <w:sz w:val="24"/>
        </w:rPr>
        <w:t>okļu reformas ietvaros ar 2018.gadu tika transformēts ar 2016.</w:t>
      </w:r>
      <w:r w:rsidRPr="00A753EF">
        <w:rPr>
          <w:rFonts w:ascii="Times New Roman" w:eastAsia="Calibri" w:hAnsi="Times New Roman" w:cs="Times New Roman"/>
          <w:sz w:val="24"/>
        </w:rPr>
        <w:t xml:space="preserve">gadu ieviestais solidaritātes nodoklis, kura mērķis ir novērst </w:t>
      </w:r>
      <w:r w:rsidRPr="00A753EF">
        <w:rPr>
          <w:rFonts w:ascii="Times New Roman" w:eastAsia="Calibri" w:hAnsi="Times New Roman" w:cs="Times New Roman"/>
          <w:sz w:val="24"/>
          <w:szCs w:val="24"/>
          <w:lang w:eastAsia="lv-LV"/>
        </w:rPr>
        <w:t>regresīvo darbaspēka nodokļu sistēmu, kas bija radusies no valsts sociālās apdrošināšanas obligāto iemaksu objekta maksi</w:t>
      </w:r>
      <w:r w:rsidR="0053772A">
        <w:rPr>
          <w:rFonts w:ascii="Times New Roman" w:eastAsia="Calibri" w:hAnsi="Times New Roman" w:cs="Times New Roman"/>
          <w:sz w:val="24"/>
          <w:szCs w:val="24"/>
          <w:lang w:eastAsia="lv-LV"/>
        </w:rPr>
        <w:t>mālā apmēra atjaunošanas (2014.gada 1.</w:t>
      </w:r>
      <w:r w:rsidRPr="00A753EF">
        <w:rPr>
          <w:rFonts w:ascii="Times New Roman" w:eastAsia="Calibri" w:hAnsi="Times New Roman" w:cs="Times New Roman"/>
          <w:sz w:val="24"/>
          <w:szCs w:val="24"/>
          <w:lang w:eastAsia="lv-LV"/>
        </w:rPr>
        <w:t>janvārī tika atjaunots valsts sociālās apdrošināšanas obligāto iemaksu objekta maksimālais apmērs un nodokļu maksātājiem, kuru ienākumi bija virs noteiktā iemaksu objekta maksimālā apmēra,</w:t>
      </w:r>
      <w:r w:rsidRPr="00A753EF">
        <w:rPr>
          <w:rFonts w:ascii="Times New Roman" w:eastAsia="Calibri" w:hAnsi="Times New Roman" w:cs="Times New Roman"/>
          <w:sz w:val="24"/>
          <w:szCs w:val="24"/>
          <w:shd w:val="clear" w:color="auto" w:fill="FFFFFF"/>
          <w:lang w:eastAsia="lv-LV"/>
        </w:rPr>
        <w:t xml:space="preserve"> nodokļu slogs kļuva mazāks, salīdzinot ar tām personām, kas nodokļu </w:t>
      </w:r>
      <w:r w:rsidRPr="00A753EF">
        <w:rPr>
          <w:rFonts w:ascii="Times New Roman" w:eastAsia="Calibri" w:hAnsi="Times New Roman" w:cs="Times New Roman"/>
          <w:sz w:val="24"/>
          <w:szCs w:val="24"/>
        </w:rPr>
        <w:t>maksājumus veic no visiem darba ienākumiem).</w:t>
      </w:r>
      <w:r w:rsidR="0053772A">
        <w:rPr>
          <w:rFonts w:ascii="Times New Roman" w:eastAsia="Calibri" w:hAnsi="Times New Roman" w:cs="Times New Roman"/>
          <w:sz w:val="24"/>
        </w:rPr>
        <w:t xml:space="preserve"> 2016. un 2017.</w:t>
      </w:r>
      <w:r w:rsidRPr="00A753EF">
        <w:rPr>
          <w:rFonts w:ascii="Times New Roman" w:eastAsia="Calibri" w:hAnsi="Times New Roman" w:cs="Times New Roman"/>
          <w:sz w:val="24"/>
        </w:rPr>
        <w:t>gadā solidaritātes nodoklis pilnā apmērā tika ieskaitīts val</w:t>
      </w:r>
      <w:r w:rsidR="0053772A">
        <w:rPr>
          <w:rFonts w:ascii="Times New Roman" w:eastAsia="Calibri" w:hAnsi="Times New Roman" w:cs="Times New Roman"/>
          <w:sz w:val="24"/>
        </w:rPr>
        <w:t>sts pamatbudžetā, taču ar 2018.gada 1.</w:t>
      </w:r>
      <w:r w:rsidRPr="00A753EF">
        <w:rPr>
          <w:rFonts w:ascii="Times New Roman" w:eastAsia="Calibri" w:hAnsi="Times New Roman" w:cs="Times New Roman"/>
          <w:sz w:val="24"/>
        </w:rPr>
        <w:t>janvāri nodoklis ar 35,09% likmi ienākumiem, kas pārsniedz 55 000 </w:t>
      </w:r>
      <w:r w:rsidRPr="00A753EF">
        <w:rPr>
          <w:rFonts w:ascii="Times New Roman" w:eastAsia="Calibri" w:hAnsi="Times New Roman" w:cs="Times New Roman"/>
          <w:i/>
          <w:sz w:val="24"/>
        </w:rPr>
        <w:t>euro</w:t>
      </w:r>
      <w:r w:rsidRPr="00A753EF">
        <w:rPr>
          <w:rFonts w:ascii="Times New Roman" w:eastAsia="Calibri" w:hAnsi="Times New Roman" w:cs="Times New Roman"/>
          <w:sz w:val="24"/>
        </w:rPr>
        <w:t xml:space="preserve"> gadā, tika attiecīgi sadalīts vairākās komponentēs. </w:t>
      </w:r>
    </w:p>
    <w:p w14:paraId="3E64C2FC" w14:textId="2C7F7F94" w:rsidR="00A753EF" w:rsidRPr="00A753EF" w:rsidRDefault="0053772A" w:rsidP="0053772A">
      <w:pPr>
        <w:spacing w:after="0" w:line="240" w:lineRule="auto"/>
        <w:ind w:firstLine="709"/>
        <w:jc w:val="both"/>
        <w:rPr>
          <w:rFonts w:ascii="Times New Roman" w:eastAsia="Calibri" w:hAnsi="Times New Roman" w:cs="Times New Roman"/>
          <w:spacing w:val="-2"/>
          <w:sz w:val="24"/>
          <w:szCs w:val="28"/>
        </w:rPr>
      </w:pPr>
      <w:r>
        <w:rPr>
          <w:rFonts w:ascii="Times New Roman" w:eastAsia="Calibri" w:hAnsi="Times New Roman" w:cs="Times New Roman"/>
          <w:sz w:val="24"/>
          <w:szCs w:val="28"/>
          <w:lang w:eastAsia="lv-LV"/>
        </w:rPr>
        <w:t>Ar 2019.gada 3.</w:t>
      </w:r>
      <w:r w:rsidR="00A753EF" w:rsidRPr="00A753EF">
        <w:rPr>
          <w:rFonts w:ascii="Times New Roman" w:eastAsia="Calibri" w:hAnsi="Times New Roman" w:cs="Times New Roman"/>
          <w:sz w:val="24"/>
          <w:szCs w:val="28"/>
          <w:lang w:eastAsia="lv-LV"/>
        </w:rPr>
        <w:t>janvāri stājās spēkā solidaritātes nodokļa grozījumi, kas paredz, ka solidaritātes nodokļa likme ir 25,5%, ko piemēro ienākumiem</w:t>
      </w:r>
      <w:r w:rsidR="00A753EF" w:rsidRPr="00A753EF">
        <w:rPr>
          <w:rFonts w:ascii="Times New Roman" w:eastAsia="Calibri" w:hAnsi="Times New Roman" w:cs="Times New Roman"/>
          <w:sz w:val="24"/>
        </w:rPr>
        <w:t>, kas pārsniedz 62 800 </w:t>
      </w:r>
      <w:r w:rsidR="00A753EF" w:rsidRPr="00A753EF">
        <w:rPr>
          <w:rFonts w:ascii="Times New Roman" w:eastAsia="Calibri" w:hAnsi="Times New Roman" w:cs="Times New Roman"/>
          <w:i/>
          <w:sz w:val="24"/>
        </w:rPr>
        <w:t>euro</w:t>
      </w:r>
      <w:r w:rsidR="00A753EF" w:rsidRPr="00A753EF">
        <w:rPr>
          <w:rFonts w:ascii="Times New Roman" w:eastAsia="Calibri" w:hAnsi="Times New Roman" w:cs="Times New Roman"/>
          <w:sz w:val="24"/>
        </w:rPr>
        <w:t xml:space="preserve"> gadā</w:t>
      </w:r>
      <w:r w:rsidR="00A753EF" w:rsidRPr="00A753EF">
        <w:rPr>
          <w:rFonts w:ascii="Times New Roman" w:eastAsia="Calibri" w:hAnsi="Times New Roman" w:cs="Times New Roman"/>
          <w:sz w:val="24"/>
          <w:szCs w:val="28"/>
          <w:lang w:eastAsia="lv-LV"/>
        </w:rPr>
        <w:t xml:space="preserve">. Taksācijas periodā solidaritātes nodokļa objektam piemēro tādu pašu likmi, kādu piemēro valsts sociālās apdrošināšanas obligāto iemaksu objektam, un </w:t>
      </w:r>
      <w:r w:rsidR="0089342E">
        <w:rPr>
          <w:rFonts w:ascii="Times New Roman" w:eastAsia="Calibri" w:hAnsi="Times New Roman" w:cs="Times New Roman"/>
          <w:sz w:val="24"/>
          <w:szCs w:val="28"/>
          <w:lang w:eastAsia="lv-LV"/>
        </w:rPr>
        <w:t>VID</w:t>
      </w:r>
      <w:r>
        <w:rPr>
          <w:rFonts w:ascii="Times New Roman" w:eastAsia="Calibri" w:hAnsi="Times New Roman" w:cs="Times New Roman"/>
          <w:sz w:val="24"/>
          <w:szCs w:val="28"/>
          <w:lang w:eastAsia="lv-LV"/>
        </w:rPr>
        <w:t xml:space="preserve"> līdz pēctaksācijas gada 1.</w:t>
      </w:r>
      <w:r w:rsidR="00A753EF" w:rsidRPr="00A753EF">
        <w:rPr>
          <w:rFonts w:ascii="Times New Roman" w:eastAsia="Calibri" w:hAnsi="Times New Roman" w:cs="Times New Roman"/>
          <w:sz w:val="24"/>
          <w:szCs w:val="28"/>
          <w:lang w:eastAsia="lv-LV"/>
        </w:rPr>
        <w:t>septembrim rezumējošā kārtībā veic pārmaksātā solidaritātes nodokļa atmaksu (starpību starp taksācijas periodā samaksāto solidaritātes nodokli, kas aprēķināts, piemērojot augstāku valsts sociālās apdrošināšanas obligāto iemaksu likmi, un rezumējošā kārtībā aprēķināto solidaritātes nodokli, kas aprēķināts, piemērojot solidaritātes nodokļa l</w:t>
      </w:r>
      <w:r>
        <w:rPr>
          <w:rFonts w:ascii="Times New Roman" w:eastAsia="Calibri" w:hAnsi="Times New Roman" w:cs="Times New Roman"/>
          <w:sz w:val="24"/>
          <w:szCs w:val="28"/>
          <w:lang w:eastAsia="lv-LV"/>
        </w:rPr>
        <w:t>ikmi (25,5%)). Ar 2019.gada 3.</w:t>
      </w:r>
      <w:r w:rsidR="00A753EF" w:rsidRPr="00A753EF">
        <w:rPr>
          <w:rFonts w:ascii="Times New Roman" w:eastAsia="Calibri" w:hAnsi="Times New Roman" w:cs="Times New Roman"/>
          <w:sz w:val="24"/>
          <w:szCs w:val="28"/>
          <w:lang w:eastAsia="lv-LV"/>
        </w:rPr>
        <w:t>janvāri ir noteikta arī jauna solidaritātes nodokļa sadalīšanas secība</w:t>
      </w:r>
      <w:r w:rsidR="00A753EF" w:rsidRPr="00A753EF">
        <w:rPr>
          <w:rFonts w:ascii="Times New Roman" w:eastAsia="Calibri" w:hAnsi="Times New Roman" w:cs="Times New Roman"/>
          <w:spacing w:val="-2"/>
          <w:sz w:val="24"/>
          <w:szCs w:val="28"/>
        </w:rPr>
        <w:t>, prioritāti piešķirot ar solidaritāti saistītām sadaļām:</w:t>
      </w:r>
    </w:p>
    <w:p w14:paraId="3A9913B7" w14:textId="58C7315E" w:rsidR="00A753EF" w:rsidRPr="00A753EF" w:rsidRDefault="00A753EF" w:rsidP="0053772A">
      <w:pPr>
        <w:numPr>
          <w:ilvl w:val="2"/>
          <w:numId w:val="20"/>
        </w:numPr>
        <w:spacing w:before="120" w:after="120" w:line="240" w:lineRule="auto"/>
        <w:ind w:left="1276" w:right="142" w:hanging="459"/>
        <w:contextualSpacing/>
        <w:jc w:val="both"/>
        <w:rPr>
          <w:rFonts w:ascii="Times New Roman" w:eastAsia="Calibri" w:hAnsi="Times New Roman" w:cs="Times New Roman"/>
          <w:spacing w:val="-2"/>
          <w:sz w:val="24"/>
          <w:szCs w:val="28"/>
        </w:rPr>
      </w:pPr>
      <w:r w:rsidRPr="00A753EF">
        <w:rPr>
          <w:rFonts w:ascii="Times New Roman" w:eastAsia="Calibri" w:hAnsi="Times New Roman" w:cs="Times New Roman"/>
          <w:spacing w:val="-2"/>
          <w:sz w:val="24"/>
          <w:szCs w:val="28"/>
        </w:rPr>
        <w:t xml:space="preserve">1 procentpunkta apmērā veselības aprūpes </w:t>
      </w:r>
      <w:r w:rsidR="008265B1">
        <w:rPr>
          <w:rFonts w:ascii="Times New Roman" w:eastAsia="Calibri" w:hAnsi="Times New Roman" w:cs="Times New Roman"/>
          <w:spacing w:val="-2"/>
          <w:sz w:val="24"/>
          <w:szCs w:val="28"/>
        </w:rPr>
        <w:t>pakalpojumu finansēšanai (2018.</w:t>
      </w:r>
      <w:r w:rsidRPr="00A753EF">
        <w:rPr>
          <w:rFonts w:ascii="Times New Roman" w:eastAsia="Calibri" w:hAnsi="Times New Roman" w:cs="Times New Roman"/>
          <w:spacing w:val="-2"/>
          <w:sz w:val="24"/>
          <w:szCs w:val="28"/>
        </w:rPr>
        <w:t>gadā 1 procentpunkts);</w:t>
      </w:r>
    </w:p>
    <w:p w14:paraId="1D9628FA" w14:textId="77777777" w:rsidR="00A753EF" w:rsidRPr="00A753EF" w:rsidRDefault="00A753EF" w:rsidP="0053772A">
      <w:pPr>
        <w:numPr>
          <w:ilvl w:val="2"/>
          <w:numId w:val="20"/>
        </w:numPr>
        <w:spacing w:before="120" w:after="120" w:line="240" w:lineRule="auto"/>
        <w:ind w:left="1276" w:right="142" w:hanging="459"/>
        <w:contextualSpacing/>
        <w:jc w:val="both"/>
        <w:rPr>
          <w:rFonts w:ascii="Times New Roman" w:eastAsia="Calibri" w:hAnsi="Times New Roman" w:cs="Times New Roman"/>
          <w:spacing w:val="-2"/>
          <w:sz w:val="24"/>
          <w:szCs w:val="28"/>
        </w:rPr>
      </w:pPr>
      <w:r w:rsidRPr="00A753EF">
        <w:rPr>
          <w:rFonts w:ascii="Times New Roman" w:eastAsia="Calibri" w:hAnsi="Times New Roman" w:cs="Times New Roman"/>
          <w:spacing w:val="-2"/>
          <w:sz w:val="24"/>
          <w:szCs w:val="28"/>
        </w:rPr>
        <w:t>14 procentpunktu apmērā valsts pensiju speciālajā budžetā</w:t>
      </w:r>
      <w:r w:rsidRPr="00A753EF">
        <w:rPr>
          <w:rFonts w:ascii="Times New Roman" w:eastAsia="Calibri" w:hAnsi="Times New Roman" w:cs="Times New Roman"/>
          <w:sz w:val="24"/>
        </w:rPr>
        <w:t xml:space="preserve"> </w:t>
      </w:r>
    </w:p>
    <w:p w14:paraId="24AEBBF7" w14:textId="69C391AE" w:rsidR="00A753EF" w:rsidRPr="00A753EF" w:rsidRDefault="008265B1" w:rsidP="0053772A">
      <w:pPr>
        <w:spacing w:before="120" w:after="0" w:line="240" w:lineRule="auto"/>
        <w:ind w:left="1276" w:right="142"/>
        <w:contextualSpacing/>
        <w:rPr>
          <w:rFonts w:ascii="Times New Roman" w:eastAsia="Calibri" w:hAnsi="Times New Roman" w:cs="Times New Roman"/>
          <w:spacing w:val="-2"/>
          <w:sz w:val="24"/>
          <w:szCs w:val="28"/>
        </w:rPr>
      </w:pPr>
      <w:r>
        <w:rPr>
          <w:rFonts w:ascii="Times New Roman" w:eastAsia="Calibri" w:hAnsi="Times New Roman" w:cs="Times New Roman"/>
          <w:spacing w:val="-2"/>
          <w:sz w:val="24"/>
          <w:szCs w:val="28"/>
        </w:rPr>
        <w:t>(2018.</w:t>
      </w:r>
      <w:r w:rsidR="00A753EF" w:rsidRPr="00A753EF">
        <w:rPr>
          <w:rFonts w:ascii="Times New Roman" w:eastAsia="Calibri" w:hAnsi="Times New Roman" w:cs="Times New Roman"/>
          <w:spacing w:val="-2"/>
          <w:sz w:val="24"/>
          <w:szCs w:val="28"/>
        </w:rPr>
        <w:t>gadā  13,59 procentpunkti);</w:t>
      </w:r>
    </w:p>
    <w:p w14:paraId="5E6DAE99" w14:textId="6B83862A" w:rsidR="00A753EF" w:rsidRPr="00A753EF" w:rsidRDefault="00A753EF" w:rsidP="0053772A">
      <w:pPr>
        <w:numPr>
          <w:ilvl w:val="2"/>
          <w:numId w:val="20"/>
        </w:numPr>
        <w:spacing w:before="240" w:after="120" w:line="240" w:lineRule="auto"/>
        <w:ind w:left="1276" w:right="142" w:hanging="459"/>
        <w:contextualSpacing/>
        <w:jc w:val="both"/>
        <w:rPr>
          <w:rFonts w:ascii="Times New Roman" w:eastAsia="Calibri" w:hAnsi="Times New Roman" w:cs="Times New Roman"/>
          <w:spacing w:val="-2"/>
          <w:sz w:val="24"/>
          <w:szCs w:val="28"/>
        </w:rPr>
      </w:pPr>
      <w:r w:rsidRPr="00A753EF">
        <w:rPr>
          <w:rFonts w:ascii="Times New Roman" w:eastAsia="Calibri" w:hAnsi="Times New Roman" w:cs="Times New Roman"/>
          <w:spacing w:val="-2"/>
          <w:sz w:val="24"/>
          <w:szCs w:val="28"/>
        </w:rPr>
        <w:t>10,5 procentpunktu apmērā iedzīvotāj</w:t>
      </w:r>
      <w:r w:rsidR="008265B1">
        <w:rPr>
          <w:rFonts w:ascii="Times New Roman" w:eastAsia="Calibri" w:hAnsi="Times New Roman" w:cs="Times New Roman"/>
          <w:spacing w:val="-2"/>
          <w:sz w:val="24"/>
          <w:szCs w:val="28"/>
        </w:rPr>
        <w:t>u ienākuma nodokļa kontā (2018.</w:t>
      </w:r>
      <w:r w:rsidRPr="00A753EF">
        <w:rPr>
          <w:rFonts w:ascii="Times New Roman" w:eastAsia="Calibri" w:hAnsi="Times New Roman" w:cs="Times New Roman"/>
          <w:spacing w:val="-2"/>
          <w:sz w:val="24"/>
          <w:szCs w:val="28"/>
        </w:rPr>
        <w:t>gadā 10,5</w:t>
      </w:r>
      <w:r w:rsidR="00BF0E1A" w:rsidRPr="00A753EF">
        <w:rPr>
          <w:rFonts w:ascii="Times New Roman" w:eastAsia="Calibri" w:hAnsi="Times New Roman" w:cs="Times New Roman"/>
          <w:spacing w:val="-2"/>
          <w:sz w:val="24"/>
          <w:szCs w:val="28"/>
        </w:rPr>
        <w:t xml:space="preserve">  </w:t>
      </w:r>
      <w:r w:rsidRPr="00A753EF">
        <w:rPr>
          <w:rFonts w:ascii="Times New Roman" w:eastAsia="Calibri" w:hAnsi="Times New Roman" w:cs="Times New Roman"/>
          <w:spacing w:val="-2"/>
          <w:sz w:val="24"/>
          <w:szCs w:val="28"/>
        </w:rPr>
        <w:t>procentpunkti).</w:t>
      </w:r>
      <w:r w:rsidRPr="00A753EF" w:rsidDel="00765998">
        <w:rPr>
          <w:rFonts w:ascii="Times New Roman" w:eastAsia="Calibri" w:hAnsi="Times New Roman" w:cs="Times New Roman"/>
          <w:spacing w:val="-2"/>
          <w:sz w:val="24"/>
          <w:szCs w:val="28"/>
        </w:rPr>
        <w:t xml:space="preserve"> </w:t>
      </w:r>
    </w:p>
    <w:p w14:paraId="30D00271" w14:textId="0250066F" w:rsidR="00A753EF" w:rsidRPr="00A753EF" w:rsidRDefault="00A753EF" w:rsidP="0053772A">
      <w:pPr>
        <w:spacing w:before="120" w:after="0" w:line="240" w:lineRule="auto"/>
        <w:ind w:right="142" w:firstLine="709"/>
        <w:contextualSpacing/>
        <w:jc w:val="both"/>
        <w:rPr>
          <w:rFonts w:ascii="Times New Roman" w:eastAsia="Times New Roman" w:hAnsi="Times New Roman" w:cs="Times New Roman"/>
          <w:spacing w:val="-2"/>
          <w:sz w:val="24"/>
          <w:szCs w:val="24"/>
        </w:rPr>
      </w:pPr>
      <w:r w:rsidRPr="00A753EF">
        <w:rPr>
          <w:rFonts w:ascii="Times New Roman" w:eastAsia="Times New Roman" w:hAnsi="Times New Roman" w:cs="Times New Roman"/>
          <w:spacing w:val="-2"/>
          <w:sz w:val="24"/>
          <w:szCs w:val="24"/>
        </w:rPr>
        <w:t>Solidaritātes nodokļa ieņēmumi vairs</w:t>
      </w:r>
      <w:r w:rsidR="0053772A">
        <w:rPr>
          <w:rFonts w:ascii="Times New Roman" w:eastAsia="Times New Roman" w:hAnsi="Times New Roman" w:cs="Times New Roman"/>
          <w:spacing w:val="-2"/>
          <w:sz w:val="24"/>
          <w:szCs w:val="24"/>
        </w:rPr>
        <w:t xml:space="preserve"> netiek pārskaitīti uz 2. un 3.</w:t>
      </w:r>
      <w:r w:rsidRPr="00A753EF">
        <w:rPr>
          <w:rFonts w:ascii="Times New Roman" w:eastAsia="Times New Roman" w:hAnsi="Times New Roman" w:cs="Times New Roman"/>
          <w:spacing w:val="-2"/>
          <w:sz w:val="24"/>
          <w:szCs w:val="24"/>
        </w:rPr>
        <w:t>pensiju līmeni, kā tas bija 2018.gadā.</w:t>
      </w:r>
    </w:p>
    <w:p w14:paraId="36FA813E" w14:textId="175DCA7B" w:rsidR="00A753EF" w:rsidRPr="00A753EF" w:rsidRDefault="0053772A" w:rsidP="00A753EF">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8"/>
          <w:lang w:eastAsia="lv-LV"/>
        </w:rPr>
        <w:t>Saskaņā ar 2018.gada 11.</w:t>
      </w:r>
      <w:r w:rsidR="00A753EF" w:rsidRPr="00A753EF">
        <w:rPr>
          <w:rFonts w:ascii="Times New Roman" w:eastAsia="Calibri" w:hAnsi="Times New Roman" w:cs="Times New Roman"/>
          <w:sz w:val="24"/>
          <w:szCs w:val="28"/>
          <w:lang w:eastAsia="lv-LV"/>
        </w:rPr>
        <w:t>oktobra grozījumiem “Valsts f</w:t>
      </w:r>
      <w:r>
        <w:rPr>
          <w:rFonts w:ascii="Times New Roman" w:eastAsia="Calibri" w:hAnsi="Times New Roman" w:cs="Times New Roman"/>
          <w:sz w:val="24"/>
          <w:szCs w:val="28"/>
          <w:lang w:eastAsia="lv-LV"/>
        </w:rPr>
        <w:t>ondēto pensiju likumā” ar 2020.gada 1.</w:t>
      </w:r>
      <w:r w:rsidR="00A753EF" w:rsidRPr="00A753EF">
        <w:rPr>
          <w:rFonts w:ascii="Times New Roman" w:eastAsia="Calibri" w:hAnsi="Times New Roman" w:cs="Times New Roman"/>
          <w:sz w:val="24"/>
          <w:szCs w:val="28"/>
          <w:lang w:eastAsia="lv-LV"/>
        </w:rPr>
        <w:t>janvāri iemaksas fondēto pensiju shēmā ir daļa no faktiski veiktajām iemaksām valsts pensiju apdrošināšanai, izņemot obligātās iemaksas no sociālās apdrošināšanas speciālajiem budžetiem un valsts pamatbudžeta. Valsts sociālā apdrošināšanas aģentūra par personām, kas ir noteiktas likumā  “Par v</w:t>
      </w:r>
      <w:r w:rsidR="008265B1">
        <w:rPr>
          <w:rFonts w:ascii="Times New Roman" w:eastAsia="Calibri" w:hAnsi="Times New Roman" w:cs="Times New Roman"/>
          <w:sz w:val="24"/>
          <w:szCs w:val="28"/>
          <w:lang w:eastAsia="lv-LV"/>
        </w:rPr>
        <w:t>alsts sociālo apdrošināšanu” 6.panta 4.</w:t>
      </w:r>
      <w:r w:rsidR="00A753EF" w:rsidRPr="00A753EF">
        <w:rPr>
          <w:rFonts w:ascii="Times New Roman" w:eastAsia="Calibri" w:hAnsi="Times New Roman" w:cs="Times New Roman"/>
          <w:sz w:val="24"/>
          <w:szCs w:val="28"/>
          <w:lang w:eastAsia="lv-LV"/>
        </w:rPr>
        <w:t>daļā (piemēram, tādas personas, kuras saņem bezdarbnieka pabalstu, maternitātes, paternitātes vai slimības pabalstu) un kuras ir pakļautas pensiju apdrošināšanai, visus 20 procentpunktus, kas tiek iemaksāti pensi</w:t>
      </w:r>
      <w:r w:rsidR="008265B1">
        <w:rPr>
          <w:rFonts w:ascii="Times New Roman" w:eastAsia="Calibri" w:hAnsi="Times New Roman" w:cs="Times New Roman"/>
          <w:sz w:val="24"/>
          <w:szCs w:val="28"/>
          <w:lang w:eastAsia="lv-LV"/>
        </w:rPr>
        <w:t>ju kapitālā, ieskaitīs tikai 1.</w:t>
      </w:r>
      <w:r w:rsidR="00A753EF" w:rsidRPr="00A753EF">
        <w:rPr>
          <w:rFonts w:ascii="Times New Roman" w:eastAsia="Calibri" w:hAnsi="Times New Roman" w:cs="Times New Roman"/>
          <w:sz w:val="24"/>
          <w:szCs w:val="28"/>
          <w:lang w:eastAsia="lv-LV"/>
        </w:rPr>
        <w:t xml:space="preserve">pensiju līmenī (personas personīgajā kontā), </w:t>
      </w:r>
      <w:r w:rsidR="00A753EF" w:rsidRPr="00A753EF">
        <w:rPr>
          <w:rFonts w:ascii="Times New Roman" w:eastAsia="Times New Roman" w:hAnsi="Times New Roman" w:cs="Times New Roman"/>
          <w:sz w:val="24"/>
          <w:szCs w:val="24"/>
          <w:lang w:eastAsia="lv-LV"/>
        </w:rPr>
        <w:t xml:space="preserve">līdz ar to pozitīvi ietekmējot </w:t>
      </w:r>
      <w:r w:rsidR="00A753EF" w:rsidRPr="00A753EF">
        <w:rPr>
          <w:rFonts w:ascii="Times New Roman" w:eastAsia="Times New Roman" w:hAnsi="Times New Roman" w:cs="Times New Roman"/>
          <w:iCs/>
          <w:sz w:val="24"/>
          <w:szCs w:val="20"/>
          <w:lang w:val="x-none" w:eastAsia="x-none"/>
        </w:rPr>
        <w:t>sociālās apdrošināšanas iemaksu ieņēmumus</w:t>
      </w:r>
      <w:r w:rsidR="00A753EF" w:rsidRPr="00A753EF">
        <w:rPr>
          <w:rFonts w:ascii="Times New Roman" w:eastAsia="Times New Roman" w:hAnsi="Times New Roman" w:cs="Times New Roman"/>
          <w:iCs/>
          <w:sz w:val="24"/>
          <w:szCs w:val="20"/>
          <w:lang w:eastAsia="x-none"/>
        </w:rPr>
        <w:t>.</w:t>
      </w:r>
      <w:r w:rsidR="00A753EF" w:rsidRPr="00A753EF">
        <w:rPr>
          <w:rFonts w:ascii="Times New Roman" w:eastAsia="Times New Roman" w:hAnsi="Times New Roman" w:cs="Times New Roman"/>
          <w:sz w:val="24"/>
          <w:szCs w:val="24"/>
        </w:rPr>
        <w:t xml:space="preserve"> </w:t>
      </w:r>
    </w:p>
    <w:p w14:paraId="433CF958" w14:textId="77777777" w:rsidR="00A753EF" w:rsidRPr="00A753EF" w:rsidRDefault="00A753EF" w:rsidP="00A753EF">
      <w:pPr>
        <w:spacing w:after="0" w:line="240" w:lineRule="auto"/>
        <w:ind w:firstLine="709"/>
        <w:contextualSpacing/>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4"/>
        </w:rPr>
        <w:t>Iemaksu likme valsts fondēto pensiju shēmā saglabājas nemainīga, sastādot 6 procentpunktus no kopējās valsts sociālās apdrošināšanas obligāto iemaksu likmes.</w:t>
      </w:r>
    </w:p>
    <w:p w14:paraId="15368C4C" w14:textId="77777777" w:rsidR="00A753EF" w:rsidRPr="00A753EF" w:rsidRDefault="00A753EF" w:rsidP="00A753EF">
      <w:pPr>
        <w:spacing w:after="0" w:line="240" w:lineRule="auto"/>
        <w:ind w:firstLine="709"/>
        <w:contextualSpacing/>
        <w:jc w:val="both"/>
        <w:rPr>
          <w:rFonts w:ascii="Times New Roman" w:eastAsia="Times New Roman" w:hAnsi="Times New Roman" w:cs="Times New Roman"/>
          <w:sz w:val="24"/>
          <w:szCs w:val="20"/>
          <w:lang w:val="x-none" w:eastAsia="x-none"/>
        </w:rPr>
      </w:pPr>
      <w:r w:rsidRPr="00A753EF">
        <w:rPr>
          <w:rFonts w:ascii="Times New Roman" w:eastAsia="Times New Roman" w:hAnsi="Times New Roman" w:cs="Times New Roman"/>
          <w:sz w:val="24"/>
          <w:szCs w:val="20"/>
          <w:lang w:val="x-none" w:eastAsia="x-none"/>
        </w:rPr>
        <w:t xml:space="preserve">Saskaņā ar 2017.gada 27.jūlijā pieņemto likumu “Nodokļu maksātājiem nokavējuma naudas un soda naudas dzēšanai paredzētā atbalsta likums” </w:t>
      </w:r>
      <w:r w:rsidRPr="00A753EF">
        <w:rPr>
          <w:rFonts w:ascii="Times New Roman" w:eastAsia="Times New Roman" w:hAnsi="Times New Roman" w:cs="Times New Roman"/>
          <w:sz w:val="24"/>
          <w:szCs w:val="20"/>
          <w:lang w:eastAsia="x-none"/>
        </w:rPr>
        <w:t xml:space="preserve">ar </w:t>
      </w:r>
      <w:r w:rsidRPr="00A753EF">
        <w:rPr>
          <w:rFonts w:ascii="Times New Roman" w:eastAsia="Times New Roman" w:hAnsi="Times New Roman" w:cs="Times New Roman"/>
          <w:sz w:val="24"/>
          <w:szCs w:val="20"/>
          <w:lang w:val="x-none" w:eastAsia="x-none"/>
        </w:rPr>
        <w:t>2019.gada 31.decembri</w:t>
      </w:r>
      <w:r w:rsidRPr="00A753EF">
        <w:rPr>
          <w:rFonts w:ascii="Times New Roman" w:eastAsia="Times New Roman" w:hAnsi="Times New Roman" w:cs="Times New Roman"/>
          <w:sz w:val="24"/>
          <w:szCs w:val="20"/>
          <w:lang w:eastAsia="x-none"/>
        </w:rPr>
        <w:t xml:space="preserve"> beidzās atbalsta pasākums, kura mērķis bija</w:t>
      </w:r>
      <w:r w:rsidRPr="00A753EF">
        <w:rPr>
          <w:rFonts w:ascii="Times New Roman" w:eastAsia="Times New Roman" w:hAnsi="Times New Roman" w:cs="Times New Roman"/>
          <w:sz w:val="24"/>
          <w:szCs w:val="20"/>
          <w:lang w:val="x-none" w:eastAsia="x-none"/>
        </w:rPr>
        <w:t xml:space="preserve"> atvieglot nodokļu maksātājiem radušos nodokļu parādu slogu un palielināt budžeta ieņēmumus.</w:t>
      </w:r>
    </w:p>
    <w:p w14:paraId="68B10597" w14:textId="77777777" w:rsidR="00A753EF" w:rsidRPr="00A753EF" w:rsidRDefault="00A753EF" w:rsidP="00A753EF">
      <w:pPr>
        <w:spacing w:before="120" w:after="120" w:line="240" w:lineRule="auto"/>
        <w:ind w:firstLine="360"/>
        <w:jc w:val="both"/>
        <w:rPr>
          <w:rFonts w:ascii="Times New Roman" w:eastAsia="Calibri" w:hAnsi="Times New Roman" w:cs="Times New Roman"/>
          <w:sz w:val="24"/>
          <w:szCs w:val="24"/>
          <w:lang w:eastAsia="lv-LV"/>
        </w:rPr>
      </w:pPr>
      <w:r w:rsidRPr="00A753EF">
        <w:rPr>
          <w:rFonts w:ascii="Times New Roman" w:eastAsia="Times New Roman" w:hAnsi="Times New Roman" w:cs="Times New Roman"/>
          <w:iCs/>
          <w:sz w:val="24"/>
          <w:szCs w:val="20"/>
          <w:lang w:eastAsia="x-none"/>
        </w:rPr>
        <w:t xml:space="preserve">2019.gadā pieņemtās likumdošanas izmaiņas, </w:t>
      </w:r>
      <w:r w:rsidRPr="00A753EF">
        <w:rPr>
          <w:rFonts w:ascii="Times New Roman" w:eastAsia="Times New Roman" w:hAnsi="Times New Roman" w:cs="Times New Roman"/>
          <w:sz w:val="24"/>
          <w:szCs w:val="20"/>
          <w:lang w:val="x-none" w:eastAsia="x-none"/>
        </w:rPr>
        <w:t xml:space="preserve">kas ietekmē </w:t>
      </w:r>
      <w:r w:rsidRPr="00A753EF">
        <w:rPr>
          <w:rFonts w:ascii="Times New Roman" w:eastAsia="Times New Roman" w:hAnsi="Times New Roman" w:cs="Times New Roman"/>
          <w:iCs/>
          <w:sz w:val="24"/>
          <w:szCs w:val="20"/>
          <w:lang w:val="x-none" w:eastAsia="x-none"/>
        </w:rPr>
        <w:t xml:space="preserve">sociālās apdrošināšanas </w:t>
      </w:r>
      <w:r w:rsidRPr="00A753EF">
        <w:rPr>
          <w:rFonts w:ascii="Times New Roman" w:eastAsia="Times New Roman" w:hAnsi="Times New Roman" w:cs="Times New Roman"/>
          <w:iCs/>
          <w:sz w:val="24"/>
          <w:szCs w:val="24"/>
          <w:lang w:val="x-none" w:eastAsia="x-none"/>
        </w:rPr>
        <w:t>iemaksu ieņēmumus</w:t>
      </w:r>
      <w:r w:rsidRPr="00A753EF">
        <w:rPr>
          <w:rFonts w:ascii="Times New Roman" w:eastAsia="Times New Roman" w:hAnsi="Times New Roman" w:cs="Times New Roman"/>
          <w:iCs/>
          <w:sz w:val="24"/>
          <w:szCs w:val="24"/>
          <w:lang w:eastAsia="x-none"/>
        </w:rPr>
        <w:t>:</w:t>
      </w:r>
    </w:p>
    <w:p w14:paraId="6A3064B8" w14:textId="606403C7" w:rsidR="00A753EF" w:rsidRPr="00A753EF" w:rsidRDefault="007D0EC7" w:rsidP="00A753EF">
      <w:pPr>
        <w:numPr>
          <w:ilvl w:val="0"/>
          <w:numId w:val="21"/>
        </w:numPr>
        <w:spacing w:before="120" w:after="12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2020.gada 1.</w:t>
      </w:r>
      <w:r w:rsidR="00A753EF" w:rsidRPr="00A753EF">
        <w:rPr>
          <w:rFonts w:ascii="Times New Roman" w:eastAsia="Times New Roman" w:hAnsi="Times New Roman" w:cs="Times New Roman"/>
          <w:sz w:val="24"/>
          <w:szCs w:val="24"/>
          <w:lang w:eastAsia="lv-LV"/>
        </w:rPr>
        <w:t xml:space="preserve">janvāri stājās spēkā </w:t>
      </w:r>
      <w:r w:rsidR="00A753EF" w:rsidRPr="00A753EF">
        <w:rPr>
          <w:rFonts w:ascii="Times New Roman" w:eastAsia="Times New Roman" w:hAnsi="Times New Roman" w:cs="Times New Roman"/>
          <w:sz w:val="24"/>
          <w:szCs w:val="24"/>
        </w:rPr>
        <w:t>grozījumi likumā “Par nodokļiem un nodevām”, kas nosaka</w:t>
      </w:r>
      <w:r w:rsidR="00A753EF" w:rsidRPr="00A753EF">
        <w:rPr>
          <w:rFonts w:ascii="Times New Roman" w:eastAsia="Times New Roman" w:hAnsi="Times New Roman" w:cs="Times New Roman"/>
          <w:sz w:val="24"/>
          <w:szCs w:val="24"/>
          <w:lang w:eastAsia="lv-LV"/>
        </w:rPr>
        <w:t xml:space="preserve"> </w:t>
      </w:r>
      <w:r w:rsidR="00A753EF" w:rsidRPr="00A753EF">
        <w:rPr>
          <w:rFonts w:ascii="Times New Roman" w:eastAsia="Times New Roman" w:hAnsi="Times New Roman" w:cs="Times New Roman"/>
          <w:sz w:val="24"/>
          <w:szCs w:val="24"/>
        </w:rPr>
        <w:t>valdes locekļu atbildības pilnveidošanu;</w:t>
      </w:r>
    </w:p>
    <w:p w14:paraId="5D94D224" w14:textId="77777777" w:rsidR="00A753EF" w:rsidRPr="00A753EF" w:rsidRDefault="00A753EF" w:rsidP="00A753EF">
      <w:pPr>
        <w:numPr>
          <w:ilvl w:val="0"/>
          <w:numId w:val="21"/>
        </w:numPr>
        <w:spacing w:before="120" w:after="120" w:line="240" w:lineRule="auto"/>
        <w:contextualSpacing/>
        <w:jc w:val="both"/>
        <w:rPr>
          <w:rFonts w:ascii="Times New Roman" w:eastAsia="Times New Roman" w:hAnsi="Times New Roman" w:cs="Times New Roman"/>
          <w:sz w:val="24"/>
          <w:szCs w:val="24"/>
          <w:lang w:eastAsia="lv-LV"/>
        </w:rPr>
      </w:pPr>
      <w:r w:rsidRPr="00A753EF">
        <w:rPr>
          <w:rFonts w:ascii="Times New Roman" w:eastAsia="Times New Roman" w:hAnsi="Times New Roman" w:cs="Times New Roman"/>
          <w:sz w:val="24"/>
          <w:szCs w:val="24"/>
        </w:rPr>
        <w:t xml:space="preserve"> ar 2021.gada 1.janvāri tiks paaugstināta minimālā mēneša darba alga no 430  līdz 500 </w:t>
      </w:r>
      <w:r w:rsidRPr="00A753EF">
        <w:rPr>
          <w:rFonts w:ascii="Times New Roman" w:eastAsia="Times New Roman" w:hAnsi="Times New Roman" w:cs="Times New Roman"/>
          <w:i/>
          <w:sz w:val="24"/>
          <w:szCs w:val="24"/>
        </w:rPr>
        <w:t>euro</w:t>
      </w:r>
      <w:r w:rsidRPr="00A753EF">
        <w:rPr>
          <w:rFonts w:ascii="Times New Roman" w:eastAsia="Times New Roman" w:hAnsi="Times New Roman" w:cs="Times New Roman"/>
          <w:sz w:val="24"/>
          <w:szCs w:val="24"/>
        </w:rPr>
        <w:t>/mēnesī.</w:t>
      </w:r>
    </w:p>
    <w:p w14:paraId="314E8D1D" w14:textId="77777777" w:rsidR="00A753EF" w:rsidRPr="00A753EF" w:rsidRDefault="00A753EF" w:rsidP="00A753EF">
      <w:pPr>
        <w:spacing w:after="0" w:line="240" w:lineRule="auto"/>
        <w:jc w:val="both"/>
        <w:rPr>
          <w:rFonts w:ascii="Times New Roman" w:eastAsia="Times New Roman" w:hAnsi="Times New Roman" w:cs="Times New Roman"/>
          <w:sz w:val="24"/>
          <w:szCs w:val="20"/>
          <w:highlight w:val="yellow"/>
          <w:lang w:eastAsia="x-none"/>
        </w:rPr>
      </w:pPr>
    </w:p>
    <w:p w14:paraId="2D8869CD" w14:textId="77777777"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rPr>
      </w:pPr>
      <w:r w:rsidRPr="00D00031">
        <w:rPr>
          <w:rFonts w:ascii="Times New Roman" w:eastAsia="Times New Roman" w:hAnsi="Times New Roman" w:cs="Times New Roman"/>
          <w:b/>
          <w:sz w:val="24"/>
          <w:szCs w:val="20"/>
        </w:rPr>
        <w:t>4.10.tabula</w:t>
      </w:r>
      <w:r w:rsidRPr="00A753EF">
        <w:rPr>
          <w:rFonts w:ascii="Times New Roman" w:eastAsia="Times New Roman" w:hAnsi="Times New Roman" w:cs="Times New Roman"/>
          <w:b/>
          <w:sz w:val="24"/>
          <w:szCs w:val="20"/>
        </w:rPr>
        <w:t>. Nodokļu politikas izmaiņu ietekme uz sociālās apdrošināšanas iemaksu ieņēmumiem</w:t>
      </w:r>
      <w:r w:rsidRPr="00A753EF">
        <w:rPr>
          <w:rFonts w:ascii="Times New Roman" w:eastAsia="Times New Roman" w:hAnsi="Times New Roman" w:cs="Times New Roman"/>
          <w:b/>
          <w:sz w:val="20"/>
          <w:szCs w:val="20"/>
          <w:vertAlign w:val="superscript"/>
        </w:rPr>
        <w:footnoteReference w:id="31"/>
      </w:r>
      <w:r w:rsidRPr="00A753EF">
        <w:rPr>
          <w:rFonts w:ascii="Times New Roman" w:eastAsia="Times New Roman" w:hAnsi="Times New Roman" w:cs="Times New Roman"/>
          <w:b/>
          <w:sz w:val="24"/>
          <w:szCs w:val="20"/>
        </w:rPr>
        <w:t>, milj. </w:t>
      </w:r>
      <w:r w:rsidRPr="00A753EF">
        <w:rPr>
          <w:rFonts w:ascii="Times New Roman" w:eastAsia="Times New Roman" w:hAnsi="Times New Roman" w:cs="Times New Roman"/>
          <w:b/>
          <w:i/>
          <w:sz w:val="24"/>
          <w:szCs w:val="20"/>
        </w:rPr>
        <w:t>euro</w:t>
      </w:r>
    </w:p>
    <w:tbl>
      <w:tblPr>
        <w:tblStyle w:val="GridTable6Colorful-Accent1"/>
        <w:tblW w:w="8506" w:type="dxa"/>
        <w:jc w:val="center"/>
        <w:tblLayout w:type="fixed"/>
        <w:tblLook w:val="04A0" w:firstRow="1" w:lastRow="0" w:firstColumn="1" w:lastColumn="0" w:noHBand="0" w:noVBand="1"/>
      </w:tblPr>
      <w:tblGrid>
        <w:gridCol w:w="6521"/>
        <w:gridCol w:w="992"/>
        <w:gridCol w:w="993"/>
      </w:tblGrid>
      <w:tr w:rsidR="00A753EF" w:rsidRPr="00A753EF" w14:paraId="40B5ED53" w14:textId="77777777" w:rsidTr="007D0E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14:paraId="654FB643"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992" w:type="dxa"/>
          </w:tcPr>
          <w:p w14:paraId="3E100B8C"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993" w:type="dxa"/>
          </w:tcPr>
          <w:p w14:paraId="0897C039"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r>
      <w:tr w:rsidR="00A753EF" w:rsidRPr="00A753EF" w14:paraId="2030720C" w14:textId="77777777" w:rsidTr="007D0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14:paraId="1E5E5FD9" w14:textId="77777777" w:rsidR="00A753EF" w:rsidRPr="00A753EF" w:rsidRDefault="00A753EF" w:rsidP="00A753EF">
            <w:pPr>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Iespēja laikā līdz 2 gadiem nomaksāt parādu, tā rezultātā dzēšot nokavējuma naudu un soda naudu</w:t>
            </w:r>
          </w:p>
        </w:tc>
        <w:tc>
          <w:tcPr>
            <w:tcW w:w="992" w:type="dxa"/>
            <w:vAlign w:val="center"/>
          </w:tcPr>
          <w:p w14:paraId="258FC161"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-3,2</w:t>
            </w:r>
          </w:p>
        </w:tc>
        <w:tc>
          <w:tcPr>
            <w:tcW w:w="993" w:type="dxa"/>
            <w:vAlign w:val="center"/>
          </w:tcPr>
          <w:p w14:paraId="16FA6CE6"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4A84F78" w14:textId="77777777" w:rsidTr="007D0EC7">
        <w:trPr>
          <w:jc w:val="center"/>
        </w:trPr>
        <w:tc>
          <w:tcPr>
            <w:cnfStyle w:val="001000000000" w:firstRow="0" w:lastRow="0" w:firstColumn="1" w:lastColumn="0" w:oddVBand="0" w:evenVBand="0" w:oddHBand="0" w:evenHBand="0" w:firstRowFirstColumn="0" w:firstRowLastColumn="0" w:lastRowFirstColumn="0" w:lastRowLastColumn="0"/>
            <w:tcW w:w="6521" w:type="dxa"/>
          </w:tcPr>
          <w:p w14:paraId="7D93FC90" w14:textId="77777777" w:rsidR="00A753EF" w:rsidRPr="00A753EF" w:rsidRDefault="00A753EF" w:rsidP="00A753EF">
            <w:pPr>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18"/>
                <w:szCs w:val="18"/>
                <w:lang w:eastAsia="lv-LV"/>
              </w:rPr>
              <w:t>Valsts fondēto pensiju struktūras izmaiņas  no 2020.gada</w:t>
            </w:r>
          </w:p>
        </w:tc>
        <w:tc>
          <w:tcPr>
            <w:tcW w:w="992" w:type="dxa"/>
            <w:vAlign w:val="center"/>
          </w:tcPr>
          <w:p w14:paraId="314D2815"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18"/>
                <w:szCs w:val="18"/>
                <w:lang w:eastAsia="lv-LV"/>
              </w:rPr>
              <w:t>+42,8</w:t>
            </w:r>
          </w:p>
        </w:tc>
        <w:tc>
          <w:tcPr>
            <w:tcW w:w="993" w:type="dxa"/>
            <w:vAlign w:val="center"/>
          </w:tcPr>
          <w:p w14:paraId="78078C8F"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p>
        </w:tc>
      </w:tr>
      <w:tr w:rsidR="00A753EF" w:rsidRPr="00A753EF" w14:paraId="5122E524" w14:textId="77777777" w:rsidTr="007D0EC7">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21" w:type="dxa"/>
          </w:tcPr>
          <w:p w14:paraId="57FDA2CE"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Valdes locekļu atbildības pilnveidošana</w:t>
            </w:r>
          </w:p>
        </w:tc>
        <w:tc>
          <w:tcPr>
            <w:tcW w:w="992" w:type="dxa"/>
            <w:vAlign w:val="center"/>
          </w:tcPr>
          <w:p w14:paraId="385BAE79"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+0,8</w:t>
            </w:r>
          </w:p>
        </w:tc>
        <w:tc>
          <w:tcPr>
            <w:tcW w:w="993" w:type="dxa"/>
            <w:vAlign w:val="center"/>
          </w:tcPr>
          <w:p w14:paraId="3041388A"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02E46486" w14:textId="77777777" w:rsidTr="007D0EC7">
        <w:trPr>
          <w:jc w:val="center"/>
        </w:trPr>
        <w:tc>
          <w:tcPr>
            <w:cnfStyle w:val="001000000000" w:firstRow="0" w:lastRow="0" w:firstColumn="1" w:lastColumn="0" w:oddVBand="0" w:evenVBand="0" w:oddHBand="0" w:evenHBand="0" w:firstRowFirstColumn="0" w:firstRowLastColumn="0" w:lastRowFirstColumn="0" w:lastRowLastColumn="0"/>
            <w:tcW w:w="6521" w:type="dxa"/>
          </w:tcPr>
          <w:p w14:paraId="42BD7C35"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Mēneša minimālās darba algas palielināšana no 430 </w:t>
            </w:r>
            <w:r w:rsidRPr="00A753EF">
              <w:rPr>
                <w:rFonts w:ascii="Times New Roman" w:eastAsia="Times New Roman" w:hAnsi="Times New Roman" w:cs="Times New Roman"/>
                <w:i/>
                <w:color w:val="000000" w:themeColor="text1"/>
                <w:sz w:val="20"/>
              </w:rPr>
              <w:t>euro</w:t>
            </w:r>
            <w:r w:rsidRPr="00A753EF">
              <w:rPr>
                <w:rFonts w:ascii="Times New Roman" w:eastAsia="Times New Roman" w:hAnsi="Times New Roman" w:cs="Times New Roman"/>
                <w:color w:val="000000" w:themeColor="text1"/>
                <w:sz w:val="20"/>
                <w:szCs w:val="20"/>
              </w:rPr>
              <w:t xml:space="preserve"> līdz 500 </w:t>
            </w:r>
            <w:r w:rsidRPr="00A753EF">
              <w:rPr>
                <w:rFonts w:ascii="Times New Roman" w:eastAsia="Times New Roman" w:hAnsi="Times New Roman" w:cs="Times New Roman"/>
                <w:i/>
                <w:color w:val="000000" w:themeColor="text1"/>
                <w:sz w:val="20"/>
              </w:rPr>
              <w:t>euro</w:t>
            </w:r>
            <w:r w:rsidRPr="00A753EF">
              <w:rPr>
                <w:rFonts w:ascii="Times New Roman" w:eastAsia="Times New Roman" w:hAnsi="Times New Roman" w:cs="Times New Roman"/>
                <w:color w:val="000000" w:themeColor="text1"/>
                <w:sz w:val="20"/>
                <w:szCs w:val="20"/>
              </w:rPr>
              <w:t xml:space="preserve"> ar 2021.gadu</w:t>
            </w:r>
          </w:p>
        </w:tc>
        <w:tc>
          <w:tcPr>
            <w:tcW w:w="992" w:type="dxa"/>
            <w:vAlign w:val="center"/>
          </w:tcPr>
          <w:p w14:paraId="7A52C6D5"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993" w:type="dxa"/>
            <w:vAlign w:val="center"/>
          </w:tcPr>
          <w:p w14:paraId="54A2C174"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+21,6</w:t>
            </w:r>
          </w:p>
        </w:tc>
      </w:tr>
      <w:tr w:rsidR="00A753EF" w:rsidRPr="00A753EF" w14:paraId="01A1F7BE" w14:textId="77777777" w:rsidTr="007D0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14:paraId="0EF112F1"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992" w:type="dxa"/>
            <w:vAlign w:val="center"/>
          </w:tcPr>
          <w:p w14:paraId="51706C1D"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+40,3</w:t>
            </w:r>
          </w:p>
        </w:tc>
        <w:tc>
          <w:tcPr>
            <w:tcW w:w="993" w:type="dxa"/>
            <w:vAlign w:val="center"/>
          </w:tcPr>
          <w:p w14:paraId="60F066BB"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+21,6</w:t>
            </w:r>
          </w:p>
        </w:tc>
      </w:tr>
    </w:tbl>
    <w:p w14:paraId="3DA9E567" w14:textId="77777777" w:rsidR="00A753EF" w:rsidRPr="00A753EF" w:rsidRDefault="00A753EF" w:rsidP="00A753EF">
      <w:pPr>
        <w:spacing w:after="0" w:line="240" w:lineRule="auto"/>
        <w:rPr>
          <w:rFonts w:ascii="Times New Roman" w:eastAsia="Times New Roman" w:hAnsi="Times New Roman" w:cs="Times New Roman"/>
          <w:iCs/>
          <w:sz w:val="24"/>
          <w:szCs w:val="20"/>
          <w:lang w:eastAsia="x-none"/>
        </w:rPr>
      </w:pPr>
    </w:p>
    <w:p w14:paraId="39D26ECB" w14:textId="77777777"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Times New Roman" w:hAnsi="Times New Roman" w:cs="Times New Roman"/>
          <w:iCs/>
          <w:sz w:val="24"/>
          <w:szCs w:val="20"/>
          <w:lang w:eastAsia="x-none"/>
        </w:rPr>
        <w:t xml:space="preserve">Iepriekš minētie 2019.gadā pieņemtie pasākumi arī ietekmē </w:t>
      </w:r>
      <w:r w:rsidRPr="00A753EF">
        <w:rPr>
          <w:rFonts w:ascii="Times New Roman" w:eastAsia="Calibri" w:hAnsi="Times New Roman" w:cs="Times New Roman"/>
          <w:sz w:val="24"/>
        </w:rPr>
        <w:t>valsts sociālās apdrošināšanas iemaksas pamatbudžetā veselības finansēšanai.</w:t>
      </w:r>
    </w:p>
    <w:p w14:paraId="58F146E6" w14:textId="77777777" w:rsidR="00A753EF" w:rsidRPr="00A753EF" w:rsidRDefault="00A753EF" w:rsidP="00A753EF">
      <w:pPr>
        <w:spacing w:after="0" w:line="240" w:lineRule="auto"/>
        <w:jc w:val="both"/>
        <w:rPr>
          <w:rFonts w:ascii="Times New Roman" w:eastAsia="Times New Roman" w:hAnsi="Times New Roman" w:cs="Times New Roman"/>
          <w:iCs/>
          <w:sz w:val="24"/>
          <w:szCs w:val="20"/>
          <w:lang w:eastAsia="x-none"/>
        </w:rPr>
      </w:pPr>
    </w:p>
    <w:p w14:paraId="407DE7E8" w14:textId="77777777" w:rsidR="00422981" w:rsidRDefault="00422981">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3B39C7A3" w14:textId="11CEAADF"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rPr>
      </w:pPr>
      <w:r w:rsidRPr="00D00031">
        <w:rPr>
          <w:rFonts w:ascii="Times New Roman" w:eastAsia="Times New Roman" w:hAnsi="Times New Roman" w:cs="Times New Roman"/>
          <w:b/>
          <w:sz w:val="24"/>
          <w:szCs w:val="20"/>
        </w:rPr>
        <w:t>4.11.</w:t>
      </w:r>
      <w:r w:rsidRPr="00A753EF">
        <w:rPr>
          <w:rFonts w:ascii="Times New Roman" w:eastAsia="Times New Roman" w:hAnsi="Times New Roman" w:cs="Times New Roman"/>
          <w:b/>
          <w:sz w:val="24"/>
          <w:szCs w:val="20"/>
        </w:rPr>
        <w:t>tabula. Nodokļu politikas izmaiņu ietekme uz valsts sociālās apdrošināšanas iemaksām pamatbudžetā veselības finansēšanai, milj. </w:t>
      </w:r>
      <w:r w:rsidRPr="00A753EF">
        <w:rPr>
          <w:rFonts w:ascii="Times New Roman" w:eastAsia="Times New Roman" w:hAnsi="Times New Roman" w:cs="Times New Roman"/>
          <w:b/>
          <w:i/>
          <w:sz w:val="24"/>
          <w:szCs w:val="20"/>
        </w:rPr>
        <w:t>euro</w:t>
      </w:r>
    </w:p>
    <w:tbl>
      <w:tblPr>
        <w:tblStyle w:val="GridTable6Colorful-Accent1"/>
        <w:tblW w:w="8364" w:type="dxa"/>
        <w:jc w:val="center"/>
        <w:tblLayout w:type="fixed"/>
        <w:tblLook w:val="04A0" w:firstRow="1" w:lastRow="0" w:firstColumn="1" w:lastColumn="0" w:noHBand="0" w:noVBand="1"/>
      </w:tblPr>
      <w:tblGrid>
        <w:gridCol w:w="6379"/>
        <w:gridCol w:w="992"/>
        <w:gridCol w:w="993"/>
      </w:tblGrid>
      <w:tr w:rsidR="00A753EF" w:rsidRPr="00A753EF" w14:paraId="26B7BDBF" w14:textId="77777777" w:rsidTr="007D0E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9" w:type="dxa"/>
          </w:tcPr>
          <w:p w14:paraId="32AC8923"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992" w:type="dxa"/>
          </w:tcPr>
          <w:p w14:paraId="2015E426"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993" w:type="dxa"/>
          </w:tcPr>
          <w:p w14:paraId="02DE56E2"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r>
      <w:tr w:rsidR="00A753EF" w:rsidRPr="00A753EF" w14:paraId="6257D4E1" w14:textId="77777777" w:rsidTr="007D0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9" w:type="dxa"/>
          </w:tcPr>
          <w:p w14:paraId="71F71137"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Valdes locekļu atbildības pilnveidošana</w:t>
            </w:r>
          </w:p>
        </w:tc>
        <w:tc>
          <w:tcPr>
            <w:tcW w:w="992" w:type="dxa"/>
            <w:vAlign w:val="center"/>
          </w:tcPr>
          <w:p w14:paraId="2E5C711B"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+0,03</w:t>
            </w:r>
          </w:p>
        </w:tc>
        <w:tc>
          <w:tcPr>
            <w:tcW w:w="993" w:type="dxa"/>
            <w:vAlign w:val="center"/>
          </w:tcPr>
          <w:p w14:paraId="2B6BD1AE"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798E81D9" w14:textId="77777777" w:rsidTr="007D0EC7">
        <w:trPr>
          <w:jc w:val="center"/>
        </w:trPr>
        <w:tc>
          <w:tcPr>
            <w:cnfStyle w:val="001000000000" w:firstRow="0" w:lastRow="0" w:firstColumn="1" w:lastColumn="0" w:oddVBand="0" w:evenVBand="0" w:oddHBand="0" w:evenHBand="0" w:firstRowFirstColumn="0" w:firstRowLastColumn="0" w:lastRowFirstColumn="0" w:lastRowLastColumn="0"/>
            <w:tcW w:w="6379" w:type="dxa"/>
          </w:tcPr>
          <w:p w14:paraId="5E8E9F51"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Mēneša minimālās darba algas palielināšana no 430 </w:t>
            </w:r>
            <w:r w:rsidRPr="00A753EF">
              <w:rPr>
                <w:rFonts w:ascii="Times New Roman" w:eastAsia="Times New Roman" w:hAnsi="Times New Roman" w:cs="Times New Roman"/>
                <w:i/>
                <w:color w:val="000000" w:themeColor="text1"/>
                <w:sz w:val="20"/>
              </w:rPr>
              <w:t>euro</w:t>
            </w:r>
            <w:r w:rsidRPr="00A753EF">
              <w:rPr>
                <w:rFonts w:ascii="Times New Roman" w:eastAsia="Times New Roman" w:hAnsi="Times New Roman" w:cs="Times New Roman"/>
                <w:color w:val="000000" w:themeColor="text1"/>
                <w:sz w:val="20"/>
                <w:szCs w:val="20"/>
              </w:rPr>
              <w:t xml:space="preserve"> līdz 500 </w:t>
            </w:r>
            <w:r w:rsidRPr="00A753EF">
              <w:rPr>
                <w:rFonts w:ascii="Times New Roman" w:eastAsia="Times New Roman" w:hAnsi="Times New Roman" w:cs="Times New Roman"/>
                <w:i/>
                <w:color w:val="000000" w:themeColor="text1"/>
                <w:sz w:val="20"/>
              </w:rPr>
              <w:t>euro</w:t>
            </w:r>
            <w:r w:rsidRPr="00A753EF">
              <w:rPr>
                <w:rFonts w:ascii="Times New Roman" w:eastAsia="Times New Roman" w:hAnsi="Times New Roman" w:cs="Times New Roman"/>
                <w:color w:val="000000" w:themeColor="text1"/>
                <w:sz w:val="20"/>
                <w:szCs w:val="20"/>
              </w:rPr>
              <w:t xml:space="preserve"> ar 2021.gadu</w:t>
            </w:r>
          </w:p>
        </w:tc>
        <w:tc>
          <w:tcPr>
            <w:tcW w:w="992" w:type="dxa"/>
            <w:vAlign w:val="center"/>
          </w:tcPr>
          <w:p w14:paraId="2082CFA1"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993" w:type="dxa"/>
            <w:vAlign w:val="center"/>
          </w:tcPr>
          <w:p w14:paraId="556407DD" w14:textId="77777777" w:rsidR="00A753EF" w:rsidRPr="00A753E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+0,8</w:t>
            </w:r>
          </w:p>
        </w:tc>
      </w:tr>
      <w:tr w:rsidR="00A753EF" w:rsidRPr="00A753EF" w14:paraId="260A3850" w14:textId="77777777" w:rsidTr="007D0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9" w:type="dxa"/>
          </w:tcPr>
          <w:p w14:paraId="6B18567E"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992" w:type="dxa"/>
            <w:vAlign w:val="center"/>
          </w:tcPr>
          <w:p w14:paraId="1FBB18EF"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+0,03</w:t>
            </w:r>
          </w:p>
        </w:tc>
        <w:tc>
          <w:tcPr>
            <w:tcW w:w="993" w:type="dxa"/>
            <w:vAlign w:val="center"/>
          </w:tcPr>
          <w:p w14:paraId="67B857B9"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+0,8</w:t>
            </w:r>
          </w:p>
        </w:tc>
      </w:tr>
    </w:tbl>
    <w:p w14:paraId="711F2250" w14:textId="77777777" w:rsidR="00A753EF" w:rsidRPr="00A753EF" w:rsidRDefault="00A753EF" w:rsidP="00A753EF">
      <w:pPr>
        <w:spacing w:after="0" w:line="240" w:lineRule="auto"/>
        <w:rPr>
          <w:rFonts w:ascii="Times New Roman" w:eastAsia="Calibri" w:hAnsi="Times New Roman" w:cs="Times New Roman"/>
          <w:sz w:val="24"/>
          <w:highlight w:val="yellow"/>
        </w:rPr>
      </w:pPr>
    </w:p>
    <w:p w14:paraId="52743B51" w14:textId="77777777" w:rsidR="00A753EF" w:rsidRPr="00A753EF" w:rsidRDefault="00A753EF" w:rsidP="00A753EF">
      <w:pPr>
        <w:spacing w:before="360" w:after="60" w:line="240" w:lineRule="auto"/>
        <w:ind w:left="567"/>
        <w:outlineLvl w:val="3"/>
        <w:rPr>
          <w:rFonts w:ascii="Times New Roman" w:eastAsia="Times New Roman" w:hAnsi="Times New Roman" w:cs="Times New Roman"/>
          <w:b/>
          <w:sz w:val="24"/>
          <w:szCs w:val="24"/>
          <w:highlight w:val="yellow"/>
        </w:rPr>
      </w:pPr>
      <w:r w:rsidRPr="00A753EF">
        <w:rPr>
          <w:rFonts w:ascii="Times New Roman" w:eastAsia="Times New Roman" w:hAnsi="Times New Roman" w:cs="Times New Roman"/>
          <w:b/>
          <w:sz w:val="24"/>
          <w:szCs w:val="24"/>
        </w:rPr>
        <w:t>Izložu un azartspēļu nodoklis</w:t>
      </w:r>
    </w:p>
    <w:p w14:paraId="50146DC3" w14:textId="43907E79" w:rsidR="00A753EF" w:rsidRDefault="007D0EC7" w:rsidP="00A753EF">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Ar 2020.gada 1.</w:t>
      </w:r>
      <w:r w:rsidR="00A753EF" w:rsidRPr="00A753EF">
        <w:rPr>
          <w:rFonts w:ascii="Times New Roman" w:eastAsia="Times New Roman" w:hAnsi="Times New Roman" w:cs="Times New Roman"/>
          <w:sz w:val="24"/>
          <w:szCs w:val="24"/>
          <w:shd w:val="clear" w:color="auto" w:fill="FFFFFF"/>
        </w:rPr>
        <w:t>janvārī stājās spēkā grozījumi likumā “</w:t>
      </w:r>
      <w:r w:rsidR="00A753EF" w:rsidRPr="00A753EF">
        <w:rPr>
          <w:rFonts w:ascii="Times New Roman" w:eastAsia="Times New Roman" w:hAnsi="Times New Roman" w:cs="Times New Roman"/>
          <w:i/>
          <w:sz w:val="24"/>
          <w:szCs w:val="24"/>
          <w:shd w:val="clear" w:color="auto" w:fill="FFFFFF"/>
        </w:rPr>
        <w:t>Par izložu un azartspēļu nodevu un nodokli</w:t>
      </w:r>
      <w:r w:rsidR="00A753EF" w:rsidRPr="00A753EF">
        <w:rPr>
          <w:rFonts w:ascii="Times New Roman" w:eastAsia="Times New Roman" w:hAnsi="Times New Roman" w:cs="Times New Roman"/>
          <w:sz w:val="24"/>
          <w:szCs w:val="24"/>
          <w:shd w:val="clear" w:color="auto" w:fill="FFFFFF"/>
        </w:rPr>
        <w:t xml:space="preserve">”, kuri paredz paaugstinātas azartspēļu nodokļa likmes azartspēļu automātiem (par katra azartspēļu automāta katru spēles </w:t>
      </w:r>
      <w:r>
        <w:rPr>
          <w:rFonts w:ascii="Times New Roman" w:eastAsia="Times New Roman" w:hAnsi="Times New Roman" w:cs="Times New Roman"/>
          <w:sz w:val="24"/>
          <w:szCs w:val="24"/>
          <w:shd w:val="clear" w:color="auto" w:fill="FFFFFF"/>
        </w:rPr>
        <w:t>vietu) par kalendāro gadu no 4 </w:t>
      </w:r>
      <w:r w:rsidR="00A753EF" w:rsidRPr="00A753EF">
        <w:rPr>
          <w:rFonts w:ascii="Times New Roman" w:eastAsia="Times New Roman" w:hAnsi="Times New Roman" w:cs="Times New Roman"/>
          <w:sz w:val="24"/>
          <w:szCs w:val="24"/>
          <w:shd w:val="clear" w:color="auto" w:fill="FFFFFF"/>
        </w:rPr>
        <w:t xml:space="preserve">164 </w:t>
      </w:r>
      <w:r w:rsidR="00A753EF" w:rsidRPr="00A753EF">
        <w:rPr>
          <w:rFonts w:ascii="Times New Roman" w:eastAsia="Times New Roman" w:hAnsi="Times New Roman" w:cs="Times New Roman"/>
          <w:i/>
          <w:sz w:val="24"/>
          <w:szCs w:val="24"/>
          <w:shd w:val="clear" w:color="auto" w:fill="FFFFFF"/>
        </w:rPr>
        <w:t>euro</w:t>
      </w:r>
      <w:r>
        <w:rPr>
          <w:rFonts w:ascii="Times New Roman" w:eastAsia="Times New Roman" w:hAnsi="Times New Roman" w:cs="Times New Roman"/>
          <w:sz w:val="24"/>
          <w:szCs w:val="24"/>
          <w:shd w:val="clear" w:color="auto" w:fill="FFFFFF"/>
        </w:rPr>
        <w:t xml:space="preserve"> uz 5 </w:t>
      </w:r>
      <w:r w:rsidR="00A753EF" w:rsidRPr="00A753EF">
        <w:rPr>
          <w:rFonts w:ascii="Times New Roman" w:eastAsia="Times New Roman" w:hAnsi="Times New Roman" w:cs="Times New Roman"/>
          <w:sz w:val="24"/>
          <w:szCs w:val="24"/>
          <w:shd w:val="clear" w:color="auto" w:fill="FFFFFF"/>
        </w:rPr>
        <w:t xml:space="preserve">172 </w:t>
      </w:r>
      <w:r w:rsidR="00A753EF" w:rsidRPr="00A753EF">
        <w:rPr>
          <w:rFonts w:ascii="Times New Roman" w:eastAsia="Times New Roman" w:hAnsi="Times New Roman" w:cs="Times New Roman"/>
          <w:i/>
          <w:sz w:val="24"/>
          <w:szCs w:val="24"/>
          <w:shd w:val="clear" w:color="auto" w:fill="FFFFFF"/>
        </w:rPr>
        <w:t>euro</w:t>
      </w:r>
      <w:r w:rsidR="00A753EF" w:rsidRPr="00A753EF">
        <w:rPr>
          <w:rFonts w:ascii="Times New Roman" w:eastAsia="Times New Roman" w:hAnsi="Times New Roman" w:cs="Times New Roman"/>
          <w:sz w:val="24"/>
          <w:szCs w:val="24"/>
          <w:shd w:val="clear" w:color="auto" w:fill="FFFFFF"/>
        </w:rPr>
        <w:t>, ka arī ruletei un kāršu un kauliņu spēlei (par katru galdu) par kalendāro gadu no 23 400</w:t>
      </w:r>
      <w:r w:rsidR="00A753EF" w:rsidRPr="00A753EF">
        <w:rPr>
          <w:rFonts w:ascii="Times New Roman" w:eastAsia="Times New Roman" w:hAnsi="Times New Roman" w:cs="Times New Roman"/>
          <w:i/>
          <w:sz w:val="24"/>
          <w:szCs w:val="24"/>
          <w:shd w:val="clear" w:color="auto" w:fill="FFFFFF"/>
        </w:rPr>
        <w:t xml:space="preserve"> euro</w:t>
      </w:r>
      <w:r w:rsidR="00A753EF" w:rsidRPr="00A753EF">
        <w:rPr>
          <w:rFonts w:ascii="Times New Roman" w:eastAsia="Times New Roman" w:hAnsi="Times New Roman" w:cs="Times New Roman"/>
          <w:sz w:val="24"/>
          <w:szCs w:val="24"/>
          <w:shd w:val="clear" w:color="auto" w:fill="FFFFFF"/>
        </w:rPr>
        <w:t xml:space="preserve"> uz 28 080 </w:t>
      </w:r>
      <w:r w:rsidR="00A753EF" w:rsidRPr="00A753EF">
        <w:rPr>
          <w:rFonts w:ascii="Times New Roman" w:eastAsia="Times New Roman" w:hAnsi="Times New Roman" w:cs="Times New Roman"/>
          <w:i/>
          <w:sz w:val="24"/>
          <w:szCs w:val="24"/>
          <w:shd w:val="clear" w:color="auto" w:fill="FFFFFF"/>
        </w:rPr>
        <w:t>euro</w:t>
      </w:r>
      <w:r w:rsidR="00A753EF" w:rsidRPr="00A753EF">
        <w:rPr>
          <w:rFonts w:ascii="Times New Roman" w:eastAsia="Times New Roman" w:hAnsi="Times New Roman" w:cs="Times New Roman"/>
          <w:sz w:val="24"/>
          <w:szCs w:val="24"/>
          <w:shd w:val="clear" w:color="auto" w:fill="FFFFFF"/>
        </w:rPr>
        <w:t>. Kā arī mainīts azartspēļu nodokļa ieņēmumu sadalījums starp valsts un pašvaldību budžetiem, paredzot azartspēļu nodokļa ieņēmumus (izņemot azartspēļu nodokļa ieņēmumus par likuma “</w:t>
      </w:r>
      <w:r w:rsidR="00A753EF" w:rsidRPr="00A753EF">
        <w:rPr>
          <w:rFonts w:ascii="Times New Roman" w:eastAsia="Times New Roman" w:hAnsi="Times New Roman" w:cs="Times New Roman"/>
          <w:i/>
          <w:sz w:val="24"/>
          <w:szCs w:val="24"/>
          <w:shd w:val="clear" w:color="auto" w:fill="FFFFFF"/>
        </w:rPr>
        <w:t>Par izložu un azartspēļu nodevu un nodokli</w:t>
      </w:r>
      <w:r w:rsidR="00A753EF" w:rsidRPr="00A753EF">
        <w:rPr>
          <w:rFonts w:ascii="Times New Roman" w:eastAsia="Times New Roman" w:hAnsi="Times New Roman" w:cs="Times New Roman"/>
          <w:sz w:val="24"/>
          <w:szCs w:val="24"/>
          <w:shd w:val="clear" w:color="auto" w:fill="FFFFFF"/>
        </w:rPr>
        <w:t>” 3.panta 5.daļā minēto objektu) – 95% apmērā ieskaitīt valsts pamatbudžetā, bet 5% apmērā ieskaitīt tās pašvaldības budžetā, kuras teritorijā organizētā azartspēle.</w:t>
      </w:r>
    </w:p>
    <w:p w14:paraId="1950D235" w14:textId="77777777" w:rsidR="00E214EE" w:rsidRPr="00A753EF" w:rsidRDefault="00E214EE" w:rsidP="00A753EF">
      <w:pPr>
        <w:spacing w:after="0" w:line="240" w:lineRule="auto"/>
        <w:ind w:firstLine="567"/>
        <w:jc w:val="both"/>
        <w:rPr>
          <w:rFonts w:ascii="Times New Roman" w:eastAsia="Times New Roman" w:hAnsi="Times New Roman" w:cs="Times New Roman"/>
          <w:sz w:val="24"/>
          <w:szCs w:val="24"/>
          <w:shd w:val="clear" w:color="auto" w:fill="FFFFFF"/>
        </w:rPr>
      </w:pPr>
    </w:p>
    <w:p w14:paraId="3AC3BBCA" w14:textId="77777777" w:rsidR="00A753EF" w:rsidRPr="00A753EF" w:rsidRDefault="00A753EF" w:rsidP="00A753EF">
      <w:pPr>
        <w:keepNext/>
        <w:spacing w:before="120" w:after="60"/>
        <w:ind w:left="720"/>
        <w:contextualSpacing/>
        <w:jc w:val="right"/>
        <w:rPr>
          <w:rFonts w:ascii="Times New Roman" w:eastAsia="Times New Roman" w:hAnsi="Times New Roman" w:cs="Times New Roman"/>
          <w:b/>
          <w:sz w:val="24"/>
          <w:szCs w:val="20"/>
          <w:highlight w:val="yellow"/>
        </w:rPr>
      </w:pPr>
      <w:r w:rsidRPr="00D4275C">
        <w:rPr>
          <w:rFonts w:ascii="Times New Roman" w:eastAsia="Times New Roman" w:hAnsi="Times New Roman" w:cs="Times New Roman"/>
          <w:b/>
          <w:sz w:val="24"/>
          <w:szCs w:val="20"/>
        </w:rPr>
        <w:t xml:space="preserve">4.12.tabula. </w:t>
      </w:r>
      <w:r w:rsidRPr="00A753EF">
        <w:rPr>
          <w:rFonts w:ascii="Times New Roman" w:eastAsia="Times New Roman" w:hAnsi="Times New Roman" w:cs="Times New Roman"/>
          <w:b/>
          <w:sz w:val="24"/>
          <w:szCs w:val="20"/>
        </w:rPr>
        <w:t>Nodokļu politikas izmaiņu ietekme uz izložu un azartspēļu nodokļa ieņēmumiem, milj. </w:t>
      </w:r>
      <w:r w:rsidRPr="00A753E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7214"/>
        <w:gridCol w:w="1082"/>
      </w:tblGrid>
      <w:tr w:rsidR="00A753EF" w:rsidRPr="00A753EF" w14:paraId="47A0E198" w14:textId="77777777" w:rsidTr="00A753EF">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214" w:type="dxa"/>
          </w:tcPr>
          <w:p w14:paraId="02080815"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1082" w:type="dxa"/>
          </w:tcPr>
          <w:p w14:paraId="092ABCFD"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r>
      <w:tr w:rsidR="00A753EF" w:rsidRPr="00A753EF" w14:paraId="4CE6A8B2" w14:textId="77777777" w:rsidTr="00A753E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214" w:type="dxa"/>
          </w:tcPr>
          <w:p w14:paraId="01FB7116"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Azartspēļu nodokļa likmes paaugstināšana azartspēļu automātiem un spēļu galdiem, sadalījumā pa budžetiem </w:t>
            </w:r>
          </w:p>
        </w:tc>
        <w:tc>
          <w:tcPr>
            <w:tcW w:w="1082" w:type="dxa"/>
            <w:vAlign w:val="center"/>
          </w:tcPr>
          <w:p w14:paraId="262DFA43"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1B5526F" w14:textId="77777777" w:rsidTr="00A753EF">
        <w:trPr>
          <w:trHeight w:val="263"/>
          <w:jc w:val="center"/>
        </w:trPr>
        <w:tc>
          <w:tcPr>
            <w:cnfStyle w:val="001000000000" w:firstRow="0" w:lastRow="0" w:firstColumn="1" w:lastColumn="0" w:oddVBand="0" w:evenVBand="0" w:oddHBand="0" w:evenHBand="0" w:firstRowFirstColumn="0" w:firstRowLastColumn="0" w:lastRowFirstColumn="0" w:lastRowLastColumn="0"/>
            <w:tcW w:w="7214" w:type="dxa"/>
          </w:tcPr>
          <w:p w14:paraId="47E282AA" w14:textId="77777777" w:rsidR="00A753EF" w:rsidRPr="00A753EF" w:rsidRDefault="00A753EF" w:rsidP="00A753EF">
            <w:pPr>
              <w:jc w:val="right"/>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i/>
                <w:color w:val="000000" w:themeColor="text1"/>
                <w:sz w:val="20"/>
                <w:szCs w:val="20"/>
              </w:rPr>
              <w:t>Valsts pamatbudžets</w:t>
            </w:r>
          </w:p>
        </w:tc>
        <w:tc>
          <w:tcPr>
            <w:tcW w:w="1082" w:type="dxa"/>
            <w:vAlign w:val="center"/>
          </w:tcPr>
          <w:p w14:paraId="57BB90F8"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+13,89</w:t>
            </w:r>
          </w:p>
        </w:tc>
      </w:tr>
      <w:tr w:rsidR="00A753EF" w:rsidRPr="00A753EF" w14:paraId="38515337" w14:textId="77777777" w:rsidTr="00A753E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7214" w:type="dxa"/>
          </w:tcPr>
          <w:p w14:paraId="34284C15" w14:textId="77777777" w:rsidR="00A753EF" w:rsidRPr="00A753EF" w:rsidRDefault="00A753EF" w:rsidP="00A753EF">
            <w:pPr>
              <w:jc w:val="right"/>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i/>
                <w:color w:val="000000" w:themeColor="text1"/>
                <w:sz w:val="20"/>
                <w:szCs w:val="20"/>
              </w:rPr>
              <w:t>Pašvaldības budžets</w:t>
            </w:r>
          </w:p>
        </w:tc>
        <w:tc>
          <w:tcPr>
            <w:tcW w:w="1082" w:type="dxa"/>
            <w:vAlign w:val="center"/>
          </w:tcPr>
          <w:p w14:paraId="08FBA0B7"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-7,30</w:t>
            </w:r>
          </w:p>
        </w:tc>
      </w:tr>
      <w:tr w:rsidR="00A753EF" w:rsidRPr="00A753EF" w14:paraId="6C46677E" w14:textId="77777777" w:rsidTr="00A753EF">
        <w:trPr>
          <w:trHeight w:val="250"/>
          <w:jc w:val="center"/>
        </w:trPr>
        <w:tc>
          <w:tcPr>
            <w:cnfStyle w:val="001000000000" w:firstRow="0" w:lastRow="0" w:firstColumn="1" w:lastColumn="0" w:oddVBand="0" w:evenVBand="0" w:oddHBand="0" w:evenHBand="0" w:firstRowFirstColumn="0" w:firstRowLastColumn="0" w:lastRowFirstColumn="0" w:lastRowLastColumn="0"/>
            <w:tcW w:w="7214" w:type="dxa"/>
          </w:tcPr>
          <w:p w14:paraId="22F22A71" w14:textId="77777777" w:rsidR="00A753EF" w:rsidRPr="00A753EF" w:rsidRDefault="00A753EF" w:rsidP="00A753EF">
            <w:pPr>
              <w:jc w:val="both"/>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1082" w:type="dxa"/>
            <w:vAlign w:val="center"/>
          </w:tcPr>
          <w:p w14:paraId="3F52F323"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6,59</w:t>
            </w:r>
          </w:p>
        </w:tc>
      </w:tr>
    </w:tbl>
    <w:p w14:paraId="63FD4E8C" w14:textId="77777777" w:rsidR="00A753EF" w:rsidRPr="00A753EF" w:rsidRDefault="00A753EF" w:rsidP="00A753EF">
      <w:pPr>
        <w:spacing w:after="0" w:line="240" w:lineRule="auto"/>
        <w:jc w:val="both"/>
        <w:rPr>
          <w:rFonts w:ascii="Times New Roman" w:eastAsia="Times New Roman" w:hAnsi="Times New Roman" w:cs="Times New Roman"/>
          <w:sz w:val="24"/>
          <w:szCs w:val="20"/>
        </w:rPr>
      </w:pPr>
    </w:p>
    <w:p w14:paraId="07BB41C8" w14:textId="28BC43D6" w:rsidR="00A753EF" w:rsidRPr="00A753EF" w:rsidRDefault="00A753EF" w:rsidP="007D0EC7">
      <w:pPr>
        <w:spacing w:after="0" w:line="240" w:lineRule="auto"/>
        <w:ind w:firstLine="720"/>
        <w:jc w:val="both"/>
        <w:rPr>
          <w:rFonts w:ascii="Times New Roman" w:eastAsia="Times New Roman" w:hAnsi="Times New Roman" w:cs="Times New Roman"/>
          <w:sz w:val="24"/>
          <w:szCs w:val="24"/>
          <w:shd w:val="clear" w:color="auto" w:fill="FFFFFF"/>
        </w:rPr>
      </w:pPr>
      <w:r w:rsidRPr="00A753EF">
        <w:rPr>
          <w:rFonts w:ascii="Times New Roman" w:eastAsia="Times New Roman" w:hAnsi="Times New Roman" w:cs="Times New Roman"/>
          <w:sz w:val="24"/>
          <w:szCs w:val="24"/>
          <w:shd w:val="clear" w:color="auto" w:fill="FFFFFF"/>
        </w:rPr>
        <w:t>Papildus grozījumiem likumā “</w:t>
      </w:r>
      <w:r w:rsidRPr="00A753EF">
        <w:rPr>
          <w:rFonts w:ascii="Times New Roman" w:eastAsia="Times New Roman" w:hAnsi="Times New Roman" w:cs="Times New Roman"/>
          <w:i/>
          <w:sz w:val="24"/>
          <w:szCs w:val="24"/>
          <w:shd w:val="clear" w:color="auto" w:fill="FFFFFF"/>
        </w:rPr>
        <w:t>Par izložu un azartspēļu nodevu un nodokli</w:t>
      </w:r>
      <w:r w:rsidR="007D0EC7">
        <w:rPr>
          <w:rFonts w:ascii="Times New Roman" w:eastAsia="Times New Roman" w:hAnsi="Times New Roman" w:cs="Times New Roman"/>
          <w:sz w:val="24"/>
          <w:szCs w:val="24"/>
          <w:shd w:val="clear" w:color="auto" w:fill="FFFFFF"/>
        </w:rPr>
        <w:t>”, 2019.gadā 16.</w:t>
      </w:r>
      <w:r w:rsidRPr="00A753EF">
        <w:rPr>
          <w:rFonts w:ascii="Times New Roman" w:eastAsia="Times New Roman" w:hAnsi="Times New Roman" w:cs="Times New Roman"/>
          <w:sz w:val="24"/>
          <w:szCs w:val="24"/>
          <w:shd w:val="clear" w:color="auto" w:fill="FFFFFF"/>
        </w:rPr>
        <w:t>jūlijā tika pieņemti M</w:t>
      </w:r>
      <w:r w:rsidR="007D0EC7">
        <w:rPr>
          <w:rFonts w:ascii="Times New Roman" w:eastAsia="Times New Roman" w:hAnsi="Times New Roman" w:cs="Times New Roman"/>
          <w:sz w:val="24"/>
          <w:szCs w:val="24"/>
          <w:shd w:val="clear" w:color="auto" w:fill="FFFFFF"/>
        </w:rPr>
        <w:t>K</w:t>
      </w:r>
      <w:r w:rsidRPr="00A753EF">
        <w:rPr>
          <w:rFonts w:ascii="Times New Roman" w:eastAsia="Times New Roman" w:hAnsi="Times New Roman" w:cs="Times New Roman"/>
          <w:sz w:val="24"/>
          <w:szCs w:val="24"/>
          <w:shd w:val="clear" w:color="auto" w:fill="FFFFFF"/>
        </w:rPr>
        <w:t xml:space="preserve"> noteikumi Nr.333 “No azartspēlēm un interaktīvajām izlozēm pašatteikušos personu reģistra noteikumi”, kuri izdoti saskaņā ar Azartspēļu un izložu likuma 4</w:t>
      </w:r>
      <w:r w:rsidRPr="00A753EF">
        <w:rPr>
          <w:rFonts w:ascii="Times New Roman" w:eastAsia="Times New Roman" w:hAnsi="Times New Roman" w:cs="Times New Roman"/>
          <w:sz w:val="24"/>
          <w:szCs w:val="24"/>
          <w:shd w:val="clear" w:color="auto" w:fill="FFFFFF"/>
          <w:vertAlign w:val="superscript"/>
        </w:rPr>
        <w:t>1</w:t>
      </w:r>
      <w:r w:rsidRPr="00A753EF">
        <w:rPr>
          <w:rFonts w:ascii="Times New Roman" w:eastAsia="Times New Roman" w:hAnsi="Times New Roman" w:cs="Times New Roman"/>
          <w:sz w:val="24"/>
          <w:szCs w:val="24"/>
          <w:shd w:val="clear" w:color="auto" w:fill="FFFFFF"/>
        </w:rPr>
        <w:t xml:space="preserve"> panta astoto un devīto daļu, 36. panta sesto daļu</w:t>
      </w:r>
      <w:r w:rsidR="007D0EC7">
        <w:rPr>
          <w:rFonts w:ascii="Times New Roman" w:eastAsia="Times New Roman" w:hAnsi="Times New Roman" w:cs="Times New Roman"/>
          <w:sz w:val="24"/>
          <w:szCs w:val="24"/>
          <w:shd w:val="clear" w:color="auto" w:fill="FFFFFF"/>
        </w:rPr>
        <w:t>. Noteikumi paredz, ka ar 2020.gada 1.</w:t>
      </w:r>
      <w:r w:rsidRPr="00A753EF">
        <w:rPr>
          <w:rFonts w:ascii="Times New Roman" w:eastAsia="Times New Roman" w:hAnsi="Times New Roman" w:cs="Times New Roman"/>
          <w:sz w:val="24"/>
          <w:szCs w:val="24"/>
          <w:shd w:val="clear" w:color="auto" w:fill="FFFFFF"/>
        </w:rPr>
        <w:t xml:space="preserve">janvāri fiziskai personai ir tiesības rakstveidā pieprasīt, lai tai tiktu noteikts liegums Latvijas republikā spēlēt azartspēles, tai skaitā interaktīvās azartspēles, un piedalīties interaktīvajās izlozēs un tā tiktu iekļauta pašattiekušos personu reģistrā. </w:t>
      </w:r>
    </w:p>
    <w:p w14:paraId="35D73EDE" w14:textId="77777777" w:rsidR="00A753EF" w:rsidRPr="00A753EF" w:rsidRDefault="00A753EF" w:rsidP="007D0EC7">
      <w:pPr>
        <w:spacing w:after="0" w:line="240" w:lineRule="auto"/>
        <w:ind w:firstLine="720"/>
        <w:jc w:val="both"/>
        <w:rPr>
          <w:rFonts w:ascii="Times New Roman" w:eastAsia="Times New Roman" w:hAnsi="Times New Roman" w:cs="Times New Roman"/>
          <w:sz w:val="24"/>
          <w:szCs w:val="24"/>
          <w:shd w:val="clear" w:color="auto" w:fill="FFFFFF"/>
        </w:rPr>
      </w:pPr>
      <w:r w:rsidRPr="00A753EF">
        <w:rPr>
          <w:rFonts w:ascii="Times New Roman" w:eastAsia="Times New Roman" w:hAnsi="Times New Roman" w:cs="Times New Roman"/>
          <w:sz w:val="24"/>
          <w:szCs w:val="24"/>
          <w:shd w:val="clear" w:color="auto" w:fill="FFFFFF"/>
        </w:rPr>
        <w:t>Pašatteikušos personu reģistra mērķis ir aizsargāt sabiedrības intereses un fizisko personu tiesības atturēties no pārmērīgas tieksmes uz azartspēļu, tai skaitā interaktīvo azartspēļu, spēlēšanu un piedalīšanos interaktīvajās izlozēs. Liegums attiecās uz piedalīšanos visās likumā minētajās azartspēlēs un interaktīvajās izlozēs.</w:t>
      </w:r>
    </w:p>
    <w:p w14:paraId="1D93A0BE" w14:textId="77777777" w:rsidR="00A753EF" w:rsidRPr="00A753EF" w:rsidRDefault="00A753EF" w:rsidP="007D0EC7">
      <w:pPr>
        <w:spacing w:before="360" w:after="60" w:line="240" w:lineRule="auto"/>
        <w:ind w:left="567" w:firstLine="153"/>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Dabas resursu nodoklis</w:t>
      </w:r>
    </w:p>
    <w:p w14:paraId="438A678C" w14:textId="77777777" w:rsidR="00A753EF" w:rsidRPr="00A753EF" w:rsidRDefault="00A753EF" w:rsidP="007D0EC7">
      <w:pPr>
        <w:spacing w:after="0" w:line="240" w:lineRule="auto"/>
        <w:ind w:firstLine="720"/>
        <w:jc w:val="both"/>
        <w:rPr>
          <w:rFonts w:ascii="Times New Roman" w:eastAsia="Times New Roman" w:hAnsi="Times New Roman" w:cs="Times New Roman"/>
          <w:sz w:val="24"/>
          <w:szCs w:val="20"/>
        </w:rPr>
      </w:pPr>
      <w:r w:rsidRPr="00A753EF">
        <w:rPr>
          <w:rFonts w:ascii="Times New Roman" w:eastAsia="Times New Roman" w:hAnsi="Times New Roman" w:cs="Times New Roman"/>
          <w:sz w:val="24"/>
          <w:szCs w:val="20"/>
        </w:rPr>
        <w:t>Dabas resursu nodokļa maksājumi ir tieši saistīti ar Latvijas uzņēmumu ekonomiskajām aktivitātēm un to izraisītajām vides noslodzē</w:t>
      </w:r>
      <w:r w:rsidRPr="00A753EF">
        <w:rPr>
          <w:rFonts w:ascii="Times New Roman" w:eastAsia="Times New Roman" w:hAnsi="Times New Roman" w:cs="Times New Roman"/>
          <w:sz w:val="24"/>
          <w:szCs w:val="24"/>
        </w:rPr>
        <w:t xml:space="preserve">m, kā arī veiktajiem vides aizsardzības pasākumiem. </w:t>
      </w:r>
      <w:r w:rsidRPr="00A753EF">
        <w:rPr>
          <w:rFonts w:ascii="Times New Roman" w:eastAsia="Times New Roman" w:hAnsi="Times New Roman" w:cs="Times New Roman"/>
          <w:sz w:val="24"/>
          <w:szCs w:val="20"/>
        </w:rPr>
        <w:t>Līdz ar to nodokļa ieņēmumi gan palielinās, palielinoties kopējai ekonomiskai aktivitātei, gan arī samazinās, uzņēmumiem un pašvaldībām veicot vides aizsardzības pasākumus.</w:t>
      </w:r>
    </w:p>
    <w:p w14:paraId="2FB34D7D" w14:textId="77777777" w:rsidR="00A753EF" w:rsidRPr="00D4275C" w:rsidRDefault="00A753EF" w:rsidP="00A753EF">
      <w:pPr>
        <w:widowControl w:val="0"/>
        <w:spacing w:after="0" w:line="240" w:lineRule="auto"/>
        <w:ind w:firstLine="720"/>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4"/>
        </w:rPr>
        <w:t xml:space="preserve">Saskaņā ar 2016.gada 15.decembrī pieņemtajiem grozījumiem Dabas resursu nodokļa likumā tika </w:t>
      </w:r>
      <w:r w:rsidRPr="00D4275C">
        <w:rPr>
          <w:rFonts w:ascii="Times New Roman" w:eastAsia="Times New Roman" w:hAnsi="Times New Roman" w:cs="Times New Roman"/>
          <w:sz w:val="24"/>
          <w:szCs w:val="24"/>
        </w:rPr>
        <w:t>paredzēta pakāpeniska dabas resursu nodokļa par atkritumu apglabāšanu paaugstināšana (</w:t>
      </w:r>
      <w:r w:rsidRPr="00D4275C">
        <w:rPr>
          <w:rFonts w:ascii="Times New Roman" w:eastAsia="Calibri" w:hAnsi="Times New Roman" w:cs="Times New Roman"/>
          <w:sz w:val="24"/>
          <w:szCs w:val="24"/>
          <w:lang w:eastAsia="lv-LV"/>
        </w:rPr>
        <w:t>skat. 4.13. tabulu)</w:t>
      </w:r>
      <w:r w:rsidRPr="00D4275C">
        <w:rPr>
          <w:rFonts w:ascii="Times New Roman" w:eastAsia="Times New Roman" w:hAnsi="Times New Roman" w:cs="Times New Roman"/>
          <w:sz w:val="24"/>
          <w:szCs w:val="24"/>
        </w:rPr>
        <w:t>.</w:t>
      </w:r>
    </w:p>
    <w:p w14:paraId="67C1D34C" w14:textId="77777777" w:rsidR="00A753EF" w:rsidRPr="00D4275C" w:rsidRDefault="00A753EF" w:rsidP="00A753EF">
      <w:pPr>
        <w:widowControl w:val="0"/>
        <w:spacing w:after="0" w:line="240" w:lineRule="auto"/>
        <w:ind w:firstLine="720"/>
        <w:jc w:val="both"/>
        <w:rPr>
          <w:rFonts w:ascii="Times New Roman" w:eastAsia="Times New Roman" w:hAnsi="Times New Roman" w:cs="Times New Roman"/>
          <w:sz w:val="24"/>
          <w:szCs w:val="24"/>
        </w:rPr>
      </w:pPr>
    </w:p>
    <w:p w14:paraId="11D3F769" w14:textId="77777777" w:rsidR="00A753EF" w:rsidRPr="00A753EF" w:rsidRDefault="00A753EF" w:rsidP="00A753EF">
      <w:pPr>
        <w:spacing w:after="0" w:line="240" w:lineRule="auto"/>
        <w:ind w:right="57" w:firstLine="567"/>
        <w:jc w:val="right"/>
        <w:rPr>
          <w:rFonts w:ascii="Times New Roman" w:eastAsia="Times New Roman" w:hAnsi="Times New Roman" w:cs="Times New Roman"/>
          <w:b/>
          <w:i/>
          <w:sz w:val="24"/>
          <w:szCs w:val="24"/>
        </w:rPr>
      </w:pPr>
      <w:r w:rsidRPr="00D4275C">
        <w:rPr>
          <w:rFonts w:ascii="Times New Roman" w:eastAsia="Times New Roman" w:hAnsi="Times New Roman" w:cs="Times New Roman"/>
          <w:b/>
          <w:sz w:val="24"/>
          <w:szCs w:val="20"/>
        </w:rPr>
        <w:t>4.13.tabula</w:t>
      </w:r>
      <w:r w:rsidRPr="00A753EF">
        <w:rPr>
          <w:rFonts w:ascii="Times New Roman" w:eastAsia="Times New Roman" w:hAnsi="Times New Roman" w:cs="Times New Roman"/>
          <w:b/>
          <w:sz w:val="24"/>
          <w:szCs w:val="20"/>
        </w:rPr>
        <w:t>. Dabas resursu nodokļa likmes par atkritumu apglabāšanu</w:t>
      </w:r>
    </w:p>
    <w:p w14:paraId="0BC720BC" w14:textId="77777777" w:rsidR="00A753EF" w:rsidRPr="00A753EF" w:rsidRDefault="00A753EF" w:rsidP="00A753EF">
      <w:pPr>
        <w:widowControl w:val="0"/>
        <w:spacing w:after="0" w:line="240" w:lineRule="auto"/>
        <w:ind w:firstLine="720"/>
        <w:jc w:val="right"/>
        <w:rPr>
          <w:rFonts w:ascii="Times New Roman" w:eastAsia="Calibri" w:hAnsi="Times New Roman" w:cs="Times New Roman"/>
          <w:b/>
          <w:sz w:val="24"/>
          <w:szCs w:val="28"/>
          <w:lang w:eastAsia="lv-LV"/>
        </w:rPr>
      </w:pPr>
      <w:r w:rsidRPr="00A753EF">
        <w:rPr>
          <w:rFonts w:ascii="Times New Roman" w:eastAsia="Calibri" w:hAnsi="Times New Roman" w:cs="Times New Roman"/>
          <w:b/>
          <w:sz w:val="24"/>
          <w:szCs w:val="28"/>
          <w:lang w:eastAsia="lv-LV"/>
        </w:rPr>
        <w:t xml:space="preserve"> 2019. – 2020. gadā, </w:t>
      </w:r>
      <w:r w:rsidRPr="00A753EF">
        <w:rPr>
          <w:rFonts w:ascii="Times New Roman" w:eastAsia="Calibri" w:hAnsi="Times New Roman" w:cs="Times New Roman"/>
          <w:b/>
          <w:i/>
          <w:sz w:val="24"/>
          <w:szCs w:val="28"/>
          <w:lang w:eastAsia="lv-LV"/>
        </w:rPr>
        <w:t>euro</w:t>
      </w:r>
    </w:p>
    <w:tbl>
      <w:tblPr>
        <w:tblStyle w:val="TableGrid18"/>
        <w:tblW w:w="8784" w:type="dxa"/>
        <w:jc w:val="center"/>
        <w:tblLook w:val="04A0" w:firstRow="1" w:lastRow="0" w:firstColumn="1" w:lastColumn="0" w:noHBand="0" w:noVBand="1"/>
      </w:tblPr>
      <w:tblGrid>
        <w:gridCol w:w="4950"/>
        <w:gridCol w:w="1991"/>
        <w:gridCol w:w="1843"/>
      </w:tblGrid>
      <w:tr w:rsidR="00A753EF" w:rsidRPr="00A753EF" w14:paraId="0087E6AD" w14:textId="77777777" w:rsidTr="007D0EC7">
        <w:trPr>
          <w:trHeight w:val="163"/>
          <w:jc w:val="center"/>
        </w:trPr>
        <w:tc>
          <w:tcPr>
            <w:tcW w:w="49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F7880" w14:textId="77777777" w:rsidR="00A753EF" w:rsidRPr="00A753EF" w:rsidRDefault="00A753EF" w:rsidP="00A753EF">
            <w:pPr>
              <w:widowControl w:val="0"/>
              <w:contextualSpacing/>
              <w:rPr>
                <w:b/>
                <w:sz w:val="20"/>
                <w:szCs w:val="24"/>
              </w:rPr>
            </w:pPr>
            <w:r w:rsidRPr="00A753EF">
              <w:rPr>
                <w:b/>
                <w:sz w:val="20"/>
                <w:szCs w:val="24"/>
              </w:rPr>
              <w:t>Atkritumu veids</w:t>
            </w:r>
          </w:p>
        </w:tc>
        <w:tc>
          <w:tcPr>
            <w:tcW w:w="19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FECD26" w14:textId="77777777" w:rsidR="00A753EF" w:rsidRPr="00A753EF" w:rsidRDefault="00A753EF" w:rsidP="00A753EF">
            <w:pPr>
              <w:widowControl w:val="0"/>
              <w:contextualSpacing/>
              <w:jc w:val="center"/>
              <w:rPr>
                <w:b/>
                <w:sz w:val="20"/>
                <w:szCs w:val="24"/>
              </w:rPr>
            </w:pPr>
            <w:r w:rsidRPr="00A753EF">
              <w:rPr>
                <w:b/>
                <w:sz w:val="20"/>
                <w:szCs w:val="24"/>
              </w:rPr>
              <w:t>01.01.2019.</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10EE05" w14:textId="77777777" w:rsidR="00A753EF" w:rsidRPr="00A753EF" w:rsidRDefault="00A753EF" w:rsidP="00A753EF">
            <w:pPr>
              <w:widowControl w:val="0"/>
              <w:contextualSpacing/>
              <w:jc w:val="center"/>
              <w:rPr>
                <w:b/>
                <w:sz w:val="20"/>
                <w:szCs w:val="24"/>
              </w:rPr>
            </w:pPr>
            <w:r w:rsidRPr="00A753EF">
              <w:rPr>
                <w:b/>
                <w:sz w:val="20"/>
                <w:szCs w:val="24"/>
              </w:rPr>
              <w:t>01.01.2020.</w:t>
            </w:r>
          </w:p>
        </w:tc>
      </w:tr>
      <w:tr w:rsidR="00A753EF" w:rsidRPr="00A753EF" w14:paraId="2EC42C19" w14:textId="77777777" w:rsidTr="00DE3E1F">
        <w:trPr>
          <w:trHeight w:val="531"/>
          <w:jc w:val="center"/>
        </w:trPr>
        <w:tc>
          <w:tcPr>
            <w:tcW w:w="4950" w:type="dxa"/>
            <w:tcBorders>
              <w:top w:val="single" w:sz="4" w:space="0" w:color="auto"/>
            </w:tcBorders>
            <w:shd w:val="clear" w:color="auto" w:fill="auto"/>
          </w:tcPr>
          <w:p w14:paraId="78A91871" w14:textId="77777777" w:rsidR="00A753EF" w:rsidRPr="00A753EF" w:rsidRDefault="00A753EF" w:rsidP="00A753EF">
            <w:pPr>
              <w:widowControl w:val="0"/>
              <w:contextualSpacing/>
              <w:jc w:val="both"/>
              <w:rPr>
                <w:sz w:val="20"/>
                <w:szCs w:val="24"/>
              </w:rPr>
            </w:pPr>
            <w:r w:rsidRPr="00A753EF">
              <w:rPr>
                <w:sz w:val="20"/>
                <w:szCs w:val="24"/>
              </w:rPr>
              <w:t xml:space="preserve">Sadzīves atkritumi un ražošanas atkritumi, kas nav uzskatāmi par bīstamiem atkritumiem, </w:t>
            </w:r>
            <w:r w:rsidRPr="00A753EF">
              <w:rPr>
                <w:bCs/>
                <w:i/>
                <w:sz w:val="20"/>
                <w:szCs w:val="24"/>
              </w:rPr>
              <w:t>euro</w:t>
            </w:r>
            <w:r w:rsidRPr="00A753EF">
              <w:rPr>
                <w:sz w:val="20"/>
                <w:szCs w:val="24"/>
              </w:rPr>
              <w:t xml:space="preserve"> par tonnu</w:t>
            </w:r>
          </w:p>
        </w:tc>
        <w:tc>
          <w:tcPr>
            <w:tcW w:w="1991" w:type="dxa"/>
            <w:tcBorders>
              <w:top w:val="single" w:sz="4" w:space="0" w:color="auto"/>
            </w:tcBorders>
            <w:shd w:val="clear" w:color="auto" w:fill="auto"/>
            <w:vAlign w:val="center"/>
          </w:tcPr>
          <w:p w14:paraId="0A1B9D98" w14:textId="77777777" w:rsidR="00A753EF" w:rsidRPr="00A753EF" w:rsidRDefault="00A753EF" w:rsidP="00A753EF">
            <w:pPr>
              <w:widowControl w:val="0"/>
              <w:contextualSpacing/>
              <w:jc w:val="center"/>
              <w:rPr>
                <w:sz w:val="20"/>
                <w:szCs w:val="24"/>
              </w:rPr>
            </w:pPr>
            <w:r w:rsidRPr="00A753EF">
              <w:rPr>
                <w:sz w:val="20"/>
                <w:szCs w:val="24"/>
              </w:rPr>
              <w:t>43,0</w:t>
            </w:r>
          </w:p>
        </w:tc>
        <w:tc>
          <w:tcPr>
            <w:tcW w:w="1843" w:type="dxa"/>
            <w:tcBorders>
              <w:top w:val="single" w:sz="4" w:space="0" w:color="auto"/>
            </w:tcBorders>
            <w:shd w:val="clear" w:color="auto" w:fill="auto"/>
            <w:vAlign w:val="center"/>
          </w:tcPr>
          <w:p w14:paraId="60797681" w14:textId="77777777" w:rsidR="00A753EF" w:rsidRPr="00A753EF" w:rsidRDefault="00A753EF" w:rsidP="00A753EF">
            <w:pPr>
              <w:widowControl w:val="0"/>
              <w:contextualSpacing/>
              <w:jc w:val="center"/>
              <w:rPr>
                <w:sz w:val="20"/>
                <w:szCs w:val="24"/>
              </w:rPr>
            </w:pPr>
            <w:r w:rsidRPr="00A753EF">
              <w:rPr>
                <w:sz w:val="20"/>
                <w:szCs w:val="24"/>
              </w:rPr>
              <w:t>50,0</w:t>
            </w:r>
          </w:p>
        </w:tc>
      </w:tr>
      <w:tr w:rsidR="00A753EF" w:rsidRPr="00A753EF" w14:paraId="593F9942" w14:textId="77777777" w:rsidTr="007D0EC7">
        <w:trPr>
          <w:trHeight w:val="553"/>
          <w:jc w:val="center"/>
        </w:trPr>
        <w:tc>
          <w:tcPr>
            <w:tcW w:w="4950" w:type="dxa"/>
            <w:shd w:val="clear" w:color="auto" w:fill="DEEAF6" w:themeFill="accent1" w:themeFillTint="33"/>
          </w:tcPr>
          <w:p w14:paraId="36DC90E0" w14:textId="77777777" w:rsidR="00A753EF" w:rsidRPr="00A753EF" w:rsidRDefault="00A753EF" w:rsidP="00A753EF">
            <w:pPr>
              <w:widowControl w:val="0"/>
              <w:contextualSpacing/>
              <w:jc w:val="both"/>
              <w:rPr>
                <w:sz w:val="20"/>
                <w:szCs w:val="24"/>
              </w:rPr>
            </w:pPr>
            <w:r w:rsidRPr="00A753EF">
              <w:rPr>
                <w:sz w:val="20"/>
                <w:szCs w:val="24"/>
              </w:rPr>
              <w:t xml:space="preserve">Bīstamie atkritumi un ražošanas atkritumi, kas ir uzskatāmi par bīstamiem atkritumiem, </w:t>
            </w:r>
            <w:r w:rsidRPr="00A753EF">
              <w:rPr>
                <w:bCs/>
                <w:i/>
                <w:sz w:val="20"/>
                <w:szCs w:val="24"/>
              </w:rPr>
              <w:t>euro</w:t>
            </w:r>
            <w:r w:rsidRPr="00A753EF">
              <w:rPr>
                <w:sz w:val="20"/>
                <w:szCs w:val="24"/>
              </w:rPr>
              <w:t xml:space="preserve"> par tonnu</w:t>
            </w:r>
          </w:p>
        </w:tc>
        <w:tc>
          <w:tcPr>
            <w:tcW w:w="1991" w:type="dxa"/>
            <w:shd w:val="clear" w:color="auto" w:fill="DEEAF6" w:themeFill="accent1" w:themeFillTint="33"/>
            <w:vAlign w:val="center"/>
          </w:tcPr>
          <w:p w14:paraId="46AEBA64" w14:textId="77777777" w:rsidR="00A753EF" w:rsidRPr="00A753EF" w:rsidRDefault="00A753EF" w:rsidP="00A753EF">
            <w:pPr>
              <w:widowControl w:val="0"/>
              <w:contextualSpacing/>
              <w:jc w:val="center"/>
              <w:rPr>
                <w:sz w:val="20"/>
                <w:szCs w:val="24"/>
              </w:rPr>
            </w:pPr>
            <w:r w:rsidRPr="00A753EF">
              <w:rPr>
                <w:sz w:val="20"/>
                <w:szCs w:val="24"/>
              </w:rPr>
              <w:t>55,0</w:t>
            </w:r>
          </w:p>
        </w:tc>
        <w:tc>
          <w:tcPr>
            <w:tcW w:w="1843" w:type="dxa"/>
            <w:shd w:val="clear" w:color="auto" w:fill="DEEAF6" w:themeFill="accent1" w:themeFillTint="33"/>
            <w:vAlign w:val="center"/>
          </w:tcPr>
          <w:p w14:paraId="38316013" w14:textId="77777777" w:rsidR="00A753EF" w:rsidRPr="00A753EF" w:rsidRDefault="00A753EF" w:rsidP="00A753EF">
            <w:pPr>
              <w:widowControl w:val="0"/>
              <w:contextualSpacing/>
              <w:jc w:val="center"/>
              <w:rPr>
                <w:sz w:val="20"/>
                <w:szCs w:val="24"/>
              </w:rPr>
            </w:pPr>
            <w:r w:rsidRPr="00A753EF">
              <w:rPr>
                <w:sz w:val="20"/>
                <w:szCs w:val="24"/>
              </w:rPr>
              <w:t>60,0</w:t>
            </w:r>
          </w:p>
        </w:tc>
      </w:tr>
    </w:tbl>
    <w:p w14:paraId="77E76971" w14:textId="77777777" w:rsidR="00A753EF" w:rsidRPr="00A753EF" w:rsidRDefault="00A753EF" w:rsidP="00A753EF">
      <w:pPr>
        <w:spacing w:after="0" w:line="240" w:lineRule="auto"/>
        <w:ind w:firstLine="720"/>
        <w:jc w:val="both"/>
        <w:rPr>
          <w:rFonts w:ascii="Times New Roman" w:eastAsia="Calibri" w:hAnsi="Times New Roman" w:cs="Times New Roman"/>
          <w:noProof/>
          <w:sz w:val="24"/>
          <w:szCs w:val="28"/>
          <w:lang w:eastAsia="lv-LV"/>
        </w:rPr>
      </w:pPr>
    </w:p>
    <w:p w14:paraId="03C5068C" w14:textId="5B63CAB7" w:rsidR="00A753EF" w:rsidRPr="00A753EF" w:rsidRDefault="007D0EC7" w:rsidP="00A753EF">
      <w:pPr>
        <w:spacing w:after="0" w:line="240" w:lineRule="auto"/>
        <w:ind w:firstLine="720"/>
        <w:jc w:val="both"/>
        <w:rPr>
          <w:rFonts w:ascii="Times New Roman" w:eastAsia="Calibri" w:hAnsi="Times New Roman" w:cs="Times New Roman"/>
          <w:noProof/>
          <w:sz w:val="24"/>
          <w:szCs w:val="28"/>
          <w:lang w:eastAsia="lv-LV"/>
        </w:rPr>
      </w:pPr>
      <w:r>
        <w:rPr>
          <w:rFonts w:ascii="Times New Roman" w:eastAsia="Calibri" w:hAnsi="Times New Roman" w:cs="Times New Roman"/>
          <w:noProof/>
          <w:sz w:val="24"/>
          <w:szCs w:val="28"/>
          <w:lang w:eastAsia="lv-LV"/>
        </w:rPr>
        <w:t>Saskaņā ar 2019.</w:t>
      </w:r>
      <w:r w:rsidR="00A753EF" w:rsidRPr="00A753EF">
        <w:rPr>
          <w:rFonts w:ascii="Times New Roman" w:eastAsia="Calibri" w:hAnsi="Times New Roman" w:cs="Times New Roman"/>
          <w:noProof/>
          <w:sz w:val="24"/>
          <w:szCs w:val="28"/>
          <w:lang w:eastAsia="lv-LV"/>
        </w:rPr>
        <w:t>gada 3.aprīlī pieņemtajiem grozījumiem Dabas resursu nodokļa likumā no 2019.gada 13.aprīļa, samaksājot dabas resursu nodokli 165,0 </w:t>
      </w:r>
      <w:r w:rsidR="00A753EF" w:rsidRPr="00A753EF">
        <w:rPr>
          <w:rFonts w:ascii="Times New Roman" w:eastAsia="Times New Roman" w:hAnsi="Times New Roman" w:cs="Times New Roman"/>
          <w:bCs/>
          <w:i/>
          <w:noProof/>
          <w:sz w:val="24"/>
          <w:szCs w:val="24"/>
          <w:lang w:eastAsia="lv-LV"/>
        </w:rPr>
        <w:t>euro</w:t>
      </w:r>
      <w:r w:rsidR="00A753EF" w:rsidRPr="00A753EF">
        <w:rPr>
          <w:rFonts w:ascii="Times New Roman" w:eastAsia="Calibri" w:hAnsi="Times New Roman" w:cs="Times New Roman"/>
          <w:noProof/>
          <w:sz w:val="24"/>
          <w:szCs w:val="28"/>
          <w:lang w:eastAsia="lv-LV"/>
        </w:rPr>
        <w:t xml:space="preserve"> apmērā, nodrošināta iespēja norakstīt transportlīdzekli, ja nav iespējams saņemt nolietota transportlīdzekļa likvidācijas sertifikātu sakarā ar transportlīdzekļa neesamību. Ar minētajiem </w:t>
      </w:r>
      <w:r w:rsidR="00A753EF" w:rsidRPr="00A753EF">
        <w:rPr>
          <w:rFonts w:ascii="Times New Roman" w:eastAsia="Calibri" w:hAnsi="Times New Roman" w:cs="Times New Roman"/>
          <w:sz w:val="24"/>
          <w:szCs w:val="28"/>
          <w:lang w:eastAsia="lv-LV"/>
        </w:rPr>
        <w:t>grozījumiem</w:t>
      </w:r>
      <w:r w:rsidR="00A753EF" w:rsidRPr="00A753EF">
        <w:rPr>
          <w:rFonts w:ascii="Times New Roman" w:eastAsia="Calibri" w:hAnsi="Times New Roman" w:cs="Times New Roman"/>
          <w:noProof/>
          <w:sz w:val="24"/>
          <w:szCs w:val="28"/>
          <w:lang w:eastAsia="lv-LV"/>
        </w:rPr>
        <w:t xml:space="preserve"> kopš 2019.gada 1.jūlija vairs netiek piemērots</w:t>
      </w:r>
      <w:r w:rsidR="00A753EF" w:rsidRPr="00A753EF">
        <w:rPr>
          <w:rFonts w:ascii="Times New Roman" w:eastAsia="Times New Roman" w:hAnsi="Times New Roman" w:cs="Times New Roman"/>
          <w:sz w:val="24"/>
          <w:szCs w:val="20"/>
          <w:shd w:val="clear" w:color="auto" w:fill="FFFFFF"/>
        </w:rPr>
        <w:t xml:space="preserve"> arī dabas resursu nodokļa</w:t>
      </w:r>
      <w:r w:rsidR="00E214EE">
        <w:rPr>
          <w:rFonts w:ascii="Times New Roman" w:eastAsia="Times New Roman" w:hAnsi="Times New Roman" w:cs="Times New Roman"/>
          <w:sz w:val="24"/>
          <w:szCs w:val="20"/>
          <w:shd w:val="clear" w:color="auto" w:fill="FFFFFF"/>
        </w:rPr>
        <w:t xml:space="preserve"> </w:t>
      </w:r>
      <w:r w:rsidR="00A753EF" w:rsidRPr="00A753EF">
        <w:rPr>
          <w:rFonts w:ascii="Times New Roman" w:eastAsia="Times New Roman" w:hAnsi="Times New Roman" w:cs="Times New Roman"/>
          <w:sz w:val="24"/>
          <w:szCs w:val="20"/>
          <w:shd w:val="clear" w:color="auto" w:fill="FFFFFF"/>
        </w:rPr>
        <w:t xml:space="preserve">atbrīvojums vienreiz lietojamajiem galda traukiem un piederumiem, kas izgatavoti no plastmasas (polimēriem) un to kompozītmateriāliem (laminātiem). </w:t>
      </w:r>
    </w:p>
    <w:p w14:paraId="3898CAF4" w14:textId="120705D5" w:rsidR="00A753EF" w:rsidRPr="00A753EF" w:rsidRDefault="007D0EC7" w:rsidP="00A753EF">
      <w:pPr>
        <w:spacing w:after="0" w:line="240" w:lineRule="auto"/>
        <w:ind w:firstLine="491"/>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Saskaņā ar 2019.gada 14.</w:t>
      </w:r>
      <w:r w:rsidR="00A753EF" w:rsidRPr="00A753EF">
        <w:rPr>
          <w:rFonts w:ascii="Times New Roman" w:eastAsia="Times New Roman" w:hAnsi="Times New Roman" w:cs="Times New Roman"/>
          <w:sz w:val="24"/>
          <w:szCs w:val="20"/>
        </w:rPr>
        <w:t xml:space="preserve">novembrī Saeimā pieņemtajām izmaiņām Dabas resursu nodokļa likumā: </w:t>
      </w:r>
    </w:p>
    <w:p w14:paraId="58AEBEEB" w14:textId="77777777" w:rsidR="00A753EF" w:rsidRPr="00A753EF" w:rsidRDefault="00A753EF" w:rsidP="00A753EF">
      <w:pPr>
        <w:numPr>
          <w:ilvl w:val="1"/>
          <w:numId w:val="25"/>
        </w:numPr>
        <w:spacing w:after="0" w:line="240" w:lineRule="auto"/>
        <w:ind w:left="851"/>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ar 2020.gada 1.janvāri tika paaugstinātas dabas resursu nodokļa likmes:</w:t>
      </w:r>
    </w:p>
    <w:p w14:paraId="42DF13C3" w14:textId="77777777" w:rsidR="00A753EF" w:rsidRPr="00A753EF" w:rsidRDefault="00A753EF" w:rsidP="00A753EF">
      <w:pPr>
        <w:numPr>
          <w:ilvl w:val="2"/>
          <w:numId w:val="25"/>
        </w:numPr>
        <w:spacing w:after="0" w:line="240" w:lineRule="auto"/>
        <w:ind w:left="1418"/>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akmeņoglēm, koksam un lignītam –</w:t>
      </w:r>
      <w:r w:rsidRPr="00A753EF">
        <w:rPr>
          <w:rFonts w:ascii="Times New Roman" w:eastAsia="Calibri" w:hAnsi="Times New Roman" w:cs="Times New Roman"/>
          <w:sz w:val="24"/>
        </w:rPr>
        <w:t xml:space="preserve"> </w:t>
      </w:r>
      <w:r w:rsidRPr="00A753EF">
        <w:rPr>
          <w:rFonts w:ascii="Times New Roman" w:eastAsia="Times New Roman" w:hAnsi="Times New Roman" w:cs="Times New Roman"/>
          <w:sz w:val="24"/>
          <w:szCs w:val="20"/>
        </w:rPr>
        <w:t xml:space="preserve">no 0,38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līdz 0,76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GJ/tonnā ar pavaddokumentos norādītu siltumspēju. Par akmeņoglēm, koksu un lignītu, kuru pavaddokumentos nav norādīta siltumspēja, likme tika paaugstināta no 10,65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līdz 21,30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tonnu;</w:t>
      </w:r>
    </w:p>
    <w:p w14:paraId="03060A3E" w14:textId="77777777" w:rsidR="00A753EF" w:rsidRPr="00A753EF" w:rsidRDefault="00A753EF" w:rsidP="00A753EF">
      <w:pPr>
        <w:numPr>
          <w:ilvl w:val="2"/>
          <w:numId w:val="25"/>
        </w:numPr>
        <w:spacing w:after="0" w:line="240" w:lineRule="auto"/>
        <w:ind w:left="1418"/>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 xml:space="preserve">smiltij no 0,21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līdz 0,36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m</w:t>
      </w:r>
      <w:r w:rsidRPr="00A753EF">
        <w:rPr>
          <w:rFonts w:ascii="Times New Roman" w:eastAsia="Times New Roman" w:hAnsi="Times New Roman" w:cs="Times New Roman"/>
          <w:sz w:val="24"/>
          <w:szCs w:val="20"/>
          <w:vertAlign w:val="superscript"/>
        </w:rPr>
        <w:t>3</w:t>
      </w:r>
      <w:r w:rsidRPr="00A753EF">
        <w:rPr>
          <w:rFonts w:ascii="Times New Roman" w:eastAsia="Times New Roman" w:hAnsi="Times New Roman" w:cs="Times New Roman"/>
          <w:sz w:val="24"/>
          <w:szCs w:val="20"/>
        </w:rPr>
        <w:t>;</w:t>
      </w:r>
    </w:p>
    <w:p w14:paraId="19C39D4E" w14:textId="77777777" w:rsidR="00A753EF" w:rsidRPr="00A753EF" w:rsidRDefault="00A753EF" w:rsidP="00A753EF">
      <w:pPr>
        <w:numPr>
          <w:ilvl w:val="2"/>
          <w:numId w:val="25"/>
        </w:numPr>
        <w:spacing w:after="0" w:line="240" w:lineRule="auto"/>
        <w:ind w:left="1418"/>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par CO</w:t>
      </w:r>
      <w:r w:rsidRPr="00A753EF">
        <w:rPr>
          <w:rFonts w:ascii="Times New Roman" w:eastAsia="Times New Roman" w:hAnsi="Times New Roman" w:cs="Times New Roman"/>
          <w:sz w:val="24"/>
          <w:szCs w:val="20"/>
          <w:vertAlign w:val="subscript"/>
        </w:rPr>
        <w:t>2</w:t>
      </w:r>
      <w:r w:rsidRPr="00A753EF">
        <w:rPr>
          <w:rFonts w:ascii="Times New Roman" w:eastAsia="Times New Roman" w:hAnsi="Times New Roman" w:cs="Times New Roman"/>
          <w:sz w:val="24"/>
          <w:szCs w:val="20"/>
        </w:rPr>
        <w:t xml:space="preserve"> emisiju no 4,50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līdz 9,00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tonnu. Likmi plānots paaugstināt arī ar 2021.gada 1.janvāri līdz 12,0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un ar 2022.gada 1.janvāri – līdz 15,00 </w:t>
      </w:r>
      <w:r w:rsidRPr="00A753EF">
        <w:rPr>
          <w:rFonts w:ascii="Times New Roman" w:eastAsia="Times New Roman" w:hAnsi="Times New Roman" w:cs="Times New Roman"/>
          <w:i/>
          <w:sz w:val="24"/>
          <w:szCs w:val="20"/>
        </w:rPr>
        <w:t>euro</w:t>
      </w:r>
      <w:r w:rsidRPr="00A753EF">
        <w:rPr>
          <w:rFonts w:ascii="Times New Roman" w:eastAsia="Times New Roman" w:hAnsi="Times New Roman" w:cs="Times New Roman"/>
          <w:sz w:val="24"/>
          <w:szCs w:val="20"/>
        </w:rPr>
        <w:t xml:space="preserve"> par tonnu;</w:t>
      </w:r>
    </w:p>
    <w:p w14:paraId="00767656" w14:textId="77777777" w:rsidR="00A753EF" w:rsidRPr="00A753EF" w:rsidRDefault="00A753EF" w:rsidP="00A753EF">
      <w:pPr>
        <w:numPr>
          <w:ilvl w:val="2"/>
          <w:numId w:val="25"/>
        </w:numPr>
        <w:spacing w:after="0" w:line="240" w:lineRule="auto"/>
        <w:ind w:left="1418"/>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ar 2020.gada 1.janvāri tika mainīta ieņēmumu sadale starp budžetiem, palielinot valsts pamatbudžetā ieskaitāmo daļu:</w:t>
      </w:r>
    </w:p>
    <w:p w14:paraId="5BA65FD0" w14:textId="1D5525C0" w:rsidR="00A753EF" w:rsidRPr="00A753EF" w:rsidRDefault="00A753EF" w:rsidP="00A753EF">
      <w:pPr>
        <w:numPr>
          <w:ilvl w:val="0"/>
          <w:numId w:val="27"/>
        </w:numPr>
        <w:spacing w:after="0" w:line="240" w:lineRule="auto"/>
        <w:ind w:right="57"/>
        <w:contextualSpacing/>
        <w:rPr>
          <w:rFonts w:ascii="Times New Roman" w:eastAsia="Times New Roman" w:hAnsi="Times New Roman" w:cs="Times New Roman"/>
          <w:sz w:val="24"/>
          <w:szCs w:val="24"/>
        </w:rPr>
      </w:pPr>
      <w:r w:rsidRPr="00A753EF">
        <w:rPr>
          <w:rFonts w:ascii="Times New Roman" w:eastAsia="Times New Roman" w:hAnsi="Times New Roman" w:cs="Times New Roman"/>
          <w:sz w:val="24"/>
          <w:szCs w:val="24"/>
        </w:rPr>
        <w:t>pa</w:t>
      </w:r>
      <w:r w:rsidR="00E214EE">
        <w:rPr>
          <w:rFonts w:ascii="Times New Roman" w:eastAsia="Times New Roman" w:hAnsi="Times New Roman" w:cs="Times New Roman"/>
          <w:sz w:val="24"/>
          <w:szCs w:val="24"/>
        </w:rPr>
        <w:t xml:space="preserve">r atkritumu apglabāšanu no 40% </w:t>
      </w:r>
      <w:r w:rsidRPr="00A753EF">
        <w:rPr>
          <w:rFonts w:ascii="Times New Roman" w:eastAsia="Times New Roman" w:hAnsi="Times New Roman" w:cs="Times New Roman"/>
          <w:sz w:val="24"/>
          <w:szCs w:val="24"/>
        </w:rPr>
        <w:t>uz 100%;</w:t>
      </w:r>
    </w:p>
    <w:p w14:paraId="18B68C9A" w14:textId="77777777" w:rsidR="00A753EF" w:rsidRPr="00A753EF" w:rsidRDefault="00A753EF" w:rsidP="00A753EF">
      <w:pPr>
        <w:numPr>
          <w:ilvl w:val="0"/>
          <w:numId w:val="27"/>
        </w:numPr>
        <w:spacing w:after="0" w:line="240" w:lineRule="auto"/>
        <w:ind w:right="57"/>
        <w:contextualSpacing/>
        <w:rPr>
          <w:rFonts w:ascii="Times New Roman" w:eastAsia="Times New Roman" w:hAnsi="Times New Roman" w:cs="Times New Roman"/>
          <w:sz w:val="24"/>
          <w:szCs w:val="24"/>
        </w:rPr>
      </w:pPr>
      <w:r w:rsidRPr="00A753EF">
        <w:rPr>
          <w:rFonts w:ascii="Times New Roman" w:eastAsia="Times New Roman" w:hAnsi="Times New Roman" w:cs="Times New Roman"/>
          <w:sz w:val="24"/>
          <w:szCs w:val="24"/>
          <w:shd w:val="clear" w:color="auto" w:fill="FFFFFF"/>
        </w:rPr>
        <w:t>par oglekļa dioksīda (CO</w:t>
      </w:r>
      <w:r w:rsidRPr="00A753EF">
        <w:rPr>
          <w:rFonts w:ascii="Times New Roman" w:eastAsia="Times New Roman" w:hAnsi="Times New Roman" w:cs="Times New Roman"/>
          <w:sz w:val="24"/>
          <w:szCs w:val="24"/>
          <w:bdr w:val="none" w:sz="0" w:space="0" w:color="auto" w:frame="1"/>
          <w:shd w:val="clear" w:color="auto" w:fill="FFFFFF"/>
          <w:vertAlign w:val="subscript"/>
        </w:rPr>
        <w:t>2</w:t>
      </w:r>
      <w:r w:rsidRPr="00A753EF">
        <w:rPr>
          <w:rFonts w:ascii="Times New Roman" w:eastAsia="Times New Roman" w:hAnsi="Times New Roman" w:cs="Times New Roman"/>
          <w:sz w:val="24"/>
          <w:szCs w:val="24"/>
          <w:shd w:val="clear" w:color="auto" w:fill="FFFFFF"/>
        </w:rPr>
        <w:t>) emisiju no 60% līdz 100%;</w:t>
      </w:r>
    </w:p>
    <w:p w14:paraId="2E3CAD50" w14:textId="77777777" w:rsidR="00A753EF" w:rsidRPr="00A753EF" w:rsidRDefault="00A753EF" w:rsidP="00A753EF">
      <w:pPr>
        <w:numPr>
          <w:ilvl w:val="0"/>
          <w:numId w:val="27"/>
        </w:numPr>
        <w:spacing w:after="0" w:line="240" w:lineRule="auto"/>
        <w:ind w:right="57"/>
        <w:contextualSpacing/>
        <w:jc w:val="both"/>
        <w:rPr>
          <w:rFonts w:ascii="Calibri" w:eastAsia="Times New Roman" w:hAnsi="Calibri" w:cs="Times New Roman"/>
          <w:szCs w:val="24"/>
        </w:rPr>
      </w:pPr>
      <w:r w:rsidRPr="00A753EF">
        <w:rPr>
          <w:rFonts w:ascii="Times New Roman" w:eastAsia="Times New Roman" w:hAnsi="Times New Roman" w:cs="Times New Roman"/>
          <w:sz w:val="24"/>
          <w:szCs w:val="24"/>
        </w:rPr>
        <w:t>par dabas resursu ieguvi vai izmantošanu un vides piesārņošanu no 40% uz 60%.</w:t>
      </w:r>
    </w:p>
    <w:p w14:paraId="68D1A6D5" w14:textId="77777777" w:rsidR="00A753EF" w:rsidRPr="00A753EF" w:rsidRDefault="00A753EF" w:rsidP="00A753EF">
      <w:pPr>
        <w:numPr>
          <w:ilvl w:val="1"/>
          <w:numId w:val="25"/>
        </w:numPr>
        <w:spacing w:after="0" w:line="240" w:lineRule="auto"/>
        <w:ind w:left="851"/>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ar 2020.gada 1.janvāri</w:t>
      </w:r>
      <w:r w:rsidRPr="00A753EF">
        <w:rPr>
          <w:rFonts w:ascii="Times New Roman" w:eastAsia="Times New Roman" w:hAnsi="Times New Roman" w:cs="Times New Roman"/>
          <w:sz w:val="24"/>
          <w:szCs w:val="24"/>
        </w:rPr>
        <w:t xml:space="preserve"> tika atcelts atbrīvojums no dabas resursu nodokļa akmeņoglēm, koksam un lignītam, ja tos izmanto elektroenerģijas ražošanā vai koģenerācijā;</w:t>
      </w:r>
    </w:p>
    <w:p w14:paraId="4DFA323D" w14:textId="77777777" w:rsidR="00A753EF" w:rsidRPr="00A753EF" w:rsidRDefault="00A753EF" w:rsidP="00A753EF">
      <w:pPr>
        <w:numPr>
          <w:ilvl w:val="1"/>
          <w:numId w:val="25"/>
        </w:numPr>
        <w:spacing w:after="0" w:line="240" w:lineRule="auto"/>
        <w:ind w:left="851"/>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0"/>
        </w:rPr>
        <w:t xml:space="preserve">ar 2021.gada 1.janvāri nodoklis tiks piemērots arī </w:t>
      </w:r>
      <w:r w:rsidRPr="00A753EF">
        <w:rPr>
          <w:rFonts w:ascii="Times New Roman" w:eastAsia="Times New Roman" w:hAnsi="Times New Roman" w:cs="Times New Roman"/>
          <w:sz w:val="24"/>
          <w:szCs w:val="24"/>
        </w:rPr>
        <w:t>par sadzīves atkritumu sadedzināšanu.</w:t>
      </w:r>
    </w:p>
    <w:p w14:paraId="1266277A" w14:textId="77777777" w:rsidR="00A753EF" w:rsidRPr="00A753EF" w:rsidRDefault="00A753EF" w:rsidP="00A753EF">
      <w:pPr>
        <w:spacing w:after="0" w:line="240" w:lineRule="auto"/>
        <w:ind w:firstLine="567"/>
        <w:jc w:val="both"/>
        <w:rPr>
          <w:rFonts w:ascii="Times New Roman" w:eastAsia="Times New Roman" w:hAnsi="Times New Roman" w:cs="Times New Roman"/>
          <w:sz w:val="24"/>
          <w:szCs w:val="20"/>
        </w:rPr>
      </w:pPr>
    </w:p>
    <w:p w14:paraId="108FD97E" w14:textId="77777777" w:rsidR="00422981" w:rsidRDefault="00422981">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74053A93" w14:textId="4AB80475"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rPr>
      </w:pPr>
      <w:r w:rsidRPr="00D4275C">
        <w:rPr>
          <w:rFonts w:ascii="Times New Roman" w:eastAsia="Times New Roman" w:hAnsi="Times New Roman" w:cs="Times New Roman"/>
          <w:b/>
          <w:sz w:val="24"/>
          <w:szCs w:val="20"/>
        </w:rPr>
        <w:t>4.14.tabula</w:t>
      </w:r>
      <w:r w:rsidRPr="00A753EF">
        <w:rPr>
          <w:rFonts w:ascii="Times New Roman" w:eastAsia="Times New Roman" w:hAnsi="Times New Roman" w:cs="Times New Roman"/>
          <w:b/>
          <w:sz w:val="24"/>
          <w:szCs w:val="20"/>
        </w:rPr>
        <w:t>. Nodokļu politikas izmaiņu ietekme uz dabas resursu nodokļa ieņēmumiem, milj. </w:t>
      </w:r>
      <w:r w:rsidRPr="00A753EF">
        <w:rPr>
          <w:rFonts w:ascii="Times New Roman" w:eastAsia="Times New Roman" w:hAnsi="Times New Roman" w:cs="Times New Roman"/>
          <w:b/>
          <w:i/>
          <w:sz w:val="24"/>
          <w:szCs w:val="20"/>
        </w:rPr>
        <w:t>euro</w:t>
      </w:r>
      <w:r w:rsidRPr="00A753EF">
        <w:rPr>
          <w:rFonts w:ascii="Times New Roman" w:eastAsia="Times New Roman" w:hAnsi="Times New Roman" w:cs="Times New Roman"/>
          <w:b/>
          <w:sz w:val="24"/>
          <w:szCs w:val="20"/>
        </w:rPr>
        <w:t xml:space="preserve"> </w:t>
      </w:r>
    </w:p>
    <w:tbl>
      <w:tblPr>
        <w:tblStyle w:val="GridTable6Colorful-Accent1"/>
        <w:tblW w:w="9322" w:type="dxa"/>
        <w:jc w:val="center"/>
        <w:tblLayout w:type="fixed"/>
        <w:tblLook w:val="04A0" w:firstRow="1" w:lastRow="0" w:firstColumn="1" w:lastColumn="0" w:noHBand="0" w:noVBand="1"/>
      </w:tblPr>
      <w:tblGrid>
        <w:gridCol w:w="5637"/>
        <w:gridCol w:w="992"/>
        <w:gridCol w:w="992"/>
        <w:gridCol w:w="851"/>
        <w:gridCol w:w="850"/>
      </w:tblGrid>
      <w:tr w:rsidR="00A753EF" w:rsidRPr="00A753EF" w14:paraId="627D69AE" w14:textId="77777777" w:rsidTr="00DE3E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07A50FA5" w14:textId="77777777" w:rsidR="00A753EF" w:rsidRPr="00A753EF" w:rsidRDefault="00A753EF" w:rsidP="00A753EF">
            <w:pPr>
              <w:rPr>
                <w:rFonts w:ascii="Times New Roman" w:eastAsia="Times New Roman" w:hAnsi="Times New Roman" w:cs="Times New Roman"/>
                <w:color w:val="000000" w:themeColor="text1"/>
                <w:sz w:val="20"/>
              </w:rPr>
            </w:pPr>
          </w:p>
        </w:tc>
        <w:tc>
          <w:tcPr>
            <w:tcW w:w="992" w:type="dxa"/>
          </w:tcPr>
          <w:p w14:paraId="6255D254"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2020</w:t>
            </w:r>
          </w:p>
        </w:tc>
        <w:tc>
          <w:tcPr>
            <w:tcW w:w="992" w:type="dxa"/>
          </w:tcPr>
          <w:p w14:paraId="1172D2DC"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2021</w:t>
            </w:r>
          </w:p>
        </w:tc>
        <w:tc>
          <w:tcPr>
            <w:tcW w:w="851" w:type="dxa"/>
          </w:tcPr>
          <w:p w14:paraId="7D0FFC70"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2022</w:t>
            </w:r>
          </w:p>
        </w:tc>
        <w:tc>
          <w:tcPr>
            <w:tcW w:w="850" w:type="dxa"/>
          </w:tcPr>
          <w:p w14:paraId="69544F91"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2023</w:t>
            </w:r>
          </w:p>
        </w:tc>
      </w:tr>
      <w:tr w:rsidR="00A753EF" w:rsidRPr="00A753EF" w14:paraId="48D693C4"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004C29A8" w14:textId="77777777" w:rsidR="00A753EF" w:rsidRPr="00A753EF" w:rsidRDefault="00A753EF" w:rsidP="00A753EF">
            <w:pPr>
              <w:rPr>
                <w:rFonts w:ascii="Calibri" w:eastAsia="Times New Roman" w:hAnsi="Calibri" w:cs="Times New Roman"/>
                <w:color w:val="000000" w:themeColor="text1"/>
                <w:sz w:val="20"/>
              </w:rPr>
            </w:pPr>
            <w:r w:rsidRPr="00A753EF">
              <w:rPr>
                <w:rFonts w:ascii="Times New Roman" w:eastAsia="Times New Roman" w:hAnsi="Times New Roman" w:cs="Times New Roman"/>
                <w:color w:val="000000" w:themeColor="text1"/>
                <w:sz w:val="20"/>
              </w:rPr>
              <w:t>Dabas resursu nodokļa atbrīvojuma atcelšana  vienreiz lietojamajiem galda traukiem un piederumiem, kas izgatavoti no plastmasas un kompozīta materiāliem, un iespēja norakstīt transportlīdzekli bez nolietota transportlīdzekļa likvidācijas sertifikāta</w:t>
            </w:r>
          </w:p>
        </w:tc>
        <w:tc>
          <w:tcPr>
            <w:tcW w:w="992" w:type="dxa"/>
            <w:vAlign w:val="center"/>
          </w:tcPr>
          <w:p w14:paraId="04E6C5A9"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rPr>
            </w:pPr>
            <w:r w:rsidRPr="00A753EF">
              <w:rPr>
                <w:rFonts w:ascii="Calibri" w:eastAsia="Times New Roman" w:hAnsi="Calibri" w:cs="Times New Roman"/>
                <w:color w:val="000000" w:themeColor="text1"/>
                <w:sz w:val="20"/>
              </w:rPr>
              <w:t>+1,6</w:t>
            </w:r>
          </w:p>
        </w:tc>
        <w:tc>
          <w:tcPr>
            <w:tcW w:w="992" w:type="dxa"/>
            <w:vAlign w:val="center"/>
          </w:tcPr>
          <w:p w14:paraId="24399DA5"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rPr>
            </w:pPr>
          </w:p>
        </w:tc>
        <w:tc>
          <w:tcPr>
            <w:tcW w:w="851" w:type="dxa"/>
            <w:vAlign w:val="center"/>
          </w:tcPr>
          <w:p w14:paraId="51617C19"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rPr>
            </w:pPr>
          </w:p>
        </w:tc>
        <w:tc>
          <w:tcPr>
            <w:tcW w:w="850" w:type="dxa"/>
            <w:vAlign w:val="center"/>
          </w:tcPr>
          <w:p w14:paraId="23E2A4B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rPr>
            </w:pPr>
          </w:p>
        </w:tc>
      </w:tr>
      <w:tr w:rsidR="00A753EF" w:rsidRPr="00A753EF" w14:paraId="404FC400" w14:textId="77777777" w:rsidTr="00DE3E1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6AEFAD61" w14:textId="77777777" w:rsidR="00A753EF" w:rsidRPr="00A753EF" w:rsidRDefault="00A753EF" w:rsidP="00A753EF">
            <w:pPr>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Dabas resursu nodokļa likmju paaugstināšana smiltij</w:t>
            </w:r>
          </w:p>
        </w:tc>
        <w:tc>
          <w:tcPr>
            <w:tcW w:w="992" w:type="dxa"/>
            <w:vAlign w:val="center"/>
          </w:tcPr>
          <w:p w14:paraId="07DB40A7"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+0,4</w:t>
            </w:r>
          </w:p>
        </w:tc>
        <w:tc>
          <w:tcPr>
            <w:tcW w:w="992" w:type="dxa"/>
            <w:vAlign w:val="center"/>
          </w:tcPr>
          <w:p w14:paraId="014BF50E"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1" w:type="dxa"/>
            <w:vAlign w:val="center"/>
          </w:tcPr>
          <w:p w14:paraId="5A04B7E8"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0" w:type="dxa"/>
            <w:vAlign w:val="center"/>
          </w:tcPr>
          <w:p w14:paraId="0210245D"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r>
      <w:tr w:rsidR="00A753EF" w:rsidRPr="00A753EF" w14:paraId="6F41A837"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4F1F0107" w14:textId="77777777" w:rsidR="00A753EF" w:rsidRPr="00A753EF" w:rsidRDefault="00A753EF" w:rsidP="00A753EF">
            <w:pPr>
              <w:rPr>
                <w:rFonts w:ascii="Calibri" w:eastAsia="Times New Roman" w:hAnsi="Calibri" w:cs="Times New Roman"/>
                <w:color w:val="000000" w:themeColor="text1"/>
                <w:sz w:val="20"/>
              </w:rPr>
            </w:pPr>
            <w:r w:rsidRPr="00A753EF">
              <w:rPr>
                <w:rFonts w:ascii="Times New Roman" w:eastAsia="Times New Roman" w:hAnsi="Times New Roman" w:cs="Times New Roman"/>
                <w:color w:val="000000" w:themeColor="text1"/>
                <w:sz w:val="20"/>
              </w:rPr>
              <w:t>Dabas resursu nodokļa likmju paaugstināšana par CO</w:t>
            </w:r>
            <w:r w:rsidRPr="00A753EF">
              <w:rPr>
                <w:rFonts w:ascii="Times New Roman" w:eastAsia="Times New Roman" w:hAnsi="Times New Roman" w:cs="Times New Roman"/>
                <w:color w:val="000000" w:themeColor="text1"/>
                <w:sz w:val="20"/>
                <w:vertAlign w:val="subscript"/>
              </w:rPr>
              <w:t>2</w:t>
            </w:r>
          </w:p>
        </w:tc>
        <w:tc>
          <w:tcPr>
            <w:tcW w:w="992" w:type="dxa"/>
            <w:vAlign w:val="center"/>
          </w:tcPr>
          <w:p w14:paraId="73774FE4"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+1,0</w:t>
            </w:r>
          </w:p>
        </w:tc>
        <w:tc>
          <w:tcPr>
            <w:tcW w:w="992" w:type="dxa"/>
            <w:vAlign w:val="center"/>
          </w:tcPr>
          <w:p w14:paraId="4340E2AD"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+1,0</w:t>
            </w:r>
          </w:p>
        </w:tc>
        <w:tc>
          <w:tcPr>
            <w:tcW w:w="851" w:type="dxa"/>
            <w:vAlign w:val="center"/>
          </w:tcPr>
          <w:p w14:paraId="2B44E2A3"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+1,0</w:t>
            </w:r>
          </w:p>
        </w:tc>
        <w:tc>
          <w:tcPr>
            <w:tcW w:w="850" w:type="dxa"/>
            <w:vAlign w:val="center"/>
          </w:tcPr>
          <w:p w14:paraId="0CB74E40"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p>
        </w:tc>
      </w:tr>
      <w:tr w:rsidR="00A753EF" w:rsidRPr="00A753EF" w14:paraId="35D19898" w14:textId="77777777" w:rsidTr="00DE3E1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44DF444F" w14:textId="77777777" w:rsidR="00A753EF" w:rsidRPr="00A753EF" w:rsidRDefault="00A753EF" w:rsidP="00A753EF">
            <w:pPr>
              <w:rPr>
                <w:rFonts w:ascii="Calibri" w:eastAsia="Times New Roman" w:hAnsi="Calibri" w:cs="Times New Roman"/>
                <w:color w:val="000000" w:themeColor="text1"/>
                <w:sz w:val="20"/>
              </w:rPr>
            </w:pPr>
            <w:r w:rsidRPr="00A753EF">
              <w:rPr>
                <w:rFonts w:ascii="Times New Roman" w:eastAsia="Times New Roman" w:hAnsi="Times New Roman" w:cs="Times New Roman"/>
                <w:color w:val="000000" w:themeColor="text1"/>
                <w:sz w:val="20"/>
              </w:rPr>
              <w:t>Dabas resursu nodokļa likmju paaugstināšana akmeņoglēm, koksam un lignītam</w:t>
            </w:r>
          </w:p>
        </w:tc>
        <w:tc>
          <w:tcPr>
            <w:tcW w:w="992" w:type="dxa"/>
            <w:vAlign w:val="center"/>
          </w:tcPr>
          <w:p w14:paraId="444C6E21"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+0,8</w:t>
            </w:r>
          </w:p>
        </w:tc>
        <w:tc>
          <w:tcPr>
            <w:tcW w:w="992" w:type="dxa"/>
            <w:vAlign w:val="center"/>
          </w:tcPr>
          <w:p w14:paraId="4329C34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1" w:type="dxa"/>
            <w:vAlign w:val="center"/>
          </w:tcPr>
          <w:p w14:paraId="3434513B"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0" w:type="dxa"/>
            <w:vAlign w:val="center"/>
          </w:tcPr>
          <w:p w14:paraId="561D1C4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rPr>
            </w:pPr>
          </w:p>
        </w:tc>
      </w:tr>
      <w:tr w:rsidR="00A753EF" w:rsidRPr="00A753EF" w14:paraId="5506E618"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14:paraId="44D7D4C9" w14:textId="77777777" w:rsidR="00A753EF" w:rsidRPr="00A753EF" w:rsidRDefault="00A753EF" w:rsidP="00A753EF">
            <w:pPr>
              <w:rPr>
                <w:rFonts w:ascii="Calibri" w:eastAsia="Times New Roman" w:hAnsi="Calibri" w:cs="Times New Roman"/>
                <w:color w:val="000000" w:themeColor="text1"/>
                <w:sz w:val="20"/>
              </w:rPr>
            </w:pPr>
            <w:r w:rsidRPr="00A753EF">
              <w:rPr>
                <w:rFonts w:ascii="Times New Roman" w:eastAsia="Times New Roman" w:hAnsi="Times New Roman" w:cs="Times New Roman"/>
                <w:color w:val="000000" w:themeColor="text1"/>
                <w:sz w:val="20"/>
              </w:rPr>
              <w:t>Dabas resursu nodokļa piemērošana par atkritumu sadedzināšanu</w:t>
            </w:r>
          </w:p>
        </w:tc>
        <w:tc>
          <w:tcPr>
            <w:tcW w:w="992" w:type="dxa"/>
            <w:vAlign w:val="center"/>
          </w:tcPr>
          <w:p w14:paraId="270B0D7F"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p>
        </w:tc>
        <w:tc>
          <w:tcPr>
            <w:tcW w:w="992" w:type="dxa"/>
            <w:vAlign w:val="center"/>
          </w:tcPr>
          <w:p w14:paraId="6E1178E2"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+0,2</w:t>
            </w:r>
          </w:p>
        </w:tc>
        <w:tc>
          <w:tcPr>
            <w:tcW w:w="851" w:type="dxa"/>
            <w:vAlign w:val="center"/>
          </w:tcPr>
          <w:p w14:paraId="2F575556"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0" w:type="dxa"/>
            <w:vAlign w:val="center"/>
          </w:tcPr>
          <w:p w14:paraId="447198FC"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p>
        </w:tc>
      </w:tr>
      <w:tr w:rsidR="00A753EF" w:rsidRPr="00A753EF" w14:paraId="7E60B15B" w14:textId="77777777" w:rsidTr="00DE3E1F">
        <w:trPr>
          <w:jc w:val="center"/>
        </w:trPr>
        <w:tc>
          <w:tcPr>
            <w:cnfStyle w:val="001000000000" w:firstRow="0" w:lastRow="0" w:firstColumn="1" w:lastColumn="0" w:oddVBand="0" w:evenVBand="0" w:oddHBand="0" w:evenHBand="0" w:firstRowFirstColumn="0" w:firstRowLastColumn="0" w:lastRowFirstColumn="0" w:lastRowLastColumn="0"/>
            <w:tcW w:w="5637" w:type="dxa"/>
          </w:tcPr>
          <w:p w14:paraId="04B60BCD" w14:textId="77777777" w:rsidR="00A753EF" w:rsidRPr="00A753EF" w:rsidRDefault="00A753EF" w:rsidP="00A753EF">
            <w:pPr>
              <w:jc w:val="both"/>
              <w:rPr>
                <w:rFonts w:ascii="Times New Roman" w:eastAsia="Times New Roman" w:hAnsi="Times New Roman" w:cs="Times New Roman"/>
                <w:color w:val="000000" w:themeColor="text1"/>
                <w:sz w:val="20"/>
              </w:rPr>
            </w:pPr>
            <w:r w:rsidRPr="00A753EF">
              <w:rPr>
                <w:rFonts w:ascii="Times New Roman" w:eastAsia="Times New Roman" w:hAnsi="Times New Roman" w:cs="Times New Roman"/>
                <w:color w:val="000000" w:themeColor="text1"/>
                <w:sz w:val="20"/>
              </w:rPr>
              <w:t>Izmaiņu ietekme kopā:</w:t>
            </w:r>
          </w:p>
        </w:tc>
        <w:tc>
          <w:tcPr>
            <w:tcW w:w="992" w:type="dxa"/>
            <w:vAlign w:val="center"/>
          </w:tcPr>
          <w:p w14:paraId="56EF6C39"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rPr>
            </w:pPr>
            <w:r w:rsidRPr="00A753EF">
              <w:rPr>
                <w:rFonts w:ascii="Times New Roman" w:eastAsia="Times New Roman" w:hAnsi="Times New Roman" w:cs="Times New Roman"/>
                <w:b/>
                <w:color w:val="000000" w:themeColor="text1"/>
                <w:sz w:val="20"/>
              </w:rPr>
              <w:t>+3,8</w:t>
            </w:r>
          </w:p>
        </w:tc>
        <w:tc>
          <w:tcPr>
            <w:tcW w:w="992" w:type="dxa"/>
            <w:vAlign w:val="center"/>
          </w:tcPr>
          <w:p w14:paraId="3A179BC0"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rPr>
            </w:pPr>
            <w:r w:rsidRPr="00A753EF">
              <w:rPr>
                <w:rFonts w:ascii="Times New Roman" w:eastAsia="Times New Roman" w:hAnsi="Times New Roman" w:cs="Times New Roman"/>
                <w:b/>
                <w:color w:val="000000" w:themeColor="text1"/>
                <w:sz w:val="20"/>
              </w:rPr>
              <w:t>+1,2</w:t>
            </w:r>
          </w:p>
        </w:tc>
        <w:tc>
          <w:tcPr>
            <w:tcW w:w="851" w:type="dxa"/>
            <w:vAlign w:val="center"/>
          </w:tcPr>
          <w:p w14:paraId="36BEF4CF"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rPr>
            </w:pPr>
            <w:r w:rsidRPr="00A753EF">
              <w:rPr>
                <w:rFonts w:ascii="Times New Roman" w:eastAsia="Times New Roman" w:hAnsi="Times New Roman" w:cs="Times New Roman"/>
                <w:b/>
                <w:color w:val="000000" w:themeColor="text1"/>
                <w:sz w:val="20"/>
              </w:rPr>
              <w:t>+1,0</w:t>
            </w:r>
          </w:p>
        </w:tc>
        <w:tc>
          <w:tcPr>
            <w:tcW w:w="850" w:type="dxa"/>
            <w:vAlign w:val="center"/>
          </w:tcPr>
          <w:p w14:paraId="56C27DCB" w14:textId="77777777" w:rsidR="00A753EF" w:rsidRPr="00A753EF" w:rsidRDefault="00A753EF" w:rsidP="00A753EF">
            <w:pPr>
              <w:tabs>
                <w:tab w:val="decimal" w:pos="458"/>
              </w:tabs>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rPr>
            </w:pPr>
          </w:p>
        </w:tc>
      </w:tr>
    </w:tbl>
    <w:p w14:paraId="5E80DD61" w14:textId="77777777" w:rsidR="00A753EF" w:rsidRPr="00A753EF" w:rsidRDefault="00A753EF" w:rsidP="00A753EF">
      <w:pPr>
        <w:spacing w:after="0" w:line="240" w:lineRule="auto"/>
        <w:rPr>
          <w:rFonts w:ascii="Times New Roman" w:eastAsia="Calibri" w:hAnsi="Times New Roman" w:cs="Times New Roman"/>
          <w:sz w:val="24"/>
        </w:rPr>
      </w:pPr>
    </w:p>
    <w:p w14:paraId="10B9ACAE" w14:textId="5B37F1F8" w:rsidR="00A753EF" w:rsidRPr="008246E4" w:rsidRDefault="008246E4" w:rsidP="008246E4">
      <w:pPr>
        <w:pStyle w:val="Heading3"/>
        <w:numPr>
          <w:ilvl w:val="2"/>
          <w:numId w:val="35"/>
        </w:numPr>
        <w:rPr>
          <w:rFonts w:ascii="Times New Roman" w:eastAsia="Times New Roman" w:hAnsi="Times New Roman" w:cs="Times New Roman"/>
          <w:sz w:val="24"/>
          <w:szCs w:val="24"/>
        </w:rPr>
      </w:pPr>
      <w:bookmarkStart w:id="56" w:name="_Toc38887985"/>
      <w:r w:rsidRPr="008246E4">
        <w:rPr>
          <w:rFonts w:ascii="Times New Roman" w:eastAsia="Times New Roman" w:hAnsi="Times New Roman" w:cs="Times New Roman"/>
          <w:sz w:val="24"/>
          <w:szCs w:val="24"/>
        </w:rPr>
        <w:t>S</w:t>
      </w:r>
      <w:r w:rsidR="00A753EF" w:rsidRPr="008246E4">
        <w:rPr>
          <w:rFonts w:ascii="Times New Roman" w:eastAsia="Times New Roman" w:hAnsi="Times New Roman" w:cs="Times New Roman"/>
          <w:sz w:val="24"/>
          <w:szCs w:val="24"/>
        </w:rPr>
        <w:t>cenārija COVID-19 nodokļu ieņēmumu prognozes</w:t>
      </w:r>
      <w:bookmarkEnd w:id="56"/>
    </w:p>
    <w:p w14:paraId="3E224BE7" w14:textId="77777777" w:rsidR="00A753EF" w:rsidRPr="00422981" w:rsidRDefault="00A753EF" w:rsidP="00A753EF">
      <w:pPr>
        <w:spacing w:after="0" w:line="240" w:lineRule="auto"/>
        <w:ind w:firstLine="720"/>
        <w:jc w:val="both"/>
        <w:rPr>
          <w:rFonts w:ascii="Times New Roman" w:eastAsia="Calibri" w:hAnsi="Times New Roman" w:cs="Times New Roman"/>
          <w:sz w:val="16"/>
          <w:szCs w:val="16"/>
        </w:rPr>
      </w:pPr>
    </w:p>
    <w:p w14:paraId="44C6BBB4" w14:textId="5F537385"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Izstrādājot aktualizētā scenārija ieņēmumu prognozes, tika ņemtas vērā aktualizētās makroekonomiskās prognozes, kas paredz būtisku makroekonomisko rādītāju kritumu. Tiek prognozēts, ka IKP 2020.gadā salīdzinājumā pret iepriekšējo gadu samazināsies par -7,9% (vidēja termiņa budžeta ietvarā prognozētais pieaugums bija +5,6%). Rezultātā kopbudžeta nodokļu ieņ</w:t>
      </w:r>
      <w:r w:rsidR="006F38BE">
        <w:rPr>
          <w:rFonts w:ascii="Times New Roman" w:eastAsia="Calibri" w:hAnsi="Times New Roman" w:cs="Times New Roman"/>
          <w:sz w:val="24"/>
        </w:rPr>
        <w:t>ēmumi tiek prognozēti ar -1,5 m</w:t>
      </w:r>
      <w:r w:rsidRPr="00A753EF">
        <w:rPr>
          <w:rFonts w:ascii="Times New Roman" w:eastAsia="Calibri" w:hAnsi="Times New Roman" w:cs="Times New Roman"/>
          <w:sz w:val="24"/>
        </w:rPr>
        <w:t>ljrd. </w:t>
      </w:r>
      <w:r w:rsidRPr="007D0EC7">
        <w:rPr>
          <w:rFonts w:ascii="Times New Roman" w:eastAsia="Calibri" w:hAnsi="Times New Roman" w:cs="Times New Roman"/>
          <w:i/>
          <w:sz w:val="24"/>
        </w:rPr>
        <w:t>euro</w:t>
      </w:r>
      <w:r w:rsidRPr="00A753EF">
        <w:rPr>
          <w:rFonts w:ascii="Times New Roman" w:eastAsia="Calibri" w:hAnsi="Times New Roman" w:cs="Times New Roman"/>
          <w:sz w:val="24"/>
        </w:rPr>
        <w:t xml:space="preserve"> samazinājumu salīdzinājumā ar vidēja termiņa budžeta ietvara prognozi 2020.gadam.</w:t>
      </w:r>
    </w:p>
    <w:p w14:paraId="171BB99E" w14:textId="15B2C19A" w:rsidR="00A753EF" w:rsidRPr="00A753EF" w:rsidRDefault="00A753EF" w:rsidP="00A753EF">
      <w:pPr>
        <w:spacing w:after="0" w:line="240" w:lineRule="auto"/>
        <w:ind w:firstLine="709"/>
        <w:jc w:val="both"/>
        <w:rPr>
          <w:rFonts w:ascii="Times New Roman" w:eastAsia="Calibri" w:hAnsi="Times New Roman" w:cs="Times New Roman"/>
          <w:sz w:val="24"/>
        </w:rPr>
      </w:pPr>
      <w:r w:rsidRPr="00A753EF">
        <w:rPr>
          <w:rFonts w:ascii="Times New Roman" w:eastAsia="Calibri" w:hAnsi="Times New Roman" w:cs="Times New Roman"/>
          <w:sz w:val="24"/>
        </w:rPr>
        <w:t>Prognozēs ietverti arī likumā “Par valsts apdraudējuma un tā seku novēršanas un pārvarēšanas pasākumiem sakarā ar Covid-19 i</w:t>
      </w:r>
      <w:r w:rsidR="0059499C">
        <w:rPr>
          <w:rFonts w:ascii="Times New Roman" w:eastAsia="Calibri" w:hAnsi="Times New Roman" w:cs="Times New Roman"/>
          <w:sz w:val="24"/>
        </w:rPr>
        <w:t>za</w:t>
      </w:r>
      <w:r w:rsidRPr="00A753EF">
        <w:rPr>
          <w:rFonts w:ascii="Times New Roman" w:eastAsia="Calibri" w:hAnsi="Times New Roman" w:cs="Times New Roman"/>
          <w:sz w:val="24"/>
        </w:rPr>
        <w:t>zplatību” ietvertie atbalsta un saimnieciskās darbības ierobežojošie pasākumi:</w:t>
      </w:r>
    </w:p>
    <w:p w14:paraId="1DAC91FB"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PVN atmaksu kārtības maiņa, kas iepriekš bija paredzēta ar 2022.gadu, ir ieviesta jau ar 2020.gada 1.aprīli;</w:t>
      </w:r>
    </w:p>
    <w:p w14:paraId="00690AC7"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nodokļu samaksas termiņa pagarinājums līdz trim gadiem, ja termiņa kavējums radies Covid-19 izplatības dēļ;</w:t>
      </w:r>
    </w:p>
    <w:p w14:paraId="58CF176F"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IIN avansa maksājumu atcelšana 2020.gadā;</w:t>
      </w:r>
    </w:p>
    <w:p w14:paraId="1BC2DE6F" w14:textId="77777777" w:rsidR="00A753EF" w:rsidRPr="00A753EF" w:rsidRDefault="00A753EF" w:rsidP="00A753EF">
      <w:pPr>
        <w:numPr>
          <w:ilvl w:val="0"/>
          <w:numId w:val="22"/>
        </w:numPr>
        <w:spacing w:after="0" w:line="240" w:lineRule="auto"/>
        <w:contextualSpacing/>
        <w:rPr>
          <w:rFonts w:ascii="Calibri" w:eastAsia="Times New Roman" w:hAnsi="Calibri" w:cs="Times New Roman"/>
        </w:rPr>
      </w:pPr>
      <w:r w:rsidRPr="00A753EF">
        <w:rPr>
          <w:rFonts w:ascii="Times New Roman" w:eastAsia="Calibri" w:hAnsi="Times New Roman" w:cs="Times New Roman"/>
          <w:sz w:val="24"/>
        </w:rPr>
        <w:t>azartspēļu un izložu organizēšanas aizliegšana (izņemot interaktīvās azartspēles, skaitļu izlozes un momentloterijas) un azartspēļu organizēšanas licenču apturēšana.</w:t>
      </w:r>
    </w:p>
    <w:p w14:paraId="1DDC19C6" w14:textId="77777777" w:rsidR="00A753EF" w:rsidRPr="00A753EF" w:rsidRDefault="00A753EF" w:rsidP="00A753EF">
      <w:pPr>
        <w:ind w:left="720"/>
        <w:contextualSpacing/>
        <w:rPr>
          <w:rFonts w:ascii="Calibri" w:eastAsia="Times New Roman" w:hAnsi="Calibri" w:cs="Times New Roman"/>
        </w:rPr>
      </w:pPr>
    </w:p>
    <w:p w14:paraId="1FD5856B" w14:textId="77777777" w:rsidR="00A753EF" w:rsidRPr="00A753EF" w:rsidRDefault="00A753EF" w:rsidP="00A753EF">
      <w:pPr>
        <w:spacing w:after="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Pievienotās vērtības nodoklis</w:t>
      </w:r>
    </w:p>
    <w:p w14:paraId="5D6C0E18" w14:textId="77777777" w:rsidR="00A753EF" w:rsidRPr="00422981" w:rsidRDefault="00A753EF" w:rsidP="00A753EF">
      <w:pPr>
        <w:spacing w:after="0" w:line="240" w:lineRule="auto"/>
        <w:ind w:firstLine="720"/>
        <w:jc w:val="both"/>
        <w:rPr>
          <w:rFonts w:ascii="Times New Roman" w:eastAsia="Calibri" w:hAnsi="Times New Roman" w:cs="Times New Roman"/>
          <w:sz w:val="16"/>
          <w:szCs w:val="16"/>
        </w:rPr>
      </w:pPr>
    </w:p>
    <w:p w14:paraId="15659FB7" w14:textId="572287AE" w:rsid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Covid-19 krīzes ietekmes dēļ aktualizētā scenārija </w:t>
      </w:r>
      <w:r w:rsidR="0089342E" w:rsidRPr="00A753EF">
        <w:rPr>
          <w:rFonts w:ascii="Times New Roman" w:eastAsia="Times New Roman" w:hAnsi="Times New Roman" w:cs="Times New Roman"/>
          <w:sz w:val="24"/>
          <w:szCs w:val="20"/>
        </w:rPr>
        <w:t>PVN</w:t>
      </w:r>
      <w:r w:rsidR="0089342E" w:rsidRPr="00A753EF">
        <w:rPr>
          <w:rFonts w:ascii="Times New Roman" w:eastAsia="Calibri" w:hAnsi="Times New Roman" w:cs="Times New Roman"/>
          <w:sz w:val="24"/>
        </w:rPr>
        <w:t xml:space="preserve"> </w:t>
      </w:r>
      <w:r w:rsidRPr="00A753EF">
        <w:rPr>
          <w:rFonts w:ascii="Times New Roman" w:eastAsia="Calibri" w:hAnsi="Times New Roman" w:cs="Times New Roman"/>
          <w:sz w:val="24"/>
        </w:rPr>
        <w:t>prognozi ietekmējuši tādu makroekonomisko rādītāju prognozes kā IKP, iekšzemes pieprasījums, imports un eksports. Zemāk tabulā apkopotas tās šo rādītāju prognozes, kas izmantotas 2020.gada plāna prognozēšanā 2019.gada jūnijā un tās, kas ir aktualizētas šī gada aprīlī jau ņemot vērā Covid-19 negatīvo ietekmi uz ekonomiku.</w:t>
      </w:r>
    </w:p>
    <w:p w14:paraId="3BBB36F6" w14:textId="77777777" w:rsidR="00D4275C" w:rsidRPr="00A753EF" w:rsidRDefault="00D4275C" w:rsidP="00A753EF">
      <w:pPr>
        <w:spacing w:after="0" w:line="240" w:lineRule="auto"/>
        <w:ind w:firstLine="720"/>
        <w:jc w:val="both"/>
        <w:rPr>
          <w:rFonts w:ascii="Times New Roman" w:eastAsia="Calibri" w:hAnsi="Times New Roman" w:cs="Times New Roman"/>
          <w:sz w:val="24"/>
        </w:rPr>
      </w:pPr>
    </w:p>
    <w:p w14:paraId="76ACDFA8" w14:textId="785A77B7" w:rsidR="00A753EF" w:rsidRPr="00A753EF" w:rsidRDefault="00D4275C" w:rsidP="00D4275C">
      <w:pPr>
        <w:spacing w:after="0" w:line="240" w:lineRule="auto"/>
        <w:ind w:firstLine="720"/>
        <w:jc w:val="right"/>
        <w:rPr>
          <w:rFonts w:ascii="Times New Roman" w:eastAsia="Calibri" w:hAnsi="Times New Roman" w:cs="Times New Roman"/>
          <w:sz w:val="24"/>
        </w:rPr>
      </w:pPr>
      <w:r w:rsidRPr="00D4275C">
        <w:rPr>
          <w:rFonts w:ascii="Times New Roman" w:eastAsia="Times New Roman" w:hAnsi="Times New Roman" w:cs="Times New Roman"/>
          <w:b/>
          <w:sz w:val="24"/>
          <w:szCs w:val="20"/>
        </w:rPr>
        <w:t>4.1</w:t>
      </w:r>
      <w:r>
        <w:rPr>
          <w:rFonts w:ascii="Times New Roman" w:eastAsia="Times New Roman" w:hAnsi="Times New Roman" w:cs="Times New Roman"/>
          <w:b/>
          <w:sz w:val="24"/>
          <w:szCs w:val="20"/>
        </w:rPr>
        <w:t>5</w:t>
      </w:r>
      <w:r w:rsidRPr="00D4275C">
        <w:rPr>
          <w:rFonts w:ascii="Times New Roman" w:eastAsia="Times New Roman" w:hAnsi="Times New Roman" w:cs="Times New Roman"/>
          <w:b/>
          <w:sz w:val="24"/>
          <w:szCs w:val="20"/>
        </w:rPr>
        <w:t>.tabula</w:t>
      </w:r>
      <w:r w:rsidRPr="00A753EF">
        <w:rPr>
          <w:rFonts w:ascii="Times New Roman" w:eastAsia="Times New Roman" w:hAnsi="Times New Roman" w:cs="Times New Roman"/>
          <w:b/>
          <w:sz w:val="24"/>
          <w:szCs w:val="20"/>
        </w:rPr>
        <w:t>.</w:t>
      </w:r>
      <w:r w:rsidR="00285A7F">
        <w:rPr>
          <w:rFonts w:ascii="Times New Roman" w:eastAsia="Times New Roman" w:hAnsi="Times New Roman" w:cs="Times New Roman"/>
          <w:b/>
          <w:sz w:val="24"/>
          <w:szCs w:val="20"/>
        </w:rPr>
        <w:t xml:space="preserve"> PVN prognozes</w:t>
      </w:r>
    </w:p>
    <w:tbl>
      <w:tblPr>
        <w:tblStyle w:val="TableGrid"/>
        <w:tblW w:w="0" w:type="auto"/>
        <w:jc w:val="center"/>
        <w:tblLook w:val="04A0" w:firstRow="1" w:lastRow="0" w:firstColumn="1" w:lastColumn="0" w:noHBand="0" w:noVBand="1"/>
      </w:tblPr>
      <w:tblGrid>
        <w:gridCol w:w="2074"/>
        <w:gridCol w:w="2074"/>
        <w:gridCol w:w="2074"/>
        <w:gridCol w:w="2074"/>
      </w:tblGrid>
      <w:tr w:rsidR="00A753EF" w:rsidRPr="00A753EF" w14:paraId="3EA11E58" w14:textId="77777777" w:rsidTr="00305D82">
        <w:trPr>
          <w:jc w:val="center"/>
        </w:trPr>
        <w:tc>
          <w:tcPr>
            <w:tcW w:w="2074" w:type="dxa"/>
            <w:shd w:val="clear" w:color="auto" w:fill="DEEAF6" w:themeFill="accent1" w:themeFillTint="33"/>
          </w:tcPr>
          <w:p w14:paraId="610D285D" w14:textId="77777777" w:rsidR="00A753EF" w:rsidRPr="00A753EF" w:rsidRDefault="00A753EF" w:rsidP="00A753EF">
            <w:pPr>
              <w:jc w:val="center"/>
              <w:rPr>
                <w:b/>
              </w:rPr>
            </w:pPr>
            <w:r w:rsidRPr="00A753EF">
              <w:rPr>
                <w:b/>
              </w:rPr>
              <w:t>Makro rādītājs</w:t>
            </w:r>
          </w:p>
        </w:tc>
        <w:tc>
          <w:tcPr>
            <w:tcW w:w="2074" w:type="dxa"/>
            <w:shd w:val="clear" w:color="auto" w:fill="DEEAF6" w:themeFill="accent1" w:themeFillTint="33"/>
          </w:tcPr>
          <w:p w14:paraId="50D26D32" w14:textId="77777777" w:rsidR="00A753EF" w:rsidRPr="00A753EF" w:rsidRDefault="00A753EF" w:rsidP="00A753EF">
            <w:pPr>
              <w:jc w:val="center"/>
              <w:rPr>
                <w:b/>
              </w:rPr>
            </w:pPr>
            <w:r w:rsidRPr="00A753EF">
              <w:rPr>
                <w:b/>
              </w:rPr>
              <w:t>2020.gada prognoze 2019.gada jūnijs</w:t>
            </w:r>
          </w:p>
        </w:tc>
        <w:tc>
          <w:tcPr>
            <w:tcW w:w="2074" w:type="dxa"/>
            <w:shd w:val="clear" w:color="auto" w:fill="DEEAF6" w:themeFill="accent1" w:themeFillTint="33"/>
          </w:tcPr>
          <w:p w14:paraId="33B40935" w14:textId="77777777" w:rsidR="00A753EF" w:rsidRPr="00A753EF" w:rsidRDefault="00A753EF" w:rsidP="00A753EF">
            <w:pPr>
              <w:jc w:val="center"/>
              <w:rPr>
                <w:b/>
              </w:rPr>
            </w:pPr>
            <w:r w:rsidRPr="00A753EF">
              <w:rPr>
                <w:b/>
              </w:rPr>
              <w:t>2020.gada prognoze 2020.gada aprīlis</w:t>
            </w:r>
          </w:p>
        </w:tc>
        <w:tc>
          <w:tcPr>
            <w:tcW w:w="2074" w:type="dxa"/>
            <w:shd w:val="clear" w:color="auto" w:fill="DEEAF6" w:themeFill="accent1" w:themeFillTint="33"/>
          </w:tcPr>
          <w:p w14:paraId="1CD1FB44" w14:textId="77777777" w:rsidR="00A753EF" w:rsidRPr="00A753EF" w:rsidRDefault="00A753EF" w:rsidP="00A753EF">
            <w:pPr>
              <w:jc w:val="center"/>
              <w:rPr>
                <w:b/>
              </w:rPr>
            </w:pPr>
            <w:r w:rsidRPr="00A753EF">
              <w:rPr>
                <w:b/>
              </w:rPr>
              <w:t>Salīdzinājums</w:t>
            </w:r>
          </w:p>
        </w:tc>
      </w:tr>
      <w:tr w:rsidR="00A753EF" w:rsidRPr="00A753EF" w14:paraId="7D596FA6" w14:textId="77777777" w:rsidTr="00A753EF">
        <w:trPr>
          <w:jc w:val="center"/>
        </w:trPr>
        <w:tc>
          <w:tcPr>
            <w:tcW w:w="2074" w:type="dxa"/>
          </w:tcPr>
          <w:p w14:paraId="4615EA1D" w14:textId="77777777" w:rsidR="00A753EF" w:rsidRPr="00A753EF" w:rsidRDefault="00A753EF" w:rsidP="00A753EF">
            <w:pPr>
              <w:jc w:val="both"/>
              <w:rPr>
                <w:b/>
              </w:rPr>
            </w:pPr>
            <w:r w:rsidRPr="00A753EF">
              <w:rPr>
                <w:b/>
              </w:rPr>
              <w:t>IKP</w:t>
            </w:r>
          </w:p>
        </w:tc>
        <w:tc>
          <w:tcPr>
            <w:tcW w:w="2074" w:type="dxa"/>
          </w:tcPr>
          <w:p w14:paraId="51C333B3" w14:textId="77777777" w:rsidR="00A753EF" w:rsidRPr="00A753EF" w:rsidRDefault="00A753EF" w:rsidP="00A753EF">
            <w:pPr>
              <w:jc w:val="center"/>
            </w:pPr>
            <w:r w:rsidRPr="00A753EF">
              <w:t>+5,6%</w:t>
            </w:r>
          </w:p>
        </w:tc>
        <w:tc>
          <w:tcPr>
            <w:tcW w:w="2074" w:type="dxa"/>
          </w:tcPr>
          <w:p w14:paraId="48A339B6" w14:textId="77777777" w:rsidR="00A753EF" w:rsidRPr="00A753EF" w:rsidRDefault="00A753EF" w:rsidP="00A753EF">
            <w:pPr>
              <w:jc w:val="center"/>
            </w:pPr>
            <w:r w:rsidRPr="00A753EF">
              <w:t>-7,9%</w:t>
            </w:r>
          </w:p>
        </w:tc>
        <w:tc>
          <w:tcPr>
            <w:tcW w:w="2074" w:type="dxa"/>
          </w:tcPr>
          <w:p w14:paraId="38E9D33C" w14:textId="77777777" w:rsidR="00A753EF" w:rsidRPr="00A753EF" w:rsidRDefault="00A753EF" w:rsidP="00A753EF">
            <w:pPr>
              <w:jc w:val="center"/>
            </w:pPr>
            <w:r w:rsidRPr="00A753EF">
              <w:t>-13,5%</w:t>
            </w:r>
          </w:p>
        </w:tc>
      </w:tr>
      <w:tr w:rsidR="00A753EF" w:rsidRPr="00A753EF" w14:paraId="7CFAAAE9" w14:textId="77777777" w:rsidTr="00305D82">
        <w:trPr>
          <w:jc w:val="center"/>
        </w:trPr>
        <w:tc>
          <w:tcPr>
            <w:tcW w:w="2074" w:type="dxa"/>
            <w:shd w:val="clear" w:color="auto" w:fill="DEEAF6" w:themeFill="accent1" w:themeFillTint="33"/>
          </w:tcPr>
          <w:p w14:paraId="6B1D1EC0" w14:textId="1D04F620" w:rsidR="00A753EF" w:rsidRPr="00A753EF" w:rsidRDefault="00403B71" w:rsidP="00A753EF">
            <w:pPr>
              <w:jc w:val="both"/>
              <w:rPr>
                <w:b/>
              </w:rPr>
            </w:pPr>
            <w:r>
              <w:rPr>
                <w:b/>
              </w:rPr>
              <w:t>Iekšzemes patēriņš</w:t>
            </w:r>
          </w:p>
        </w:tc>
        <w:tc>
          <w:tcPr>
            <w:tcW w:w="2074" w:type="dxa"/>
            <w:shd w:val="clear" w:color="auto" w:fill="DEEAF6" w:themeFill="accent1" w:themeFillTint="33"/>
          </w:tcPr>
          <w:p w14:paraId="573197DF" w14:textId="77777777" w:rsidR="00A753EF" w:rsidRPr="00A753EF" w:rsidRDefault="00A753EF" w:rsidP="00A753EF">
            <w:pPr>
              <w:jc w:val="center"/>
            </w:pPr>
            <w:r w:rsidRPr="00A753EF">
              <w:t>+5,9%</w:t>
            </w:r>
          </w:p>
        </w:tc>
        <w:tc>
          <w:tcPr>
            <w:tcW w:w="2074" w:type="dxa"/>
            <w:shd w:val="clear" w:color="auto" w:fill="DEEAF6" w:themeFill="accent1" w:themeFillTint="33"/>
          </w:tcPr>
          <w:p w14:paraId="249C240C" w14:textId="77777777" w:rsidR="00A753EF" w:rsidRPr="00A753EF" w:rsidRDefault="00A753EF" w:rsidP="00A753EF">
            <w:pPr>
              <w:jc w:val="center"/>
            </w:pPr>
            <w:r w:rsidRPr="00A753EF">
              <w:t>-5,7%</w:t>
            </w:r>
          </w:p>
        </w:tc>
        <w:tc>
          <w:tcPr>
            <w:tcW w:w="2074" w:type="dxa"/>
            <w:shd w:val="clear" w:color="auto" w:fill="DEEAF6" w:themeFill="accent1" w:themeFillTint="33"/>
          </w:tcPr>
          <w:p w14:paraId="151FB8A1" w14:textId="77777777" w:rsidR="00A753EF" w:rsidRPr="00A753EF" w:rsidRDefault="00A753EF" w:rsidP="00A753EF">
            <w:pPr>
              <w:jc w:val="center"/>
            </w:pPr>
            <w:r w:rsidRPr="00A753EF">
              <w:t>-11,6%</w:t>
            </w:r>
          </w:p>
        </w:tc>
      </w:tr>
      <w:tr w:rsidR="00A753EF" w:rsidRPr="00A753EF" w14:paraId="4B00E3FB" w14:textId="77777777" w:rsidTr="00A753EF">
        <w:trPr>
          <w:jc w:val="center"/>
        </w:trPr>
        <w:tc>
          <w:tcPr>
            <w:tcW w:w="2074" w:type="dxa"/>
          </w:tcPr>
          <w:p w14:paraId="377BB637" w14:textId="77777777" w:rsidR="00A753EF" w:rsidRPr="00A753EF" w:rsidRDefault="00A753EF" w:rsidP="00A753EF">
            <w:pPr>
              <w:jc w:val="both"/>
              <w:rPr>
                <w:b/>
              </w:rPr>
            </w:pPr>
            <w:r w:rsidRPr="00A753EF">
              <w:rPr>
                <w:b/>
              </w:rPr>
              <w:t>Imports</w:t>
            </w:r>
          </w:p>
        </w:tc>
        <w:tc>
          <w:tcPr>
            <w:tcW w:w="2074" w:type="dxa"/>
          </w:tcPr>
          <w:p w14:paraId="200A2257" w14:textId="77777777" w:rsidR="00A753EF" w:rsidRPr="00A753EF" w:rsidRDefault="00A753EF" w:rsidP="00A753EF">
            <w:pPr>
              <w:jc w:val="center"/>
            </w:pPr>
            <w:r w:rsidRPr="00A753EF">
              <w:t>+5,4%</w:t>
            </w:r>
          </w:p>
        </w:tc>
        <w:tc>
          <w:tcPr>
            <w:tcW w:w="2074" w:type="dxa"/>
          </w:tcPr>
          <w:p w14:paraId="3FD42C96" w14:textId="77777777" w:rsidR="00A753EF" w:rsidRPr="00A753EF" w:rsidRDefault="00A753EF" w:rsidP="00A753EF">
            <w:pPr>
              <w:jc w:val="center"/>
            </w:pPr>
            <w:r w:rsidRPr="00A753EF">
              <w:t>-15,0%</w:t>
            </w:r>
          </w:p>
        </w:tc>
        <w:tc>
          <w:tcPr>
            <w:tcW w:w="2074" w:type="dxa"/>
          </w:tcPr>
          <w:p w14:paraId="49BF4D2F" w14:textId="77777777" w:rsidR="00A753EF" w:rsidRPr="00A753EF" w:rsidRDefault="00A753EF" w:rsidP="00A753EF">
            <w:pPr>
              <w:jc w:val="center"/>
            </w:pPr>
            <w:r w:rsidRPr="00A753EF">
              <w:t>-20,3%</w:t>
            </w:r>
          </w:p>
        </w:tc>
      </w:tr>
      <w:tr w:rsidR="00A753EF" w:rsidRPr="00A753EF" w14:paraId="74153DD6" w14:textId="77777777" w:rsidTr="00305D82">
        <w:trPr>
          <w:jc w:val="center"/>
        </w:trPr>
        <w:tc>
          <w:tcPr>
            <w:tcW w:w="2074" w:type="dxa"/>
            <w:shd w:val="clear" w:color="auto" w:fill="DEEAF6" w:themeFill="accent1" w:themeFillTint="33"/>
          </w:tcPr>
          <w:p w14:paraId="7C370133" w14:textId="77777777" w:rsidR="00A753EF" w:rsidRPr="00A753EF" w:rsidRDefault="00A753EF" w:rsidP="00A753EF">
            <w:pPr>
              <w:jc w:val="both"/>
              <w:rPr>
                <w:b/>
              </w:rPr>
            </w:pPr>
            <w:r w:rsidRPr="00A753EF">
              <w:rPr>
                <w:b/>
              </w:rPr>
              <w:t>Eksports</w:t>
            </w:r>
          </w:p>
        </w:tc>
        <w:tc>
          <w:tcPr>
            <w:tcW w:w="2074" w:type="dxa"/>
            <w:shd w:val="clear" w:color="auto" w:fill="DEEAF6" w:themeFill="accent1" w:themeFillTint="33"/>
          </w:tcPr>
          <w:p w14:paraId="65360CBE" w14:textId="77777777" w:rsidR="00A753EF" w:rsidRPr="00A753EF" w:rsidRDefault="00A753EF" w:rsidP="00A753EF">
            <w:pPr>
              <w:jc w:val="center"/>
            </w:pPr>
            <w:r w:rsidRPr="00A753EF">
              <w:t>+5,3%</w:t>
            </w:r>
          </w:p>
        </w:tc>
        <w:tc>
          <w:tcPr>
            <w:tcW w:w="2074" w:type="dxa"/>
            <w:shd w:val="clear" w:color="auto" w:fill="DEEAF6" w:themeFill="accent1" w:themeFillTint="33"/>
          </w:tcPr>
          <w:p w14:paraId="6593C1BE" w14:textId="77777777" w:rsidR="00A753EF" w:rsidRPr="00A753EF" w:rsidRDefault="00A753EF" w:rsidP="00A753EF">
            <w:pPr>
              <w:jc w:val="center"/>
            </w:pPr>
            <w:r w:rsidRPr="00A753EF">
              <w:t>-13,6%</w:t>
            </w:r>
          </w:p>
        </w:tc>
        <w:tc>
          <w:tcPr>
            <w:tcW w:w="2074" w:type="dxa"/>
            <w:shd w:val="clear" w:color="auto" w:fill="DEEAF6" w:themeFill="accent1" w:themeFillTint="33"/>
          </w:tcPr>
          <w:p w14:paraId="707C855D" w14:textId="77777777" w:rsidR="00A753EF" w:rsidRPr="00A753EF" w:rsidRDefault="00A753EF" w:rsidP="00A753EF">
            <w:pPr>
              <w:jc w:val="center"/>
            </w:pPr>
            <w:r w:rsidRPr="00A753EF">
              <w:t>-18,9%</w:t>
            </w:r>
          </w:p>
        </w:tc>
      </w:tr>
    </w:tbl>
    <w:p w14:paraId="01B7DD0F" w14:textId="77777777"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Makrorādītāju prognožu krituma rezultātā PVN prognoze pret plānu ir samazināta par 452,7 milj. </w:t>
      </w:r>
      <w:r w:rsidRPr="00A753EF">
        <w:rPr>
          <w:rFonts w:ascii="Times New Roman" w:eastAsia="Calibri" w:hAnsi="Times New Roman" w:cs="Times New Roman"/>
          <w:i/>
          <w:sz w:val="24"/>
        </w:rPr>
        <w:t>euro</w:t>
      </w:r>
      <w:r w:rsidRPr="00A753EF">
        <w:rPr>
          <w:rFonts w:ascii="Times New Roman" w:eastAsia="Calibri" w:hAnsi="Times New Roman" w:cs="Times New Roman"/>
          <w:sz w:val="24"/>
        </w:rPr>
        <w:t xml:space="preserve"> jeb 15,7%.</w:t>
      </w:r>
    </w:p>
    <w:p w14:paraId="05A849DE" w14:textId="55A599F8"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Papildus aktualizēto makroekonomisko rādītāju izmaiņām </w:t>
      </w:r>
      <w:r w:rsidR="0089342E" w:rsidRPr="00A753EF">
        <w:rPr>
          <w:rFonts w:ascii="Times New Roman" w:eastAsia="Times New Roman" w:hAnsi="Times New Roman" w:cs="Times New Roman"/>
          <w:sz w:val="24"/>
          <w:szCs w:val="20"/>
        </w:rPr>
        <w:t>PVN</w:t>
      </w:r>
      <w:r w:rsidR="0089342E" w:rsidRPr="00A753EF">
        <w:rPr>
          <w:rFonts w:ascii="Times New Roman" w:eastAsia="Calibri" w:hAnsi="Times New Roman" w:cs="Times New Roman"/>
          <w:sz w:val="24"/>
        </w:rPr>
        <w:t xml:space="preserve"> </w:t>
      </w:r>
      <w:r w:rsidRPr="00A753EF">
        <w:rPr>
          <w:rFonts w:ascii="Times New Roman" w:eastAsia="Calibri" w:hAnsi="Times New Roman" w:cs="Times New Roman"/>
          <w:sz w:val="24"/>
        </w:rPr>
        <w:t>ieņēmumus ietekmēs divi atbalsta pasākumi, kas  pieņemti 2020.gada 22.martā un paredzēti likumā “Par valsts apdraudējuma un tā seku novēršanas un pārvarēšanas pasākumiem sakarā ar Covid-19 izplatību”:</w:t>
      </w:r>
    </w:p>
    <w:p w14:paraId="24266CB8"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PVN atmaksu kārtības maiņa, kas iepriekš bija paredzēta ar 2022.gadu, ir ieviesta jau ar 2020.gada 1.aprīli. Likumdošanas izmaiņas ieviestas, lai nodrošinātu tūlītēju apstiprinātās pārmaksātās PVN summas atmaksu, kas ir pārcelta uz nākamo taksācijas periodu līdz taksācijas gada beigām, tādējādi radot brīvus finanšu līdzekļus COVID-19 vīrusa izraisītās krīzes pārvarēšanai;</w:t>
      </w:r>
    </w:p>
    <w:p w14:paraId="7125999C"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nodokļu samaksas termiņa pagarinājums līdz trim gadiem, ja termiņa kavējums radies Covid-19 izplatības dēļ;</w:t>
      </w:r>
    </w:p>
    <w:p w14:paraId="4A82F144" w14:textId="77777777" w:rsidR="00A753EF" w:rsidRPr="00A753EF" w:rsidRDefault="00A753EF" w:rsidP="00A753EF">
      <w:pPr>
        <w:ind w:left="720"/>
        <w:contextualSpacing/>
        <w:jc w:val="both"/>
        <w:rPr>
          <w:rFonts w:ascii="Times New Roman" w:eastAsia="Calibri" w:hAnsi="Times New Roman" w:cs="Times New Roman"/>
          <w:sz w:val="24"/>
        </w:rPr>
      </w:pPr>
    </w:p>
    <w:p w14:paraId="1C6E9C0A" w14:textId="47EC295D" w:rsidR="00A753EF" w:rsidRPr="00A753EF" w:rsidRDefault="00A753EF" w:rsidP="00305D82">
      <w:pPr>
        <w:keepNext/>
        <w:spacing w:before="120" w:after="60" w:line="240" w:lineRule="auto"/>
        <w:jc w:val="right"/>
        <w:rPr>
          <w:rFonts w:ascii="Times New Roman" w:eastAsia="Times New Roman" w:hAnsi="Times New Roman" w:cs="Times New Roman"/>
          <w:b/>
          <w:sz w:val="24"/>
          <w:szCs w:val="20"/>
          <w:highlight w:val="yellow"/>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16</w:t>
      </w:r>
      <w:r w:rsidRPr="00285A7F">
        <w:rPr>
          <w:rFonts w:ascii="Times New Roman" w:eastAsia="Times New Roman" w:hAnsi="Times New Roman" w:cs="Times New Roman"/>
          <w:b/>
          <w:sz w:val="24"/>
          <w:szCs w:val="20"/>
        </w:rPr>
        <w:t xml:space="preserve">.tabula. </w:t>
      </w:r>
      <w:r w:rsidRPr="00A753EF">
        <w:rPr>
          <w:rFonts w:ascii="Times New Roman" w:eastAsia="Times New Roman" w:hAnsi="Times New Roman" w:cs="Times New Roman"/>
          <w:b/>
          <w:sz w:val="24"/>
          <w:szCs w:val="20"/>
        </w:rPr>
        <w:t>Nodokļu politikas izmaiņu ietekme uz PVN ieņēmumiem, milj. </w:t>
      </w:r>
      <w:r w:rsidRPr="00A753E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5031"/>
        <w:gridCol w:w="817"/>
        <w:gridCol w:w="816"/>
        <w:gridCol w:w="816"/>
        <w:gridCol w:w="816"/>
      </w:tblGrid>
      <w:tr w:rsidR="00A753EF" w:rsidRPr="00A753EF" w14:paraId="25D7ADF6" w14:textId="77777777" w:rsidTr="00A753EF">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31" w:type="dxa"/>
          </w:tcPr>
          <w:p w14:paraId="5A64F968"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817" w:type="dxa"/>
          </w:tcPr>
          <w:p w14:paraId="6EC0F97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816" w:type="dxa"/>
          </w:tcPr>
          <w:p w14:paraId="7C2E957A"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816" w:type="dxa"/>
          </w:tcPr>
          <w:p w14:paraId="22296E52"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816" w:type="dxa"/>
          </w:tcPr>
          <w:p w14:paraId="2A7A0327"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26FE51AF" w14:textId="77777777" w:rsidTr="00A753E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031" w:type="dxa"/>
          </w:tcPr>
          <w:p w14:paraId="5E397215"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PVN atmaksu kārtības maiņa </w:t>
            </w:r>
          </w:p>
        </w:tc>
        <w:tc>
          <w:tcPr>
            <w:tcW w:w="817" w:type="dxa"/>
            <w:vAlign w:val="bottom"/>
          </w:tcPr>
          <w:p w14:paraId="5CDA86EA"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-60,0 </w:t>
            </w:r>
          </w:p>
        </w:tc>
        <w:tc>
          <w:tcPr>
            <w:tcW w:w="816" w:type="dxa"/>
            <w:vAlign w:val="bottom"/>
          </w:tcPr>
          <w:p w14:paraId="46769F71" w14:textId="77777777" w:rsidR="00A753EF" w:rsidRPr="00A753EF" w:rsidRDefault="00A753EF" w:rsidP="00A753EF">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+60,0 </w:t>
            </w:r>
          </w:p>
        </w:tc>
        <w:tc>
          <w:tcPr>
            <w:tcW w:w="816" w:type="dxa"/>
            <w:vAlign w:val="bottom"/>
          </w:tcPr>
          <w:p w14:paraId="4FCF831F"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16" w:type="dxa"/>
            <w:vAlign w:val="bottom"/>
          </w:tcPr>
          <w:p w14:paraId="66E62AA1"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59691878" w14:textId="77777777" w:rsidTr="00A753EF">
        <w:trPr>
          <w:trHeight w:val="263"/>
          <w:jc w:val="center"/>
        </w:trPr>
        <w:tc>
          <w:tcPr>
            <w:cnfStyle w:val="001000000000" w:firstRow="0" w:lastRow="0" w:firstColumn="1" w:lastColumn="0" w:oddVBand="0" w:evenVBand="0" w:oddHBand="0" w:evenHBand="0" w:firstRowFirstColumn="0" w:firstRowLastColumn="0" w:lastRowFirstColumn="0" w:lastRowLastColumn="0"/>
            <w:tcW w:w="5031" w:type="dxa"/>
          </w:tcPr>
          <w:p w14:paraId="05906F55" w14:textId="77777777" w:rsidR="00A753EF" w:rsidRPr="00A753EF" w:rsidRDefault="00A753EF" w:rsidP="00A753EF">
            <w:pPr>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Termiņu pagarinājumu piešķiršana</w:t>
            </w:r>
          </w:p>
        </w:tc>
        <w:tc>
          <w:tcPr>
            <w:tcW w:w="817" w:type="dxa"/>
            <w:vAlign w:val="bottom"/>
          </w:tcPr>
          <w:p w14:paraId="110BD1AB"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-67,5</w:t>
            </w:r>
          </w:p>
        </w:tc>
        <w:tc>
          <w:tcPr>
            <w:tcW w:w="816" w:type="dxa"/>
            <w:vAlign w:val="bottom"/>
          </w:tcPr>
          <w:p w14:paraId="0D775308"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+74,3 </w:t>
            </w:r>
          </w:p>
        </w:tc>
        <w:tc>
          <w:tcPr>
            <w:tcW w:w="816" w:type="dxa"/>
            <w:vAlign w:val="bottom"/>
          </w:tcPr>
          <w:p w14:paraId="35B91F71"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+6,8</w:t>
            </w:r>
          </w:p>
        </w:tc>
        <w:tc>
          <w:tcPr>
            <w:tcW w:w="816" w:type="dxa"/>
            <w:vAlign w:val="bottom"/>
          </w:tcPr>
          <w:p w14:paraId="19F7FB1C"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+13,5 </w:t>
            </w:r>
          </w:p>
        </w:tc>
      </w:tr>
      <w:tr w:rsidR="00A753EF" w:rsidRPr="00A753EF" w14:paraId="4F3D3455" w14:textId="77777777" w:rsidTr="00A753E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031" w:type="dxa"/>
          </w:tcPr>
          <w:p w14:paraId="2FDC8F62" w14:textId="77777777" w:rsidR="00A753EF" w:rsidRPr="00A753EF" w:rsidRDefault="00A753EF" w:rsidP="00A753EF">
            <w:pPr>
              <w:jc w:val="right"/>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817" w:type="dxa"/>
            <w:vAlign w:val="bottom"/>
          </w:tcPr>
          <w:p w14:paraId="3B7569A2"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-127,5 </w:t>
            </w:r>
          </w:p>
        </w:tc>
        <w:tc>
          <w:tcPr>
            <w:tcW w:w="816" w:type="dxa"/>
            <w:vAlign w:val="bottom"/>
          </w:tcPr>
          <w:p w14:paraId="22624D2F"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themeColor="text1"/>
                <w:sz w:val="20"/>
                <w:szCs w:val="18"/>
              </w:rPr>
            </w:pPr>
            <w:r w:rsidRPr="00A753EF">
              <w:rPr>
                <w:rFonts w:ascii="Times New Roman" w:eastAsia="Times New Roman" w:hAnsi="Times New Roman" w:cs="Times New Roman"/>
                <w:iCs/>
                <w:color w:val="000000" w:themeColor="text1"/>
                <w:sz w:val="20"/>
                <w:szCs w:val="18"/>
              </w:rPr>
              <w:t>+134,3</w:t>
            </w:r>
          </w:p>
        </w:tc>
        <w:tc>
          <w:tcPr>
            <w:tcW w:w="816" w:type="dxa"/>
            <w:vAlign w:val="bottom"/>
          </w:tcPr>
          <w:p w14:paraId="3037DC0B"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+6,8</w:t>
            </w:r>
          </w:p>
        </w:tc>
        <w:tc>
          <w:tcPr>
            <w:tcW w:w="816" w:type="dxa"/>
            <w:vAlign w:val="bottom"/>
          </w:tcPr>
          <w:p w14:paraId="6A014EE9"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+13,5 </w:t>
            </w:r>
          </w:p>
        </w:tc>
      </w:tr>
    </w:tbl>
    <w:p w14:paraId="7A0D8C19" w14:textId="77777777" w:rsidR="00A753EF" w:rsidRPr="00A753EF" w:rsidRDefault="00A753EF" w:rsidP="00A753EF">
      <w:pPr>
        <w:spacing w:after="0" w:line="240" w:lineRule="auto"/>
        <w:ind w:left="360"/>
        <w:jc w:val="both"/>
        <w:rPr>
          <w:rFonts w:ascii="Times New Roman" w:eastAsia="Calibri" w:hAnsi="Times New Roman" w:cs="Times New Roman"/>
          <w:sz w:val="24"/>
        </w:rPr>
      </w:pPr>
    </w:p>
    <w:p w14:paraId="74C49882" w14:textId="77777777" w:rsidR="00A753EF" w:rsidRPr="00A753EF" w:rsidRDefault="00A753EF" w:rsidP="00A753EF">
      <w:pPr>
        <w:keepNext/>
        <w:spacing w:after="0" w:line="240" w:lineRule="auto"/>
        <w:ind w:firstLine="567"/>
        <w:jc w:val="both"/>
        <w:rPr>
          <w:rFonts w:ascii="Times New Roman" w:eastAsia="Times New Roman" w:hAnsi="Times New Roman" w:cs="Times New Roman"/>
          <w:sz w:val="24"/>
          <w:szCs w:val="24"/>
        </w:rPr>
      </w:pPr>
      <w:r w:rsidRPr="00A753EF">
        <w:rPr>
          <w:rFonts w:ascii="Times New Roman" w:eastAsia="Times New Roman" w:hAnsi="Times New Roman" w:cs="Times New Roman"/>
          <w:sz w:val="24"/>
          <w:szCs w:val="24"/>
        </w:rPr>
        <w:t xml:space="preserve">Ņemot vērā gan makro rādītāju ietekmi, gan ieviestās atbalsta likumdošanas izmaiņas PVN prognoze pret 2020.gada plānu ir samazināta par 580,2 milj. </w:t>
      </w:r>
      <w:r w:rsidRPr="00A753EF">
        <w:rPr>
          <w:rFonts w:ascii="Times New Roman" w:eastAsia="Times New Roman" w:hAnsi="Times New Roman" w:cs="Times New Roman"/>
          <w:i/>
          <w:sz w:val="24"/>
          <w:szCs w:val="24"/>
        </w:rPr>
        <w:t xml:space="preserve">euro </w:t>
      </w:r>
      <w:r w:rsidRPr="00A753EF">
        <w:rPr>
          <w:rFonts w:ascii="Times New Roman" w:eastAsia="Times New Roman" w:hAnsi="Times New Roman" w:cs="Times New Roman"/>
          <w:sz w:val="24"/>
          <w:szCs w:val="24"/>
        </w:rPr>
        <w:t>jeb 20,1%.</w:t>
      </w:r>
    </w:p>
    <w:p w14:paraId="351BB621" w14:textId="77777777" w:rsidR="00A753EF" w:rsidRPr="00A753EF" w:rsidRDefault="00A753EF" w:rsidP="00A753EF">
      <w:pPr>
        <w:spacing w:after="0" w:line="240" w:lineRule="auto"/>
        <w:rPr>
          <w:rFonts w:ascii="Times New Roman" w:eastAsia="Calibri" w:hAnsi="Times New Roman" w:cs="Times New Roman"/>
          <w:sz w:val="24"/>
        </w:rPr>
      </w:pPr>
    </w:p>
    <w:p w14:paraId="0326D00E" w14:textId="77777777" w:rsidR="00A753EF" w:rsidRPr="00A753EF" w:rsidRDefault="00A753EF" w:rsidP="00A753EF">
      <w:pPr>
        <w:spacing w:before="120" w:after="12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Akcīzes nodoklis</w:t>
      </w:r>
    </w:p>
    <w:p w14:paraId="74915DF0" w14:textId="544B9694"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szCs w:val="24"/>
          <w:u w:val="single"/>
        </w:rPr>
        <w:t>Akcīzes nodokļa prognozēs</w:t>
      </w:r>
      <w:r w:rsidRPr="00A753EF">
        <w:rPr>
          <w:rFonts w:ascii="Times New Roman" w:eastAsia="Calibri" w:hAnsi="Times New Roman" w:cs="Times New Roman"/>
          <w:sz w:val="24"/>
          <w:szCs w:val="24"/>
        </w:rPr>
        <w:t xml:space="preserve"> </w:t>
      </w:r>
      <w:r w:rsidR="00305D82">
        <w:rPr>
          <w:rFonts w:ascii="Times New Roman" w:eastAsia="Calibri" w:hAnsi="Times New Roman" w:cs="Times New Roman"/>
          <w:sz w:val="24"/>
        </w:rPr>
        <w:t xml:space="preserve">ņemtas </w:t>
      </w:r>
      <w:r w:rsidRPr="00A753EF">
        <w:rPr>
          <w:rFonts w:ascii="Times New Roman" w:eastAsia="Calibri" w:hAnsi="Times New Roman" w:cs="Times New Roman"/>
          <w:sz w:val="24"/>
        </w:rPr>
        <w:t xml:space="preserve">vērā aktualizētās makroekonomisko rādītāju prognozes, kas ir būtiski pasliktinājušās, salīdzinot ar makroekonomisko rādītāju prognozēm, kas tika izmantotas, sastādot likumā “Par vidēja termiņa budžeta ietvaru 2020., 2021. un 2022.gadam” iekļautās nodokļu ieņēmumu prognozes. Prognozētais </w:t>
      </w:r>
      <w:r w:rsidRPr="00A753EF">
        <w:rPr>
          <w:rFonts w:ascii="Times New Roman" w:eastAsia="Calibri" w:hAnsi="Times New Roman" w:cs="Times New Roman"/>
          <w:sz w:val="24"/>
          <w:u w:val="single"/>
        </w:rPr>
        <w:t>IKP pieauguma temps</w:t>
      </w:r>
      <w:r w:rsidRPr="00A753EF">
        <w:rPr>
          <w:rFonts w:ascii="Times New Roman" w:eastAsia="Calibri" w:hAnsi="Times New Roman" w:cs="Times New Roman"/>
          <w:sz w:val="24"/>
        </w:rPr>
        <w:t xml:space="preserve"> 2020.gadā samazinājies </w:t>
      </w:r>
      <w:r w:rsidR="00403B71">
        <w:rPr>
          <w:rFonts w:ascii="Times New Roman" w:eastAsia="Calibri" w:hAnsi="Times New Roman" w:cs="Times New Roman"/>
          <w:sz w:val="24"/>
        </w:rPr>
        <w:t>par</w:t>
      </w:r>
      <w:r w:rsidR="0059499C">
        <w:rPr>
          <w:rFonts w:ascii="Times New Roman" w:eastAsia="Calibri" w:hAnsi="Times New Roman" w:cs="Times New Roman"/>
          <w:sz w:val="24"/>
        </w:rPr>
        <w:t xml:space="preserve"> </w:t>
      </w:r>
      <w:r w:rsidRPr="00A753EF">
        <w:rPr>
          <w:rFonts w:ascii="Times New Roman" w:eastAsia="Calibri" w:hAnsi="Times New Roman" w:cs="Times New Roman"/>
          <w:sz w:val="24"/>
        </w:rPr>
        <w:t xml:space="preserve">13,5 procentpunktiem, 2021.gadā par 2,9 procentpunktiem, bet 2022.gadā pieaudzis par 0,4 procentpunktiem. Prognozētais </w:t>
      </w:r>
      <w:r w:rsidRPr="00A753EF">
        <w:rPr>
          <w:rFonts w:ascii="Times New Roman" w:eastAsia="Calibri" w:hAnsi="Times New Roman" w:cs="Times New Roman"/>
          <w:sz w:val="24"/>
          <w:u w:val="single"/>
        </w:rPr>
        <w:t>darba samaksas pieauguma temps</w:t>
      </w:r>
      <w:r w:rsidRPr="00A753EF">
        <w:rPr>
          <w:rFonts w:ascii="Times New Roman" w:eastAsia="Calibri" w:hAnsi="Times New Roman" w:cs="Times New Roman"/>
          <w:sz w:val="24"/>
        </w:rPr>
        <w:t xml:space="preserve"> 2020.gadā samazinājies </w:t>
      </w:r>
      <w:r w:rsidR="00403B71">
        <w:rPr>
          <w:rFonts w:ascii="Times New Roman" w:eastAsia="Calibri" w:hAnsi="Times New Roman" w:cs="Times New Roman"/>
          <w:sz w:val="24"/>
        </w:rPr>
        <w:t xml:space="preserve">par </w:t>
      </w:r>
      <w:r w:rsidRPr="00A753EF">
        <w:rPr>
          <w:rFonts w:ascii="Times New Roman" w:eastAsia="Calibri" w:hAnsi="Times New Roman" w:cs="Times New Roman"/>
          <w:sz w:val="24"/>
        </w:rPr>
        <w:t xml:space="preserve">9,0 procentpunktiem, 2021.gadā par 2,0 procentpunktiem, bet 2022.gadā tas saglabāsies iepriekš prognozētajā līmenī. Savukārt prognozētais </w:t>
      </w:r>
      <w:r w:rsidRPr="00A753EF">
        <w:rPr>
          <w:rFonts w:ascii="Times New Roman" w:eastAsia="Calibri" w:hAnsi="Times New Roman" w:cs="Times New Roman"/>
          <w:sz w:val="24"/>
          <w:u w:val="single"/>
        </w:rPr>
        <w:t xml:space="preserve">privātā patēriņa pieauguma temps </w:t>
      </w:r>
      <w:r w:rsidRPr="00A753EF">
        <w:rPr>
          <w:rFonts w:ascii="Times New Roman" w:eastAsia="Calibri" w:hAnsi="Times New Roman" w:cs="Times New Roman"/>
          <w:sz w:val="24"/>
        </w:rPr>
        <w:t xml:space="preserve">2020.gadā samazinājies </w:t>
      </w:r>
      <w:r w:rsidR="00403B71">
        <w:rPr>
          <w:rFonts w:ascii="Times New Roman" w:eastAsia="Calibri" w:hAnsi="Times New Roman" w:cs="Times New Roman"/>
          <w:sz w:val="24"/>
        </w:rPr>
        <w:t xml:space="preserve">par </w:t>
      </w:r>
      <w:r w:rsidRPr="00A753EF">
        <w:rPr>
          <w:rFonts w:ascii="Times New Roman" w:eastAsia="Calibri" w:hAnsi="Times New Roman" w:cs="Times New Roman"/>
          <w:sz w:val="24"/>
        </w:rPr>
        <w:t>11,6 procentpunktiem, 2021.gadā par 2,7 procentpunktiem, bet 2022.gadā pieaudzis par 0,7 procentpunktiem.</w:t>
      </w:r>
    </w:p>
    <w:p w14:paraId="07CDBDFE" w14:textId="2929D70F"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Papildus aktualizēto makroekonomisko rādītāju un 4.2.1.nodaļā uzskaitītajām normatīvo aktu izmaiņām, akcīzes nodokļa ieņēmumus ietekmēs 2020.gada 22.martā likumā “Par valsts apdraudējuma un tā seku novēršanas un pārvarēš</w:t>
      </w:r>
      <w:r w:rsidR="0059499C">
        <w:rPr>
          <w:rFonts w:ascii="Times New Roman" w:eastAsia="Calibri" w:hAnsi="Times New Roman" w:cs="Times New Roman"/>
          <w:sz w:val="24"/>
        </w:rPr>
        <w:t>anas pasākumiem sakarā ar Covid-</w:t>
      </w:r>
      <w:r w:rsidRPr="00A753EF">
        <w:rPr>
          <w:rFonts w:ascii="Times New Roman" w:eastAsia="Calibri" w:hAnsi="Times New Roman" w:cs="Times New Roman"/>
          <w:sz w:val="24"/>
        </w:rPr>
        <w:t>19 izplatību” paredzētā</w:t>
      </w:r>
      <w:r w:rsidR="0059499C">
        <w:rPr>
          <w:rFonts w:ascii="Times New Roman" w:eastAsia="Calibri" w:hAnsi="Times New Roman" w:cs="Times New Roman"/>
          <w:sz w:val="24"/>
        </w:rPr>
        <w:t xml:space="preserve"> iespēja pagarināt</w:t>
      </w:r>
      <w:r w:rsidRPr="00A753EF">
        <w:rPr>
          <w:rFonts w:ascii="Times New Roman" w:eastAsia="Calibri" w:hAnsi="Times New Roman" w:cs="Times New Roman"/>
          <w:sz w:val="24"/>
        </w:rPr>
        <w:t xml:space="preserve"> nodokļu samaksas termiņu līdz trim gadiem, ja termiņa kavējums radies Covid-19 izplatības dēļ.</w:t>
      </w:r>
    </w:p>
    <w:p w14:paraId="7AFE6434" w14:textId="03BD05FE" w:rsidR="00A753EF" w:rsidRPr="00285A7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Prognozēts, ka attiecībā uz akcīzes nodokli 2020.gadā tiks pieprasīti termiņu pagarinājumi 20,3 milj. </w:t>
      </w:r>
      <w:r w:rsidRPr="00A753EF">
        <w:rPr>
          <w:rFonts w:ascii="Times New Roman" w:eastAsia="Calibri" w:hAnsi="Times New Roman" w:cs="Times New Roman"/>
          <w:i/>
          <w:sz w:val="24"/>
        </w:rPr>
        <w:t>euro</w:t>
      </w:r>
      <w:r w:rsidRPr="00A753EF">
        <w:rPr>
          <w:rFonts w:ascii="Times New Roman" w:eastAsia="Calibri" w:hAnsi="Times New Roman" w:cs="Times New Roman"/>
          <w:sz w:val="24"/>
        </w:rPr>
        <w:t xml:space="preserve"> apmērā, no </w:t>
      </w:r>
      <w:r w:rsidRPr="00285A7F">
        <w:rPr>
          <w:rFonts w:ascii="Times New Roman" w:eastAsia="Calibri" w:hAnsi="Times New Roman" w:cs="Times New Roman"/>
          <w:sz w:val="24"/>
        </w:rPr>
        <w:t>kuriem lielākā daļa tiks piešķirta par alkoholiskajiem dzērieniem, bet pārējie – par naftas produktiem (sk</w:t>
      </w:r>
      <w:r w:rsidR="00285A7F">
        <w:rPr>
          <w:rFonts w:ascii="Times New Roman" w:eastAsia="Calibri" w:hAnsi="Times New Roman" w:cs="Times New Roman"/>
          <w:sz w:val="24"/>
        </w:rPr>
        <w:t>at</w:t>
      </w:r>
      <w:r w:rsidRPr="00285A7F">
        <w:rPr>
          <w:rFonts w:ascii="Times New Roman" w:eastAsia="Calibri" w:hAnsi="Times New Roman" w:cs="Times New Roman"/>
          <w:sz w:val="24"/>
        </w:rPr>
        <w:t>. 4.</w:t>
      </w:r>
      <w:r w:rsidR="00285A7F" w:rsidRPr="00285A7F">
        <w:rPr>
          <w:rFonts w:ascii="Times New Roman" w:eastAsia="Calibri" w:hAnsi="Times New Roman" w:cs="Times New Roman"/>
          <w:sz w:val="24"/>
        </w:rPr>
        <w:t>17</w:t>
      </w:r>
      <w:r w:rsidRPr="00285A7F">
        <w:rPr>
          <w:rFonts w:ascii="Times New Roman" w:eastAsia="Calibri" w:hAnsi="Times New Roman" w:cs="Times New Roman"/>
          <w:sz w:val="24"/>
        </w:rPr>
        <w:t xml:space="preserve">. tabulu). </w:t>
      </w:r>
    </w:p>
    <w:p w14:paraId="12166045" w14:textId="77777777" w:rsidR="00305D82" w:rsidRPr="00285A7F" w:rsidRDefault="00305D82" w:rsidP="00A753EF">
      <w:pPr>
        <w:keepNext/>
        <w:spacing w:before="120" w:after="60"/>
        <w:ind w:left="720"/>
        <w:contextualSpacing/>
        <w:jc w:val="right"/>
        <w:rPr>
          <w:rFonts w:ascii="Times New Roman" w:eastAsia="Times New Roman" w:hAnsi="Times New Roman" w:cs="Times New Roman"/>
          <w:b/>
          <w:sz w:val="24"/>
          <w:szCs w:val="20"/>
        </w:rPr>
      </w:pPr>
    </w:p>
    <w:p w14:paraId="2DC6A2BE" w14:textId="77777777" w:rsidR="008E07EF" w:rsidRDefault="008E07EF">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0C57222B" w14:textId="182A6739" w:rsidR="00A753EF" w:rsidRPr="00A753EF" w:rsidRDefault="00A753EF" w:rsidP="00A753EF">
      <w:pPr>
        <w:keepNext/>
        <w:spacing w:before="120" w:after="60"/>
        <w:ind w:left="720"/>
        <w:contextualSpacing/>
        <w:jc w:val="right"/>
        <w:rPr>
          <w:rFonts w:ascii="Times New Roman" w:eastAsia="Times New Roman" w:hAnsi="Times New Roman" w:cs="Times New Roman"/>
          <w:b/>
          <w:sz w:val="24"/>
          <w:szCs w:val="20"/>
          <w:highlight w:val="yellow"/>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17</w:t>
      </w:r>
      <w:r w:rsidRPr="00285A7F">
        <w:rPr>
          <w:rFonts w:ascii="Times New Roman" w:eastAsia="Times New Roman" w:hAnsi="Times New Roman" w:cs="Times New Roman"/>
          <w:b/>
          <w:sz w:val="24"/>
          <w:szCs w:val="20"/>
        </w:rPr>
        <w:t>.tabula. Nodokļu politikas izmaiņu ietekme</w:t>
      </w:r>
      <w:r w:rsidRPr="00A753EF">
        <w:rPr>
          <w:rFonts w:ascii="Times New Roman" w:eastAsia="Times New Roman" w:hAnsi="Times New Roman" w:cs="Times New Roman"/>
          <w:b/>
          <w:sz w:val="24"/>
          <w:szCs w:val="20"/>
        </w:rPr>
        <w:t xml:space="preserve"> uz akcīzes nodokļa ieņēmumiem, milj. </w:t>
      </w:r>
      <w:r w:rsidRPr="00A753E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5031"/>
        <w:gridCol w:w="817"/>
        <w:gridCol w:w="816"/>
        <w:gridCol w:w="816"/>
        <w:gridCol w:w="816"/>
      </w:tblGrid>
      <w:tr w:rsidR="00A753EF" w:rsidRPr="00A753EF" w14:paraId="27635800" w14:textId="77777777" w:rsidTr="00A753EF">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31" w:type="dxa"/>
          </w:tcPr>
          <w:p w14:paraId="05C68818"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817" w:type="dxa"/>
          </w:tcPr>
          <w:p w14:paraId="2C5FA43C"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816" w:type="dxa"/>
          </w:tcPr>
          <w:p w14:paraId="6C2C6F61"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816" w:type="dxa"/>
          </w:tcPr>
          <w:p w14:paraId="7FB9D76B"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816" w:type="dxa"/>
          </w:tcPr>
          <w:p w14:paraId="178A1564"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00FB5B32" w14:textId="77777777" w:rsidTr="00A753E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031" w:type="dxa"/>
          </w:tcPr>
          <w:p w14:paraId="2933B418"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 xml:space="preserve">Termiņu pagarinājumu piešķiršana akcīzes nodoklim par alkoholiskajiem dzērieniem </w:t>
            </w:r>
          </w:p>
        </w:tc>
        <w:tc>
          <w:tcPr>
            <w:tcW w:w="817" w:type="dxa"/>
            <w:vAlign w:val="bottom"/>
          </w:tcPr>
          <w:p w14:paraId="3F90CA1F"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-18,3 </w:t>
            </w:r>
          </w:p>
        </w:tc>
        <w:tc>
          <w:tcPr>
            <w:tcW w:w="816" w:type="dxa"/>
            <w:vAlign w:val="bottom"/>
          </w:tcPr>
          <w:p w14:paraId="30A6D317" w14:textId="77777777" w:rsidR="00A753EF" w:rsidRPr="00A753EF" w:rsidRDefault="00A753EF" w:rsidP="00A753EF">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+20,1 </w:t>
            </w:r>
          </w:p>
        </w:tc>
        <w:tc>
          <w:tcPr>
            <w:tcW w:w="816" w:type="dxa"/>
            <w:vAlign w:val="bottom"/>
          </w:tcPr>
          <w:p w14:paraId="0AFCEC4E"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+1,8 </w:t>
            </w:r>
          </w:p>
        </w:tc>
        <w:tc>
          <w:tcPr>
            <w:tcW w:w="816" w:type="dxa"/>
            <w:vAlign w:val="bottom"/>
          </w:tcPr>
          <w:p w14:paraId="240222BC"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+3,7 </w:t>
            </w:r>
          </w:p>
        </w:tc>
      </w:tr>
      <w:tr w:rsidR="00A753EF" w:rsidRPr="00A753EF" w14:paraId="15ED407F" w14:textId="77777777" w:rsidTr="00A753EF">
        <w:trPr>
          <w:trHeight w:val="263"/>
          <w:jc w:val="center"/>
        </w:trPr>
        <w:tc>
          <w:tcPr>
            <w:cnfStyle w:val="001000000000" w:firstRow="0" w:lastRow="0" w:firstColumn="1" w:lastColumn="0" w:oddVBand="0" w:evenVBand="0" w:oddHBand="0" w:evenHBand="0" w:firstRowFirstColumn="0" w:firstRowLastColumn="0" w:lastRowFirstColumn="0" w:lastRowLastColumn="0"/>
            <w:tcW w:w="5031" w:type="dxa"/>
          </w:tcPr>
          <w:p w14:paraId="45E638EC" w14:textId="77777777" w:rsidR="00A753EF" w:rsidRPr="00A753EF" w:rsidRDefault="00A753EF" w:rsidP="00A753EF">
            <w:pPr>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 xml:space="preserve">Termiņu pagarinājumu piešķiršana akcīzes nodoklim par naftas produktiem </w:t>
            </w:r>
          </w:p>
        </w:tc>
        <w:tc>
          <w:tcPr>
            <w:tcW w:w="817" w:type="dxa"/>
            <w:vAlign w:val="bottom"/>
          </w:tcPr>
          <w:p w14:paraId="2C229293"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-2,0 </w:t>
            </w:r>
          </w:p>
        </w:tc>
        <w:tc>
          <w:tcPr>
            <w:tcW w:w="816" w:type="dxa"/>
            <w:vAlign w:val="bottom"/>
          </w:tcPr>
          <w:p w14:paraId="455DD25D"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+2,2 </w:t>
            </w:r>
          </w:p>
        </w:tc>
        <w:tc>
          <w:tcPr>
            <w:tcW w:w="816" w:type="dxa"/>
            <w:vAlign w:val="bottom"/>
          </w:tcPr>
          <w:p w14:paraId="3B5C2622"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+0,2 </w:t>
            </w:r>
          </w:p>
        </w:tc>
        <w:tc>
          <w:tcPr>
            <w:tcW w:w="816" w:type="dxa"/>
            <w:vAlign w:val="bottom"/>
          </w:tcPr>
          <w:p w14:paraId="592FB2DA"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+0,4 </w:t>
            </w:r>
          </w:p>
        </w:tc>
      </w:tr>
      <w:tr w:rsidR="00A753EF" w:rsidRPr="00A753EF" w14:paraId="27C3D41D" w14:textId="77777777" w:rsidTr="00A753E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031" w:type="dxa"/>
          </w:tcPr>
          <w:p w14:paraId="49CFFFCF" w14:textId="77777777" w:rsidR="00A753EF" w:rsidRPr="00A753EF" w:rsidRDefault="00A753EF" w:rsidP="00A753EF">
            <w:pPr>
              <w:jc w:val="right"/>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817" w:type="dxa"/>
            <w:vAlign w:val="bottom"/>
          </w:tcPr>
          <w:p w14:paraId="4B958077"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-20,3 </w:t>
            </w:r>
          </w:p>
        </w:tc>
        <w:tc>
          <w:tcPr>
            <w:tcW w:w="816" w:type="dxa"/>
            <w:vAlign w:val="bottom"/>
          </w:tcPr>
          <w:p w14:paraId="416E2E05"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+22,4 </w:t>
            </w:r>
          </w:p>
        </w:tc>
        <w:tc>
          <w:tcPr>
            <w:tcW w:w="816" w:type="dxa"/>
            <w:vAlign w:val="bottom"/>
          </w:tcPr>
          <w:p w14:paraId="3AE85906"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+2,0 </w:t>
            </w:r>
          </w:p>
        </w:tc>
        <w:tc>
          <w:tcPr>
            <w:tcW w:w="816" w:type="dxa"/>
            <w:vAlign w:val="bottom"/>
          </w:tcPr>
          <w:p w14:paraId="7EAC0189"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+4,1 </w:t>
            </w:r>
          </w:p>
        </w:tc>
      </w:tr>
    </w:tbl>
    <w:p w14:paraId="1EAD3361" w14:textId="77777777" w:rsidR="00A753EF" w:rsidRPr="00A753EF" w:rsidRDefault="00A753EF" w:rsidP="00A753EF">
      <w:pPr>
        <w:spacing w:after="0" w:line="240" w:lineRule="auto"/>
        <w:ind w:firstLine="567"/>
        <w:jc w:val="both"/>
        <w:rPr>
          <w:rFonts w:ascii="Times New Roman" w:eastAsia="Times New Roman" w:hAnsi="Times New Roman" w:cs="Times New Roman"/>
          <w:i/>
          <w:color w:val="000000"/>
          <w:sz w:val="24"/>
          <w:szCs w:val="24"/>
        </w:rPr>
      </w:pPr>
    </w:p>
    <w:p w14:paraId="0F3DC371" w14:textId="77777777" w:rsidR="00A753EF" w:rsidRPr="00A753EF" w:rsidRDefault="00A753EF" w:rsidP="00A753EF">
      <w:pPr>
        <w:spacing w:before="120" w:after="12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Iedzīvotāju ienākuma nodoklis</w:t>
      </w:r>
    </w:p>
    <w:p w14:paraId="4F7F8C2F" w14:textId="23C3AB39"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Prognozēs ņemtas vērā aktualizētās makroekonomiskās prognozes, kas paredz, ka darba samaksa fonda pieaugums, salīdzinot ar plānoto Vidējā termiņa ietvarā 2020.</w:t>
      </w:r>
      <w:r w:rsidR="00305D82" w:rsidRPr="00A753EF">
        <w:rPr>
          <w:rFonts w:ascii="Times New Roman" w:eastAsia="Calibri" w:hAnsi="Times New Roman" w:cs="Times New Roman"/>
          <w:sz w:val="24"/>
        </w:rPr>
        <w:t>–</w:t>
      </w:r>
      <w:r w:rsidRPr="00A753EF">
        <w:rPr>
          <w:rFonts w:ascii="Times New Roman" w:eastAsia="Calibri" w:hAnsi="Times New Roman" w:cs="Times New Roman"/>
          <w:sz w:val="24"/>
        </w:rPr>
        <w:t>2022.gadam, 2020.gadā samazināsies par 14,0 procentpunktiem, 2021.gadā samazināsies par 0,7 procentpunktiem, 2022.gadā palielināsies par 1,2 procentpunktiem.</w:t>
      </w:r>
    </w:p>
    <w:p w14:paraId="6B31C183" w14:textId="77777777"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Papildus iedzīvotāju ienākuma nodokļa ieņēmumus ietekmēs divi atbalsta pasākumi, kas pieņemti 2020.gada 22.martā un paredzēti likumā “Par valsts apdraudējuma un tā seku novēršanas un pārvarēšanas pasākumiem sakarā ar Covid-19 izplatību”:</w:t>
      </w:r>
    </w:p>
    <w:p w14:paraId="6ED9A1A4"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IIN avansa maksājumu atcelšana 2020.gadā;</w:t>
      </w:r>
    </w:p>
    <w:p w14:paraId="2E1B15E1" w14:textId="77777777" w:rsidR="00A753EF" w:rsidRPr="00A753EF" w:rsidRDefault="00A753EF" w:rsidP="00A753EF">
      <w:pPr>
        <w:numPr>
          <w:ilvl w:val="0"/>
          <w:numId w:val="22"/>
        </w:numPr>
        <w:spacing w:after="0" w:line="240" w:lineRule="auto"/>
        <w:contextualSpacing/>
        <w:jc w:val="both"/>
        <w:rPr>
          <w:rFonts w:ascii="Times New Roman" w:eastAsia="Calibri" w:hAnsi="Times New Roman" w:cs="Times New Roman"/>
          <w:sz w:val="24"/>
        </w:rPr>
      </w:pPr>
      <w:r w:rsidRPr="00A753EF">
        <w:rPr>
          <w:rFonts w:ascii="Times New Roman" w:eastAsia="Calibri" w:hAnsi="Times New Roman" w:cs="Times New Roman"/>
          <w:sz w:val="24"/>
        </w:rPr>
        <w:t>nodokļu samaksas termiņa pagarinājums līdz trim gadiem, ja termiņa kavējums radies Covid-19 izplatības dēļ.</w:t>
      </w:r>
    </w:p>
    <w:p w14:paraId="6023119B" w14:textId="77777777" w:rsidR="00A753EF" w:rsidRPr="00A753EF" w:rsidRDefault="00A753EF" w:rsidP="00A753EF">
      <w:pPr>
        <w:ind w:left="720"/>
        <w:contextualSpacing/>
        <w:jc w:val="both"/>
        <w:rPr>
          <w:rFonts w:ascii="Times New Roman" w:eastAsia="Calibri" w:hAnsi="Times New Roman" w:cs="Times New Roman"/>
          <w:sz w:val="24"/>
        </w:rPr>
      </w:pPr>
    </w:p>
    <w:p w14:paraId="3C676257" w14:textId="05D1971B"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highlight w:val="yellow"/>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18</w:t>
      </w:r>
      <w:r w:rsidRPr="00285A7F">
        <w:rPr>
          <w:rFonts w:ascii="Times New Roman" w:eastAsia="Times New Roman" w:hAnsi="Times New Roman" w:cs="Times New Roman"/>
          <w:b/>
          <w:sz w:val="24"/>
          <w:szCs w:val="20"/>
        </w:rPr>
        <w:t>.tabula. Nodokļu</w:t>
      </w:r>
      <w:r w:rsidRPr="00A753EF">
        <w:rPr>
          <w:rFonts w:ascii="Times New Roman" w:eastAsia="Times New Roman" w:hAnsi="Times New Roman" w:cs="Times New Roman"/>
          <w:b/>
          <w:sz w:val="24"/>
          <w:szCs w:val="20"/>
        </w:rPr>
        <w:t xml:space="preserve"> politikas izmaiņu ietekme uz IIN ieņēmumiem, milj. </w:t>
      </w:r>
      <w:r w:rsidRPr="00A753E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5031"/>
        <w:gridCol w:w="817"/>
        <w:gridCol w:w="816"/>
        <w:gridCol w:w="816"/>
        <w:gridCol w:w="816"/>
      </w:tblGrid>
      <w:tr w:rsidR="00A753EF" w:rsidRPr="00A753EF" w14:paraId="147DC962" w14:textId="77777777" w:rsidTr="00A753EF">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31" w:type="dxa"/>
          </w:tcPr>
          <w:p w14:paraId="6534872F"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817" w:type="dxa"/>
          </w:tcPr>
          <w:p w14:paraId="2B32FF46"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816" w:type="dxa"/>
          </w:tcPr>
          <w:p w14:paraId="5E77FB2B"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816" w:type="dxa"/>
          </w:tcPr>
          <w:p w14:paraId="3BEB7930"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816" w:type="dxa"/>
          </w:tcPr>
          <w:p w14:paraId="5394F4BD"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79977FF6" w14:textId="77777777" w:rsidTr="00A753E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031" w:type="dxa"/>
          </w:tcPr>
          <w:p w14:paraId="38A37C75" w14:textId="77777777" w:rsidR="00A753EF" w:rsidRPr="00A753EF" w:rsidRDefault="00A753EF" w:rsidP="00A753EF">
            <w:pPr>
              <w:rPr>
                <w:rFonts w:ascii="Times New Roman" w:eastAsia="Times New Roman" w:hAnsi="Times New Roman" w:cs="Times New Roman"/>
                <w:color w:val="000000" w:themeColor="text1"/>
                <w:sz w:val="20"/>
                <w:szCs w:val="20"/>
              </w:rPr>
            </w:pPr>
            <w:r w:rsidRPr="00A753EF">
              <w:rPr>
                <w:rFonts w:ascii="Times New Roman" w:eastAsia="Calibri" w:hAnsi="Times New Roman" w:cs="Times New Roman"/>
                <w:color w:val="000000" w:themeColor="text1"/>
                <w:sz w:val="20"/>
                <w:szCs w:val="20"/>
              </w:rPr>
              <w:t>IIN avansa maksājumu atcelšana 2020.gadā</w:t>
            </w:r>
          </w:p>
        </w:tc>
        <w:tc>
          <w:tcPr>
            <w:tcW w:w="817" w:type="dxa"/>
            <w:vAlign w:val="bottom"/>
          </w:tcPr>
          <w:p w14:paraId="72EA75C2"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-35,0 </w:t>
            </w:r>
          </w:p>
        </w:tc>
        <w:tc>
          <w:tcPr>
            <w:tcW w:w="816" w:type="dxa"/>
            <w:vAlign w:val="bottom"/>
          </w:tcPr>
          <w:p w14:paraId="27B48AD7" w14:textId="77777777" w:rsidR="00A753EF" w:rsidRPr="00A753EF" w:rsidRDefault="00A753EF" w:rsidP="00A753EF">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+70,0 </w:t>
            </w:r>
          </w:p>
        </w:tc>
        <w:tc>
          <w:tcPr>
            <w:tcW w:w="816" w:type="dxa"/>
            <w:vAlign w:val="bottom"/>
          </w:tcPr>
          <w:p w14:paraId="543F1B38"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-35,0</w:t>
            </w:r>
          </w:p>
        </w:tc>
        <w:tc>
          <w:tcPr>
            <w:tcW w:w="816" w:type="dxa"/>
            <w:vAlign w:val="bottom"/>
          </w:tcPr>
          <w:p w14:paraId="14040744"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A753EF" w:rsidRPr="00A753EF" w14:paraId="1CCEE8DC" w14:textId="77777777" w:rsidTr="00A753EF">
        <w:trPr>
          <w:trHeight w:val="263"/>
          <w:jc w:val="center"/>
        </w:trPr>
        <w:tc>
          <w:tcPr>
            <w:cnfStyle w:val="001000000000" w:firstRow="0" w:lastRow="0" w:firstColumn="1" w:lastColumn="0" w:oddVBand="0" w:evenVBand="0" w:oddHBand="0" w:evenHBand="0" w:firstRowFirstColumn="0" w:firstRowLastColumn="0" w:lastRowFirstColumn="0" w:lastRowLastColumn="0"/>
            <w:tcW w:w="5031" w:type="dxa"/>
          </w:tcPr>
          <w:p w14:paraId="4414EC6A" w14:textId="77777777" w:rsidR="00A753EF" w:rsidRPr="00A753EF" w:rsidRDefault="00A753EF" w:rsidP="00A753EF">
            <w:pPr>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Termiņu pagarinājumu piešķiršana</w:t>
            </w:r>
          </w:p>
        </w:tc>
        <w:tc>
          <w:tcPr>
            <w:tcW w:w="817" w:type="dxa"/>
            <w:vAlign w:val="bottom"/>
          </w:tcPr>
          <w:p w14:paraId="71BE75A6"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-57,2</w:t>
            </w:r>
          </w:p>
        </w:tc>
        <w:tc>
          <w:tcPr>
            <w:tcW w:w="816" w:type="dxa"/>
            <w:vAlign w:val="bottom"/>
          </w:tcPr>
          <w:p w14:paraId="32B444A9"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+62,9 </w:t>
            </w:r>
          </w:p>
        </w:tc>
        <w:tc>
          <w:tcPr>
            <w:tcW w:w="816" w:type="dxa"/>
            <w:vAlign w:val="bottom"/>
          </w:tcPr>
          <w:p w14:paraId="48BADBD7"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+5,7</w:t>
            </w:r>
          </w:p>
        </w:tc>
        <w:tc>
          <w:tcPr>
            <w:tcW w:w="816" w:type="dxa"/>
            <w:vAlign w:val="bottom"/>
          </w:tcPr>
          <w:p w14:paraId="439095C8" w14:textId="77777777" w:rsidR="00A753EF" w:rsidRPr="00A753EF" w:rsidRDefault="00A753EF" w:rsidP="00A753EF">
            <w:pPr>
              <w:tabs>
                <w:tab w:val="decimal" w:pos="458"/>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iCs/>
                <w:color w:val="000000" w:themeColor="text1"/>
                <w:sz w:val="20"/>
                <w:szCs w:val="18"/>
              </w:rPr>
              <w:t xml:space="preserve">+11,4 </w:t>
            </w:r>
          </w:p>
        </w:tc>
      </w:tr>
      <w:tr w:rsidR="00A753EF" w:rsidRPr="00A753EF" w14:paraId="115869B8" w14:textId="77777777" w:rsidTr="00A753E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031" w:type="dxa"/>
          </w:tcPr>
          <w:p w14:paraId="48C7F32C" w14:textId="77777777" w:rsidR="00A753EF" w:rsidRPr="00A753EF" w:rsidRDefault="00A753EF" w:rsidP="00A753EF">
            <w:pPr>
              <w:jc w:val="right"/>
              <w:rPr>
                <w:rFonts w:ascii="Times New Roman" w:eastAsia="Times New Roman" w:hAnsi="Times New Roman" w:cs="Times New Roman"/>
                <w:i/>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817" w:type="dxa"/>
            <w:vAlign w:val="bottom"/>
          </w:tcPr>
          <w:p w14:paraId="39C8C21D" w14:textId="77777777" w:rsidR="00A753EF" w:rsidRPr="00A753EF" w:rsidRDefault="00A753EF" w:rsidP="00A753EF">
            <w:pPr>
              <w:tabs>
                <w:tab w:val="decimal" w:pos="458"/>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iCs/>
                <w:color w:val="000000" w:themeColor="text1"/>
                <w:sz w:val="20"/>
                <w:szCs w:val="18"/>
              </w:rPr>
              <w:t xml:space="preserve">-92,2 </w:t>
            </w:r>
          </w:p>
        </w:tc>
        <w:tc>
          <w:tcPr>
            <w:tcW w:w="816" w:type="dxa"/>
            <w:vAlign w:val="bottom"/>
          </w:tcPr>
          <w:p w14:paraId="65CBB849"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color w:val="000000" w:themeColor="text1"/>
                <w:sz w:val="20"/>
                <w:szCs w:val="18"/>
              </w:rPr>
            </w:pPr>
            <w:r w:rsidRPr="00A753EF">
              <w:rPr>
                <w:rFonts w:ascii="Times New Roman" w:eastAsia="Times New Roman" w:hAnsi="Times New Roman" w:cs="Times New Roman"/>
                <w:b/>
                <w:iCs/>
                <w:color w:val="000000" w:themeColor="text1"/>
                <w:sz w:val="20"/>
                <w:szCs w:val="18"/>
              </w:rPr>
              <w:t>+132,9</w:t>
            </w:r>
          </w:p>
        </w:tc>
        <w:tc>
          <w:tcPr>
            <w:tcW w:w="816" w:type="dxa"/>
            <w:vAlign w:val="bottom"/>
          </w:tcPr>
          <w:p w14:paraId="5369BBFC"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iCs/>
                <w:color w:val="000000" w:themeColor="text1"/>
                <w:sz w:val="20"/>
                <w:szCs w:val="18"/>
              </w:rPr>
              <w:t>+29,3</w:t>
            </w:r>
          </w:p>
        </w:tc>
        <w:tc>
          <w:tcPr>
            <w:tcW w:w="816" w:type="dxa"/>
            <w:vAlign w:val="bottom"/>
          </w:tcPr>
          <w:p w14:paraId="1A5D88DE" w14:textId="77777777" w:rsidR="00A753EF" w:rsidRPr="00A753EF" w:rsidRDefault="00A753EF" w:rsidP="00A753EF">
            <w:pPr>
              <w:tabs>
                <w:tab w:val="decimal" w:pos="458"/>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iCs/>
                <w:color w:val="000000" w:themeColor="text1"/>
                <w:sz w:val="20"/>
                <w:szCs w:val="18"/>
              </w:rPr>
              <w:t xml:space="preserve">+11,4 </w:t>
            </w:r>
          </w:p>
        </w:tc>
      </w:tr>
    </w:tbl>
    <w:p w14:paraId="4F59467C" w14:textId="528F81E2" w:rsidR="00305D82" w:rsidRDefault="00305D82">
      <w:pPr>
        <w:rPr>
          <w:rFonts w:ascii="Times New Roman" w:eastAsia="Times New Roman" w:hAnsi="Times New Roman" w:cs="Times New Roman"/>
          <w:b/>
          <w:sz w:val="24"/>
          <w:szCs w:val="24"/>
        </w:rPr>
      </w:pPr>
    </w:p>
    <w:p w14:paraId="2E449801" w14:textId="2CB5A3CA" w:rsidR="00A753EF" w:rsidRPr="00A753EF" w:rsidRDefault="00A753EF" w:rsidP="00A753EF">
      <w:pPr>
        <w:spacing w:before="360" w:after="60" w:line="240" w:lineRule="auto"/>
        <w:ind w:left="567"/>
        <w:outlineLvl w:val="3"/>
        <w:rPr>
          <w:rFonts w:ascii="Times New Roman" w:eastAsia="Times New Roman" w:hAnsi="Times New Roman" w:cs="Times New Roman"/>
          <w:b/>
          <w:sz w:val="24"/>
          <w:szCs w:val="24"/>
        </w:rPr>
      </w:pPr>
      <w:r w:rsidRPr="00A753EF">
        <w:rPr>
          <w:rFonts w:ascii="Times New Roman" w:eastAsia="Times New Roman" w:hAnsi="Times New Roman" w:cs="Times New Roman"/>
          <w:b/>
          <w:sz w:val="24"/>
          <w:szCs w:val="24"/>
        </w:rPr>
        <w:t>Sociālās apdrošināšanas iemaksas</w:t>
      </w:r>
      <w:r w:rsidRPr="00A753EF">
        <w:rPr>
          <w:rFonts w:ascii="Times New Roman" w:eastAsia="Times New Roman" w:hAnsi="Times New Roman" w:cs="Times New Roman"/>
          <w:b/>
          <w:sz w:val="24"/>
          <w:szCs w:val="24"/>
          <w:vertAlign w:val="superscript"/>
        </w:rPr>
        <w:footnoteReference w:id="32"/>
      </w:r>
    </w:p>
    <w:p w14:paraId="1888362F" w14:textId="5A5D95D8" w:rsidR="00A753EF" w:rsidRPr="00A753EF" w:rsidRDefault="00A753EF" w:rsidP="00305D82">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Sociālās apdrošināšanas iemaksu prognozēs ņemtas vērā aktualizētās makroekonomiskās prognozes, kas paredz, ka darba samaksa fonda rādītāji, salīdzinot ar plānoto Vidējā termiņa ietvarā 2020.</w:t>
      </w:r>
      <w:r w:rsidR="00305D82" w:rsidRPr="00A753EF">
        <w:rPr>
          <w:rFonts w:ascii="Times New Roman" w:eastAsia="Calibri" w:hAnsi="Times New Roman" w:cs="Times New Roman"/>
          <w:sz w:val="24"/>
        </w:rPr>
        <w:t>–</w:t>
      </w:r>
      <w:r w:rsidRPr="00A753EF">
        <w:rPr>
          <w:rFonts w:ascii="Times New Roman" w:eastAsia="Calibri" w:hAnsi="Times New Roman" w:cs="Times New Roman"/>
          <w:sz w:val="24"/>
        </w:rPr>
        <w:t>2022.gadam, 2020.gadā samazināsies par 14,0 procentpunktiem, 2021.gadā samazināsies par 0,7 procentpunktiem, 2022.gadā palielināsies par 1,2 procentpunktiem.</w:t>
      </w:r>
    </w:p>
    <w:p w14:paraId="3C93580E" w14:textId="21E13AD1" w:rsidR="00A753EF" w:rsidRPr="00285A7F" w:rsidRDefault="00A753EF" w:rsidP="00305D82">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Papildus 4.2.1.nodaļā uzskaitītajām normatīvo aktu izmaiņām </w:t>
      </w:r>
      <w:r w:rsidRPr="00A753EF">
        <w:rPr>
          <w:rFonts w:ascii="Times New Roman" w:eastAsia="Times New Roman" w:hAnsi="Times New Roman" w:cs="Times New Roman"/>
          <w:iCs/>
          <w:sz w:val="24"/>
          <w:szCs w:val="20"/>
          <w:lang w:val="x-none" w:eastAsia="x-none"/>
        </w:rPr>
        <w:t xml:space="preserve">sociālās apdrošināšanas </w:t>
      </w:r>
      <w:r w:rsidRPr="00A753EF">
        <w:rPr>
          <w:rFonts w:ascii="Times New Roman" w:eastAsia="Times New Roman" w:hAnsi="Times New Roman" w:cs="Times New Roman"/>
          <w:iCs/>
          <w:sz w:val="24"/>
          <w:szCs w:val="24"/>
          <w:lang w:val="x-none" w:eastAsia="x-none"/>
        </w:rPr>
        <w:t>iemaksu ieņēmumus</w:t>
      </w:r>
      <w:r w:rsidRPr="00A753EF">
        <w:rPr>
          <w:rFonts w:ascii="Times New Roman" w:eastAsia="Times New Roman" w:hAnsi="Times New Roman" w:cs="Times New Roman"/>
          <w:sz w:val="24"/>
          <w:szCs w:val="20"/>
          <w:lang w:val="x-none" w:eastAsia="x-none"/>
        </w:rPr>
        <w:t xml:space="preserve"> ietekmē</w:t>
      </w:r>
      <w:r w:rsidRPr="00A753EF">
        <w:rPr>
          <w:rFonts w:ascii="Times New Roman" w:eastAsia="Times New Roman" w:hAnsi="Times New Roman" w:cs="Times New Roman"/>
          <w:sz w:val="24"/>
          <w:szCs w:val="20"/>
          <w:lang w:eastAsia="x-none"/>
        </w:rPr>
        <w:t xml:space="preserve">s </w:t>
      </w:r>
      <w:r w:rsidRPr="00A753EF">
        <w:rPr>
          <w:rFonts w:ascii="Times New Roman" w:eastAsia="Calibri" w:hAnsi="Times New Roman" w:cs="Times New Roman"/>
          <w:sz w:val="24"/>
        </w:rPr>
        <w:t>2020.gada 22.martā likumā “Par valsts apdraudējuma un tā seku novēršanas un pārvarēšanas pasākumiem sakarā ar Covid-19 izplatību” pieņemtās normatīvo aktu izmaiņas</w:t>
      </w:r>
      <w:r w:rsidRPr="00A753EF">
        <w:rPr>
          <w:rFonts w:ascii="Times New Roman" w:eastAsia="Times New Roman" w:hAnsi="Times New Roman" w:cs="Times New Roman"/>
          <w:iCs/>
          <w:sz w:val="24"/>
          <w:szCs w:val="20"/>
          <w:lang w:eastAsia="x-none"/>
        </w:rPr>
        <w:t xml:space="preserve">, </w:t>
      </w:r>
      <w:r w:rsidRPr="00285A7F">
        <w:rPr>
          <w:rFonts w:ascii="Times New Roman" w:eastAsia="Times New Roman" w:hAnsi="Times New Roman" w:cs="Times New Roman"/>
          <w:sz w:val="24"/>
          <w:szCs w:val="20"/>
          <w:lang w:val="x-none" w:eastAsia="x-none"/>
        </w:rPr>
        <w:t xml:space="preserve">kas </w:t>
      </w:r>
      <w:r w:rsidRPr="00285A7F">
        <w:rPr>
          <w:rFonts w:ascii="Times New Roman" w:eastAsia="Times New Roman" w:hAnsi="Times New Roman" w:cs="Times New Roman"/>
          <w:iCs/>
          <w:sz w:val="24"/>
          <w:szCs w:val="24"/>
          <w:lang w:eastAsia="x-none"/>
        </w:rPr>
        <w:t xml:space="preserve">paredz </w:t>
      </w:r>
      <w:r w:rsidRPr="00285A7F">
        <w:rPr>
          <w:rFonts w:ascii="Times New Roman" w:eastAsia="Calibri" w:hAnsi="Times New Roman" w:cs="Times New Roman"/>
          <w:sz w:val="24"/>
        </w:rPr>
        <w:t>nodokļu samaksas termiņa pagarinājumu līdz trim gadiem, ja termiņa kavējums radies Covid-19 izplatības dēļ.</w:t>
      </w:r>
    </w:p>
    <w:p w14:paraId="589A208B" w14:textId="77777777" w:rsidR="00305D82" w:rsidRPr="00285A7F" w:rsidRDefault="00305D82" w:rsidP="00305D82">
      <w:pPr>
        <w:spacing w:after="0" w:line="240" w:lineRule="auto"/>
        <w:ind w:firstLine="720"/>
        <w:jc w:val="both"/>
        <w:rPr>
          <w:rFonts w:ascii="Times New Roman" w:eastAsia="Calibri" w:hAnsi="Times New Roman" w:cs="Times New Roman"/>
          <w:sz w:val="24"/>
        </w:rPr>
      </w:pPr>
    </w:p>
    <w:p w14:paraId="5C0A3555" w14:textId="77777777" w:rsidR="008E07EF" w:rsidRDefault="008E07EF">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7BA5E6A7" w14:textId="325AAF77" w:rsidR="00A753EF" w:rsidRPr="00285A7F" w:rsidRDefault="00A753EF" w:rsidP="00A753EF">
      <w:pPr>
        <w:keepNext/>
        <w:spacing w:before="120" w:after="60" w:line="240" w:lineRule="auto"/>
        <w:jc w:val="right"/>
        <w:rPr>
          <w:rFonts w:ascii="Times New Roman" w:eastAsia="Times New Roman" w:hAnsi="Times New Roman" w:cs="Times New Roman"/>
          <w:b/>
          <w:sz w:val="24"/>
          <w:szCs w:val="20"/>
        </w:rPr>
      </w:pPr>
      <w:r w:rsidRPr="00285A7F">
        <w:rPr>
          <w:rFonts w:ascii="Times New Roman" w:eastAsia="Times New Roman" w:hAnsi="Times New Roman" w:cs="Times New Roman"/>
          <w:b/>
          <w:sz w:val="24"/>
          <w:szCs w:val="20"/>
        </w:rPr>
        <w:t>4.1</w:t>
      </w:r>
      <w:r w:rsidR="00285A7F" w:rsidRPr="00285A7F">
        <w:rPr>
          <w:rFonts w:ascii="Times New Roman" w:eastAsia="Times New Roman" w:hAnsi="Times New Roman" w:cs="Times New Roman"/>
          <w:b/>
          <w:sz w:val="24"/>
          <w:szCs w:val="20"/>
        </w:rPr>
        <w:t>9</w:t>
      </w:r>
      <w:r w:rsidRPr="00285A7F">
        <w:rPr>
          <w:rFonts w:ascii="Times New Roman" w:eastAsia="Times New Roman" w:hAnsi="Times New Roman" w:cs="Times New Roman"/>
          <w:b/>
          <w:sz w:val="24"/>
          <w:szCs w:val="20"/>
        </w:rPr>
        <w:t>.tabula. Nodokļu politikas izmaiņu ietekme uz sociālās apdrošināšanas iemaksu ieņēmumiem</w:t>
      </w:r>
      <w:r w:rsidRPr="00285A7F">
        <w:rPr>
          <w:rFonts w:ascii="Times New Roman" w:eastAsia="Times New Roman" w:hAnsi="Times New Roman" w:cs="Times New Roman"/>
          <w:b/>
          <w:sz w:val="20"/>
          <w:szCs w:val="20"/>
          <w:vertAlign w:val="superscript"/>
        </w:rPr>
        <w:footnoteReference w:id="33"/>
      </w:r>
      <w:r w:rsidRPr="00285A7F">
        <w:rPr>
          <w:rFonts w:ascii="Times New Roman" w:eastAsia="Times New Roman" w:hAnsi="Times New Roman" w:cs="Times New Roman"/>
          <w:b/>
          <w:sz w:val="24"/>
          <w:szCs w:val="20"/>
        </w:rPr>
        <w:t>, milj. </w:t>
      </w:r>
      <w:r w:rsidRPr="00285A7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4845"/>
        <w:gridCol w:w="862"/>
        <w:gridCol w:w="863"/>
        <w:gridCol w:w="863"/>
        <w:gridCol w:w="863"/>
      </w:tblGrid>
      <w:tr w:rsidR="00A753EF" w:rsidRPr="00285A7F" w14:paraId="160A97F5" w14:textId="77777777" w:rsidTr="00DE3E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5" w:type="dxa"/>
          </w:tcPr>
          <w:p w14:paraId="268E7F25" w14:textId="77777777" w:rsidR="00A753EF" w:rsidRPr="00285A7F" w:rsidRDefault="00A753EF" w:rsidP="00A753EF">
            <w:pPr>
              <w:rPr>
                <w:rFonts w:ascii="Times New Roman" w:eastAsia="Times New Roman" w:hAnsi="Times New Roman" w:cs="Times New Roman"/>
                <w:color w:val="000000" w:themeColor="text1"/>
                <w:sz w:val="20"/>
                <w:szCs w:val="20"/>
              </w:rPr>
            </w:pPr>
          </w:p>
        </w:tc>
        <w:tc>
          <w:tcPr>
            <w:tcW w:w="862" w:type="dxa"/>
          </w:tcPr>
          <w:p w14:paraId="43B06643" w14:textId="77777777" w:rsidR="00A753EF" w:rsidRPr="00285A7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2020</w:t>
            </w:r>
          </w:p>
        </w:tc>
        <w:tc>
          <w:tcPr>
            <w:tcW w:w="863" w:type="dxa"/>
          </w:tcPr>
          <w:p w14:paraId="614FFE8A" w14:textId="77777777" w:rsidR="00A753EF" w:rsidRPr="00285A7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2021</w:t>
            </w:r>
          </w:p>
        </w:tc>
        <w:tc>
          <w:tcPr>
            <w:tcW w:w="863" w:type="dxa"/>
          </w:tcPr>
          <w:p w14:paraId="54E4EB0B" w14:textId="77777777" w:rsidR="00A753EF" w:rsidRPr="00285A7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2022</w:t>
            </w:r>
          </w:p>
        </w:tc>
        <w:tc>
          <w:tcPr>
            <w:tcW w:w="863" w:type="dxa"/>
          </w:tcPr>
          <w:p w14:paraId="6D19E8F3" w14:textId="77777777" w:rsidR="00A753EF" w:rsidRPr="00285A7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2023</w:t>
            </w:r>
          </w:p>
        </w:tc>
      </w:tr>
      <w:tr w:rsidR="00A753EF" w:rsidRPr="00285A7F" w14:paraId="577DF27C"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5" w:type="dxa"/>
          </w:tcPr>
          <w:p w14:paraId="2F745837" w14:textId="77777777" w:rsidR="00A753EF" w:rsidRPr="00285A7F" w:rsidRDefault="00A753EF" w:rsidP="00A753EF">
            <w:pPr>
              <w:rPr>
                <w:rFonts w:ascii="Calibri" w:eastAsia="Times New Roman" w:hAnsi="Calibri" w:cs="Times New Roman"/>
                <w:color w:val="000000" w:themeColor="text1"/>
                <w:sz w:val="20"/>
                <w:szCs w:val="20"/>
              </w:rPr>
            </w:pPr>
            <w:r w:rsidRPr="00285A7F">
              <w:rPr>
                <w:rFonts w:ascii="Times New Roman" w:eastAsia="Times New Roman" w:hAnsi="Times New Roman" w:cs="Times New Roman"/>
                <w:color w:val="000000" w:themeColor="text1"/>
                <w:sz w:val="20"/>
                <w:szCs w:val="20"/>
              </w:rPr>
              <w:t>Termiņa pagarinājums līdz trim gadiem, ja termiņa kavējums radies Covid-19 izplatības dēļ</w:t>
            </w:r>
          </w:p>
        </w:tc>
        <w:tc>
          <w:tcPr>
            <w:tcW w:w="862" w:type="dxa"/>
            <w:vAlign w:val="center"/>
          </w:tcPr>
          <w:p w14:paraId="1D68F107" w14:textId="77777777" w:rsidR="00A753EF" w:rsidRPr="00285A7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-88,0</w:t>
            </w:r>
          </w:p>
        </w:tc>
        <w:tc>
          <w:tcPr>
            <w:tcW w:w="863" w:type="dxa"/>
            <w:vAlign w:val="center"/>
          </w:tcPr>
          <w:p w14:paraId="5DF3521D" w14:textId="77777777" w:rsidR="00A753EF" w:rsidRPr="00285A7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+96,1</w:t>
            </w:r>
          </w:p>
        </w:tc>
        <w:tc>
          <w:tcPr>
            <w:tcW w:w="863" w:type="dxa"/>
            <w:vAlign w:val="center"/>
          </w:tcPr>
          <w:p w14:paraId="5AA201B1" w14:textId="77777777" w:rsidR="00A753EF" w:rsidRPr="00285A7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+8,8</w:t>
            </w:r>
          </w:p>
        </w:tc>
        <w:tc>
          <w:tcPr>
            <w:tcW w:w="863" w:type="dxa"/>
            <w:vAlign w:val="center"/>
          </w:tcPr>
          <w:p w14:paraId="1427D75E" w14:textId="77777777" w:rsidR="00A753EF" w:rsidRPr="00285A7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+17,7</w:t>
            </w:r>
          </w:p>
        </w:tc>
      </w:tr>
      <w:tr w:rsidR="00A753EF" w:rsidRPr="00285A7F" w14:paraId="39FF3872" w14:textId="77777777" w:rsidTr="00DE3E1F">
        <w:trPr>
          <w:jc w:val="center"/>
        </w:trPr>
        <w:tc>
          <w:tcPr>
            <w:cnfStyle w:val="001000000000" w:firstRow="0" w:lastRow="0" w:firstColumn="1" w:lastColumn="0" w:oddVBand="0" w:evenVBand="0" w:oddHBand="0" w:evenHBand="0" w:firstRowFirstColumn="0" w:firstRowLastColumn="0" w:lastRowFirstColumn="0" w:lastRowLastColumn="0"/>
            <w:tcW w:w="4845" w:type="dxa"/>
          </w:tcPr>
          <w:p w14:paraId="15CC67E0" w14:textId="77777777" w:rsidR="00A753EF" w:rsidRPr="00285A7F" w:rsidRDefault="00A753EF" w:rsidP="00A753EF">
            <w:pPr>
              <w:jc w:val="right"/>
              <w:rPr>
                <w:rFonts w:ascii="Times New Roman" w:eastAsia="Times New Roman" w:hAnsi="Times New Roman" w:cs="Times New Roman"/>
                <w:color w:val="000000" w:themeColor="text1"/>
                <w:sz w:val="20"/>
                <w:szCs w:val="20"/>
              </w:rPr>
            </w:pPr>
            <w:r w:rsidRPr="00285A7F">
              <w:rPr>
                <w:rFonts w:ascii="Times New Roman" w:eastAsia="Times New Roman" w:hAnsi="Times New Roman" w:cs="Times New Roman"/>
                <w:color w:val="000000" w:themeColor="text1"/>
                <w:sz w:val="20"/>
                <w:szCs w:val="20"/>
              </w:rPr>
              <w:t>Izmaiņu ietekme kopā:</w:t>
            </w:r>
          </w:p>
        </w:tc>
        <w:tc>
          <w:tcPr>
            <w:tcW w:w="862" w:type="dxa"/>
            <w:vAlign w:val="center"/>
          </w:tcPr>
          <w:p w14:paraId="5DB9B445" w14:textId="77777777" w:rsidR="00A753EF" w:rsidRPr="00285A7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285A7F">
              <w:rPr>
                <w:rFonts w:ascii="Times New Roman" w:eastAsia="Times New Roman" w:hAnsi="Times New Roman" w:cs="Times New Roman"/>
                <w:b/>
                <w:color w:val="000000" w:themeColor="text1"/>
                <w:sz w:val="20"/>
                <w:szCs w:val="20"/>
              </w:rPr>
              <w:t>-88,0</w:t>
            </w:r>
          </w:p>
        </w:tc>
        <w:tc>
          <w:tcPr>
            <w:tcW w:w="863" w:type="dxa"/>
            <w:vAlign w:val="center"/>
          </w:tcPr>
          <w:p w14:paraId="3845A83D" w14:textId="77777777" w:rsidR="00A753EF" w:rsidRPr="00285A7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285A7F">
              <w:rPr>
                <w:rFonts w:ascii="Times New Roman" w:eastAsia="Times New Roman" w:hAnsi="Times New Roman" w:cs="Times New Roman"/>
                <w:b/>
                <w:color w:val="000000" w:themeColor="text1"/>
                <w:sz w:val="20"/>
                <w:szCs w:val="20"/>
              </w:rPr>
              <w:t>+96,1</w:t>
            </w:r>
          </w:p>
        </w:tc>
        <w:tc>
          <w:tcPr>
            <w:tcW w:w="863" w:type="dxa"/>
            <w:vAlign w:val="center"/>
          </w:tcPr>
          <w:p w14:paraId="6353F896" w14:textId="77777777" w:rsidR="00A753EF" w:rsidRPr="00285A7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themeColor="text1"/>
                <w:sz w:val="20"/>
                <w:szCs w:val="20"/>
              </w:rPr>
            </w:pPr>
            <w:r w:rsidRPr="00285A7F">
              <w:rPr>
                <w:rFonts w:ascii="Times New Roman" w:eastAsia="Times New Roman" w:hAnsi="Times New Roman" w:cs="Times New Roman"/>
                <w:b/>
                <w:color w:val="000000" w:themeColor="text1"/>
                <w:sz w:val="20"/>
                <w:szCs w:val="20"/>
              </w:rPr>
              <w:t>+8,8</w:t>
            </w:r>
          </w:p>
        </w:tc>
        <w:tc>
          <w:tcPr>
            <w:tcW w:w="863" w:type="dxa"/>
            <w:vAlign w:val="center"/>
          </w:tcPr>
          <w:p w14:paraId="277476D3" w14:textId="77777777" w:rsidR="00A753EF" w:rsidRPr="00285A7F" w:rsidRDefault="00A753EF" w:rsidP="00A753E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themeColor="text1"/>
                <w:sz w:val="20"/>
                <w:szCs w:val="20"/>
              </w:rPr>
            </w:pPr>
            <w:r w:rsidRPr="00285A7F">
              <w:rPr>
                <w:rFonts w:ascii="Times New Roman" w:eastAsia="Times New Roman" w:hAnsi="Times New Roman" w:cs="Times New Roman"/>
                <w:b/>
                <w:color w:val="000000" w:themeColor="text1"/>
                <w:sz w:val="20"/>
                <w:szCs w:val="20"/>
              </w:rPr>
              <w:t>+17,7</w:t>
            </w:r>
          </w:p>
        </w:tc>
      </w:tr>
    </w:tbl>
    <w:p w14:paraId="0F25454F" w14:textId="77777777" w:rsidR="00A753EF" w:rsidRPr="00285A7F" w:rsidRDefault="00A753EF" w:rsidP="00A753EF">
      <w:pPr>
        <w:spacing w:after="0" w:line="240" w:lineRule="auto"/>
        <w:rPr>
          <w:rFonts w:ascii="Times New Roman" w:eastAsia="Times New Roman" w:hAnsi="Times New Roman" w:cs="Times New Roman"/>
          <w:iCs/>
          <w:sz w:val="24"/>
          <w:szCs w:val="20"/>
          <w:lang w:eastAsia="x-none"/>
        </w:rPr>
      </w:pPr>
    </w:p>
    <w:p w14:paraId="23E09DA6" w14:textId="77777777" w:rsidR="00A753EF" w:rsidRPr="00285A7F" w:rsidRDefault="00A753EF" w:rsidP="00A753EF">
      <w:pPr>
        <w:spacing w:after="0" w:line="240" w:lineRule="auto"/>
        <w:ind w:firstLine="720"/>
        <w:jc w:val="both"/>
        <w:rPr>
          <w:rFonts w:ascii="Times New Roman" w:eastAsia="Calibri" w:hAnsi="Times New Roman" w:cs="Times New Roman"/>
          <w:sz w:val="24"/>
        </w:rPr>
      </w:pPr>
      <w:r w:rsidRPr="00285A7F">
        <w:rPr>
          <w:rFonts w:ascii="Times New Roman" w:eastAsia="Times New Roman" w:hAnsi="Times New Roman" w:cs="Times New Roman"/>
          <w:iCs/>
          <w:sz w:val="24"/>
          <w:szCs w:val="20"/>
          <w:lang w:eastAsia="x-none"/>
        </w:rPr>
        <w:t xml:space="preserve">Iepriekš minētais 2020.gadā pieņemtais pasākums arī ietekmē </w:t>
      </w:r>
      <w:r w:rsidRPr="00285A7F">
        <w:rPr>
          <w:rFonts w:ascii="Times New Roman" w:eastAsia="Calibri" w:hAnsi="Times New Roman" w:cs="Times New Roman"/>
          <w:sz w:val="24"/>
        </w:rPr>
        <w:t>valsts sociālās apdrošināšanas iemaksas pamatbudžetā veselības finansēšanai.</w:t>
      </w:r>
    </w:p>
    <w:p w14:paraId="7B0CBAC0" w14:textId="77777777" w:rsidR="00A753EF" w:rsidRPr="00285A7F" w:rsidRDefault="00A753EF" w:rsidP="00A753EF">
      <w:pPr>
        <w:spacing w:after="0" w:line="240" w:lineRule="auto"/>
        <w:jc w:val="both"/>
        <w:rPr>
          <w:rFonts w:ascii="Times New Roman" w:eastAsia="Times New Roman" w:hAnsi="Times New Roman" w:cs="Times New Roman"/>
          <w:iCs/>
          <w:sz w:val="24"/>
          <w:szCs w:val="20"/>
          <w:lang w:eastAsia="x-none"/>
        </w:rPr>
      </w:pPr>
    </w:p>
    <w:p w14:paraId="32654299" w14:textId="5206C279" w:rsidR="00A753EF" w:rsidRPr="00A753EF" w:rsidRDefault="00A753EF" w:rsidP="00A753EF">
      <w:pPr>
        <w:keepNext/>
        <w:spacing w:before="120" w:after="60" w:line="240" w:lineRule="auto"/>
        <w:jc w:val="right"/>
        <w:rPr>
          <w:rFonts w:ascii="Times New Roman" w:eastAsia="Times New Roman" w:hAnsi="Times New Roman" w:cs="Times New Roman"/>
          <w:b/>
          <w:sz w:val="24"/>
          <w:szCs w:val="20"/>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20</w:t>
      </w:r>
      <w:r w:rsidRPr="00285A7F">
        <w:rPr>
          <w:rFonts w:ascii="Times New Roman" w:eastAsia="Times New Roman" w:hAnsi="Times New Roman" w:cs="Times New Roman"/>
          <w:b/>
          <w:sz w:val="24"/>
          <w:szCs w:val="20"/>
        </w:rPr>
        <w:t>.tabula.</w:t>
      </w:r>
      <w:r w:rsidRPr="00A753EF">
        <w:rPr>
          <w:rFonts w:ascii="Times New Roman" w:eastAsia="Times New Roman" w:hAnsi="Times New Roman" w:cs="Times New Roman"/>
          <w:b/>
          <w:sz w:val="24"/>
          <w:szCs w:val="20"/>
        </w:rPr>
        <w:t xml:space="preserve"> Nodokļu politikas izmaiņu ietekme uz valsts sociālās apdrošināšanas iemaksām pamatbudžetā veselības finansēšanai, milj. </w:t>
      </w:r>
      <w:r w:rsidRPr="00A753EF">
        <w:rPr>
          <w:rFonts w:ascii="Times New Roman" w:eastAsia="Times New Roman" w:hAnsi="Times New Roman" w:cs="Times New Roman"/>
          <w:b/>
          <w:i/>
          <w:sz w:val="24"/>
          <w:szCs w:val="20"/>
        </w:rPr>
        <w:t>euro</w:t>
      </w:r>
    </w:p>
    <w:tbl>
      <w:tblPr>
        <w:tblStyle w:val="GridTable6Colorful-Accent1"/>
        <w:tblW w:w="8296" w:type="dxa"/>
        <w:jc w:val="center"/>
        <w:tblLayout w:type="fixed"/>
        <w:tblLook w:val="04A0" w:firstRow="1" w:lastRow="0" w:firstColumn="1" w:lastColumn="0" w:noHBand="0" w:noVBand="1"/>
      </w:tblPr>
      <w:tblGrid>
        <w:gridCol w:w="4845"/>
        <w:gridCol w:w="862"/>
        <w:gridCol w:w="863"/>
        <w:gridCol w:w="863"/>
        <w:gridCol w:w="863"/>
      </w:tblGrid>
      <w:tr w:rsidR="00A753EF" w:rsidRPr="00A753EF" w14:paraId="223E1946" w14:textId="77777777" w:rsidTr="00DE3E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5" w:type="dxa"/>
          </w:tcPr>
          <w:p w14:paraId="71B8C251" w14:textId="77777777" w:rsidR="00A753EF" w:rsidRPr="00A753EF" w:rsidRDefault="00A753EF" w:rsidP="00A753EF">
            <w:pPr>
              <w:rPr>
                <w:rFonts w:ascii="Times New Roman" w:eastAsia="Times New Roman" w:hAnsi="Times New Roman" w:cs="Times New Roman"/>
                <w:color w:val="000000" w:themeColor="text1"/>
                <w:sz w:val="20"/>
                <w:szCs w:val="20"/>
              </w:rPr>
            </w:pPr>
          </w:p>
        </w:tc>
        <w:tc>
          <w:tcPr>
            <w:tcW w:w="862" w:type="dxa"/>
          </w:tcPr>
          <w:p w14:paraId="58039C5A"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2020</w:t>
            </w:r>
          </w:p>
        </w:tc>
        <w:tc>
          <w:tcPr>
            <w:tcW w:w="863" w:type="dxa"/>
          </w:tcPr>
          <w:p w14:paraId="1D921D8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2021</w:t>
            </w:r>
          </w:p>
        </w:tc>
        <w:tc>
          <w:tcPr>
            <w:tcW w:w="863" w:type="dxa"/>
          </w:tcPr>
          <w:p w14:paraId="0982E4E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2022</w:t>
            </w:r>
          </w:p>
        </w:tc>
        <w:tc>
          <w:tcPr>
            <w:tcW w:w="863" w:type="dxa"/>
          </w:tcPr>
          <w:p w14:paraId="7D939813" w14:textId="77777777" w:rsidR="00A753EF" w:rsidRPr="00A753EF" w:rsidRDefault="00A753EF" w:rsidP="00A753E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2023</w:t>
            </w:r>
          </w:p>
        </w:tc>
      </w:tr>
      <w:tr w:rsidR="00A753EF" w:rsidRPr="00A753EF" w14:paraId="40A574B8" w14:textId="77777777" w:rsidTr="00A753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5" w:type="dxa"/>
          </w:tcPr>
          <w:p w14:paraId="435C5C62" w14:textId="77777777" w:rsidR="00A753EF" w:rsidRPr="00A753EF" w:rsidRDefault="00A753EF" w:rsidP="00A753EF">
            <w:pPr>
              <w:rPr>
                <w:rFonts w:ascii="Calibri" w:eastAsia="Times New Roman" w:hAnsi="Calibri" w:cs="Times New Roman"/>
                <w:color w:val="000000" w:themeColor="text1"/>
                <w:sz w:val="20"/>
                <w:szCs w:val="20"/>
              </w:rPr>
            </w:pPr>
            <w:r w:rsidRPr="00A753EF">
              <w:rPr>
                <w:rFonts w:ascii="Times New Roman" w:eastAsia="Times New Roman" w:hAnsi="Times New Roman" w:cs="Times New Roman"/>
                <w:color w:val="000000" w:themeColor="text1"/>
                <w:sz w:val="20"/>
                <w:szCs w:val="20"/>
              </w:rPr>
              <w:t>Termiņa pagarinājums līdz trim gadiem, ja termiņa kavējums radies Covid-19 izplatības dēļ</w:t>
            </w:r>
          </w:p>
        </w:tc>
        <w:tc>
          <w:tcPr>
            <w:tcW w:w="862" w:type="dxa"/>
            <w:vAlign w:val="center"/>
          </w:tcPr>
          <w:p w14:paraId="49510028"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-3,0</w:t>
            </w:r>
          </w:p>
        </w:tc>
        <w:tc>
          <w:tcPr>
            <w:tcW w:w="863" w:type="dxa"/>
            <w:vAlign w:val="center"/>
          </w:tcPr>
          <w:p w14:paraId="437FCF3B" w14:textId="77777777" w:rsidR="00A753EF" w:rsidRPr="00A753EF" w:rsidRDefault="00A753EF" w:rsidP="00A753E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+3,3</w:t>
            </w:r>
          </w:p>
        </w:tc>
        <w:tc>
          <w:tcPr>
            <w:tcW w:w="863" w:type="dxa"/>
            <w:vAlign w:val="center"/>
          </w:tcPr>
          <w:p w14:paraId="193DD5F7"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+0,3</w:t>
            </w:r>
          </w:p>
        </w:tc>
        <w:tc>
          <w:tcPr>
            <w:tcW w:w="863" w:type="dxa"/>
            <w:vAlign w:val="center"/>
          </w:tcPr>
          <w:p w14:paraId="74461BCD" w14:textId="77777777" w:rsidR="00A753EF" w:rsidRPr="00A753EF" w:rsidRDefault="00A753EF" w:rsidP="00A75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+0,6</w:t>
            </w:r>
          </w:p>
        </w:tc>
      </w:tr>
      <w:tr w:rsidR="00A753EF" w:rsidRPr="00A753EF" w14:paraId="2EAEC0B7" w14:textId="77777777" w:rsidTr="00DE3E1F">
        <w:trPr>
          <w:jc w:val="center"/>
        </w:trPr>
        <w:tc>
          <w:tcPr>
            <w:cnfStyle w:val="001000000000" w:firstRow="0" w:lastRow="0" w:firstColumn="1" w:lastColumn="0" w:oddVBand="0" w:evenVBand="0" w:oddHBand="0" w:evenHBand="0" w:firstRowFirstColumn="0" w:firstRowLastColumn="0" w:lastRowFirstColumn="0" w:lastRowLastColumn="0"/>
            <w:tcW w:w="4845" w:type="dxa"/>
          </w:tcPr>
          <w:p w14:paraId="267B8A64" w14:textId="77777777" w:rsidR="00A753EF" w:rsidRPr="00A753EF" w:rsidRDefault="00A753EF" w:rsidP="00A753EF">
            <w:pPr>
              <w:jc w:val="right"/>
              <w:rPr>
                <w:rFonts w:ascii="Times New Roman" w:eastAsia="Times New Roman" w:hAnsi="Times New Roman" w:cs="Times New Roman"/>
                <w:color w:val="000000" w:themeColor="text1"/>
                <w:sz w:val="20"/>
                <w:szCs w:val="20"/>
              </w:rPr>
            </w:pPr>
            <w:r w:rsidRPr="00A753EF">
              <w:rPr>
                <w:rFonts w:ascii="Times New Roman" w:eastAsia="Times New Roman" w:hAnsi="Times New Roman" w:cs="Times New Roman"/>
                <w:color w:val="000000" w:themeColor="text1"/>
                <w:sz w:val="20"/>
                <w:szCs w:val="20"/>
              </w:rPr>
              <w:t>Izmaiņu ietekme kopā:</w:t>
            </w:r>
          </w:p>
        </w:tc>
        <w:tc>
          <w:tcPr>
            <w:tcW w:w="862" w:type="dxa"/>
            <w:vAlign w:val="center"/>
          </w:tcPr>
          <w:p w14:paraId="6C78E61B"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-3,0</w:t>
            </w:r>
          </w:p>
        </w:tc>
        <w:tc>
          <w:tcPr>
            <w:tcW w:w="863" w:type="dxa"/>
            <w:vAlign w:val="center"/>
          </w:tcPr>
          <w:p w14:paraId="75209A75"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+3,3</w:t>
            </w:r>
          </w:p>
        </w:tc>
        <w:tc>
          <w:tcPr>
            <w:tcW w:w="863" w:type="dxa"/>
            <w:vAlign w:val="center"/>
          </w:tcPr>
          <w:p w14:paraId="7ED2760F"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+0,3</w:t>
            </w:r>
          </w:p>
        </w:tc>
        <w:tc>
          <w:tcPr>
            <w:tcW w:w="863" w:type="dxa"/>
            <w:vAlign w:val="center"/>
          </w:tcPr>
          <w:p w14:paraId="6B080B84" w14:textId="77777777" w:rsidR="00A753EF" w:rsidRPr="00A753EF" w:rsidRDefault="00A753EF" w:rsidP="00A75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A753EF">
              <w:rPr>
                <w:rFonts w:ascii="Times New Roman" w:eastAsia="Times New Roman" w:hAnsi="Times New Roman" w:cs="Times New Roman"/>
                <w:b/>
                <w:color w:val="000000" w:themeColor="text1"/>
                <w:sz w:val="20"/>
                <w:szCs w:val="20"/>
              </w:rPr>
              <w:t>+0,6</w:t>
            </w:r>
          </w:p>
        </w:tc>
      </w:tr>
    </w:tbl>
    <w:p w14:paraId="0123E667" w14:textId="77777777" w:rsidR="00A753EF" w:rsidRPr="00A753EF" w:rsidRDefault="00A753EF" w:rsidP="00A753EF">
      <w:pPr>
        <w:spacing w:after="0" w:line="240" w:lineRule="auto"/>
        <w:rPr>
          <w:rFonts w:ascii="Times New Roman" w:eastAsia="Calibri" w:hAnsi="Times New Roman" w:cs="Times New Roman"/>
          <w:sz w:val="24"/>
          <w:highlight w:val="yellow"/>
        </w:rPr>
      </w:pPr>
    </w:p>
    <w:p w14:paraId="23C9D7D6" w14:textId="77777777" w:rsidR="00A753EF" w:rsidRPr="00A753EF" w:rsidRDefault="00A753EF" w:rsidP="00A753EF">
      <w:pPr>
        <w:spacing w:before="360" w:after="60" w:line="240" w:lineRule="auto"/>
        <w:ind w:left="567"/>
        <w:outlineLvl w:val="3"/>
        <w:rPr>
          <w:rFonts w:ascii="Times New Roman" w:eastAsia="Times New Roman" w:hAnsi="Times New Roman" w:cs="Times New Roman"/>
          <w:b/>
          <w:sz w:val="24"/>
          <w:szCs w:val="24"/>
          <w:highlight w:val="yellow"/>
        </w:rPr>
      </w:pPr>
      <w:r w:rsidRPr="00A753EF">
        <w:rPr>
          <w:rFonts w:ascii="Times New Roman" w:eastAsia="Times New Roman" w:hAnsi="Times New Roman" w:cs="Times New Roman"/>
          <w:b/>
          <w:sz w:val="24"/>
          <w:szCs w:val="24"/>
        </w:rPr>
        <w:t>Izložu un azartspēļu nodoklis</w:t>
      </w:r>
    </w:p>
    <w:p w14:paraId="116A004A" w14:textId="395AF0A3"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Papildus aktualizēto makroekonomisko rādītāju un 4.2.1.nodaļā uzskaitītajām normatīvo aktu izmaiņām, izložu un azartspēļu nodokļa ieņēmumus ietekmēs 2020.gada 22.martā likumā “Par valsts apdraudējuma un tā seku novēršanas un pārvarēšanas pasākumiem sakarā </w:t>
      </w:r>
      <w:r w:rsidR="001C5709">
        <w:rPr>
          <w:rFonts w:ascii="Times New Roman" w:eastAsia="Calibri" w:hAnsi="Times New Roman" w:cs="Times New Roman"/>
          <w:sz w:val="24"/>
        </w:rPr>
        <w:t>ar Covid-19 izplatību” 8. un 9.</w:t>
      </w:r>
      <w:r w:rsidRPr="00A753EF">
        <w:rPr>
          <w:rFonts w:ascii="Times New Roman" w:eastAsia="Calibri" w:hAnsi="Times New Roman" w:cs="Times New Roman"/>
          <w:sz w:val="24"/>
        </w:rPr>
        <w:t>panta paredzētie aizliegumi organizēt azartspēles un izlozes (izņemot interaktīvās azartspēles, skaitļu izlozes un momentloterijas), ka arī azartspēļu organizēšanas licences apturēšana gan fiziskajās azartspēļu organizēšanas vietās, gan interaktīvajā vidē un (vai) izmantojot elektronisko sakaru pakalpojumu starpniecību uz šā likuma darbības laiku.</w:t>
      </w:r>
    </w:p>
    <w:p w14:paraId="2A99DEAA" w14:textId="204C180B" w:rsidR="00A753EF" w:rsidRPr="00A753EF" w:rsidRDefault="00A753EF" w:rsidP="00A753EF">
      <w:pPr>
        <w:spacing w:after="0" w:line="240" w:lineRule="auto"/>
        <w:ind w:firstLine="720"/>
        <w:jc w:val="both"/>
        <w:rPr>
          <w:rFonts w:ascii="Times New Roman" w:eastAsia="Calibri" w:hAnsi="Times New Roman" w:cs="Times New Roman"/>
          <w:sz w:val="24"/>
        </w:rPr>
      </w:pPr>
      <w:r w:rsidRPr="00A753EF">
        <w:rPr>
          <w:rFonts w:ascii="Times New Roman" w:eastAsia="Calibri" w:hAnsi="Times New Roman" w:cs="Times New Roman"/>
          <w:sz w:val="24"/>
        </w:rPr>
        <w:t xml:space="preserve">Attiecībā uz izložu un azartspēļu nodokli fiskālā ietekme 2020.gadā prognozēta 12,8 milj. </w:t>
      </w:r>
      <w:r w:rsidRPr="00A753EF">
        <w:rPr>
          <w:rFonts w:ascii="Times New Roman" w:eastAsia="Calibri" w:hAnsi="Times New Roman" w:cs="Times New Roman"/>
          <w:i/>
          <w:sz w:val="24"/>
        </w:rPr>
        <w:t>euro</w:t>
      </w:r>
      <w:r w:rsidRPr="00A753EF">
        <w:rPr>
          <w:rFonts w:ascii="Times New Roman" w:eastAsia="Calibri" w:hAnsi="Times New Roman" w:cs="Times New Roman"/>
          <w:sz w:val="24"/>
        </w:rPr>
        <w:t xml:space="preserve"> apmērā, pieņemot, ka azartspēļu un izložu organizēšanas aizliegums (izņemot interaktīvās azartspēles, skaitļu izlozes un momentloterijas), kā arī azartspēļu licences apturēšana būs uz trīs mēnešiem. Papildus, ņemot vērā to, ka ārkārtas situācijas un Covid-19 ietekme uz Latvijas un citu tautsaimniecību un iedzīvotāju pirktspēju ir būtiska un saglabāsies ilgi pēc ārkārtas situācijas formālā termiņa beigām, tiek prognozēts, ka tuvākajos mēnešos pēc ārkārtas situācijas noslēguma azartspēles iestādes un kazino nespēs nodrošināt klientu skaitu, kas līdzinātos klientu daudzumam pirms ārkārtas situācijas izsludināšanas. T</w:t>
      </w:r>
      <w:r w:rsidR="00305D82">
        <w:rPr>
          <w:rFonts w:ascii="Times New Roman" w:eastAsia="Calibri" w:hAnsi="Times New Roman" w:cs="Times New Roman"/>
          <w:sz w:val="24"/>
        </w:rPr>
        <w:t>ādējādi, salīdzinājumā ar 2019.</w:t>
      </w:r>
      <w:r w:rsidRPr="00A753EF">
        <w:rPr>
          <w:rFonts w:ascii="Times New Roman" w:eastAsia="Calibri" w:hAnsi="Times New Roman" w:cs="Times New Roman"/>
          <w:sz w:val="24"/>
        </w:rPr>
        <w:t>gadu, tiek prognozēts kopējais ekspluatēto azartspēļu automātu skaita samazinājums par 8,8% un kopējais ekspluatēto spēļu galdu skaita samazinājums par 21,0% pēc ārkārtas situācijas beigām.</w:t>
      </w:r>
    </w:p>
    <w:p w14:paraId="6BFFFA0B" w14:textId="77777777" w:rsidR="00A753EF" w:rsidRPr="00A753EF" w:rsidRDefault="00A753EF" w:rsidP="00A753EF">
      <w:pPr>
        <w:spacing w:after="0" w:line="240" w:lineRule="auto"/>
        <w:ind w:firstLine="720"/>
        <w:jc w:val="both"/>
        <w:rPr>
          <w:rFonts w:ascii="Times New Roman" w:eastAsia="Calibri" w:hAnsi="Times New Roman" w:cs="Times New Roman"/>
          <w:sz w:val="24"/>
        </w:rPr>
      </w:pPr>
    </w:p>
    <w:p w14:paraId="6CDA7C5F" w14:textId="77777777" w:rsidR="001C5709" w:rsidRDefault="001C5709">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5628737A" w14:textId="6E772BDC" w:rsidR="00A753EF" w:rsidRPr="00285A7F" w:rsidRDefault="00A753EF" w:rsidP="00A753EF">
      <w:pPr>
        <w:keepNext/>
        <w:spacing w:before="120" w:after="60"/>
        <w:ind w:left="720"/>
        <w:contextualSpacing/>
        <w:jc w:val="right"/>
        <w:rPr>
          <w:rFonts w:ascii="Times New Roman" w:eastAsia="Times New Roman" w:hAnsi="Times New Roman" w:cs="Times New Roman"/>
          <w:b/>
          <w:sz w:val="24"/>
          <w:szCs w:val="20"/>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21</w:t>
      </w:r>
      <w:r w:rsidRPr="00285A7F">
        <w:rPr>
          <w:rFonts w:ascii="Times New Roman" w:eastAsia="Times New Roman" w:hAnsi="Times New Roman" w:cs="Times New Roman"/>
          <w:b/>
          <w:sz w:val="24"/>
          <w:szCs w:val="20"/>
        </w:rPr>
        <w:t>.tabula. Nodokļu politikas izmaiņu ietekme uz izložu un azartspēļu nodokļa ieņēmumiem, milj. </w:t>
      </w:r>
      <w:r w:rsidRPr="00285A7F">
        <w:rPr>
          <w:rFonts w:ascii="Times New Roman" w:eastAsia="Times New Roman" w:hAnsi="Times New Roman" w:cs="Times New Roman"/>
          <w:b/>
          <w:i/>
          <w:sz w:val="24"/>
          <w:szCs w:val="20"/>
        </w:rPr>
        <w:t>euro</w:t>
      </w:r>
    </w:p>
    <w:tbl>
      <w:tblPr>
        <w:tblStyle w:val="GridTable6Colorful-Accent1"/>
        <w:tblW w:w="9067" w:type="dxa"/>
        <w:tblLayout w:type="fixed"/>
        <w:tblLook w:val="04A0" w:firstRow="1" w:lastRow="0" w:firstColumn="1" w:lastColumn="0" w:noHBand="0" w:noVBand="1"/>
      </w:tblPr>
      <w:tblGrid>
        <w:gridCol w:w="5665"/>
        <w:gridCol w:w="851"/>
        <w:gridCol w:w="850"/>
        <w:gridCol w:w="851"/>
        <w:gridCol w:w="850"/>
      </w:tblGrid>
      <w:tr w:rsidR="00A753EF" w:rsidRPr="00285A7F" w14:paraId="39E87DE0" w14:textId="77777777" w:rsidTr="00A753E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665" w:type="dxa"/>
          </w:tcPr>
          <w:p w14:paraId="4D2AD9FF" w14:textId="77777777" w:rsidR="00A753EF" w:rsidRPr="00285A7F" w:rsidRDefault="00A753EF" w:rsidP="00DE3E1F">
            <w:pPr>
              <w:rPr>
                <w:rFonts w:eastAsia="Times New Roman" w:cs="Times New Roman"/>
                <w:color w:val="000000" w:themeColor="text1"/>
                <w:sz w:val="20"/>
                <w:szCs w:val="20"/>
              </w:rPr>
            </w:pPr>
          </w:p>
        </w:tc>
        <w:tc>
          <w:tcPr>
            <w:tcW w:w="851" w:type="dxa"/>
          </w:tcPr>
          <w:p w14:paraId="7FF9FAC0" w14:textId="77777777" w:rsidR="00A753EF" w:rsidRPr="00285A7F" w:rsidRDefault="00A753EF" w:rsidP="00DE3E1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2020</w:t>
            </w:r>
          </w:p>
        </w:tc>
        <w:tc>
          <w:tcPr>
            <w:tcW w:w="850" w:type="dxa"/>
          </w:tcPr>
          <w:p w14:paraId="3415A644" w14:textId="77777777" w:rsidR="00A753EF" w:rsidRPr="00285A7F" w:rsidRDefault="00A753EF" w:rsidP="00DE3E1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2021</w:t>
            </w:r>
          </w:p>
        </w:tc>
        <w:tc>
          <w:tcPr>
            <w:tcW w:w="851" w:type="dxa"/>
          </w:tcPr>
          <w:p w14:paraId="3D9844C3" w14:textId="77777777" w:rsidR="00A753EF" w:rsidRPr="00285A7F" w:rsidRDefault="00A753EF" w:rsidP="00DE3E1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2022</w:t>
            </w:r>
          </w:p>
        </w:tc>
        <w:tc>
          <w:tcPr>
            <w:tcW w:w="850" w:type="dxa"/>
          </w:tcPr>
          <w:p w14:paraId="1592C050" w14:textId="77777777" w:rsidR="00A753EF" w:rsidRPr="00285A7F" w:rsidRDefault="00A753EF" w:rsidP="00DE3E1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2023</w:t>
            </w:r>
          </w:p>
        </w:tc>
      </w:tr>
      <w:tr w:rsidR="00A753EF" w:rsidRPr="00285A7F" w14:paraId="3315C137" w14:textId="77777777" w:rsidTr="00A753E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65" w:type="dxa"/>
          </w:tcPr>
          <w:p w14:paraId="2731D8C9" w14:textId="77777777" w:rsidR="00A753EF" w:rsidRPr="00285A7F" w:rsidRDefault="00A753EF" w:rsidP="00DE3E1F">
            <w:pPr>
              <w:rPr>
                <w:rFonts w:ascii="Calibri" w:hAnsi="Calibri" w:cs="Calibri"/>
                <w:color w:val="000000" w:themeColor="text1"/>
              </w:rPr>
            </w:pPr>
            <w:r w:rsidRPr="00285A7F">
              <w:rPr>
                <w:rFonts w:ascii="Times New Roman" w:eastAsia="Times New Roman" w:hAnsi="Times New Roman" w:cs="Times New Roman"/>
                <w:b w:val="0"/>
                <w:color w:val="auto"/>
                <w:sz w:val="20"/>
                <w:szCs w:val="20"/>
              </w:rPr>
              <w:t>Azartspēļu un izložu organizēšanas aizliegšana (izņemot interaktīvās azartspēles, skaitļu izlozes un momentloterijas) un azartspēļu organizēšanas licenču apturēšana Covid-19 izplatību saistītās ārkārtējās situācijas laikā, sadalījumā pa budžetiem</w:t>
            </w:r>
          </w:p>
        </w:tc>
        <w:tc>
          <w:tcPr>
            <w:tcW w:w="851" w:type="dxa"/>
            <w:vAlign w:val="bottom"/>
          </w:tcPr>
          <w:p w14:paraId="3E566BC4" w14:textId="77777777" w:rsidR="00A753EF" w:rsidRPr="00285A7F" w:rsidRDefault="00A753EF" w:rsidP="00DE3E1F">
            <w:pPr>
              <w:tabs>
                <w:tab w:val="decimal" w:pos="458"/>
              </w:tabs>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p>
        </w:tc>
        <w:tc>
          <w:tcPr>
            <w:tcW w:w="850" w:type="dxa"/>
            <w:vAlign w:val="bottom"/>
          </w:tcPr>
          <w:p w14:paraId="14710264" w14:textId="77777777" w:rsidR="00A753EF" w:rsidRPr="00285A7F" w:rsidRDefault="00A753EF" w:rsidP="00DE3E1F">
            <w:pPr>
              <w:tabs>
                <w:tab w:val="decimal" w:pos="458"/>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p>
        </w:tc>
        <w:tc>
          <w:tcPr>
            <w:tcW w:w="851" w:type="dxa"/>
            <w:vAlign w:val="bottom"/>
          </w:tcPr>
          <w:p w14:paraId="4E75750B" w14:textId="77777777" w:rsidR="00A753EF" w:rsidRPr="00285A7F" w:rsidRDefault="00A753EF" w:rsidP="00DE3E1F">
            <w:pPr>
              <w:tabs>
                <w:tab w:val="decimal" w:pos="458"/>
              </w:tabs>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p>
        </w:tc>
        <w:tc>
          <w:tcPr>
            <w:tcW w:w="850" w:type="dxa"/>
            <w:vAlign w:val="bottom"/>
          </w:tcPr>
          <w:p w14:paraId="0B18021D" w14:textId="77777777" w:rsidR="00A753EF" w:rsidRPr="00285A7F" w:rsidRDefault="00A753EF" w:rsidP="00DE3E1F">
            <w:pPr>
              <w:tabs>
                <w:tab w:val="decimal" w:pos="458"/>
              </w:tabs>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p>
        </w:tc>
      </w:tr>
      <w:tr w:rsidR="00F50334" w:rsidRPr="00285A7F" w14:paraId="5834C4CD" w14:textId="77777777" w:rsidTr="00A753EF">
        <w:trPr>
          <w:trHeight w:val="263"/>
        </w:trPr>
        <w:tc>
          <w:tcPr>
            <w:cnfStyle w:val="001000000000" w:firstRow="0" w:lastRow="0" w:firstColumn="1" w:lastColumn="0" w:oddVBand="0" w:evenVBand="0" w:oddHBand="0" w:evenHBand="0" w:firstRowFirstColumn="0" w:firstRowLastColumn="0" w:lastRowFirstColumn="0" w:lastRowLastColumn="0"/>
            <w:tcW w:w="5665" w:type="dxa"/>
          </w:tcPr>
          <w:p w14:paraId="64A23B09" w14:textId="77777777" w:rsidR="00F50334" w:rsidRPr="00285A7F" w:rsidRDefault="00F50334" w:rsidP="00F50334">
            <w:pPr>
              <w:jc w:val="right"/>
              <w:rPr>
                <w:rFonts w:ascii="Times New Roman" w:hAnsi="Times New Roman" w:cs="Times New Roman"/>
                <w:b w:val="0"/>
                <w:i/>
                <w:color w:val="000000" w:themeColor="text1"/>
                <w:sz w:val="20"/>
                <w:szCs w:val="20"/>
              </w:rPr>
            </w:pPr>
            <w:r w:rsidRPr="00285A7F">
              <w:rPr>
                <w:rFonts w:ascii="Times New Roman" w:hAnsi="Times New Roman" w:cs="Times New Roman"/>
                <w:b w:val="0"/>
                <w:i/>
                <w:color w:val="000000" w:themeColor="text1"/>
                <w:sz w:val="20"/>
                <w:szCs w:val="20"/>
              </w:rPr>
              <w:t>Valsts pamatbudžets</w:t>
            </w:r>
          </w:p>
        </w:tc>
        <w:tc>
          <w:tcPr>
            <w:tcW w:w="851" w:type="dxa"/>
            <w:vAlign w:val="bottom"/>
          </w:tcPr>
          <w:p w14:paraId="3EBFC33A" w14:textId="14992062"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A364F">
              <w:rPr>
                <w:rFonts w:ascii="Times New Roman" w:eastAsia="Times New Roman" w:hAnsi="Times New Roman" w:cs="Times New Roman"/>
                <w:color w:val="auto"/>
                <w:sz w:val="20"/>
                <w:szCs w:val="20"/>
              </w:rPr>
              <w:t>-12,16</w:t>
            </w:r>
          </w:p>
        </w:tc>
        <w:tc>
          <w:tcPr>
            <w:tcW w:w="850" w:type="dxa"/>
            <w:vAlign w:val="bottom"/>
          </w:tcPr>
          <w:p w14:paraId="5DB164AE" w14:textId="2035496B"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Pr="005A364F">
              <w:rPr>
                <w:rFonts w:ascii="Times New Roman" w:eastAsia="Times New Roman" w:hAnsi="Times New Roman" w:cs="Times New Roman"/>
                <w:color w:val="auto"/>
                <w:sz w:val="20"/>
                <w:szCs w:val="20"/>
              </w:rPr>
              <w:t>12,16</w:t>
            </w:r>
          </w:p>
        </w:tc>
        <w:tc>
          <w:tcPr>
            <w:tcW w:w="851" w:type="dxa"/>
            <w:vAlign w:val="bottom"/>
          </w:tcPr>
          <w:p w14:paraId="79705487" w14:textId="77777777"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0,0</w:t>
            </w:r>
          </w:p>
        </w:tc>
        <w:tc>
          <w:tcPr>
            <w:tcW w:w="850" w:type="dxa"/>
            <w:vAlign w:val="bottom"/>
          </w:tcPr>
          <w:p w14:paraId="6567BFC5" w14:textId="77777777"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0,0</w:t>
            </w:r>
          </w:p>
        </w:tc>
      </w:tr>
      <w:tr w:rsidR="00F50334" w:rsidRPr="00285A7F" w14:paraId="6CDAD99F" w14:textId="77777777" w:rsidTr="00A753E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665" w:type="dxa"/>
          </w:tcPr>
          <w:p w14:paraId="7B6EDD50" w14:textId="77777777" w:rsidR="00F50334" w:rsidRPr="00285A7F" w:rsidRDefault="00F50334" w:rsidP="00F50334">
            <w:pPr>
              <w:jc w:val="right"/>
              <w:rPr>
                <w:rFonts w:ascii="Times New Roman" w:hAnsi="Times New Roman" w:cs="Times New Roman"/>
                <w:b w:val="0"/>
                <w:i/>
                <w:color w:val="000000" w:themeColor="text1"/>
                <w:sz w:val="20"/>
                <w:szCs w:val="20"/>
              </w:rPr>
            </w:pPr>
            <w:r w:rsidRPr="00285A7F">
              <w:rPr>
                <w:rFonts w:ascii="Times New Roman" w:hAnsi="Times New Roman" w:cs="Times New Roman"/>
                <w:b w:val="0"/>
                <w:i/>
                <w:color w:val="000000" w:themeColor="text1"/>
                <w:sz w:val="20"/>
                <w:szCs w:val="20"/>
              </w:rPr>
              <w:t>Pašvaldības budžets</w:t>
            </w:r>
          </w:p>
        </w:tc>
        <w:tc>
          <w:tcPr>
            <w:tcW w:w="851" w:type="dxa"/>
            <w:vAlign w:val="bottom"/>
          </w:tcPr>
          <w:p w14:paraId="672D3507" w14:textId="53D6DAD8" w:rsidR="00F50334" w:rsidRPr="00285A7F" w:rsidRDefault="00F50334" w:rsidP="00F50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A364F">
              <w:rPr>
                <w:rFonts w:ascii="Times New Roman" w:eastAsia="Times New Roman" w:hAnsi="Times New Roman" w:cs="Times New Roman"/>
                <w:color w:val="auto"/>
                <w:sz w:val="20"/>
                <w:szCs w:val="20"/>
              </w:rPr>
              <w:t>-0,64</w:t>
            </w:r>
          </w:p>
        </w:tc>
        <w:tc>
          <w:tcPr>
            <w:tcW w:w="850" w:type="dxa"/>
            <w:vAlign w:val="bottom"/>
          </w:tcPr>
          <w:p w14:paraId="4C584E32" w14:textId="494B2C71" w:rsidR="00F50334" w:rsidRPr="00285A7F" w:rsidRDefault="00F50334" w:rsidP="00F50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Pr="005A364F">
              <w:rPr>
                <w:rFonts w:ascii="Times New Roman" w:eastAsia="Times New Roman" w:hAnsi="Times New Roman" w:cs="Times New Roman"/>
                <w:color w:val="auto"/>
                <w:sz w:val="20"/>
                <w:szCs w:val="20"/>
              </w:rPr>
              <w:t>0,64</w:t>
            </w:r>
          </w:p>
        </w:tc>
        <w:tc>
          <w:tcPr>
            <w:tcW w:w="851" w:type="dxa"/>
            <w:vAlign w:val="bottom"/>
          </w:tcPr>
          <w:p w14:paraId="72BCA948" w14:textId="77777777" w:rsidR="00F50334" w:rsidRPr="00285A7F" w:rsidRDefault="00F50334" w:rsidP="00F50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0,0</w:t>
            </w:r>
          </w:p>
        </w:tc>
        <w:tc>
          <w:tcPr>
            <w:tcW w:w="850" w:type="dxa"/>
            <w:vAlign w:val="bottom"/>
          </w:tcPr>
          <w:p w14:paraId="4AB7162F" w14:textId="77777777" w:rsidR="00F50334" w:rsidRPr="00285A7F" w:rsidRDefault="00F50334" w:rsidP="00F50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85A7F">
              <w:rPr>
                <w:rFonts w:ascii="Times New Roman" w:eastAsia="Times New Roman" w:hAnsi="Times New Roman" w:cs="Times New Roman"/>
                <w:color w:val="auto"/>
                <w:sz w:val="20"/>
                <w:szCs w:val="20"/>
              </w:rPr>
              <w:t>0,0</w:t>
            </w:r>
          </w:p>
        </w:tc>
      </w:tr>
      <w:tr w:rsidR="00F50334" w:rsidRPr="00285A7F" w14:paraId="7057ECAE" w14:textId="77777777" w:rsidTr="00A753EF">
        <w:trPr>
          <w:trHeight w:val="297"/>
        </w:trPr>
        <w:tc>
          <w:tcPr>
            <w:cnfStyle w:val="001000000000" w:firstRow="0" w:lastRow="0" w:firstColumn="1" w:lastColumn="0" w:oddVBand="0" w:evenVBand="0" w:oddHBand="0" w:evenHBand="0" w:firstRowFirstColumn="0" w:firstRowLastColumn="0" w:lastRowFirstColumn="0" w:lastRowLastColumn="0"/>
            <w:tcW w:w="5665" w:type="dxa"/>
          </w:tcPr>
          <w:p w14:paraId="22DB8CB8" w14:textId="77777777" w:rsidR="00F50334" w:rsidRPr="00285A7F" w:rsidRDefault="00F50334" w:rsidP="00F50334">
            <w:pPr>
              <w:jc w:val="right"/>
              <w:rPr>
                <w:rFonts w:eastAsia="Times New Roman" w:cs="Times New Roman"/>
                <w:i/>
                <w:color w:val="000000" w:themeColor="text1"/>
                <w:sz w:val="20"/>
                <w:szCs w:val="20"/>
              </w:rPr>
            </w:pPr>
            <w:r w:rsidRPr="00285A7F">
              <w:rPr>
                <w:rFonts w:ascii="Times New Roman" w:eastAsia="Times New Roman" w:hAnsi="Times New Roman" w:cs="Times New Roman"/>
                <w:color w:val="auto"/>
                <w:sz w:val="20"/>
                <w:szCs w:val="20"/>
              </w:rPr>
              <w:t>Izmaiņu ietekme kopā:</w:t>
            </w:r>
          </w:p>
        </w:tc>
        <w:tc>
          <w:tcPr>
            <w:tcW w:w="851" w:type="dxa"/>
            <w:vAlign w:val="bottom"/>
          </w:tcPr>
          <w:p w14:paraId="5BB22E4F" w14:textId="3E88C3A4"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5A364F">
              <w:rPr>
                <w:rFonts w:ascii="Times New Roman" w:eastAsia="Times New Roman" w:hAnsi="Times New Roman" w:cs="Times New Roman"/>
                <w:b/>
                <w:color w:val="auto"/>
                <w:sz w:val="20"/>
                <w:szCs w:val="20"/>
              </w:rPr>
              <w:t>-12,8</w:t>
            </w:r>
            <w:r>
              <w:rPr>
                <w:rFonts w:ascii="Times New Roman" w:eastAsia="Times New Roman" w:hAnsi="Times New Roman" w:cs="Times New Roman"/>
                <w:b/>
                <w:color w:val="auto"/>
                <w:sz w:val="20"/>
                <w:szCs w:val="20"/>
              </w:rPr>
              <w:t>0</w:t>
            </w:r>
          </w:p>
        </w:tc>
        <w:tc>
          <w:tcPr>
            <w:tcW w:w="850" w:type="dxa"/>
            <w:vAlign w:val="bottom"/>
          </w:tcPr>
          <w:p w14:paraId="5DA760C4" w14:textId="1394D60C"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w:t>
            </w:r>
            <w:r w:rsidRPr="005A364F">
              <w:rPr>
                <w:rFonts w:ascii="Times New Roman" w:eastAsia="Times New Roman" w:hAnsi="Times New Roman" w:cs="Times New Roman"/>
                <w:b/>
                <w:color w:val="auto"/>
                <w:sz w:val="20"/>
                <w:szCs w:val="20"/>
              </w:rPr>
              <w:t>12,8</w:t>
            </w:r>
            <w:r>
              <w:rPr>
                <w:rFonts w:ascii="Times New Roman" w:eastAsia="Times New Roman" w:hAnsi="Times New Roman" w:cs="Times New Roman"/>
                <w:b/>
                <w:color w:val="auto"/>
                <w:sz w:val="20"/>
                <w:szCs w:val="20"/>
              </w:rPr>
              <w:t>0</w:t>
            </w:r>
          </w:p>
        </w:tc>
        <w:tc>
          <w:tcPr>
            <w:tcW w:w="851" w:type="dxa"/>
            <w:vAlign w:val="bottom"/>
          </w:tcPr>
          <w:p w14:paraId="793837C2" w14:textId="77777777"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285A7F">
              <w:rPr>
                <w:rFonts w:ascii="Times New Roman" w:eastAsia="Times New Roman" w:hAnsi="Times New Roman" w:cs="Times New Roman"/>
                <w:b/>
                <w:color w:val="auto"/>
                <w:sz w:val="20"/>
                <w:szCs w:val="20"/>
              </w:rPr>
              <w:t xml:space="preserve">0,0 </w:t>
            </w:r>
          </w:p>
        </w:tc>
        <w:tc>
          <w:tcPr>
            <w:tcW w:w="850" w:type="dxa"/>
            <w:vAlign w:val="bottom"/>
          </w:tcPr>
          <w:p w14:paraId="7CC017A4" w14:textId="77777777" w:rsidR="00F50334" w:rsidRPr="00285A7F" w:rsidRDefault="00F50334" w:rsidP="00F50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285A7F">
              <w:rPr>
                <w:rFonts w:ascii="Times New Roman" w:eastAsia="Times New Roman" w:hAnsi="Times New Roman" w:cs="Times New Roman"/>
                <w:b/>
                <w:color w:val="auto"/>
                <w:sz w:val="20"/>
                <w:szCs w:val="20"/>
              </w:rPr>
              <w:t xml:space="preserve">0,0 </w:t>
            </w:r>
          </w:p>
        </w:tc>
      </w:tr>
    </w:tbl>
    <w:p w14:paraId="4B8C3E81" w14:textId="11AEE182" w:rsidR="00A753EF" w:rsidRPr="00285A7F" w:rsidRDefault="00A753EF" w:rsidP="00A753EF">
      <w:pPr>
        <w:spacing w:after="0" w:line="240" w:lineRule="auto"/>
        <w:jc w:val="both"/>
        <w:rPr>
          <w:rFonts w:ascii="Times New Roman" w:eastAsia="Calibri" w:hAnsi="Times New Roman" w:cs="Times New Roman"/>
          <w:sz w:val="24"/>
        </w:rPr>
      </w:pPr>
    </w:p>
    <w:p w14:paraId="5E46BC7E" w14:textId="6C84213E" w:rsidR="00A753EF" w:rsidRPr="00A753EF" w:rsidRDefault="00A753EF" w:rsidP="00A753EF">
      <w:pPr>
        <w:keepNext/>
        <w:spacing w:before="120" w:after="60" w:line="240" w:lineRule="auto"/>
        <w:jc w:val="right"/>
        <w:rPr>
          <w:rFonts w:ascii="Times New Roman" w:eastAsia="Times New Roman" w:hAnsi="Times New Roman" w:cs="Times New Roman"/>
          <w:b/>
          <w:i/>
          <w:sz w:val="24"/>
          <w:szCs w:val="24"/>
        </w:rPr>
      </w:pPr>
      <w:r w:rsidRPr="00285A7F">
        <w:rPr>
          <w:rFonts w:ascii="Times New Roman" w:eastAsia="Times New Roman" w:hAnsi="Times New Roman" w:cs="Times New Roman"/>
          <w:b/>
          <w:sz w:val="24"/>
          <w:szCs w:val="20"/>
        </w:rPr>
        <w:t>4.</w:t>
      </w:r>
      <w:r w:rsidR="00285A7F" w:rsidRPr="00285A7F">
        <w:rPr>
          <w:rFonts w:ascii="Times New Roman" w:eastAsia="Times New Roman" w:hAnsi="Times New Roman" w:cs="Times New Roman"/>
          <w:b/>
          <w:sz w:val="24"/>
          <w:szCs w:val="20"/>
        </w:rPr>
        <w:t>22</w:t>
      </w:r>
      <w:r w:rsidRPr="00285A7F">
        <w:rPr>
          <w:rFonts w:ascii="Times New Roman" w:eastAsia="Times New Roman" w:hAnsi="Times New Roman" w:cs="Times New Roman"/>
          <w:b/>
          <w:sz w:val="24"/>
          <w:szCs w:val="20"/>
        </w:rPr>
        <w:t xml:space="preserve">.tabula. </w:t>
      </w:r>
      <w:r w:rsidRPr="00285A7F">
        <w:rPr>
          <w:rFonts w:ascii="Times New Roman" w:eastAsia="Calibri" w:hAnsi="Times New Roman" w:cs="Times New Roman"/>
          <w:b/>
          <w:sz w:val="24"/>
        </w:rPr>
        <w:t>Aktualizētā</w:t>
      </w:r>
      <w:r w:rsidRPr="00A753EF">
        <w:rPr>
          <w:rFonts w:ascii="Times New Roman" w:eastAsia="Calibri" w:hAnsi="Times New Roman" w:cs="Times New Roman"/>
          <w:b/>
          <w:sz w:val="24"/>
        </w:rPr>
        <w:t xml:space="preserve"> scenārija n</w:t>
      </w:r>
      <w:r w:rsidRPr="00A753EF">
        <w:rPr>
          <w:rFonts w:ascii="Times New Roman" w:eastAsia="Times New Roman" w:hAnsi="Times New Roman" w:cs="Times New Roman"/>
          <w:b/>
          <w:sz w:val="24"/>
          <w:szCs w:val="20"/>
        </w:rPr>
        <w:t>odokļu ieņēmumu prognožu izmaiņas pēc naudas plūsmas, salīdzinot ar bāzes scenārija prognozēm, %</w:t>
      </w:r>
    </w:p>
    <w:tbl>
      <w:tblPr>
        <w:tblW w:w="7133" w:type="dxa"/>
        <w:jc w:val="center"/>
        <w:tblLook w:val="04A0" w:firstRow="1" w:lastRow="0" w:firstColumn="1" w:lastColumn="0" w:noHBand="0" w:noVBand="1"/>
      </w:tblPr>
      <w:tblGrid>
        <w:gridCol w:w="3242"/>
        <w:gridCol w:w="973"/>
        <w:gridCol w:w="972"/>
        <w:gridCol w:w="973"/>
        <w:gridCol w:w="973"/>
      </w:tblGrid>
      <w:tr w:rsidR="00A753EF" w:rsidRPr="00A753EF" w14:paraId="2217F835" w14:textId="77777777" w:rsidTr="00305D82">
        <w:trPr>
          <w:trHeight w:val="398"/>
          <w:jc w:val="center"/>
        </w:trPr>
        <w:tc>
          <w:tcPr>
            <w:tcW w:w="3242" w:type="dxa"/>
            <w:vMerge w:val="restart"/>
            <w:tcBorders>
              <w:top w:val="single" w:sz="4" w:space="0" w:color="auto"/>
              <w:left w:val="single" w:sz="4" w:space="0" w:color="auto"/>
              <w:bottom w:val="single" w:sz="4" w:space="0" w:color="auto"/>
              <w:right w:val="nil"/>
            </w:tcBorders>
            <w:shd w:val="clear" w:color="auto" w:fill="DEEAF6" w:themeFill="accent1" w:themeFillTint="33"/>
            <w:noWrap/>
            <w:vAlign w:val="bottom"/>
            <w:hideMark/>
          </w:tcPr>
          <w:p w14:paraId="5ABA219C" w14:textId="77777777" w:rsidR="00A753EF" w:rsidRPr="00A753EF" w:rsidRDefault="00A753EF" w:rsidP="00A753EF">
            <w:pPr>
              <w:spacing w:after="0" w:line="240" w:lineRule="auto"/>
              <w:jc w:val="center"/>
              <w:rPr>
                <w:rFonts w:ascii="Times New Roman" w:eastAsia="Times New Roman" w:hAnsi="Times New Roman" w:cs="Times New Roman"/>
                <w:sz w:val="20"/>
                <w:szCs w:val="20"/>
                <w:lang w:eastAsia="lv-LV"/>
              </w:rPr>
            </w:pPr>
            <w:r w:rsidRPr="00A753EF">
              <w:rPr>
                <w:rFonts w:ascii="Times New Roman" w:eastAsia="Times New Roman" w:hAnsi="Times New Roman" w:cs="Times New Roman"/>
                <w:sz w:val="20"/>
                <w:szCs w:val="20"/>
                <w:lang w:eastAsia="lv-LV"/>
              </w:rPr>
              <w:t> </w:t>
            </w:r>
          </w:p>
        </w:tc>
        <w:tc>
          <w:tcPr>
            <w:tcW w:w="3891" w:type="dxa"/>
            <w:gridSpan w:val="4"/>
            <w:tcBorders>
              <w:top w:val="single" w:sz="8" w:space="0" w:color="auto"/>
              <w:left w:val="single" w:sz="8" w:space="0" w:color="auto"/>
              <w:bottom w:val="single" w:sz="8" w:space="0" w:color="auto"/>
              <w:right w:val="single" w:sz="12" w:space="0" w:color="auto"/>
            </w:tcBorders>
            <w:shd w:val="clear" w:color="auto" w:fill="DEEAF6" w:themeFill="accent1" w:themeFillTint="33"/>
            <w:vAlign w:val="bottom"/>
            <w:hideMark/>
          </w:tcPr>
          <w:p w14:paraId="31A856D5" w14:textId="77777777" w:rsidR="00A753EF" w:rsidRPr="00A753EF" w:rsidRDefault="00A753EF" w:rsidP="00A753EF">
            <w:pPr>
              <w:spacing w:after="0" w:line="240" w:lineRule="auto"/>
              <w:jc w:val="center"/>
              <w:rPr>
                <w:rFonts w:ascii="Times New Roman" w:eastAsia="Times New Roman" w:hAnsi="Times New Roman" w:cs="Times New Roman"/>
                <w:b/>
                <w:bCs/>
                <w:sz w:val="20"/>
                <w:szCs w:val="24"/>
                <w:lang w:eastAsia="lv-LV"/>
              </w:rPr>
            </w:pPr>
            <w:r w:rsidRPr="00A753EF">
              <w:rPr>
                <w:rFonts w:ascii="Times New Roman" w:eastAsia="Times New Roman" w:hAnsi="Times New Roman" w:cs="Times New Roman"/>
                <w:b/>
                <w:bCs/>
                <w:sz w:val="20"/>
                <w:szCs w:val="24"/>
                <w:lang w:eastAsia="lv-LV"/>
              </w:rPr>
              <w:t>Aktualizētā scenārija prognoze / Bāzes scenārija prognozes, %</w:t>
            </w:r>
          </w:p>
        </w:tc>
      </w:tr>
      <w:tr w:rsidR="00A753EF" w:rsidRPr="00A753EF" w14:paraId="23AFBE29" w14:textId="77777777" w:rsidTr="00305D82">
        <w:trPr>
          <w:trHeight w:val="236"/>
          <w:jc w:val="center"/>
        </w:trPr>
        <w:tc>
          <w:tcPr>
            <w:tcW w:w="3242" w:type="dxa"/>
            <w:vMerge/>
            <w:tcBorders>
              <w:top w:val="single" w:sz="4" w:space="0" w:color="auto"/>
              <w:left w:val="single" w:sz="4" w:space="0" w:color="auto"/>
              <w:bottom w:val="single" w:sz="4" w:space="0" w:color="auto"/>
              <w:right w:val="nil"/>
            </w:tcBorders>
            <w:vAlign w:val="center"/>
            <w:hideMark/>
          </w:tcPr>
          <w:p w14:paraId="0C99C008" w14:textId="77777777" w:rsidR="00A753EF" w:rsidRPr="00A753EF" w:rsidRDefault="00A753EF" w:rsidP="00A753EF">
            <w:pPr>
              <w:spacing w:after="0" w:line="240" w:lineRule="auto"/>
              <w:rPr>
                <w:rFonts w:ascii="Times New Roman" w:eastAsia="Times New Roman" w:hAnsi="Times New Roman" w:cs="Times New Roman"/>
                <w:sz w:val="20"/>
                <w:szCs w:val="20"/>
                <w:lang w:eastAsia="lv-LV"/>
              </w:rPr>
            </w:pPr>
          </w:p>
        </w:tc>
        <w:tc>
          <w:tcPr>
            <w:tcW w:w="973"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1689DEB" w14:textId="77777777" w:rsidR="00A753EF" w:rsidRPr="00A753EF" w:rsidRDefault="00A753EF" w:rsidP="00A753EF">
            <w:pPr>
              <w:spacing w:after="0" w:line="240" w:lineRule="auto"/>
              <w:jc w:val="center"/>
              <w:rPr>
                <w:rFonts w:ascii="Times New Roman" w:eastAsia="Times New Roman" w:hAnsi="Times New Roman" w:cs="Times New Roman"/>
                <w:b/>
                <w:sz w:val="18"/>
                <w:szCs w:val="18"/>
                <w:lang w:eastAsia="lv-LV"/>
              </w:rPr>
            </w:pPr>
            <w:r w:rsidRPr="00A753EF">
              <w:rPr>
                <w:rFonts w:ascii="Times New Roman" w:eastAsia="Times New Roman" w:hAnsi="Times New Roman" w:cs="Times New Roman"/>
                <w:b/>
                <w:sz w:val="18"/>
                <w:szCs w:val="18"/>
                <w:lang w:eastAsia="lv-LV"/>
              </w:rPr>
              <w:t>2020</w:t>
            </w:r>
          </w:p>
        </w:tc>
        <w:tc>
          <w:tcPr>
            <w:tcW w:w="972" w:type="dxa"/>
            <w:tcBorders>
              <w:top w:val="single" w:sz="4" w:space="0" w:color="auto"/>
              <w:left w:val="single" w:sz="4" w:space="0" w:color="auto"/>
              <w:bottom w:val="single" w:sz="8" w:space="0" w:color="auto"/>
              <w:right w:val="single" w:sz="8" w:space="0" w:color="auto"/>
            </w:tcBorders>
            <w:shd w:val="clear" w:color="auto" w:fill="DEEAF6" w:themeFill="accent1" w:themeFillTint="33"/>
            <w:vAlign w:val="center"/>
            <w:hideMark/>
          </w:tcPr>
          <w:p w14:paraId="257EFDE4" w14:textId="77777777" w:rsidR="00A753EF" w:rsidRPr="00A753EF" w:rsidRDefault="00A753EF" w:rsidP="00A753EF">
            <w:pPr>
              <w:spacing w:after="0" w:line="240" w:lineRule="auto"/>
              <w:jc w:val="center"/>
              <w:rPr>
                <w:rFonts w:ascii="Times New Roman" w:eastAsia="Times New Roman" w:hAnsi="Times New Roman" w:cs="Times New Roman"/>
                <w:b/>
                <w:sz w:val="18"/>
                <w:szCs w:val="18"/>
                <w:lang w:eastAsia="lv-LV"/>
              </w:rPr>
            </w:pPr>
            <w:r w:rsidRPr="00A753EF">
              <w:rPr>
                <w:rFonts w:ascii="Times New Roman" w:eastAsia="Times New Roman" w:hAnsi="Times New Roman" w:cs="Times New Roman"/>
                <w:b/>
                <w:sz w:val="18"/>
                <w:szCs w:val="18"/>
                <w:lang w:eastAsia="lv-LV"/>
              </w:rPr>
              <w:t>2021</w:t>
            </w:r>
          </w:p>
        </w:tc>
        <w:tc>
          <w:tcPr>
            <w:tcW w:w="973" w:type="dxa"/>
            <w:tcBorders>
              <w:top w:val="single" w:sz="4" w:space="0" w:color="auto"/>
              <w:left w:val="single" w:sz="4" w:space="0" w:color="auto"/>
              <w:bottom w:val="single" w:sz="8" w:space="0" w:color="auto"/>
              <w:right w:val="single" w:sz="8" w:space="0" w:color="auto"/>
            </w:tcBorders>
            <w:shd w:val="clear" w:color="auto" w:fill="DEEAF6" w:themeFill="accent1" w:themeFillTint="33"/>
            <w:vAlign w:val="center"/>
            <w:hideMark/>
          </w:tcPr>
          <w:p w14:paraId="13DECC2E" w14:textId="77777777" w:rsidR="00A753EF" w:rsidRPr="00A753EF" w:rsidRDefault="00A753EF" w:rsidP="00A753EF">
            <w:pPr>
              <w:spacing w:after="0" w:line="240" w:lineRule="auto"/>
              <w:jc w:val="center"/>
              <w:rPr>
                <w:rFonts w:ascii="Times New Roman" w:eastAsia="Times New Roman" w:hAnsi="Times New Roman" w:cs="Times New Roman"/>
                <w:b/>
                <w:sz w:val="18"/>
                <w:szCs w:val="18"/>
                <w:lang w:eastAsia="lv-LV"/>
              </w:rPr>
            </w:pPr>
            <w:r w:rsidRPr="00A753EF">
              <w:rPr>
                <w:rFonts w:ascii="Times New Roman" w:eastAsia="Times New Roman" w:hAnsi="Times New Roman" w:cs="Times New Roman"/>
                <w:b/>
                <w:sz w:val="18"/>
                <w:szCs w:val="18"/>
                <w:lang w:eastAsia="lv-LV"/>
              </w:rPr>
              <w:t>2022</w:t>
            </w:r>
          </w:p>
        </w:tc>
        <w:tc>
          <w:tcPr>
            <w:tcW w:w="972" w:type="dxa"/>
            <w:tcBorders>
              <w:top w:val="single" w:sz="4" w:space="0" w:color="auto"/>
              <w:left w:val="single" w:sz="4" w:space="0" w:color="auto"/>
              <w:bottom w:val="single" w:sz="8" w:space="0" w:color="auto"/>
              <w:right w:val="single" w:sz="12" w:space="0" w:color="auto"/>
            </w:tcBorders>
            <w:shd w:val="clear" w:color="auto" w:fill="DEEAF6" w:themeFill="accent1" w:themeFillTint="33"/>
            <w:vAlign w:val="center"/>
            <w:hideMark/>
          </w:tcPr>
          <w:p w14:paraId="654BB01A" w14:textId="77777777" w:rsidR="00A753EF" w:rsidRPr="00A753EF" w:rsidRDefault="00A753EF" w:rsidP="00A753EF">
            <w:pPr>
              <w:spacing w:after="0" w:line="240" w:lineRule="auto"/>
              <w:jc w:val="center"/>
              <w:rPr>
                <w:rFonts w:ascii="Times New Roman" w:eastAsia="Times New Roman" w:hAnsi="Times New Roman" w:cs="Times New Roman"/>
                <w:b/>
                <w:sz w:val="18"/>
                <w:szCs w:val="18"/>
                <w:lang w:eastAsia="lv-LV"/>
              </w:rPr>
            </w:pPr>
            <w:r w:rsidRPr="00A753EF">
              <w:rPr>
                <w:rFonts w:ascii="Times New Roman" w:eastAsia="Times New Roman" w:hAnsi="Times New Roman" w:cs="Times New Roman"/>
                <w:b/>
                <w:sz w:val="18"/>
                <w:szCs w:val="18"/>
                <w:lang w:eastAsia="lv-LV"/>
              </w:rPr>
              <w:t>2022</w:t>
            </w:r>
          </w:p>
        </w:tc>
      </w:tr>
      <w:tr w:rsidR="00A753EF" w:rsidRPr="00A753EF" w14:paraId="6EB75394" w14:textId="77777777" w:rsidTr="00305D82">
        <w:trPr>
          <w:trHeight w:val="174"/>
          <w:jc w:val="center"/>
        </w:trPr>
        <w:tc>
          <w:tcPr>
            <w:tcW w:w="3242" w:type="dxa"/>
            <w:tcBorders>
              <w:top w:val="nil"/>
              <w:left w:val="single" w:sz="4" w:space="0" w:color="auto"/>
              <w:bottom w:val="single" w:sz="4" w:space="0" w:color="auto"/>
              <w:right w:val="nil"/>
            </w:tcBorders>
            <w:shd w:val="clear" w:color="auto" w:fill="auto"/>
            <w:noWrap/>
            <w:vAlign w:val="bottom"/>
            <w:hideMark/>
          </w:tcPr>
          <w:p w14:paraId="281EEB7C" w14:textId="06514602" w:rsidR="00A753EF" w:rsidRPr="00A753EF" w:rsidRDefault="00BD29CA" w:rsidP="00A753EF">
            <w:pPr>
              <w:spacing w:after="0" w:line="240" w:lineRule="auto"/>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PVN</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453CBD8D"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-19,3%</w:t>
            </w:r>
          </w:p>
        </w:tc>
        <w:tc>
          <w:tcPr>
            <w:tcW w:w="972" w:type="dxa"/>
            <w:tcBorders>
              <w:top w:val="nil"/>
              <w:left w:val="nil"/>
              <w:bottom w:val="single" w:sz="4" w:space="0" w:color="auto"/>
              <w:right w:val="single" w:sz="4" w:space="0" w:color="auto"/>
            </w:tcBorders>
            <w:shd w:val="clear" w:color="auto" w:fill="FFFFFF" w:themeFill="background1"/>
            <w:noWrap/>
          </w:tcPr>
          <w:p w14:paraId="4640AB54"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-17,2%</w:t>
            </w:r>
          </w:p>
        </w:tc>
        <w:tc>
          <w:tcPr>
            <w:tcW w:w="973" w:type="dxa"/>
            <w:tcBorders>
              <w:top w:val="nil"/>
              <w:left w:val="nil"/>
              <w:bottom w:val="single" w:sz="4" w:space="0" w:color="auto"/>
              <w:right w:val="single" w:sz="4" w:space="0" w:color="auto"/>
            </w:tcBorders>
            <w:shd w:val="clear" w:color="auto" w:fill="FFFFFF" w:themeFill="background1"/>
            <w:noWrap/>
          </w:tcPr>
          <w:p w14:paraId="39F99EF1"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-14,8%</w:t>
            </w:r>
          </w:p>
        </w:tc>
        <w:tc>
          <w:tcPr>
            <w:tcW w:w="972" w:type="dxa"/>
            <w:tcBorders>
              <w:top w:val="nil"/>
              <w:left w:val="nil"/>
              <w:bottom w:val="single" w:sz="4" w:space="0" w:color="auto"/>
              <w:right w:val="single" w:sz="4" w:space="0" w:color="auto"/>
            </w:tcBorders>
            <w:shd w:val="clear" w:color="auto" w:fill="FFFFFF" w:themeFill="background1"/>
            <w:noWrap/>
          </w:tcPr>
          <w:p w14:paraId="38534CD5"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-15,8%</w:t>
            </w:r>
          </w:p>
        </w:tc>
      </w:tr>
      <w:tr w:rsidR="00A753EF" w:rsidRPr="00A753EF" w14:paraId="1C106A9B" w14:textId="77777777" w:rsidTr="00305D82">
        <w:trPr>
          <w:trHeight w:val="139"/>
          <w:jc w:val="center"/>
        </w:trPr>
        <w:tc>
          <w:tcPr>
            <w:tcW w:w="3242" w:type="dxa"/>
            <w:tcBorders>
              <w:top w:val="nil"/>
              <w:left w:val="single" w:sz="4" w:space="0" w:color="auto"/>
              <w:bottom w:val="single" w:sz="4" w:space="0" w:color="auto"/>
              <w:right w:val="nil"/>
            </w:tcBorders>
            <w:shd w:val="clear" w:color="auto" w:fill="DEEAF6" w:themeFill="accent1" w:themeFillTint="33"/>
            <w:noWrap/>
            <w:vAlign w:val="bottom"/>
            <w:hideMark/>
          </w:tcPr>
          <w:p w14:paraId="0A0E4A8E"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Uzņēmumu ienākuma nodoklis</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tcPr>
          <w:p w14:paraId="614EF1BD"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-27,2%</w:t>
            </w:r>
          </w:p>
        </w:tc>
        <w:tc>
          <w:tcPr>
            <w:tcW w:w="972" w:type="dxa"/>
            <w:tcBorders>
              <w:top w:val="nil"/>
              <w:left w:val="nil"/>
              <w:bottom w:val="single" w:sz="4" w:space="0" w:color="auto"/>
              <w:right w:val="single" w:sz="4" w:space="0" w:color="auto"/>
            </w:tcBorders>
            <w:shd w:val="clear" w:color="auto" w:fill="DEEAF6" w:themeFill="accent1" w:themeFillTint="33"/>
            <w:noWrap/>
          </w:tcPr>
          <w:p w14:paraId="2C9CDCCB"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-23,3%</w:t>
            </w:r>
          </w:p>
        </w:tc>
        <w:tc>
          <w:tcPr>
            <w:tcW w:w="973" w:type="dxa"/>
            <w:tcBorders>
              <w:top w:val="nil"/>
              <w:left w:val="nil"/>
              <w:bottom w:val="single" w:sz="4" w:space="0" w:color="auto"/>
              <w:right w:val="single" w:sz="4" w:space="0" w:color="auto"/>
            </w:tcBorders>
            <w:shd w:val="clear" w:color="auto" w:fill="DEEAF6" w:themeFill="accent1" w:themeFillTint="33"/>
            <w:noWrap/>
          </w:tcPr>
          <w:p w14:paraId="18CF1843"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-11,1%</w:t>
            </w:r>
          </w:p>
        </w:tc>
        <w:tc>
          <w:tcPr>
            <w:tcW w:w="972" w:type="dxa"/>
            <w:tcBorders>
              <w:top w:val="nil"/>
              <w:left w:val="nil"/>
              <w:bottom w:val="single" w:sz="4" w:space="0" w:color="auto"/>
              <w:right w:val="single" w:sz="4" w:space="0" w:color="auto"/>
            </w:tcBorders>
            <w:shd w:val="clear" w:color="auto" w:fill="DEEAF6" w:themeFill="accent1" w:themeFillTint="33"/>
            <w:noWrap/>
          </w:tcPr>
          <w:p w14:paraId="5BE284E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-11,4%</w:t>
            </w:r>
          </w:p>
        </w:tc>
      </w:tr>
      <w:tr w:rsidR="00A753EF" w:rsidRPr="00A753EF" w14:paraId="16AE1C19" w14:textId="77777777" w:rsidTr="00305D82">
        <w:trPr>
          <w:trHeight w:val="108"/>
          <w:jc w:val="center"/>
        </w:trPr>
        <w:tc>
          <w:tcPr>
            <w:tcW w:w="3242" w:type="dxa"/>
            <w:tcBorders>
              <w:top w:val="nil"/>
              <w:left w:val="single" w:sz="4" w:space="0" w:color="auto"/>
              <w:bottom w:val="single" w:sz="4" w:space="0" w:color="auto"/>
              <w:right w:val="nil"/>
            </w:tcBorders>
            <w:shd w:val="clear" w:color="auto" w:fill="auto"/>
            <w:noWrap/>
            <w:hideMark/>
          </w:tcPr>
          <w:p w14:paraId="3CD67EFF"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Iedzīvotāju ienākuma nodoklis</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0BD2C971"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-17,0%</w:t>
            </w:r>
          </w:p>
        </w:tc>
        <w:tc>
          <w:tcPr>
            <w:tcW w:w="972" w:type="dxa"/>
            <w:tcBorders>
              <w:top w:val="nil"/>
              <w:left w:val="nil"/>
              <w:bottom w:val="single" w:sz="4" w:space="0" w:color="auto"/>
              <w:right w:val="single" w:sz="4" w:space="0" w:color="auto"/>
            </w:tcBorders>
            <w:shd w:val="clear" w:color="auto" w:fill="FFFFFF" w:themeFill="background1"/>
            <w:noWrap/>
          </w:tcPr>
          <w:p w14:paraId="3086AE7F"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-12,6%</w:t>
            </w:r>
          </w:p>
        </w:tc>
        <w:tc>
          <w:tcPr>
            <w:tcW w:w="973" w:type="dxa"/>
            <w:tcBorders>
              <w:top w:val="nil"/>
              <w:left w:val="nil"/>
              <w:bottom w:val="single" w:sz="4" w:space="0" w:color="auto"/>
              <w:right w:val="single" w:sz="4" w:space="0" w:color="auto"/>
            </w:tcBorders>
            <w:shd w:val="clear" w:color="auto" w:fill="FFFFFF" w:themeFill="background1"/>
            <w:noWrap/>
          </w:tcPr>
          <w:p w14:paraId="39E10BB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-12,0%</w:t>
            </w:r>
          </w:p>
        </w:tc>
        <w:tc>
          <w:tcPr>
            <w:tcW w:w="972" w:type="dxa"/>
            <w:tcBorders>
              <w:top w:val="nil"/>
              <w:left w:val="nil"/>
              <w:bottom w:val="single" w:sz="4" w:space="0" w:color="auto"/>
              <w:right w:val="single" w:sz="4" w:space="0" w:color="auto"/>
            </w:tcBorders>
            <w:shd w:val="clear" w:color="auto" w:fill="FFFFFF" w:themeFill="background1"/>
            <w:noWrap/>
          </w:tcPr>
          <w:p w14:paraId="098A38B5"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-11,7%</w:t>
            </w:r>
          </w:p>
        </w:tc>
      </w:tr>
      <w:tr w:rsidR="00A753EF" w:rsidRPr="00A753EF" w14:paraId="413C91CF" w14:textId="77777777" w:rsidTr="00305D82">
        <w:trPr>
          <w:trHeight w:val="259"/>
          <w:jc w:val="center"/>
        </w:trPr>
        <w:tc>
          <w:tcPr>
            <w:tcW w:w="3242" w:type="dxa"/>
            <w:tcBorders>
              <w:top w:val="nil"/>
              <w:left w:val="single" w:sz="4" w:space="0" w:color="auto"/>
              <w:bottom w:val="single" w:sz="4" w:space="0" w:color="auto"/>
              <w:right w:val="nil"/>
            </w:tcBorders>
            <w:shd w:val="clear" w:color="auto" w:fill="DEEAF6" w:themeFill="accent1" w:themeFillTint="33"/>
            <w:noWrap/>
            <w:hideMark/>
          </w:tcPr>
          <w:p w14:paraId="3078A23B"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Sociālās apdrošināšanas iemaksas valsts speciālajā budžetā</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tcPr>
          <w:p w14:paraId="1EF47F4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-13,6%</w:t>
            </w:r>
          </w:p>
        </w:tc>
        <w:tc>
          <w:tcPr>
            <w:tcW w:w="972" w:type="dxa"/>
            <w:tcBorders>
              <w:top w:val="nil"/>
              <w:left w:val="nil"/>
              <w:bottom w:val="single" w:sz="4" w:space="0" w:color="auto"/>
              <w:right w:val="single" w:sz="4" w:space="0" w:color="auto"/>
            </w:tcBorders>
            <w:shd w:val="clear" w:color="auto" w:fill="DEEAF6" w:themeFill="accent1" w:themeFillTint="33"/>
            <w:noWrap/>
          </w:tcPr>
          <w:p w14:paraId="24C3E2CC"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-13,8%</w:t>
            </w:r>
          </w:p>
        </w:tc>
        <w:tc>
          <w:tcPr>
            <w:tcW w:w="973" w:type="dxa"/>
            <w:tcBorders>
              <w:top w:val="nil"/>
              <w:left w:val="nil"/>
              <w:bottom w:val="single" w:sz="4" w:space="0" w:color="auto"/>
              <w:right w:val="single" w:sz="4" w:space="0" w:color="auto"/>
            </w:tcBorders>
            <w:shd w:val="clear" w:color="auto" w:fill="DEEAF6" w:themeFill="accent1" w:themeFillTint="33"/>
            <w:noWrap/>
          </w:tcPr>
          <w:p w14:paraId="09E06655"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-12,8%</w:t>
            </w:r>
          </w:p>
        </w:tc>
        <w:tc>
          <w:tcPr>
            <w:tcW w:w="972" w:type="dxa"/>
            <w:tcBorders>
              <w:top w:val="nil"/>
              <w:left w:val="nil"/>
              <w:bottom w:val="single" w:sz="4" w:space="0" w:color="auto"/>
              <w:right w:val="single" w:sz="4" w:space="0" w:color="auto"/>
            </w:tcBorders>
            <w:shd w:val="clear" w:color="auto" w:fill="DEEAF6" w:themeFill="accent1" w:themeFillTint="33"/>
            <w:noWrap/>
          </w:tcPr>
          <w:p w14:paraId="00C28387"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-12,2%</w:t>
            </w:r>
          </w:p>
        </w:tc>
      </w:tr>
      <w:tr w:rsidR="00A753EF" w:rsidRPr="00A753EF" w14:paraId="60BCF305" w14:textId="77777777" w:rsidTr="00305D82">
        <w:trPr>
          <w:trHeight w:val="259"/>
          <w:jc w:val="center"/>
        </w:trPr>
        <w:tc>
          <w:tcPr>
            <w:tcW w:w="3242" w:type="dxa"/>
            <w:tcBorders>
              <w:top w:val="nil"/>
              <w:left w:val="single" w:sz="4" w:space="0" w:color="auto"/>
              <w:bottom w:val="single" w:sz="4" w:space="0" w:color="auto"/>
              <w:right w:val="nil"/>
            </w:tcBorders>
            <w:shd w:val="clear" w:color="auto" w:fill="auto"/>
            <w:noWrap/>
            <w:hideMark/>
          </w:tcPr>
          <w:p w14:paraId="4BB27BC8"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Valsts sociālās apdrošināšanas iemaksas pamatbudžetā veselības finansēšanai</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194374D6"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-13,3%</w:t>
            </w:r>
          </w:p>
        </w:tc>
        <w:tc>
          <w:tcPr>
            <w:tcW w:w="972" w:type="dxa"/>
            <w:tcBorders>
              <w:top w:val="nil"/>
              <w:left w:val="nil"/>
              <w:bottom w:val="single" w:sz="4" w:space="0" w:color="auto"/>
              <w:right w:val="single" w:sz="4" w:space="0" w:color="auto"/>
            </w:tcBorders>
            <w:shd w:val="clear" w:color="auto" w:fill="FFFFFF" w:themeFill="background1"/>
            <w:noWrap/>
          </w:tcPr>
          <w:p w14:paraId="4BE5ECAA"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-13,9%</w:t>
            </w:r>
          </w:p>
        </w:tc>
        <w:tc>
          <w:tcPr>
            <w:tcW w:w="973" w:type="dxa"/>
            <w:tcBorders>
              <w:top w:val="nil"/>
              <w:left w:val="nil"/>
              <w:bottom w:val="single" w:sz="4" w:space="0" w:color="auto"/>
              <w:right w:val="single" w:sz="4" w:space="0" w:color="auto"/>
            </w:tcBorders>
            <w:shd w:val="clear" w:color="auto" w:fill="FFFFFF" w:themeFill="background1"/>
            <w:noWrap/>
          </w:tcPr>
          <w:p w14:paraId="4EB51511"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-12,9%</w:t>
            </w:r>
          </w:p>
        </w:tc>
        <w:tc>
          <w:tcPr>
            <w:tcW w:w="972" w:type="dxa"/>
            <w:tcBorders>
              <w:top w:val="nil"/>
              <w:left w:val="nil"/>
              <w:bottom w:val="single" w:sz="4" w:space="0" w:color="auto"/>
              <w:right w:val="single" w:sz="4" w:space="0" w:color="auto"/>
            </w:tcBorders>
            <w:shd w:val="clear" w:color="auto" w:fill="FFFFFF" w:themeFill="background1"/>
            <w:noWrap/>
          </w:tcPr>
          <w:p w14:paraId="13F608D1"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szCs w:val="20"/>
              </w:rPr>
              <w:t>-12,4%</w:t>
            </w:r>
          </w:p>
        </w:tc>
      </w:tr>
      <w:tr w:rsidR="00A753EF" w:rsidRPr="00A753EF" w14:paraId="18C132E4" w14:textId="77777777" w:rsidTr="00305D82">
        <w:trPr>
          <w:trHeight w:val="81"/>
          <w:jc w:val="center"/>
        </w:trPr>
        <w:tc>
          <w:tcPr>
            <w:tcW w:w="3242" w:type="dxa"/>
            <w:tcBorders>
              <w:top w:val="nil"/>
              <w:left w:val="single" w:sz="4" w:space="0" w:color="auto"/>
              <w:bottom w:val="single" w:sz="4" w:space="0" w:color="auto"/>
              <w:right w:val="nil"/>
            </w:tcBorders>
            <w:shd w:val="clear" w:color="auto" w:fill="DEEAF6" w:themeFill="accent1" w:themeFillTint="33"/>
            <w:noWrap/>
            <w:vAlign w:val="bottom"/>
            <w:hideMark/>
          </w:tcPr>
          <w:p w14:paraId="4BC3F064"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Muitas nodoklis</w:t>
            </w: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6EA038C"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-7,8%</w:t>
            </w:r>
          </w:p>
        </w:tc>
        <w:tc>
          <w:tcPr>
            <w:tcW w:w="972" w:type="dxa"/>
            <w:tcBorders>
              <w:top w:val="single" w:sz="4" w:space="0" w:color="auto"/>
              <w:left w:val="nil"/>
              <w:bottom w:val="single" w:sz="4" w:space="0" w:color="auto"/>
              <w:right w:val="single" w:sz="4" w:space="0" w:color="auto"/>
            </w:tcBorders>
            <w:shd w:val="clear" w:color="auto" w:fill="DEEAF6" w:themeFill="accent1" w:themeFillTint="33"/>
            <w:noWrap/>
          </w:tcPr>
          <w:p w14:paraId="4A96D5D2"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-10,4%</w:t>
            </w:r>
          </w:p>
        </w:tc>
        <w:tc>
          <w:tcPr>
            <w:tcW w:w="973" w:type="dxa"/>
            <w:tcBorders>
              <w:top w:val="single" w:sz="4" w:space="0" w:color="auto"/>
              <w:left w:val="nil"/>
              <w:bottom w:val="single" w:sz="4" w:space="0" w:color="auto"/>
              <w:right w:val="single" w:sz="4" w:space="0" w:color="auto"/>
            </w:tcBorders>
            <w:shd w:val="clear" w:color="auto" w:fill="DEEAF6" w:themeFill="accent1" w:themeFillTint="33"/>
            <w:noWrap/>
          </w:tcPr>
          <w:p w14:paraId="1795A977"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-9,1%</w:t>
            </w:r>
          </w:p>
        </w:tc>
        <w:tc>
          <w:tcPr>
            <w:tcW w:w="972" w:type="dxa"/>
            <w:tcBorders>
              <w:top w:val="single" w:sz="4" w:space="0" w:color="auto"/>
              <w:left w:val="nil"/>
              <w:bottom w:val="single" w:sz="4" w:space="0" w:color="auto"/>
              <w:right w:val="single" w:sz="4" w:space="0" w:color="auto"/>
            </w:tcBorders>
            <w:shd w:val="clear" w:color="auto" w:fill="DEEAF6" w:themeFill="accent1" w:themeFillTint="33"/>
            <w:noWrap/>
          </w:tcPr>
          <w:p w14:paraId="6392FB57"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-6,9%</w:t>
            </w:r>
          </w:p>
        </w:tc>
      </w:tr>
      <w:tr w:rsidR="00A753EF" w:rsidRPr="00A753EF" w14:paraId="10FD7856" w14:textId="77777777" w:rsidTr="00305D82">
        <w:trPr>
          <w:trHeight w:val="57"/>
          <w:jc w:val="center"/>
        </w:trPr>
        <w:tc>
          <w:tcPr>
            <w:tcW w:w="3242" w:type="dxa"/>
            <w:tcBorders>
              <w:top w:val="nil"/>
              <w:left w:val="single" w:sz="4" w:space="0" w:color="auto"/>
              <w:bottom w:val="single" w:sz="4" w:space="0" w:color="auto"/>
              <w:right w:val="nil"/>
            </w:tcBorders>
            <w:shd w:val="clear" w:color="auto" w:fill="auto"/>
            <w:noWrap/>
            <w:vAlign w:val="bottom"/>
            <w:hideMark/>
          </w:tcPr>
          <w:p w14:paraId="46CA1916"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Akcīzes nodoklis</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52314D0A"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-8,1%</w:t>
            </w:r>
          </w:p>
        </w:tc>
        <w:tc>
          <w:tcPr>
            <w:tcW w:w="972" w:type="dxa"/>
            <w:tcBorders>
              <w:top w:val="nil"/>
              <w:left w:val="nil"/>
              <w:bottom w:val="single" w:sz="4" w:space="0" w:color="auto"/>
              <w:right w:val="single" w:sz="4" w:space="0" w:color="auto"/>
            </w:tcBorders>
            <w:shd w:val="clear" w:color="auto" w:fill="FFFFFF" w:themeFill="background1"/>
            <w:noWrap/>
          </w:tcPr>
          <w:p w14:paraId="48654FA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-5,4%</w:t>
            </w:r>
          </w:p>
        </w:tc>
        <w:tc>
          <w:tcPr>
            <w:tcW w:w="973" w:type="dxa"/>
            <w:tcBorders>
              <w:top w:val="nil"/>
              <w:left w:val="nil"/>
              <w:bottom w:val="single" w:sz="4" w:space="0" w:color="auto"/>
              <w:right w:val="single" w:sz="4" w:space="0" w:color="auto"/>
            </w:tcBorders>
            <w:shd w:val="clear" w:color="auto" w:fill="FFFFFF" w:themeFill="background1"/>
            <w:noWrap/>
          </w:tcPr>
          <w:p w14:paraId="71AC828A"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-4,7%</w:t>
            </w:r>
          </w:p>
        </w:tc>
        <w:tc>
          <w:tcPr>
            <w:tcW w:w="972" w:type="dxa"/>
            <w:tcBorders>
              <w:top w:val="nil"/>
              <w:left w:val="nil"/>
              <w:bottom w:val="single" w:sz="4" w:space="0" w:color="auto"/>
              <w:right w:val="single" w:sz="4" w:space="0" w:color="auto"/>
            </w:tcBorders>
            <w:shd w:val="clear" w:color="auto" w:fill="FFFFFF" w:themeFill="background1"/>
            <w:noWrap/>
          </w:tcPr>
          <w:p w14:paraId="0218EB0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-3,7%</w:t>
            </w:r>
          </w:p>
        </w:tc>
      </w:tr>
      <w:tr w:rsidR="00A753EF" w:rsidRPr="00A753EF" w14:paraId="22D91E21" w14:textId="77777777" w:rsidTr="00305D82">
        <w:trPr>
          <w:trHeight w:val="259"/>
          <w:jc w:val="center"/>
        </w:trPr>
        <w:tc>
          <w:tcPr>
            <w:tcW w:w="3242" w:type="dxa"/>
            <w:tcBorders>
              <w:top w:val="nil"/>
              <w:left w:val="single" w:sz="4" w:space="0" w:color="auto"/>
              <w:bottom w:val="single" w:sz="4" w:space="0" w:color="auto"/>
              <w:right w:val="nil"/>
            </w:tcBorders>
            <w:shd w:val="clear" w:color="auto" w:fill="DEEAF6" w:themeFill="accent1" w:themeFillTint="33"/>
            <w:noWrap/>
            <w:vAlign w:val="bottom"/>
            <w:hideMark/>
          </w:tcPr>
          <w:p w14:paraId="66FE3A55"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Transportlīdzekļu ekspluatācijas nodoklis</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14:paraId="4210BD7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-2,9%</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1741A8B2"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-3,0%</w:t>
            </w:r>
          </w:p>
        </w:tc>
        <w:tc>
          <w:tcPr>
            <w:tcW w:w="973" w:type="dxa"/>
            <w:tcBorders>
              <w:top w:val="nil"/>
              <w:left w:val="nil"/>
              <w:bottom w:val="single" w:sz="4" w:space="0" w:color="auto"/>
              <w:right w:val="single" w:sz="4" w:space="0" w:color="auto"/>
            </w:tcBorders>
            <w:shd w:val="clear" w:color="auto" w:fill="DEEAF6" w:themeFill="accent1" w:themeFillTint="33"/>
            <w:noWrap/>
            <w:vAlign w:val="bottom"/>
          </w:tcPr>
          <w:p w14:paraId="4CF1710E"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-3,0%</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658B0F5C"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-3,0%</w:t>
            </w:r>
          </w:p>
        </w:tc>
      </w:tr>
      <w:tr w:rsidR="00A753EF" w:rsidRPr="00A753EF" w14:paraId="6C0CD527" w14:textId="77777777" w:rsidTr="00305D82">
        <w:trPr>
          <w:trHeight w:val="259"/>
          <w:jc w:val="center"/>
        </w:trPr>
        <w:tc>
          <w:tcPr>
            <w:tcW w:w="3242" w:type="dxa"/>
            <w:tcBorders>
              <w:top w:val="nil"/>
              <w:left w:val="single" w:sz="4" w:space="0" w:color="auto"/>
              <w:bottom w:val="single" w:sz="4" w:space="0" w:color="auto"/>
              <w:right w:val="nil"/>
            </w:tcBorders>
            <w:shd w:val="clear" w:color="auto" w:fill="auto"/>
            <w:noWrap/>
            <w:vAlign w:val="bottom"/>
            <w:hideMark/>
          </w:tcPr>
          <w:p w14:paraId="7E65AC6E"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Uzņēmumu transportlīdzekļu nodoklis</w:t>
            </w:r>
          </w:p>
        </w:tc>
        <w:tc>
          <w:tcPr>
            <w:tcW w:w="973" w:type="dxa"/>
            <w:tcBorders>
              <w:top w:val="nil"/>
              <w:left w:val="single" w:sz="4" w:space="0" w:color="auto"/>
              <w:bottom w:val="single" w:sz="4" w:space="0" w:color="auto"/>
              <w:right w:val="single" w:sz="4" w:space="0" w:color="auto"/>
            </w:tcBorders>
            <w:shd w:val="clear" w:color="auto" w:fill="FFFFFF" w:themeFill="background1"/>
            <w:noWrap/>
            <w:vAlign w:val="bottom"/>
          </w:tcPr>
          <w:p w14:paraId="1D94ED0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-12,1%</w:t>
            </w:r>
          </w:p>
        </w:tc>
        <w:tc>
          <w:tcPr>
            <w:tcW w:w="972" w:type="dxa"/>
            <w:tcBorders>
              <w:top w:val="nil"/>
              <w:left w:val="nil"/>
              <w:bottom w:val="single" w:sz="4" w:space="0" w:color="auto"/>
              <w:right w:val="single" w:sz="4" w:space="0" w:color="auto"/>
            </w:tcBorders>
            <w:shd w:val="clear" w:color="auto" w:fill="FFFFFF" w:themeFill="background1"/>
            <w:noWrap/>
            <w:vAlign w:val="bottom"/>
          </w:tcPr>
          <w:p w14:paraId="7554E85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-10,0%</w:t>
            </w:r>
          </w:p>
        </w:tc>
        <w:tc>
          <w:tcPr>
            <w:tcW w:w="973" w:type="dxa"/>
            <w:tcBorders>
              <w:top w:val="nil"/>
              <w:left w:val="nil"/>
              <w:bottom w:val="single" w:sz="4" w:space="0" w:color="auto"/>
              <w:right w:val="single" w:sz="4" w:space="0" w:color="auto"/>
            </w:tcBorders>
            <w:shd w:val="clear" w:color="auto" w:fill="FFFFFF" w:themeFill="background1"/>
            <w:noWrap/>
            <w:vAlign w:val="bottom"/>
          </w:tcPr>
          <w:p w14:paraId="556285E2"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-5,0%</w:t>
            </w:r>
          </w:p>
        </w:tc>
        <w:tc>
          <w:tcPr>
            <w:tcW w:w="972" w:type="dxa"/>
            <w:tcBorders>
              <w:top w:val="nil"/>
              <w:left w:val="nil"/>
              <w:bottom w:val="single" w:sz="4" w:space="0" w:color="auto"/>
              <w:right w:val="single" w:sz="4" w:space="0" w:color="auto"/>
            </w:tcBorders>
            <w:shd w:val="clear" w:color="auto" w:fill="FFFFFF" w:themeFill="background1"/>
            <w:noWrap/>
            <w:vAlign w:val="bottom"/>
          </w:tcPr>
          <w:p w14:paraId="3FB70A24"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-0,8%</w:t>
            </w:r>
          </w:p>
        </w:tc>
      </w:tr>
      <w:tr w:rsidR="00A753EF" w:rsidRPr="00A753EF" w14:paraId="58D1EE76" w14:textId="77777777" w:rsidTr="00305D82">
        <w:trPr>
          <w:trHeight w:val="65"/>
          <w:jc w:val="center"/>
        </w:trPr>
        <w:tc>
          <w:tcPr>
            <w:tcW w:w="3242" w:type="dxa"/>
            <w:tcBorders>
              <w:top w:val="nil"/>
              <w:left w:val="single" w:sz="4" w:space="0" w:color="auto"/>
              <w:bottom w:val="single" w:sz="4" w:space="0" w:color="auto"/>
              <w:right w:val="nil"/>
            </w:tcBorders>
            <w:shd w:val="clear" w:color="auto" w:fill="DEEAF6" w:themeFill="accent1" w:themeFillTint="33"/>
            <w:noWrap/>
            <w:vAlign w:val="bottom"/>
            <w:hideMark/>
          </w:tcPr>
          <w:p w14:paraId="435A1D59"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Elektroenerģijas nodoklis</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14:paraId="7324B3A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-12,4%</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620BE83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-12,4%</w:t>
            </w:r>
          </w:p>
        </w:tc>
        <w:tc>
          <w:tcPr>
            <w:tcW w:w="973" w:type="dxa"/>
            <w:tcBorders>
              <w:top w:val="nil"/>
              <w:left w:val="nil"/>
              <w:bottom w:val="single" w:sz="4" w:space="0" w:color="auto"/>
              <w:right w:val="single" w:sz="4" w:space="0" w:color="auto"/>
            </w:tcBorders>
            <w:shd w:val="clear" w:color="auto" w:fill="DEEAF6" w:themeFill="accent1" w:themeFillTint="33"/>
            <w:noWrap/>
            <w:vAlign w:val="bottom"/>
          </w:tcPr>
          <w:p w14:paraId="7DD8D082"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-12,4%</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01C40A75"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-12,4%</w:t>
            </w:r>
          </w:p>
        </w:tc>
      </w:tr>
      <w:tr w:rsidR="00A753EF" w:rsidRPr="00A753EF" w14:paraId="6CCC0E04" w14:textId="77777777" w:rsidTr="00305D82">
        <w:trPr>
          <w:trHeight w:val="57"/>
          <w:jc w:val="center"/>
        </w:trPr>
        <w:tc>
          <w:tcPr>
            <w:tcW w:w="3242" w:type="dxa"/>
            <w:tcBorders>
              <w:top w:val="nil"/>
              <w:left w:val="single" w:sz="4" w:space="0" w:color="auto"/>
              <w:bottom w:val="single" w:sz="4" w:space="0" w:color="auto"/>
              <w:right w:val="nil"/>
            </w:tcBorders>
            <w:shd w:val="clear" w:color="auto" w:fill="auto"/>
            <w:noWrap/>
            <w:vAlign w:val="bottom"/>
            <w:hideMark/>
          </w:tcPr>
          <w:p w14:paraId="08B61B69"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Dabas resursu nodoklis</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4D463CE5"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-15,2%</w:t>
            </w:r>
          </w:p>
        </w:tc>
        <w:tc>
          <w:tcPr>
            <w:tcW w:w="972" w:type="dxa"/>
            <w:tcBorders>
              <w:top w:val="nil"/>
              <w:left w:val="nil"/>
              <w:bottom w:val="single" w:sz="4" w:space="0" w:color="auto"/>
              <w:right w:val="single" w:sz="4" w:space="0" w:color="auto"/>
            </w:tcBorders>
            <w:shd w:val="clear" w:color="auto" w:fill="FFFFFF" w:themeFill="background1"/>
            <w:noWrap/>
          </w:tcPr>
          <w:p w14:paraId="1A9B0E6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-12,0%</w:t>
            </w:r>
          </w:p>
        </w:tc>
        <w:tc>
          <w:tcPr>
            <w:tcW w:w="973" w:type="dxa"/>
            <w:tcBorders>
              <w:top w:val="nil"/>
              <w:left w:val="nil"/>
              <w:bottom w:val="single" w:sz="4" w:space="0" w:color="auto"/>
              <w:right w:val="single" w:sz="4" w:space="0" w:color="auto"/>
            </w:tcBorders>
            <w:shd w:val="clear" w:color="auto" w:fill="FFFFFF" w:themeFill="background1"/>
            <w:noWrap/>
          </w:tcPr>
          <w:p w14:paraId="4984973A"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-9,1%</w:t>
            </w:r>
          </w:p>
        </w:tc>
        <w:tc>
          <w:tcPr>
            <w:tcW w:w="972" w:type="dxa"/>
            <w:tcBorders>
              <w:top w:val="nil"/>
              <w:left w:val="nil"/>
              <w:bottom w:val="single" w:sz="4" w:space="0" w:color="auto"/>
              <w:right w:val="single" w:sz="4" w:space="0" w:color="auto"/>
            </w:tcBorders>
            <w:shd w:val="clear" w:color="auto" w:fill="FFFFFF" w:themeFill="background1"/>
            <w:noWrap/>
          </w:tcPr>
          <w:p w14:paraId="7EAA780A"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-9,4%</w:t>
            </w:r>
          </w:p>
        </w:tc>
      </w:tr>
      <w:tr w:rsidR="00A753EF" w:rsidRPr="00A753EF" w14:paraId="05E27960" w14:textId="77777777" w:rsidTr="00305D82">
        <w:trPr>
          <w:trHeight w:val="108"/>
          <w:jc w:val="center"/>
        </w:trPr>
        <w:tc>
          <w:tcPr>
            <w:tcW w:w="3242" w:type="dxa"/>
            <w:tcBorders>
              <w:top w:val="nil"/>
              <w:left w:val="single" w:sz="4" w:space="0" w:color="auto"/>
              <w:bottom w:val="single" w:sz="4" w:space="0" w:color="auto"/>
              <w:right w:val="nil"/>
            </w:tcBorders>
            <w:shd w:val="clear" w:color="auto" w:fill="DEEAF6" w:themeFill="accent1" w:themeFillTint="33"/>
            <w:noWrap/>
            <w:vAlign w:val="bottom"/>
            <w:hideMark/>
          </w:tcPr>
          <w:p w14:paraId="6B42AF5A"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Izložu un azartspēļu nodoklis</w:t>
            </w:r>
          </w:p>
        </w:tc>
        <w:tc>
          <w:tcPr>
            <w:tcW w:w="973"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14:paraId="784E124B"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-27,0%</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6620B82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-3,0%</w:t>
            </w:r>
          </w:p>
        </w:tc>
        <w:tc>
          <w:tcPr>
            <w:tcW w:w="973" w:type="dxa"/>
            <w:tcBorders>
              <w:top w:val="nil"/>
              <w:left w:val="nil"/>
              <w:bottom w:val="single" w:sz="4" w:space="0" w:color="auto"/>
              <w:right w:val="single" w:sz="4" w:space="0" w:color="auto"/>
            </w:tcBorders>
            <w:shd w:val="clear" w:color="auto" w:fill="DEEAF6" w:themeFill="accent1" w:themeFillTint="33"/>
            <w:noWrap/>
            <w:vAlign w:val="bottom"/>
          </w:tcPr>
          <w:p w14:paraId="1045F2E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-3,3%</w:t>
            </w:r>
          </w:p>
        </w:tc>
        <w:tc>
          <w:tcPr>
            <w:tcW w:w="972" w:type="dxa"/>
            <w:tcBorders>
              <w:top w:val="nil"/>
              <w:left w:val="nil"/>
              <w:bottom w:val="single" w:sz="4" w:space="0" w:color="auto"/>
              <w:right w:val="single" w:sz="4" w:space="0" w:color="auto"/>
            </w:tcBorders>
            <w:shd w:val="clear" w:color="auto" w:fill="DEEAF6" w:themeFill="accent1" w:themeFillTint="33"/>
            <w:noWrap/>
            <w:vAlign w:val="bottom"/>
          </w:tcPr>
          <w:p w14:paraId="66848B57"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-3,3%</w:t>
            </w:r>
          </w:p>
        </w:tc>
      </w:tr>
      <w:tr w:rsidR="00A753EF" w:rsidRPr="00A753EF" w14:paraId="4AF2F4A4" w14:textId="77777777" w:rsidTr="00305D82">
        <w:trPr>
          <w:trHeight w:val="77"/>
          <w:jc w:val="center"/>
        </w:trPr>
        <w:tc>
          <w:tcPr>
            <w:tcW w:w="3242" w:type="dxa"/>
            <w:tcBorders>
              <w:top w:val="nil"/>
              <w:left w:val="single" w:sz="4" w:space="0" w:color="auto"/>
              <w:bottom w:val="single" w:sz="4" w:space="0" w:color="auto"/>
              <w:right w:val="nil"/>
            </w:tcBorders>
            <w:shd w:val="clear" w:color="auto" w:fill="auto"/>
            <w:noWrap/>
            <w:hideMark/>
          </w:tcPr>
          <w:p w14:paraId="5C571983" w14:textId="77777777" w:rsidR="00A753EF" w:rsidRPr="00A753EF" w:rsidRDefault="00A753EF" w:rsidP="00A753EF">
            <w:pPr>
              <w:spacing w:after="0" w:line="240" w:lineRule="auto"/>
              <w:rPr>
                <w:rFonts w:ascii="Times New Roman" w:eastAsia="Times New Roman" w:hAnsi="Times New Roman" w:cs="Times New Roman"/>
                <w:sz w:val="20"/>
                <w:szCs w:val="24"/>
                <w:lang w:eastAsia="lv-LV"/>
              </w:rPr>
            </w:pPr>
            <w:r w:rsidRPr="00A753EF">
              <w:rPr>
                <w:rFonts w:ascii="Times New Roman" w:eastAsia="Times New Roman" w:hAnsi="Times New Roman" w:cs="Times New Roman"/>
                <w:sz w:val="20"/>
                <w:szCs w:val="24"/>
                <w:lang w:eastAsia="lv-LV"/>
              </w:rPr>
              <w:t>Nekustamā īpašuma nodoklis</w:t>
            </w:r>
          </w:p>
        </w:tc>
        <w:tc>
          <w:tcPr>
            <w:tcW w:w="973" w:type="dxa"/>
            <w:tcBorders>
              <w:top w:val="nil"/>
              <w:left w:val="single" w:sz="4" w:space="0" w:color="auto"/>
              <w:bottom w:val="single" w:sz="4" w:space="0" w:color="auto"/>
              <w:right w:val="single" w:sz="4" w:space="0" w:color="auto"/>
            </w:tcBorders>
            <w:shd w:val="clear" w:color="auto" w:fill="FFFFFF" w:themeFill="background1"/>
            <w:noWrap/>
          </w:tcPr>
          <w:p w14:paraId="147A94ED"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-5,3%</w:t>
            </w:r>
          </w:p>
        </w:tc>
        <w:tc>
          <w:tcPr>
            <w:tcW w:w="972" w:type="dxa"/>
            <w:tcBorders>
              <w:top w:val="nil"/>
              <w:left w:val="nil"/>
              <w:bottom w:val="single" w:sz="4" w:space="0" w:color="auto"/>
              <w:right w:val="single" w:sz="4" w:space="0" w:color="auto"/>
            </w:tcBorders>
            <w:shd w:val="clear" w:color="auto" w:fill="FFFFFF" w:themeFill="background1"/>
            <w:noWrap/>
          </w:tcPr>
          <w:p w14:paraId="3DB015E0"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-2,3%</w:t>
            </w:r>
          </w:p>
        </w:tc>
        <w:tc>
          <w:tcPr>
            <w:tcW w:w="973" w:type="dxa"/>
            <w:tcBorders>
              <w:top w:val="nil"/>
              <w:left w:val="nil"/>
              <w:bottom w:val="single" w:sz="4" w:space="0" w:color="auto"/>
              <w:right w:val="single" w:sz="4" w:space="0" w:color="auto"/>
            </w:tcBorders>
            <w:shd w:val="clear" w:color="auto" w:fill="FFFFFF" w:themeFill="background1"/>
            <w:noWrap/>
          </w:tcPr>
          <w:p w14:paraId="2743FAAF"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-1,3%</w:t>
            </w:r>
          </w:p>
        </w:tc>
        <w:tc>
          <w:tcPr>
            <w:tcW w:w="972" w:type="dxa"/>
            <w:tcBorders>
              <w:top w:val="nil"/>
              <w:left w:val="nil"/>
              <w:bottom w:val="single" w:sz="4" w:space="0" w:color="auto"/>
              <w:right w:val="single" w:sz="4" w:space="0" w:color="auto"/>
            </w:tcBorders>
            <w:shd w:val="clear" w:color="auto" w:fill="FFFFFF" w:themeFill="background1"/>
            <w:noWrap/>
          </w:tcPr>
          <w:p w14:paraId="75F4C9E9" w14:textId="77777777" w:rsidR="00A753EF" w:rsidRPr="00A753EF" w:rsidRDefault="00A753EF" w:rsidP="00A753EF">
            <w:pPr>
              <w:spacing w:after="0" w:line="240" w:lineRule="auto"/>
              <w:jc w:val="center"/>
              <w:rPr>
                <w:rFonts w:ascii="Times New Roman" w:eastAsia="Times New Roman" w:hAnsi="Times New Roman" w:cs="Times New Roman"/>
                <w:i/>
                <w:iCs/>
                <w:szCs w:val="18"/>
                <w:lang w:eastAsia="lv-LV"/>
              </w:rPr>
            </w:pPr>
            <w:r w:rsidRPr="00A753EF">
              <w:rPr>
                <w:rFonts w:ascii="Times New Roman Baltic" w:eastAsia="Calibri" w:hAnsi="Times New Roman Baltic" w:cs="Times New Roman Baltic"/>
                <w:i/>
                <w:iCs/>
              </w:rPr>
              <w:t>-0,4%</w:t>
            </w:r>
          </w:p>
        </w:tc>
      </w:tr>
      <w:tr w:rsidR="00A753EF" w:rsidRPr="00A753EF" w14:paraId="75C0114D" w14:textId="77777777" w:rsidTr="00305D82">
        <w:trPr>
          <w:trHeight w:val="49"/>
          <w:jc w:val="center"/>
        </w:trPr>
        <w:tc>
          <w:tcPr>
            <w:tcW w:w="3242" w:type="dxa"/>
            <w:tcBorders>
              <w:top w:val="single" w:sz="4" w:space="0" w:color="auto"/>
              <w:left w:val="single" w:sz="4" w:space="0" w:color="auto"/>
              <w:bottom w:val="single" w:sz="4" w:space="0" w:color="auto"/>
              <w:right w:val="nil"/>
            </w:tcBorders>
            <w:shd w:val="clear" w:color="auto" w:fill="DEEAF6" w:themeFill="accent1" w:themeFillTint="33"/>
            <w:noWrap/>
            <w:vAlign w:val="bottom"/>
            <w:hideMark/>
          </w:tcPr>
          <w:p w14:paraId="65A0214D" w14:textId="77777777" w:rsidR="00A753EF" w:rsidRPr="00A753EF" w:rsidRDefault="00A753EF" w:rsidP="00A753EF">
            <w:pPr>
              <w:spacing w:after="0" w:line="240" w:lineRule="auto"/>
              <w:rPr>
                <w:rFonts w:ascii="Times New Roman" w:eastAsia="Times New Roman" w:hAnsi="Times New Roman" w:cs="Times New Roman"/>
                <w:b/>
                <w:bCs/>
                <w:sz w:val="20"/>
                <w:szCs w:val="24"/>
                <w:lang w:eastAsia="lv-LV"/>
              </w:rPr>
            </w:pPr>
            <w:r w:rsidRPr="00A753EF">
              <w:rPr>
                <w:rFonts w:ascii="Times New Roman" w:eastAsia="Times New Roman" w:hAnsi="Times New Roman" w:cs="Times New Roman"/>
                <w:b/>
                <w:bCs/>
                <w:szCs w:val="24"/>
                <w:lang w:eastAsia="lv-LV"/>
              </w:rPr>
              <w:t>Kopbudžetā</w:t>
            </w: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B2A6C20" w14:textId="77777777" w:rsidR="00A753EF" w:rsidRPr="00A753EF" w:rsidRDefault="00A753EF" w:rsidP="00A753EF">
            <w:pPr>
              <w:spacing w:after="0" w:line="240" w:lineRule="auto"/>
              <w:jc w:val="center"/>
              <w:rPr>
                <w:rFonts w:ascii="Times New Roman" w:eastAsia="Times New Roman" w:hAnsi="Times New Roman" w:cs="Times New Roman"/>
                <w:b/>
                <w:bCs/>
                <w:i/>
                <w:iCs/>
                <w:szCs w:val="18"/>
                <w:lang w:eastAsia="lv-LV"/>
              </w:rPr>
            </w:pPr>
            <w:r w:rsidRPr="00A753EF">
              <w:rPr>
                <w:rFonts w:ascii="Times New Roman Baltic" w:eastAsia="Calibri" w:hAnsi="Times New Roman Baltic" w:cs="Times New Roman Baltic"/>
                <w:b/>
                <w:bCs/>
                <w:i/>
                <w:iCs/>
              </w:rPr>
              <w:t>-15,4%</w:t>
            </w:r>
          </w:p>
        </w:tc>
        <w:tc>
          <w:tcPr>
            <w:tcW w:w="972" w:type="dxa"/>
            <w:tcBorders>
              <w:top w:val="single" w:sz="4" w:space="0" w:color="auto"/>
              <w:left w:val="nil"/>
              <w:bottom w:val="single" w:sz="4" w:space="0" w:color="auto"/>
              <w:right w:val="single" w:sz="4" w:space="0" w:color="auto"/>
            </w:tcBorders>
            <w:shd w:val="clear" w:color="auto" w:fill="DEEAF6" w:themeFill="accent1" w:themeFillTint="33"/>
            <w:noWrap/>
          </w:tcPr>
          <w:p w14:paraId="3582E9B5" w14:textId="77777777" w:rsidR="00A753EF" w:rsidRPr="00A753EF" w:rsidRDefault="00A753EF" w:rsidP="00A753EF">
            <w:pPr>
              <w:spacing w:after="0" w:line="240" w:lineRule="auto"/>
              <w:jc w:val="center"/>
              <w:rPr>
                <w:rFonts w:ascii="Times New Roman" w:eastAsia="Times New Roman" w:hAnsi="Times New Roman" w:cs="Times New Roman"/>
                <w:b/>
                <w:bCs/>
                <w:i/>
                <w:iCs/>
                <w:szCs w:val="18"/>
                <w:lang w:eastAsia="lv-LV"/>
              </w:rPr>
            </w:pPr>
            <w:r w:rsidRPr="00A753EF">
              <w:rPr>
                <w:rFonts w:ascii="Times New Roman Baltic" w:eastAsia="Calibri" w:hAnsi="Times New Roman Baltic" w:cs="Times New Roman Baltic"/>
                <w:b/>
                <w:bCs/>
                <w:i/>
                <w:iCs/>
              </w:rPr>
              <w:t>-13,4%</w:t>
            </w:r>
          </w:p>
        </w:tc>
        <w:tc>
          <w:tcPr>
            <w:tcW w:w="973" w:type="dxa"/>
            <w:tcBorders>
              <w:top w:val="single" w:sz="4" w:space="0" w:color="auto"/>
              <w:left w:val="nil"/>
              <w:bottom w:val="single" w:sz="4" w:space="0" w:color="auto"/>
              <w:right w:val="single" w:sz="4" w:space="0" w:color="auto"/>
            </w:tcBorders>
            <w:shd w:val="clear" w:color="auto" w:fill="DEEAF6" w:themeFill="accent1" w:themeFillTint="33"/>
            <w:noWrap/>
          </w:tcPr>
          <w:p w14:paraId="7A4C95AC" w14:textId="77777777" w:rsidR="00A753EF" w:rsidRPr="00A753EF" w:rsidRDefault="00A753EF" w:rsidP="00A753EF">
            <w:pPr>
              <w:spacing w:after="0" w:line="240" w:lineRule="auto"/>
              <w:jc w:val="center"/>
              <w:rPr>
                <w:rFonts w:ascii="Times New Roman" w:eastAsia="Times New Roman" w:hAnsi="Times New Roman" w:cs="Times New Roman"/>
                <w:b/>
                <w:bCs/>
                <w:i/>
                <w:iCs/>
                <w:szCs w:val="18"/>
                <w:lang w:eastAsia="lv-LV"/>
              </w:rPr>
            </w:pPr>
            <w:r w:rsidRPr="00A753EF">
              <w:rPr>
                <w:rFonts w:ascii="Times New Roman Baltic" w:eastAsia="Calibri" w:hAnsi="Times New Roman Baltic" w:cs="Times New Roman Baltic"/>
                <w:b/>
                <w:bCs/>
                <w:i/>
                <w:iCs/>
              </w:rPr>
              <w:t>-11,8%</w:t>
            </w:r>
          </w:p>
        </w:tc>
        <w:tc>
          <w:tcPr>
            <w:tcW w:w="972" w:type="dxa"/>
            <w:tcBorders>
              <w:top w:val="single" w:sz="4" w:space="0" w:color="auto"/>
              <w:left w:val="nil"/>
              <w:bottom w:val="single" w:sz="4" w:space="0" w:color="auto"/>
              <w:right w:val="single" w:sz="4" w:space="0" w:color="auto"/>
            </w:tcBorders>
            <w:shd w:val="clear" w:color="auto" w:fill="DEEAF6" w:themeFill="accent1" w:themeFillTint="33"/>
            <w:noWrap/>
          </w:tcPr>
          <w:p w14:paraId="6716EE47" w14:textId="77777777" w:rsidR="00A753EF" w:rsidRPr="00A753EF" w:rsidRDefault="00A753EF" w:rsidP="00A753EF">
            <w:pPr>
              <w:spacing w:after="0" w:line="240" w:lineRule="auto"/>
              <w:jc w:val="center"/>
              <w:rPr>
                <w:rFonts w:ascii="Times New Roman" w:eastAsia="Times New Roman" w:hAnsi="Times New Roman" w:cs="Times New Roman"/>
                <w:b/>
                <w:bCs/>
                <w:i/>
                <w:iCs/>
                <w:szCs w:val="18"/>
                <w:lang w:eastAsia="lv-LV"/>
              </w:rPr>
            </w:pPr>
            <w:r w:rsidRPr="00A753EF">
              <w:rPr>
                <w:rFonts w:ascii="Times New Roman Baltic" w:eastAsia="Calibri" w:hAnsi="Times New Roman Baltic" w:cs="Times New Roman Baltic"/>
                <w:b/>
                <w:bCs/>
                <w:i/>
                <w:iCs/>
              </w:rPr>
              <w:t>-11,8%</w:t>
            </w:r>
          </w:p>
        </w:tc>
      </w:tr>
    </w:tbl>
    <w:p w14:paraId="18DD5BB0" w14:textId="0258C32E" w:rsidR="00051F48" w:rsidRPr="00D551C4" w:rsidRDefault="00051F48">
      <w:pPr>
        <w:rPr>
          <w:rFonts w:ascii="Times New Roman" w:eastAsia="Times New Roman" w:hAnsi="Times New Roman" w:cs="Times New Roman"/>
          <w:b/>
          <w:sz w:val="24"/>
          <w:szCs w:val="24"/>
          <w:highlight w:val="yellow"/>
        </w:rPr>
      </w:pPr>
      <w:r w:rsidRPr="00D551C4">
        <w:rPr>
          <w:rFonts w:ascii="Times New Roman" w:eastAsia="Times New Roman" w:hAnsi="Times New Roman" w:cs="Times New Roman"/>
          <w:b/>
          <w:sz w:val="24"/>
          <w:szCs w:val="24"/>
          <w:highlight w:val="yellow"/>
        </w:rPr>
        <w:br w:type="page"/>
      </w:r>
    </w:p>
    <w:p w14:paraId="7F1331D8" w14:textId="77777777" w:rsidR="00A34463" w:rsidRPr="00964C2D" w:rsidRDefault="00F51615" w:rsidP="00F51615">
      <w:pPr>
        <w:pStyle w:val="Heading1"/>
        <w:numPr>
          <w:ilvl w:val="0"/>
          <w:numId w:val="0"/>
        </w:numPr>
        <w:jc w:val="center"/>
        <w:rPr>
          <w:rFonts w:ascii="Times New Roman" w:hAnsi="Times New Roman" w:cs="Times New Roman"/>
          <w:sz w:val="32"/>
          <w:szCs w:val="32"/>
        </w:rPr>
      </w:pPr>
      <w:bookmarkStart w:id="57" w:name="_Toc510790684"/>
      <w:bookmarkStart w:id="58" w:name="_Toc5627394"/>
      <w:bookmarkStart w:id="59" w:name="_Toc5798649"/>
      <w:bookmarkStart w:id="60" w:name="_Toc38887986"/>
      <w:r w:rsidRPr="00964C2D">
        <w:rPr>
          <w:rFonts w:ascii="Times New Roman" w:hAnsi="Times New Roman" w:cs="Times New Roman"/>
          <w:sz w:val="32"/>
          <w:szCs w:val="32"/>
        </w:rPr>
        <w:t>Pielikumi</w:t>
      </w:r>
      <w:bookmarkEnd w:id="57"/>
      <w:bookmarkEnd w:id="58"/>
      <w:bookmarkEnd w:id="59"/>
      <w:bookmarkEnd w:id="60"/>
    </w:p>
    <w:p w14:paraId="67938ADC" w14:textId="358C0767" w:rsidR="00284BE8" w:rsidRPr="00284BE8" w:rsidRDefault="00284BE8" w:rsidP="00284BE8">
      <w:pPr>
        <w:pStyle w:val="Heading2"/>
        <w:numPr>
          <w:ilvl w:val="0"/>
          <w:numId w:val="0"/>
        </w:numPr>
        <w:ind w:left="576"/>
        <w:rPr>
          <w:rFonts w:ascii="Times New Roman" w:hAnsi="Times New Roman" w:cs="Times New Roman"/>
          <w:sz w:val="24"/>
          <w:szCs w:val="24"/>
        </w:rPr>
      </w:pPr>
      <w:bookmarkStart w:id="61" w:name="_Toc38887987"/>
      <w:r>
        <w:rPr>
          <w:rFonts w:ascii="Times New Roman" w:hAnsi="Times New Roman" w:cs="Times New Roman"/>
          <w:sz w:val="24"/>
          <w:szCs w:val="24"/>
        </w:rPr>
        <w:t xml:space="preserve">A. </w:t>
      </w:r>
      <w:r w:rsidRPr="00284BE8">
        <w:rPr>
          <w:rFonts w:ascii="Times New Roman" w:hAnsi="Times New Roman" w:cs="Times New Roman"/>
          <w:sz w:val="24"/>
          <w:szCs w:val="24"/>
        </w:rPr>
        <w:t>Pielikums. Bāzes scenārijs</w:t>
      </w:r>
      <w:bookmarkEnd w:id="61"/>
    </w:p>
    <w:p w14:paraId="1E6C338A" w14:textId="4A816EE2" w:rsidR="005C4806" w:rsidRPr="00284BE8" w:rsidRDefault="005C4806" w:rsidP="005C4806">
      <w:pPr>
        <w:pStyle w:val="T"/>
        <w:spacing w:before="360"/>
        <w:ind w:left="0"/>
        <w:rPr>
          <w:rFonts w:ascii="Times New Roman" w:hAnsi="Times New Roman"/>
          <w:color w:val="000000"/>
        </w:rPr>
      </w:pPr>
      <w:r w:rsidRPr="00284BE8">
        <w:rPr>
          <w:rFonts w:ascii="Times New Roman" w:hAnsi="Times New Roman"/>
          <w:color w:val="000000"/>
        </w:rPr>
        <w:t>1a.tabula. Izaugsme un ar to saistītie faktori</w:t>
      </w:r>
    </w:p>
    <w:tbl>
      <w:tblPr>
        <w:tblStyle w:val="GridTable6Colorful-Accent15"/>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284BE8" w:rsidRPr="00284BE8" w14:paraId="03BCD7C4" w14:textId="77777777" w:rsidTr="00284BE8">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14:paraId="73D334F6" w14:textId="77777777" w:rsidR="00284BE8" w:rsidRPr="00284BE8" w:rsidRDefault="00284BE8" w:rsidP="00284BE8">
            <w:pPr>
              <w:autoSpaceDE w:val="0"/>
              <w:autoSpaceDN w:val="0"/>
              <w:adjustRightInd w:val="0"/>
              <w:spacing w:line="259" w:lineRule="auto"/>
              <w:jc w:val="both"/>
              <w:rPr>
                <w:rFonts w:ascii="Times New Roman" w:eastAsia="Times New Roman" w:hAnsi="Times New Roman" w:cs="Times New Roman"/>
                <w:b w:val="0"/>
                <w:bCs w:val="0"/>
                <w:color w:val="auto"/>
                <w:sz w:val="20"/>
                <w:szCs w:val="24"/>
                <w:lang w:eastAsia="lv-LV"/>
              </w:rPr>
            </w:pPr>
          </w:p>
        </w:tc>
        <w:tc>
          <w:tcPr>
            <w:tcW w:w="998" w:type="dxa"/>
            <w:vMerge w:val="restart"/>
            <w:noWrap/>
            <w:vAlign w:val="center"/>
            <w:hideMark/>
          </w:tcPr>
          <w:p w14:paraId="08A3BE93" w14:textId="77777777" w:rsidR="00284BE8" w:rsidRPr="00284BE8" w:rsidRDefault="00284BE8" w:rsidP="00284BE8">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bCs w:val="0"/>
                <w:color w:val="auto"/>
                <w:sz w:val="20"/>
                <w:szCs w:val="24"/>
                <w:lang w:eastAsia="lv-LV"/>
              </w:rPr>
              <w:t>EKS Kods</w:t>
            </w:r>
          </w:p>
        </w:tc>
        <w:tc>
          <w:tcPr>
            <w:tcW w:w="803" w:type="dxa"/>
            <w:noWrap/>
            <w:vAlign w:val="center"/>
          </w:tcPr>
          <w:p w14:paraId="0CD2D4F6"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803" w:type="dxa"/>
            <w:noWrap/>
            <w:vAlign w:val="center"/>
          </w:tcPr>
          <w:p w14:paraId="0F40A6C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2019</w:t>
            </w:r>
          </w:p>
        </w:tc>
        <w:tc>
          <w:tcPr>
            <w:tcW w:w="803" w:type="dxa"/>
            <w:noWrap/>
            <w:vAlign w:val="center"/>
          </w:tcPr>
          <w:p w14:paraId="3E49F53B"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803" w:type="dxa"/>
            <w:noWrap/>
            <w:vAlign w:val="center"/>
          </w:tcPr>
          <w:p w14:paraId="3651BE56"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803" w:type="dxa"/>
            <w:noWrap/>
            <w:vAlign w:val="center"/>
          </w:tcPr>
          <w:p w14:paraId="78FFC447"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804" w:type="dxa"/>
            <w:noWrap/>
            <w:vAlign w:val="center"/>
          </w:tcPr>
          <w:p w14:paraId="0719CC3C"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284BE8" w14:paraId="4BAF4779" w14:textId="77777777" w:rsidTr="00284BE8">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14:paraId="7EAE35FE" w14:textId="77777777" w:rsidR="00284BE8" w:rsidRPr="00284BE8" w:rsidRDefault="00284BE8" w:rsidP="00284BE8">
            <w:pPr>
              <w:autoSpaceDE w:val="0"/>
              <w:autoSpaceDN w:val="0"/>
              <w:adjustRightInd w:val="0"/>
              <w:spacing w:line="259" w:lineRule="auto"/>
              <w:jc w:val="both"/>
              <w:rPr>
                <w:rFonts w:ascii="Times New Roman" w:eastAsia="Times New Roman" w:hAnsi="Times New Roman" w:cs="Times New Roman"/>
                <w:b w:val="0"/>
                <w:bCs w:val="0"/>
                <w:color w:val="auto"/>
                <w:sz w:val="20"/>
                <w:szCs w:val="24"/>
                <w:lang w:eastAsia="lv-LV"/>
              </w:rPr>
            </w:pPr>
          </w:p>
        </w:tc>
        <w:tc>
          <w:tcPr>
            <w:tcW w:w="998" w:type="dxa"/>
            <w:vMerge/>
            <w:vAlign w:val="center"/>
            <w:hideMark/>
          </w:tcPr>
          <w:p w14:paraId="7C5A4F86"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2FA9CA6E"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 xml:space="preserve">milj. </w:t>
            </w:r>
            <w:r w:rsidRPr="00284BE8">
              <w:rPr>
                <w:rFonts w:ascii="Times New Roman" w:eastAsia="Times New Roman" w:hAnsi="Times New Roman" w:cs="Times New Roman"/>
                <w:i/>
                <w:iCs/>
                <w:color w:val="auto"/>
                <w:sz w:val="20"/>
                <w:szCs w:val="24"/>
                <w:lang w:eastAsia="lv-LV"/>
              </w:rPr>
              <w:t>euro</w:t>
            </w:r>
          </w:p>
        </w:tc>
        <w:tc>
          <w:tcPr>
            <w:tcW w:w="4016" w:type="dxa"/>
            <w:gridSpan w:val="5"/>
            <w:vAlign w:val="center"/>
          </w:tcPr>
          <w:p w14:paraId="1FC7B674"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Pieaugums %</w:t>
            </w:r>
          </w:p>
        </w:tc>
      </w:tr>
      <w:tr w:rsidR="00284BE8" w:rsidRPr="00284BE8" w14:paraId="642102CE" w14:textId="77777777" w:rsidTr="00284BE8">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1E55C3CD"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1. IKP 2010.gada cenās</w:t>
            </w:r>
          </w:p>
        </w:tc>
        <w:tc>
          <w:tcPr>
            <w:tcW w:w="998" w:type="dxa"/>
            <w:noWrap/>
            <w:vAlign w:val="center"/>
            <w:hideMark/>
          </w:tcPr>
          <w:p w14:paraId="5B4556F4"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B1*g</w:t>
            </w:r>
          </w:p>
        </w:tc>
        <w:tc>
          <w:tcPr>
            <w:tcW w:w="803" w:type="dxa"/>
            <w:noWrap/>
            <w:vAlign w:val="center"/>
            <w:hideMark/>
          </w:tcPr>
          <w:p w14:paraId="0E25B36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27 497</w:t>
            </w:r>
          </w:p>
        </w:tc>
        <w:tc>
          <w:tcPr>
            <w:tcW w:w="803" w:type="dxa"/>
            <w:noWrap/>
            <w:vAlign w:val="center"/>
            <w:hideMark/>
          </w:tcPr>
          <w:p w14:paraId="5760F57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2,2</w:t>
            </w:r>
          </w:p>
        </w:tc>
        <w:tc>
          <w:tcPr>
            <w:tcW w:w="803" w:type="dxa"/>
            <w:noWrap/>
            <w:vAlign w:val="center"/>
            <w:hideMark/>
          </w:tcPr>
          <w:p w14:paraId="3DB6087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2,2</w:t>
            </w:r>
          </w:p>
        </w:tc>
        <w:tc>
          <w:tcPr>
            <w:tcW w:w="803" w:type="dxa"/>
            <w:noWrap/>
            <w:vAlign w:val="center"/>
            <w:hideMark/>
          </w:tcPr>
          <w:p w14:paraId="0B705B9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2,8</w:t>
            </w:r>
          </w:p>
        </w:tc>
        <w:tc>
          <w:tcPr>
            <w:tcW w:w="803" w:type="dxa"/>
            <w:noWrap/>
            <w:vAlign w:val="center"/>
            <w:hideMark/>
          </w:tcPr>
          <w:p w14:paraId="70772BF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2,8</w:t>
            </w:r>
          </w:p>
        </w:tc>
        <w:tc>
          <w:tcPr>
            <w:tcW w:w="804" w:type="dxa"/>
            <w:noWrap/>
            <w:vAlign w:val="center"/>
            <w:hideMark/>
          </w:tcPr>
          <w:p w14:paraId="26DF6B3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2,4</w:t>
            </w:r>
          </w:p>
        </w:tc>
      </w:tr>
      <w:tr w:rsidR="00284BE8" w:rsidRPr="00284BE8" w14:paraId="08A95549" w14:textId="77777777" w:rsidTr="00284BE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1759344"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2. IKP faktiskajās cenās</w:t>
            </w:r>
          </w:p>
        </w:tc>
        <w:tc>
          <w:tcPr>
            <w:tcW w:w="998" w:type="dxa"/>
            <w:noWrap/>
            <w:vAlign w:val="center"/>
            <w:hideMark/>
          </w:tcPr>
          <w:p w14:paraId="769F9042"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B1*g</w:t>
            </w:r>
          </w:p>
        </w:tc>
        <w:tc>
          <w:tcPr>
            <w:tcW w:w="803" w:type="dxa"/>
            <w:noWrap/>
            <w:vAlign w:val="center"/>
            <w:hideMark/>
          </w:tcPr>
          <w:p w14:paraId="626E3E2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30 476</w:t>
            </w:r>
          </w:p>
        </w:tc>
        <w:tc>
          <w:tcPr>
            <w:tcW w:w="803" w:type="dxa"/>
            <w:noWrap/>
            <w:vAlign w:val="center"/>
            <w:hideMark/>
          </w:tcPr>
          <w:p w14:paraId="3A52E92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4,9</w:t>
            </w:r>
          </w:p>
        </w:tc>
        <w:tc>
          <w:tcPr>
            <w:tcW w:w="803" w:type="dxa"/>
            <w:noWrap/>
            <w:vAlign w:val="center"/>
            <w:hideMark/>
          </w:tcPr>
          <w:p w14:paraId="19C87E7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5,0</w:t>
            </w:r>
          </w:p>
        </w:tc>
        <w:tc>
          <w:tcPr>
            <w:tcW w:w="803" w:type="dxa"/>
            <w:noWrap/>
            <w:vAlign w:val="center"/>
            <w:hideMark/>
          </w:tcPr>
          <w:p w14:paraId="3BA7DB7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5,3</w:t>
            </w:r>
          </w:p>
        </w:tc>
        <w:tc>
          <w:tcPr>
            <w:tcW w:w="803" w:type="dxa"/>
            <w:noWrap/>
            <w:vAlign w:val="center"/>
            <w:hideMark/>
          </w:tcPr>
          <w:p w14:paraId="319B4E5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5,1</w:t>
            </w:r>
          </w:p>
        </w:tc>
        <w:tc>
          <w:tcPr>
            <w:tcW w:w="804" w:type="dxa"/>
            <w:noWrap/>
            <w:vAlign w:val="center"/>
            <w:hideMark/>
          </w:tcPr>
          <w:p w14:paraId="2E18CE2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4,6</w:t>
            </w:r>
          </w:p>
        </w:tc>
      </w:tr>
      <w:tr w:rsidR="00284BE8" w:rsidRPr="00284BE8" w14:paraId="2FA1C877" w14:textId="77777777" w:rsidTr="00284BE8">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63397DF3" w14:textId="77777777" w:rsidR="00284BE8" w:rsidRPr="00284BE8" w:rsidRDefault="00284BE8" w:rsidP="00284BE8">
            <w:pPr>
              <w:autoSpaceDE w:val="0"/>
              <w:autoSpaceDN w:val="0"/>
              <w:adjustRightInd w:val="0"/>
              <w:spacing w:line="259" w:lineRule="auto"/>
              <w:jc w:val="center"/>
              <w:rPr>
                <w:rFonts w:ascii="Times New Roman" w:eastAsia="Times New Roman" w:hAnsi="Times New Roman" w:cs="Times New Roman"/>
                <w:b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IKP pēc izlietojuma 2010.gada cenās</w:t>
            </w:r>
          </w:p>
        </w:tc>
      </w:tr>
      <w:tr w:rsidR="00284BE8" w:rsidRPr="00284BE8" w14:paraId="7A2FB628" w14:textId="77777777" w:rsidTr="00284BE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C945A5D"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3. Privātais patēriņš</w:t>
            </w:r>
          </w:p>
        </w:tc>
        <w:tc>
          <w:tcPr>
            <w:tcW w:w="998" w:type="dxa"/>
            <w:noWrap/>
            <w:vAlign w:val="center"/>
            <w:hideMark/>
          </w:tcPr>
          <w:p w14:paraId="125B9986"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P3</w:t>
            </w:r>
          </w:p>
        </w:tc>
        <w:tc>
          <w:tcPr>
            <w:tcW w:w="803" w:type="dxa"/>
            <w:noWrap/>
            <w:vAlign w:val="center"/>
            <w:hideMark/>
          </w:tcPr>
          <w:p w14:paraId="5F1D675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16 515</w:t>
            </w:r>
          </w:p>
        </w:tc>
        <w:tc>
          <w:tcPr>
            <w:tcW w:w="803" w:type="dxa"/>
            <w:noWrap/>
            <w:vAlign w:val="center"/>
            <w:hideMark/>
          </w:tcPr>
          <w:p w14:paraId="0612879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803" w:type="dxa"/>
            <w:noWrap/>
            <w:vAlign w:val="center"/>
            <w:hideMark/>
          </w:tcPr>
          <w:p w14:paraId="0FE97A6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3,3</w:t>
            </w:r>
          </w:p>
        </w:tc>
        <w:tc>
          <w:tcPr>
            <w:tcW w:w="803" w:type="dxa"/>
            <w:noWrap/>
            <w:vAlign w:val="center"/>
            <w:hideMark/>
          </w:tcPr>
          <w:p w14:paraId="0B09E8F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3,2</w:t>
            </w:r>
          </w:p>
        </w:tc>
        <w:tc>
          <w:tcPr>
            <w:tcW w:w="803" w:type="dxa"/>
            <w:noWrap/>
            <w:vAlign w:val="center"/>
            <w:hideMark/>
          </w:tcPr>
          <w:p w14:paraId="163ADE8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3,2</w:t>
            </w:r>
          </w:p>
        </w:tc>
        <w:tc>
          <w:tcPr>
            <w:tcW w:w="804" w:type="dxa"/>
            <w:noWrap/>
            <w:vAlign w:val="center"/>
            <w:hideMark/>
          </w:tcPr>
          <w:p w14:paraId="6B781E4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p>
        </w:tc>
      </w:tr>
      <w:tr w:rsidR="00284BE8" w:rsidRPr="00284BE8" w14:paraId="388309E2" w14:textId="77777777" w:rsidTr="00284BE8">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136C074F"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4. Sabiedriskais patēriņš</w:t>
            </w:r>
          </w:p>
        </w:tc>
        <w:tc>
          <w:tcPr>
            <w:tcW w:w="998" w:type="dxa"/>
            <w:noWrap/>
            <w:vAlign w:val="center"/>
            <w:hideMark/>
          </w:tcPr>
          <w:p w14:paraId="32610F08"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P3</w:t>
            </w:r>
          </w:p>
        </w:tc>
        <w:tc>
          <w:tcPr>
            <w:tcW w:w="803" w:type="dxa"/>
            <w:noWrap/>
            <w:vAlign w:val="center"/>
            <w:hideMark/>
          </w:tcPr>
          <w:p w14:paraId="508A7BA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5 005</w:t>
            </w:r>
          </w:p>
        </w:tc>
        <w:tc>
          <w:tcPr>
            <w:tcW w:w="803" w:type="dxa"/>
            <w:noWrap/>
            <w:vAlign w:val="center"/>
            <w:hideMark/>
          </w:tcPr>
          <w:p w14:paraId="6BB57B2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w:t>
            </w:r>
          </w:p>
        </w:tc>
        <w:tc>
          <w:tcPr>
            <w:tcW w:w="803" w:type="dxa"/>
            <w:noWrap/>
            <w:vAlign w:val="center"/>
            <w:hideMark/>
          </w:tcPr>
          <w:p w14:paraId="2C431CD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2,2</w:t>
            </w:r>
          </w:p>
        </w:tc>
        <w:tc>
          <w:tcPr>
            <w:tcW w:w="803" w:type="dxa"/>
            <w:noWrap/>
            <w:vAlign w:val="center"/>
            <w:hideMark/>
          </w:tcPr>
          <w:p w14:paraId="25B6B75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2,8</w:t>
            </w:r>
          </w:p>
        </w:tc>
        <w:tc>
          <w:tcPr>
            <w:tcW w:w="803" w:type="dxa"/>
            <w:noWrap/>
            <w:vAlign w:val="center"/>
            <w:hideMark/>
          </w:tcPr>
          <w:p w14:paraId="6DA3ED1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w:t>
            </w:r>
          </w:p>
        </w:tc>
        <w:tc>
          <w:tcPr>
            <w:tcW w:w="804" w:type="dxa"/>
            <w:noWrap/>
            <w:vAlign w:val="center"/>
            <w:hideMark/>
          </w:tcPr>
          <w:p w14:paraId="44CAF0C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r>
      <w:tr w:rsidR="00284BE8" w:rsidRPr="00284BE8" w14:paraId="26F7C35A" w14:textId="77777777" w:rsidTr="00284BE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161F00EA"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5. Kopējā pamatkapitāla veidošana</w:t>
            </w:r>
          </w:p>
        </w:tc>
        <w:tc>
          <w:tcPr>
            <w:tcW w:w="998" w:type="dxa"/>
            <w:noWrap/>
            <w:vAlign w:val="center"/>
            <w:hideMark/>
          </w:tcPr>
          <w:p w14:paraId="3E72D45E"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P51</w:t>
            </w:r>
          </w:p>
        </w:tc>
        <w:tc>
          <w:tcPr>
            <w:tcW w:w="803" w:type="dxa"/>
            <w:noWrap/>
            <w:vAlign w:val="center"/>
            <w:hideMark/>
          </w:tcPr>
          <w:p w14:paraId="5649FF4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6 550</w:t>
            </w:r>
          </w:p>
        </w:tc>
        <w:tc>
          <w:tcPr>
            <w:tcW w:w="803" w:type="dxa"/>
            <w:noWrap/>
            <w:vAlign w:val="center"/>
            <w:hideMark/>
          </w:tcPr>
          <w:p w14:paraId="6FD40F0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3,1</w:t>
            </w:r>
          </w:p>
        </w:tc>
        <w:tc>
          <w:tcPr>
            <w:tcW w:w="803" w:type="dxa"/>
            <w:noWrap/>
            <w:vAlign w:val="center"/>
            <w:hideMark/>
          </w:tcPr>
          <w:p w14:paraId="35525D0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p>
        </w:tc>
        <w:tc>
          <w:tcPr>
            <w:tcW w:w="803" w:type="dxa"/>
            <w:noWrap/>
            <w:vAlign w:val="center"/>
            <w:hideMark/>
          </w:tcPr>
          <w:p w14:paraId="33C6F62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4,5</w:t>
            </w:r>
          </w:p>
        </w:tc>
        <w:tc>
          <w:tcPr>
            <w:tcW w:w="803" w:type="dxa"/>
            <w:noWrap/>
            <w:vAlign w:val="center"/>
            <w:hideMark/>
          </w:tcPr>
          <w:p w14:paraId="72DE53F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p>
        </w:tc>
        <w:tc>
          <w:tcPr>
            <w:tcW w:w="804" w:type="dxa"/>
            <w:noWrap/>
            <w:vAlign w:val="center"/>
            <w:hideMark/>
          </w:tcPr>
          <w:p w14:paraId="5648191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1,8</w:t>
            </w:r>
          </w:p>
        </w:tc>
      </w:tr>
      <w:tr w:rsidR="00284BE8" w:rsidRPr="00284BE8" w14:paraId="4A04D0E1" w14:textId="77777777" w:rsidTr="00284BE8">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0A0E236C"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6. Krājumu pārmaiņas un vērtslietu iegāde</w:t>
            </w:r>
          </w:p>
        </w:tc>
        <w:tc>
          <w:tcPr>
            <w:tcW w:w="998" w:type="dxa"/>
            <w:noWrap/>
            <w:vAlign w:val="center"/>
            <w:hideMark/>
          </w:tcPr>
          <w:p w14:paraId="5B71A3E6"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P52+P53</w:t>
            </w:r>
          </w:p>
        </w:tc>
        <w:tc>
          <w:tcPr>
            <w:tcW w:w="803" w:type="dxa"/>
            <w:noWrap/>
            <w:vAlign w:val="center"/>
            <w:hideMark/>
          </w:tcPr>
          <w:p w14:paraId="31A99B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467</w:t>
            </w:r>
          </w:p>
        </w:tc>
        <w:tc>
          <w:tcPr>
            <w:tcW w:w="803" w:type="dxa"/>
            <w:noWrap/>
            <w:vAlign w:val="center"/>
          </w:tcPr>
          <w:p w14:paraId="52B3DBE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c>
          <w:tcPr>
            <w:tcW w:w="803" w:type="dxa"/>
            <w:noWrap/>
            <w:vAlign w:val="center"/>
          </w:tcPr>
          <w:p w14:paraId="590807B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c>
          <w:tcPr>
            <w:tcW w:w="803" w:type="dxa"/>
            <w:noWrap/>
            <w:vAlign w:val="center"/>
          </w:tcPr>
          <w:p w14:paraId="241D707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c>
          <w:tcPr>
            <w:tcW w:w="803" w:type="dxa"/>
            <w:noWrap/>
            <w:vAlign w:val="center"/>
          </w:tcPr>
          <w:p w14:paraId="187075C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c>
          <w:tcPr>
            <w:tcW w:w="804" w:type="dxa"/>
            <w:noWrap/>
            <w:vAlign w:val="center"/>
          </w:tcPr>
          <w:p w14:paraId="2D63000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r>
      <w:tr w:rsidR="00284BE8" w:rsidRPr="00284BE8" w14:paraId="0998C617" w14:textId="77777777" w:rsidTr="00284BE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5CE1464"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7. Eksports</w:t>
            </w:r>
          </w:p>
        </w:tc>
        <w:tc>
          <w:tcPr>
            <w:tcW w:w="998" w:type="dxa"/>
            <w:noWrap/>
            <w:vAlign w:val="center"/>
            <w:hideMark/>
          </w:tcPr>
          <w:p w14:paraId="3DF11333"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P6</w:t>
            </w:r>
          </w:p>
        </w:tc>
        <w:tc>
          <w:tcPr>
            <w:tcW w:w="803" w:type="dxa"/>
            <w:noWrap/>
            <w:vAlign w:val="center"/>
            <w:hideMark/>
          </w:tcPr>
          <w:p w14:paraId="647A615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17 387</w:t>
            </w:r>
          </w:p>
        </w:tc>
        <w:tc>
          <w:tcPr>
            <w:tcW w:w="803" w:type="dxa"/>
            <w:noWrap/>
            <w:vAlign w:val="center"/>
            <w:hideMark/>
          </w:tcPr>
          <w:p w14:paraId="45F45FC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w:t>
            </w:r>
          </w:p>
        </w:tc>
        <w:tc>
          <w:tcPr>
            <w:tcW w:w="803" w:type="dxa"/>
            <w:noWrap/>
            <w:vAlign w:val="center"/>
            <w:hideMark/>
          </w:tcPr>
          <w:p w14:paraId="4B0C339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2,5</w:t>
            </w:r>
          </w:p>
        </w:tc>
        <w:tc>
          <w:tcPr>
            <w:tcW w:w="803" w:type="dxa"/>
            <w:noWrap/>
            <w:vAlign w:val="center"/>
            <w:hideMark/>
          </w:tcPr>
          <w:p w14:paraId="2E23BB7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3,5</w:t>
            </w:r>
          </w:p>
        </w:tc>
        <w:tc>
          <w:tcPr>
            <w:tcW w:w="803" w:type="dxa"/>
            <w:noWrap/>
            <w:vAlign w:val="center"/>
            <w:hideMark/>
          </w:tcPr>
          <w:p w14:paraId="2BDC748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3,4</w:t>
            </w:r>
          </w:p>
        </w:tc>
        <w:tc>
          <w:tcPr>
            <w:tcW w:w="804" w:type="dxa"/>
            <w:noWrap/>
            <w:vAlign w:val="center"/>
            <w:hideMark/>
          </w:tcPr>
          <w:p w14:paraId="436EB81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w:t>
            </w:r>
          </w:p>
        </w:tc>
      </w:tr>
      <w:tr w:rsidR="00284BE8" w:rsidRPr="00284BE8" w14:paraId="32A57BFA" w14:textId="77777777" w:rsidTr="00284BE8">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44F40645"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8. Imports</w:t>
            </w:r>
          </w:p>
        </w:tc>
        <w:tc>
          <w:tcPr>
            <w:tcW w:w="998" w:type="dxa"/>
            <w:noWrap/>
            <w:vAlign w:val="center"/>
            <w:hideMark/>
          </w:tcPr>
          <w:p w14:paraId="60A15B75"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P7</w:t>
            </w:r>
          </w:p>
        </w:tc>
        <w:tc>
          <w:tcPr>
            <w:tcW w:w="803" w:type="dxa"/>
            <w:noWrap/>
            <w:vAlign w:val="center"/>
            <w:hideMark/>
          </w:tcPr>
          <w:p w14:paraId="293E81E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18 426</w:t>
            </w:r>
          </w:p>
        </w:tc>
        <w:tc>
          <w:tcPr>
            <w:tcW w:w="803" w:type="dxa"/>
            <w:noWrap/>
            <w:vAlign w:val="center"/>
            <w:hideMark/>
          </w:tcPr>
          <w:p w14:paraId="5E0A520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2,3</w:t>
            </w:r>
          </w:p>
        </w:tc>
        <w:tc>
          <w:tcPr>
            <w:tcW w:w="803" w:type="dxa"/>
            <w:noWrap/>
            <w:vAlign w:val="center"/>
            <w:hideMark/>
          </w:tcPr>
          <w:p w14:paraId="4CFAECC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p>
        </w:tc>
        <w:tc>
          <w:tcPr>
            <w:tcW w:w="803" w:type="dxa"/>
            <w:noWrap/>
            <w:vAlign w:val="center"/>
            <w:hideMark/>
          </w:tcPr>
          <w:p w14:paraId="515B6F2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4,4</w:t>
            </w:r>
          </w:p>
        </w:tc>
        <w:tc>
          <w:tcPr>
            <w:tcW w:w="803" w:type="dxa"/>
            <w:noWrap/>
            <w:vAlign w:val="center"/>
            <w:hideMark/>
          </w:tcPr>
          <w:p w14:paraId="3BC32C1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3,7</w:t>
            </w:r>
          </w:p>
        </w:tc>
        <w:tc>
          <w:tcPr>
            <w:tcW w:w="804" w:type="dxa"/>
            <w:noWrap/>
            <w:vAlign w:val="center"/>
            <w:hideMark/>
          </w:tcPr>
          <w:p w14:paraId="497F45C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p>
        </w:tc>
      </w:tr>
      <w:tr w:rsidR="00284BE8" w:rsidRPr="00284BE8" w14:paraId="25BCAE17" w14:textId="77777777" w:rsidTr="00284BE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1191E9A2" w14:textId="77777777" w:rsidR="00284BE8" w:rsidRPr="00284BE8" w:rsidRDefault="00284BE8" w:rsidP="00284BE8">
            <w:pPr>
              <w:autoSpaceDE w:val="0"/>
              <w:autoSpaceDN w:val="0"/>
              <w:adjustRightInd w:val="0"/>
              <w:spacing w:line="259" w:lineRule="auto"/>
              <w:jc w:val="center"/>
              <w:rPr>
                <w:rFonts w:ascii="Times New Roman" w:eastAsia="Times New Roman" w:hAnsi="Times New Roman" w:cs="Times New Roman"/>
                <w:b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Ieguldījums IKP izaugsmē</w:t>
            </w:r>
          </w:p>
        </w:tc>
      </w:tr>
      <w:tr w:rsidR="00284BE8" w:rsidRPr="00284BE8" w14:paraId="3D925A59" w14:textId="77777777" w:rsidTr="00284BE8">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526F71B6"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9. Kopējais iekšzemes pieprasījums</w:t>
            </w:r>
          </w:p>
        </w:tc>
        <w:tc>
          <w:tcPr>
            <w:tcW w:w="998" w:type="dxa"/>
            <w:noWrap/>
            <w:vAlign w:val="center"/>
            <w:hideMark/>
          </w:tcPr>
          <w:p w14:paraId="186A264A"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3B4BB030"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61B2E9F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803" w:type="dxa"/>
            <w:noWrap/>
            <w:vAlign w:val="center"/>
            <w:hideMark/>
          </w:tcPr>
          <w:p w14:paraId="27C6A25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3,1</w:t>
            </w:r>
          </w:p>
        </w:tc>
        <w:tc>
          <w:tcPr>
            <w:tcW w:w="803" w:type="dxa"/>
            <w:noWrap/>
            <w:vAlign w:val="center"/>
            <w:hideMark/>
          </w:tcPr>
          <w:p w14:paraId="0A4EB5E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3,6</w:t>
            </w:r>
          </w:p>
        </w:tc>
        <w:tc>
          <w:tcPr>
            <w:tcW w:w="803" w:type="dxa"/>
            <w:noWrap/>
            <w:vAlign w:val="center"/>
            <w:hideMark/>
          </w:tcPr>
          <w:p w14:paraId="08A43D2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3,2</w:t>
            </w:r>
          </w:p>
        </w:tc>
        <w:tc>
          <w:tcPr>
            <w:tcW w:w="804" w:type="dxa"/>
            <w:noWrap/>
            <w:vAlign w:val="center"/>
            <w:hideMark/>
          </w:tcPr>
          <w:p w14:paraId="1FCAAE6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2,8</w:t>
            </w:r>
          </w:p>
        </w:tc>
      </w:tr>
      <w:tr w:rsidR="00284BE8" w:rsidRPr="00284BE8" w14:paraId="4F922600" w14:textId="77777777" w:rsidTr="00284BE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2A0DE80"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 xml:space="preserve">10. Krājumu pārmaiņas un vērtslietu iegāde </w:t>
            </w:r>
          </w:p>
        </w:tc>
        <w:tc>
          <w:tcPr>
            <w:tcW w:w="998" w:type="dxa"/>
            <w:noWrap/>
            <w:vAlign w:val="center"/>
            <w:hideMark/>
          </w:tcPr>
          <w:p w14:paraId="6084A9FE"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P52+P53</w:t>
            </w:r>
          </w:p>
        </w:tc>
        <w:tc>
          <w:tcPr>
            <w:tcW w:w="803" w:type="dxa"/>
            <w:noWrap/>
            <w:vAlign w:val="center"/>
            <w:hideMark/>
          </w:tcPr>
          <w:p w14:paraId="5C7A58C7"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5CACAC8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-0,5</w:t>
            </w:r>
          </w:p>
        </w:tc>
        <w:tc>
          <w:tcPr>
            <w:tcW w:w="803" w:type="dxa"/>
            <w:noWrap/>
            <w:vAlign w:val="center"/>
            <w:hideMark/>
          </w:tcPr>
          <w:p w14:paraId="67636F8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c>
          <w:tcPr>
            <w:tcW w:w="803" w:type="dxa"/>
            <w:noWrap/>
            <w:vAlign w:val="center"/>
            <w:hideMark/>
          </w:tcPr>
          <w:p w14:paraId="6CBAD95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803" w:type="dxa"/>
            <w:noWrap/>
            <w:vAlign w:val="center"/>
            <w:hideMark/>
          </w:tcPr>
          <w:p w14:paraId="573016F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804" w:type="dxa"/>
            <w:noWrap/>
            <w:vAlign w:val="center"/>
            <w:hideMark/>
          </w:tcPr>
          <w:p w14:paraId="6AEE35C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4A8656B6" w14:textId="77777777" w:rsidTr="00284BE8">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4C8C104"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11. Eksporta-importa bilance</w:t>
            </w:r>
          </w:p>
        </w:tc>
        <w:tc>
          <w:tcPr>
            <w:tcW w:w="998" w:type="dxa"/>
            <w:noWrap/>
            <w:vAlign w:val="center"/>
            <w:hideMark/>
          </w:tcPr>
          <w:p w14:paraId="14A18954"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B11</w:t>
            </w:r>
          </w:p>
        </w:tc>
        <w:tc>
          <w:tcPr>
            <w:tcW w:w="803" w:type="dxa"/>
            <w:noWrap/>
            <w:vAlign w:val="center"/>
            <w:hideMark/>
          </w:tcPr>
          <w:p w14:paraId="141E0AF3"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5F96BEE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803" w:type="dxa"/>
            <w:noWrap/>
            <w:vAlign w:val="center"/>
            <w:hideMark/>
          </w:tcPr>
          <w:p w14:paraId="3527823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c>
          <w:tcPr>
            <w:tcW w:w="803" w:type="dxa"/>
            <w:noWrap/>
            <w:vAlign w:val="center"/>
            <w:hideMark/>
          </w:tcPr>
          <w:p w14:paraId="47BB0B9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-0,8</w:t>
            </w:r>
          </w:p>
        </w:tc>
        <w:tc>
          <w:tcPr>
            <w:tcW w:w="803" w:type="dxa"/>
            <w:noWrap/>
            <w:vAlign w:val="center"/>
            <w:hideMark/>
          </w:tcPr>
          <w:p w14:paraId="6DB9502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c>
          <w:tcPr>
            <w:tcW w:w="804" w:type="dxa"/>
            <w:noWrap/>
            <w:vAlign w:val="center"/>
            <w:hideMark/>
          </w:tcPr>
          <w:p w14:paraId="794441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r>
    </w:tbl>
    <w:p w14:paraId="38A05599" w14:textId="77777777" w:rsidR="005C4806" w:rsidRPr="00284BE8" w:rsidRDefault="005C4806" w:rsidP="005C4806">
      <w:pPr>
        <w:pStyle w:val="T"/>
        <w:spacing w:after="0"/>
        <w:ind w:left="0"/>
        <w:rPr>
          <w:rFonts w:ascii="Times New Roman" w:hAnsi="Times New Roman"/>
          <w:color w:val="000000"/>
        </w:rPr>
      </w:pPr>
    </w:p>
    <w:p w14:paraId="7A00A040" w14:textId="77777777" w:rsidR="005C4806" w:rsidRPr="00284BE8" w:rsidRDefault="005C4806" w:rsidP="005C4806">
      <w:pPr>
        <w:pStyle w:val="T"/>
        <w:spacing w:after="0"/>
        <w:ind w:left="0"/>
        <w:rPr>
          <w:rFonts w:ascii="Times New Roman" w:hAnsi="Times New Roman"/>
          <w:color w:val="000000"/>
        </w:rPr>
      </w:pPr>
      <w:r w:rsidRPr="00284BE8">
        <w:rPr>
          <w:rFonts w:ascii="Times New Roman" w:hAnsi="Times New Roman"/>
          <w:color w:val="000000"/>
        </w:rPr>
        <w:t>1b.tabula. Patēriņa cenu izmaiņas</w:t>
      </w:r>
    </w:p>
    <w:tbl>
      <w:tblPr>
        <w:tblStyle w:val="GridTable6Colorful-Accent11"/>
        <w:tblW w:w="9151" w:type="dxa"/>
        <w:jc w:val="center"/>
        <w:tblLayout w:type="fixed"/>
        <w:tblLook w:val="04A0" w:firstRow="1" w:lastRow="0" w:firstColumn="1" w:lastColumn="0" w:noHBand="0" w:noVBand="1"/>
      </w:tblPr>
      <w:tblGrid>
        <w:gridCol w:w="3285"/>
        <w:gridCol w:w="1114"/>
        <w:gridCol w:w="850"/>
        <w:gridCol w:w="780"/>
        <w:gridCol w:w="780"/>
        <w:gridCol w:w="781"/>
        <w:gridCol w:w="780"/>
        <w:gridCol w:w="781"/>
      </w:tblGrid>
      <w:tr w:rsidR="00284BE8" w:rsidRPr="00D62F33" w14:paraId="1BC8F0C5" w14:textId="77777777" w:rsidTr="00284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14:paraId="0F8DDD54" w14:textId="77777777" w:rsidR="00284BE8" w:rsidRPr="00284BE8" w:rsidRDefault="00284BE8" w:rsidP="00284BE8">
            <w:pPr>
              <w:spacing w:line="256" w:lineRule="auto"/>
              <w:rPr>
                <w:rFonts w:ascii="Times New Roman" w:eastAsia="Times New Roman" w:hAnsi="Times New Roman" w:cs="Times New Roman"/>
                <w:color w:val="auto"/>
                <w:sz w:val="20"/>
                <w:szCs w:val="20"/>
              </w:rPr>
            </w:pPr>
          </w:p>
        </w:tc>
        <w:tc>
          <w:tcPr>
            <w:tcW w:w="1114" w:type="dxa"/>
            <w:vAlign w:val="center"/>
            <w:hideMark/>
          </w:tcPr>
          <w:p w14:paraId="50708C19" w14:textId="77777777" w:rsidR="00284BE8" w:rsidRPr="00284BE8" w:rsidRDefault="00284BE8" w:rsidP="00284BE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EKS</w:t>
            </w:r>
          </w:p>
          <w:p w14:paraId="08BB77D9" w14:textId="77777777" w:rsidR="00284BE8" w:rsidRPr="00284BE8" w:rsidRDefault="00284BE8" w:rsidP="00284BE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Kods</w:t>
            </w:r>
          </w:p>
        </w:tc>
        <w:tc>
          <w:tcPr>
            <w:tcW w:w="850" w:type="dxa"/>
            <w:vAlign w:val="center"/>
            <w:hideMark/>
          </w:tcPr>
          <w:p w14:paraId="1AF16E5D"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780" w:type="dxa"/>
            <w:vAlign w:val="center"/>
            <w:hideMark/>
          </w:tcPr>
          <w:p w14:paraId="3B23B7E8"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2019</w:t>
            </w:r>
          </w:p>
        </w:tc>
        <w:tc>
          <w:tcPr>
            <w:tcW w:w="780" w:type="dxa"/>
            <w:vAlign w:val="center"/>
            <w:hideMark/>
          </w:tcPr>
          <w:p w14:paraId="64531C1E"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781" w:type="dxa"/>
            <w:vAlign w:val="center"/>
            <w:hideMark/>
          </w:tcPr>
          <w:p w14:paraId="636A86C2"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780" w:type="dxa"/>
            <w:vAlign w:val="center"/>
            <w:hideMark/>
          </w:tcPr>
          <w:p w14:paraId="08C0B4D8"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781" w:type="dxa"/>
            <w:vAlign w:val="center"/>
            <w:hideMark/>
          </w:tcPr>
          <w:p w14:paraId="63E67950"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D62F33" w14:paraId="6E88F3E7"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14:paraId="06C96EF7" w14:textId="77777777" w:rsidR="00284BE8" w:rsidRPr="00D62F33" w:rsidRDefault="00284BE8" w:rsidP="00284BE8">
            <w:pPr>
              <w:spacing w:line="256" w:lineRule="auto"/>
              <w:rPr>
                <w:rFonts w:ascii="Times New Roman" w:eastAsia="Times New Roman" w:hAnsi="Times New Roman" w:cs="Times New Roman"/>
                <w:snapToGrid w:val="0"/>
                <w:color w:val="auto"/>
                <w:sz w:val="20"/>
                <w:szCs w:val="20"/>
              </w:rPr>
            </w:pPr>
          </w:p>
        </w:tc>
        <w:tc>
          <w:tcPr>
            <w:tcW w:w="1114" w:type="dxa"/>
            <w:vAlign w:val="center"/>
          </w:tcPr>
          <w:p w14:paraId="78B2B273"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hideMark/>
          </w:tcPr>
          <w:p w14:paraId="7A74D2DF" w14:textId="77777777" w:rsidR="00284BE8" w:rsidRPr="00D62F33" w:rsidRDefault="00284BE8" w:rsidP="00284BE8">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62F33">
              <w:rPr>
                <w:rFonts w:ascii="Times New Roman" w:eastAsia="Times New Roman" w:hAnsi="Times New Roman" w:cs="Times New Roman"/>
                <w:color w:val="auto"/>
                <w:sz w:val="20"/>
                <w:szCs w:val="20"/>
              </w:rPr>
              <w:t>līmenis</w:t>
            </w:r>
          </w:p>
        </w:tc>
        <w:tc>
          <w:tcPr>
            <w:tcW w:w="3902" w:type="dxa"/>
            <w:gridSpan w:val="5"/>
            <w:vAlign w:val="center"/>
            <w:hideMark/>
          </w:tcPr>
          <w:p w14:paraId="6ECAA0D5" w14:textId="77777777" w:rsidR="00284BE8" w:rsidRPr="00D62F33" w:rsidRDefault="00284BE8" w:rsidP="00284BE8">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62F33">
              <w:rPr>
                <w:rFonts w:ascii="Times New Roman" w:eastAsia="Times New Roman" w:hAnsi="Times New Roman" w:cs="Times New Roman"/>
                <w:color w:val="auto"/>
                <w:sz w:val="20"/>
                <w:szCs w:val="20"/>
              </w:rPr>
              <w:t>Pieaugums %</w:t>
            </w:r>
          </w:p>
        </w:tc>
      </w:tr>
      <w:tr w:rsidR="00284BE8" w:rsidRPr="00D62F33" w14:paraId="0C19C87F"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1701CDBF"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1. IKP deflators</w:t>
            </w:r>
          </w:p>
        </w:tc>
        <w:tc>
          <w:tcPr>
            <w:tcW w:w="1114" w:type="dxa"/>
            <w:vAlign w:val="center"/>
          </w:tcPr>
          <w:p w14:paraId="3B3ED05C"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73CC2732"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7A0897D4"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2,6</w:t>
            </w:r>
          </w:p>
        </w:tc>
        <w:tc>
          <w:tcPr>
            <w:tcW w:w="780" w:type="dxa"/>
            <w:vAlign w:val="center"/>
          </w:tcPr>
          <w:p w14:paraId="36B5AB2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2,7</w:t>
            </w:r>
          </w:p>
        </w:tc>
        <w:tc>
          <w:tcPr>
            <w:tcW w:w="781" w:type="dxa"/>
            <w:vAlign w:val="center"/>
          </w:tcPr>
          <w:p w14:paraId="7274033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2,4</w:t>
            </w:r>
          </w:p>
        </w:tc>
        <w:tc>
          <w:tcPr>
            <w:tcW w:w="780" w:type="dxa"/>
            <w:vAlign w:val="center"/>
          </w:tcPr>
          <w:p w14:paraId="67ABF4B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2,3</w:t>
            </w:r>
          </w:p>
        </w:tc>
        <w:tc>
          <w:tcPr>
            <w:tcW w:w="781" w:type="dxa"/>
            <w:vAlign w:val="center"/>
          </w:tcPr>
          <w:p w14:paraId="4AD94430"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2,2</w:t>
            </w:r>
          </w:p>
        </w:tc>
      </w:tr>
      <w:tr w:rsidR="00284BE8" w:rsidRPr="00D62F33" w14:paraId="5F9163B9"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542D688F"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2. Privātā patēriņa deflators</w:t>
            </w:r>
          </w:p>
        </w:tc>
        <w:tc>
          <w:tcPr>
            <w:tcW w:w="1114" w:type="dxa"/>
            <w:vAlign w:val="center"/>
          </w:tcPr>
          <w:p w14:paraId="6D11072B"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414CF8ED"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40F6832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2,9</w:t>
            </w:r>
          </w:p>
        </w:tc>
        <w:tc>
          <w:tcPr>
            <w:tcW w:w="780" w:type="dxa"/>
            <w:vAlign w:val="center"/>
          </w:tcPr>
          <w:p w14:paraId="4C11331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2,3</w:t>
            </w:r>
          </w:p>
        </w:tc>
        <w:tc>
          <w:tcPr>
            <w:tcW w:w="781" w:type="dxa"/>
            <w:vAlign w:val="center"/>
          </w:tcPr>
          <w:p w14:paraId="4AE2231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2,1</w:t>
            </w:r>
          </w:p>
        </w:tc>
        <w:tc>
          <w:tcPr>
            <w:tcW w:w="780" w:type="dxa"/>
            <w:vAlign w:val="center"/>
          </w:tcPr>
          <w:p w14:paraId="60682CF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c>
          <w:tcPr>
            <w:tcW w:w="781" w:type="dxa"/>
            <w:vAlign w:val="center"/>
          </w:tcPr>
          <w:p w14:paraId="1792389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r>
      <w:tr w:rsidR="00284BE8" w:rsidRPr="00D62F33" w14:paraId="2FFFF982"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67ABA7DE"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 xml:space="preserve">3. </w:t>
            </w:r>
            <w:r w:rsidRPr="00D62F33">
              <w:rPr>
                <w:rFonts w:ascii="Times New Roman" w:eastAsia="Times New Roman" w:hAnsi="Times New Roman" w:cs="Times New Roman"/>
                <w:b w:val="0"/>
                <w:noProof/>
                <w:color w:val="auto"/>
                <w:sz w:val="20"/>
                <w:szCs w:val="20"/>
              </w:rPr>
              <w:t>SPCI izmaiņas (gads pret gadu)</w:t>
            </w:r>
          </w:p>
        </w:tc>
        <w:tc>
          <w:tcPr>
            <w:tcW w:w="1114" w:type="dxa"/>
            <w:vAlign w:val="center"/>
          </w:tcPr>
          <w:p w14:paraId="3F53CC8F"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0CDB6CC8"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58E8FE8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2,7</w:t>
            </w:r>
          </w:p>
        </w:tc>
        <w:tc>
          <w:tcPr>
            <w:tcW w:w="780" w:type="dxa"/>
            <w:vAlign w:val="center"/>
          </w:tcPr>
          <w:p w14:paraId="7D79AB5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2,3</w:t>
            </w:r>
          </w:p>
        </w:tc>
        <w:tc>
          <w:tcPr>
            <w:tcW w:w="781" w:type="dxa"/>
            <w:vAlign w:val="center"/>
          </w:tcPr>
          <w:p w14:paraId="3FAF96E1"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2,1</w:t>
            </w:r>
          </w:p>
        </w:tc>
        <w:tc>
          <w:tcPr>
            <w:tcW w:w="780" w:type="dxa"/>
            <w:vAlign w:val="center"/>
          </w:tcPr>
          <w:p w14:paraId="4E3C00E4"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c>
          <w:tcPr>
            <w:tcW w:w="781" w:type="dxa"/>
            <w:vAlign w:val="center"/>
          </w:tcPr>
          <w:p w14:paraId="6EFB0BC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r>
      <w:tr w:rsidR="00284BE8" w:rsidRPr="00D62F33" w14:paraId="5145C38E"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0A13C1D4"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4. Sabiedriskā patēriņa deflators</w:t>
            </w:r>
          </w:p>
        </w:tc>
        <w:tc>
          <w:tcPr>
            <w:tcW w:w="1114" w:type="dxa"/>
            <w:vAlign w:val="center"/>
          </w:tcPr>
          <w:p w14:paraId="32FF8E13"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10FA4140"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6BA5FFA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2,9</w:t>
            </w:r>
          </w:p>
        </w:tc>
        <w:tc>
          <w:tcPr>
            <w:tcW w:w="780" w:type="dxa"/>
            <w:vAlign w:val="center"/>
          </w:tcPr>
          <w:p w14:paraId="5A4C92FC"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c>
          <w:tcPr>
            <w:tcW w:w="781" w:type="dxa"/>
            <w:vAlign w:val="center"/>
          </w:tcPr>
          <w:p w14:paraId="46AFC31C"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c>
          <w:tcPr>
            <w:tcW w:w="780" w:type="dxa"/>
            <w:vAlign w:val="center"/>
          </w:tcPr>
          <w:p w14:paraId="5FDCE2C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c>
          <w:tcPr>
            <w:tcW w:w="781" w:type="dxa"/>
            <w:vAlign w:val="center"/>
          </w:tcPr>
          <w:p w14:paraId="37F51C2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2,0</w:t>
            </w:r>
          </w:p>
        </w:tc>
      </w:tr>
      <w:tr w:rsidR="00284BE8" w:rsidRPr="00D62F33" w14:paraId="648DF7D5"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7C6C120C"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5. Investīciju deflators</w:t>
            </w:r>
          </w:p>
        </w:tc>
        <w:tc>
          <w:tcPr>
            <w:tcW w:w="1114" w:type="dxa"/>
            <w:vAlign w:val="center"/>
          </w:tcPr>
          <w:p w14:paraId="58FD530A"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09678A11"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6428631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3,2</w:t>
            </w:r>
          </w:p>
        </w:tc>
        <w:tc>
          <w:tcPr>
            <w:tcW w:w="780" w:type="dxa"/>
            <w:vAlign w:val="center"/>
          </w:tcPr>
          <w:p w14:paraId="7C6DB2E1"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1,9</w:t>
            </w:r>
          </w:p>
        </w:tc>
        <w:tc>
          <w:tcPr>
            <w:tcW w:w="781" w:type="dxa"/>
            <w:vAlign w:val="center"/>
          </w:tcPr>
          <w:p w14:paraId="17745FE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1,8</w:t>
            </w:r>
          </w:p>
        </w:tc>
        <w:tc>
          <w:tcPr>
            <w:tcW w:w="780" w:type="dxa"/>
            <w:vAlign w:val="center"/>
          </w:tcPr>
          <w:p w14:paraId="66908FB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1,7</w:t>
            </w:r>
          </w:p>
        </w:tc>
        <w:tc>
          <w:tcPr>
            <w:tcW w:w="781" w:type="dxa"/>
            <w:vAlign w:val="center"/>
          </w:tcPr>
          <w:p w14:paraId="52E6350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1,7</w:t>
            </w:r>
          </w:p>
        </w:tc>
      </w:tr>
      <w:tr w:rsidR="00284BE8" w:rsidRPr="00D62F33" w14:paraId="585BA97D"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3569847D"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6. Eksporta (preču un pakalpojumu) deflators</w:t>
            </w:r>
          </w:p>
        </w:tc>
        <w:tc>
          <w:tcPr>
            <w:tcW w:w="1114" w:type="dxa"/>
            <w:vAlign w:val="center"/>
          </w:tcPr>
          <w:p w14:paraId="2C0C8EA5"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78C9249B" w14:textId="77777777" w:rsidR="00284BE8" w:rsidRPr="00D62F33"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578E584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c>
          <w:tcPr>
            <w:tcW w:w="780" w:type="dxa"/>
            <w:vAlign w:val="center"/>
          </w:tcPr>
          <w:p w14:paraId="0ADC788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1,0</w:t>
            </w:r>
          </w:p>
        </w:tc>
        <w:tc>
          <w:tcPr>
            <w:tcW w:w="781" w:type="dxa"/>
            <w:vAlign w:val="center"/>
          </w:tcPr>
          <w:p w14:paraId="47088E6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780" w:type="dxa"/>
            <w:vAlign w:val="center"/>
          </w:tcPr>
          <w:p w14:paraId="2E4B406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781" w:type="dxa"/>
            <w:vAlign w:val="center"/>
          </w:tcPr>
          <w:p w14:paraId="17F2CAD2"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r>
      <w:tr w:rsidR="00284BE8" w:rsidRPr="00D62F33" w14:paraId="111E3506"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4F81FA06" w14:textId="77777777" w:rsidR="00284BE8" w:rsidRPr="00D62F33" w:rsidRDefault="00284BE8" w:rsidP="00284BE8">
            <w:pPr>
              <w:spacing w:line="256" w:lineRule="auto"/>
              <w:rPr>
                <w:rFonts w:ascii="Times New Roman" w:eastAsia="Times New Roman" w:hAnsi="Times New Roman" w:cs="Times New Roman"/>
                <w:b w:val="0"/>
                <w:noProof/>
                <w:snapToGrid w:val="0"/>
                <w:color w:val="auto"/>
                <w:sz w:val="20"/>
                <w:szCs w:val="20"/>
              </w:rPr>
            </w:pPr>
            <w:r w:rsidRPr="00D62F33">
              <w:rPr>
                <w:rFonts w:ascii="Times New Roman" w:eastAsia="Times New Roman" w:hAnsi="Times New Roman" w:cs="Times New Roman"/>
                <w:b w:val="0"/>
                <w:noProof/>
                <w:snapToGrid w:val="0"/>
                <w:color w:val="auto"/>
                <w:sz w:val="20"/>
                <w:szCs w:val="20"/>
              </w:rPr>
              <w:t>7. Importa (preču un pakalpojumu) deflators</w:t>
            </w:r>
          </w:p>
        </w:tc>
        <w:tc>
          <w:tcPr>
            <w:tcW w:w="1114" w:type="dxa"/>
            <w:vAlign w:val="center"/>
          </w:tcPr>
          <w:p w14:paraId="48619B4F"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3900B73" w14:textId="77777777" w:rsidR="00284BE8" w:rsidRPr="00D62F33"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14:paraId="28142E3E"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-0,5</w:t>
            </w:r>
          </w:p>
        </w:tc>
        <w:tc>
          <w:tcPr>
            <w:tcW w:w="780" w:type="dxa"/>
            <w:vAlign w:val="center"/>
          </w:tcPr>
          <w:p w14:paraId="293ED6D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0,5</w:t>
            </w:r>
          </w:p>
        </w:tc>
        <w:tc>
          <w:tcPr>
            <w:tcW w:w="781" w:type="dxa"/>
            <w:vAlign w:val="center"/>
          </w:tcPr>
          <w:p w14:paraId="6AC4D98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c>
          <w:tcPr>
            <w:tcW w:w="780" w:type="dxa"/>
            <w:vAlign w:val="center"/>
          </w:tcPr>
          <w:p w14:paraId="1CDA380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c>
          <w:tcPr>
            <w:tcW w:w="781" w:type="dxa"/>
            <w:vAlign w:val="center"/>
          </w:tcPr>
          <w:p w14:paraId="7AA46E0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r>
    </w:tbl>
    <w:p w14:paraId="09F98AD5" w14:textId="77777777" w:rsidR="005C4806" w:rsidRPr="00284BE8" w:rsidRDefault="005C4806" w:rsidP="005C4806">
      <w:pPr>
        <w:spacing w:after="0" w:line="240" w:lineRule="auto"/>
        <w:rPr>
          <w:rFonts w:ascii="Times New Roman" w:hAnsi="Times New Roman" w:cs="Times New Roman"/>
          <w:b/>
          <w:color w:val="000000"/>
        </w:rPr>
      </w:pPr>
    </w:p>
    <w:p w14:paraId="454FB58A" w14:textId="77777777" w:rsidR="005C4806" w:rsidRPr="00284BE8" w:rsidRDefault="005C4806" w:rsidP="005C4806">
      <w:pPr>
        <w:spacing w:after="0" w:line="240" w:lineRule="auto"/>
        <w:rPr>
          <w:rFonts w:ascii="Times New Roman" w:hAnsi="Times New Roman" w:cs="Times New Roman"/>
          <w:b/>
          <w:color w:val="000000"/>
          <w:sz w:val="24"/>
        </w:rPr>
      </w:pPr>
      <w:r w:rsidRPr="00284BE8">
        <w:rPr>
          <w:rFonts w:ascii="Times New Roman" w:hAnsi="Times New Roman" w:cs="Times New Roman"/>
          <w:b/>
          <w:color w:val="000000"/>
          <w:sz w:val="24"/>
        </w:rPr>
        <w:t>1c.tabula. Darba tirgus attīstība</w:t>
      </w:r>
    </w:p>
    <w:tbl>
      <w:tblPr>
        <w:tblStyle w:val="GridTable6Colorful-Accent11"/>
        <w:tblW w:w="9151" w:type="dxa"/>
        <w:jc w:val="center"/>
        <w:tblLayout w:type="fixed"/>
        <w:tblLook w:val="04A0" w:firstRow="1" w:lastRow="0" w:firstColumn="1" w:lastColumn="0" w:noHBand="0" w:noVBand="1"/>
      </w:tblPr>
      <w:tblGrid>
        <w:gridCol w:w="3182"/>
        <w:gridCol w:w="686"/>
        <w:gridCol w:w="1372"/>
        <w:gridCol w:w="782"/>
        <w:gridCol w:w="782"/>
        <w:gridCol w:w="782"/>
        <w:gridCol w:w="782"/>
        <w:gridCol w:w="783"/>
      </w:tblGrid>
      <w:tr w:rsidR="00284BE8" w:rsidRPr="00D62F33" w14:paraId="6E5E705D" w14:textId="77777777" w:rsidTr="00284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14:paraId="112305ED" w14:textId="77777777" w:rsidR="00284BE8" w:rsidRPr="00D62F33" w:rsidRDefault="00284BE8" w:rsidP="00284BE8">
            <w:pPr>
              <w:rPr>
                <w:rFonts w:ascii="Times New Roman" w:eastAsia="Times New Roman" w:hAnsi="Times New Roman" w:cs="Times New Roman"/>
                <w:color w:val="auto"/>
                <w:sz w:val="20"/>
                <w:szCs w:val="20"/>
              </w:rPr>
            </w:pPr>
          </w:p>
        </w:tc>
        <w:tc>
          <w:tcPr>
            <w:tcW w:w="686" w:type="dxa"/>
            <w:vAlign w:val="center"/>
          </w:tcPr>
          <w:p w14:paraId="07A71A43" w14:textId="77777777" w:rsidR="00284BE8" w:rsidRPr="00D62F3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62F33">
              <w:rPr>
                <w:rFonts w:ascii="Times New Roman" w:eastAsia="Times New Roman" w:hAnsi="Times New Roman" w:cs="Times New Roman"/>
                <w:color w:val="auto"/>
                <w:sz w:val="20"/>
                <w:szCs w:val="20"/>
              </w:rPr>
              <w:t>EKS</w:t>
            </w:r>
          </w:p>
          <w:p w14:paraId="30A7228E" w14:textId="77777777" w:rsidR="00284BE8" w:rsidRPr="00D62F3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62F33">
              <w:rPr>
                <w:rFonts w:ascii="Times New Roman" w:eastAsia="Times New Roman" w:hAnsi="Times New Roman" w:cs="Times New Roman"/>
                <w:color w:val="auto"/>
                <w:sz w:val="20"/>
                <w:szCs w:val="20"/>
              </w:rPr>
              <w:t>Kods</w:t>
            </w:r>
          </w:p>
        </w:tc>
        <w:tc>
          <w:tcPr>
            <w:tcW w:w="1372" w:type="dxa"/>
            <w:vAlign w:val="center"/>
          </w:tcPr>
          <w:p w14:paraId="16E56D7E"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11B80">
              <w:rPr>
                <w:rFonts w:ascii="Times New Roman" w:hAnsi="Times New Roman" w:cs="Times New Roman"/>
                <w:bCs w:val="0"/>
                <w:color w:val="auto"/>
                <w:sz w:val="20"/>
                <w:szCs w:val="20"/>
              </w:rPr>
              <w:t>2019</w:t>
            </w:r>
          </w:p>
        </w:tc>
        <w:tc>
          <w:tcPr>
            <w:tcW w:w="782" w:type="dxa"/>
            <w:vAlign w:val="center"/>
          </w:tcPr>
          <w:p w14:paraId="7AA62E52"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2019</w:t>
            </w:r>
          </w:p>
        </w:tc>
        <w:tc>
          <w:tcPr>
            <w:tcW w:w="782" w:type="dxa"/>
            <w:vAlign w:val="center"/>
          </w:tcPr>
          <w:p w14:paraId="544BFECB"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2020</w:t>
            </w:r>
          </w:p>
        </w:tc>
        <w:tc>
          <w:tcPr>
            <w:tcW w:w="782" w:type="dxa"/>
            <w:vAlign w:val="center"/>
          </w:tcPr>
          <w:p w14:paraId="027A8718"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2021</w:t>
            </w:r>
          </w:p>
        </w:tc>
        <w:tc>
          <w:tcPr>
            <w:tcW w:w="782" w:type="dxa"/>
            <w:vAlign w:val="center"/>
          </w:tcPr>
          <w:p w14:paraId="319D52ED"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2022</w:t>
            </w:r>
          </w:p>
        </w:tc>
        <w:tc>
          <w:tcPr>
            <w:tcW w:w="783" w:type="dxa"/>
            <w:vAlign w:val="center"/>
          </w:tcPr>
          <w:p w14:paraId="7B831235"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2023</w:t>
            </w:r>
          </w:p>
        </w:tc>
      </w:tr>
      <w:tr w:rsidR="00284BE8" w:rsidRPr="00D62F33" w14:paraId="3AD2A5BD"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14:paraId="38099C64" w14:textId="77777777" w:rsidR="00284BE8" w:rsidRPr="00D62F33" w:rsidRDefault="00284BE8" w:rsidP="00284BE8">
            <w:pPr>
              <w:jc w:val="center"/>
              <w:rPr>
                <w:rFonts w:ascii="Times New Roman" w:eastAsia="Times New Roman" w:hAnsi="Times New Roman" w:cs="Times New Roman"/>
                <w:color w:val="auto"/>
                <w:sz w:val="20"/>
                <w:szCs w:val="20"/>
              </w:rPr>
            </w:pPr>
          </w:p>
        </w:tc>
        <w:tc>
          <w:tcPr>
            <w:tcW w:w="686" w:type="dxa"/>
            <w:vAlign w:val="center"/>
          </w:tcPr>
          <w:p w14:paraId="63C184DD"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1372" w:type="dxa"/>
            <w:vAlign w:val="center"/>
          </w:tcPr>
          <w:p w14:paraId="1212F8A4"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D62F33">
              <w:rPr>
                <w:rFonts w:ascii="Times New Roman" w:eastAsia="Times New Roman" w:hAnsi="Times New Roman" w:cs="Times New Roman"/>
                <w:color w:val="auto"/>
                <w:sz w:val="20"/>
                <w:szCs w:val="20"/>
              </w:rPr>
              <w:t>Līmenis</w:t>
            </w:r>
          </w:p>
        </w:tc>
        <w:tc>
          <w:tcPr>
            <w:tcW w:w="3911" w:type="dxa"/>
            <w:gridSpan w:val="5"/>
            <w:vAlign w:val="center"/>
          </w:tcPr>
          <w:p w14:paraId="7CD963B2"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D62F33">
              <w:rPr>
                <w:rFonts w:ascii="Times New Roman" w:eastAsia="Times New Roman" w:hAnsi="Times New Roman" w:cs="Times New Roman"/>
                <w:color w:val="auto"/>
                <w:sz w:val="20"/>
                <w:szCs w:val="20"/>
              </w:rPr>
              <w:t>Pieaugums %</w:t>
            </w:r>
          </w:p>
        </w:tc>
      </w:tr>
      <w:tr w:rsidR="00284BE8" w:rsidRPr="00D62F33" w14:paraId="57C51FF5"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182" w:type="dxa"/>
          </w:tcPr>
          <w:p w14:paraId="3E2D2A16"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1. Nodarbinātība, cilvēki, tūkst</w:t>
            </w:r>
            <w:r>
              <w:rPr>
                <w:rFonts w:ascii="Times New Roman" w:eastAsia="Times New Roman" w:hAnsi="Times New Roman" w:cs="Times New Roman"/>
                <w:b w:val="0"/>
                <w:snapToGrid w:val="0"/>
                <w:color w:val="auto"/>
                <w:sz w:val="20"/>
                <w:szCs w:val="20"/>
              </w:rPr>
              <w:t>.</w:t>
            </w:r>
          </w:p>
        </w:tc>
        <w:tc>
          <w:tcPr>
            <w:tcW w:w="686" w:type="dxa"/>
            <w:vAlign w:val="center"/>
          </w:tcPr>
          <w:p w14:paraId="65B47371" w14:textId="77777777" w:rsidR="00284BE8" w:rsidRPr="00D62F33"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56BDB401"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910</w:t>
            </w:r>
          </w:p>
        </w:tc>
        <w:tc>
          <w:tcPr>
            <w:tcW w:w="782" w:type="dxa"/>
            <w:vAlign w:val="center"/>
          </w:tcPr>
          <w:p w14:paraId="46AF712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2" w:type="dxa"/>
            <w:vAlign w:val="center"/>
          </w:tcPr>
          <w:p w14:paraId="53953A30"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2" w:type="dxa"/>
            <w:vAlign w:val="center"/>
          </w:tcPr>
          <w:p w14:paraId="1EE62CC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2" w:type="dxa"/>
            <w:vAlign w:val="center"/>
          </w:tcPr>
          <w:p w14:paraId="7F5103B1"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3" w:type="dxa"/>
            <w:vAlign w:val="center"/>
          </w:tcPr>
          <w:p w14:paraId="620793F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r>
      <w:tr w:rsidR="00284BE8" w:rsidRPr="00D62F33" w14:paraId="7893BAFC"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14:paraId="4067EC0C"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2. Nodarbinātība, darba stundas uz vienu nodarbināto</w:t>
            </w:r>
          </w:p>
        </w:tc>
        <w:tc>
          <w:tcPr>
            <w:tcW w:w="686" w:type="dxa"/>
            <w:vAlign w:val="center"/>
          </w:tcPr>
          <w:p w14:paraId="6DD74D5E" w14:textId="77777777" w:rsidR="00284BE8" w:rsidRPr="00D62F33"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77BFF42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1623,6</w:t>
            </w:r>
          </w:p>
        </w:tc>
        <w:tc>
          <w:tcPr>
            <w:tcW w:w="782" w:type="dxa"/>
            <w:vAlign w:val="center"/>
          </w:tcPr>
          <w:p w14:paraId="1A06505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c>
          <w:tcPr>
            <w:tcW w:w="782" w:type="dxa"/>
            <w:vAlign w:val="center"/>
          </w:tcPr>
          <w:p w14:paraId="7F43E64C"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2" w:type="dxa"/>
            <w:vAlign w:val="center"/>
          </w:tcPr>
          <w:p w14:paraId="6AE6FE9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2" w:type="dxa"/>
            <w:vAlign w:val="center"/>
          </w:tcPr>
          <w:p w14:paraId="3AC3144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3" w:type="dxa"/>
            <w:vAlign w:val="center"/>
          </w:tcPr>
          <w:p w14:paraId="68ED744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r>
      <w:tr w:rsidR="00284BE8" w:rsidRPr="00D62F33" w14:paraId="29228284"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182" w:type="dxa"/>
          </w:tcPr>
          <w:p w14:paraId="56794FE7"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3. Bezdarba līmenis (%)</w:t>
            </w:r>
          </w:p>
        </w:tc>
        <w:tc>
          <w:tcPr>
            <w:tcW w:w="686" w:type="dxa"/>
            <w:vAlign w:val="center"/>
          </w:tcPr>
          <w:p w14:paraId="06FB4297" w14:textId="77777777" w:rsidR="00284BE8" w:rsidRPr="00D62F33"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70363D0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782" w:type="dxa"/>
            <w:vAlign w:val="center"/>
          </w:tcPr>
          <w:p w14:paraId="6BCFE26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6,3</w:t>
            </w:r>
          </w:p>
        </w:tc>
        <w:tc>
          <w:tcPr>
            <w:tcW w:w="782" w:type="dxa"/>
            <w:vAlign w:val="center"/>
          </w:tcPr>
          <w:p w14:paraId="212E41F2"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6,4</w:t>
            </w:r>
          </w:p>
        </w:tc>
        <w:tc>
          <w:tcPr>
            <w:tcW w:w="782" w:type="dxa"/>
            <w:vAlign w:val="center"/>
          </w:tcPr>
          <w:p w14:paraId="06A4AC5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6,2</w:t>
            </w:r>
          </w:p>
        </w:tc>
        <w:tc>
          <w:tcPr>
            <w:tcW w:w="782" w:type="dxa"/>
            <w:vAlign w:val="center"/>
          </w:tcPr>
          <w:p w14:paraId="7675689D"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5,8</w:t>
            </w:r>
          </w:p>
        </w:tc>
        <w:tc>
          <w:tcPr>
            <w:tcW w:w="783" w:type="dxa"/>
            <w:vAlign w:val="center"/>
          </w:tcPr>
          <w:p w14:paraId="113B406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5,7</w:t>
            </w:r>
          </w:p>
        </w:tc>
      </w:tr>
      <w:tr w:rsidR="00284BE8" w:rsidRPr="00D62F33" w14:paraId="338AA71E"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14:paraId="2BF5C64A"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4. Darba ražīgums, uz nodarbināto</w:t>
            </w:r>
          </w:p>
        </w:tc>
        <w:tc>
          <w:tcPr>
            <w:tcW w:w="686" w:type="dxa"/>
            <w:vAlign w:val="center"/>
          </w:tcPr>
          <w:p w14:paraId="0EC4D18A" w14:textId="77777777" w:rsidR="00284BE8" w:rsidRPr="00D62F33"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2FA747A4" w14:textId="77777777" w:rsidR="00284BE8" w:rsidRPr="00D62F33" w:rsidRDefault="00284BE8" w:rsidP="00284BE8">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D62F33">
              <w:rPr>
                <w:rFonts w:ascii="Times New Roman" w:hAnsi="Times New Roman" w:cs="Times New Roman"/>
                <w:b/>
                <w:bCs/>
                <w:color w:val="auto"/>
              </w:rPr>
              <w:t> </w:t>
            </w:r>
          </w:p>
        </w:tc>
        <w:tc>
          <w:tcPr>
            <w:tcW w:w="782" w:type="dxa"/>
            <w:vAlign w:val="center"/>
          </w:tcPr>
          <w:p w14:paraId="3F74345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2,1</w:t>
            </w:r>
          </w:p>
        </w:tc>
        <w:tc>
          <w:tcPr>
            <w:tcW w:w="782" w:type="dxa"/>
            <w:vAlign w:val="center"/>
          </w:tcPr>
          <w:p w14:paraId="6809F98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3,3</w:t>
            </w:r>
          </w:p>
        </w:tc>
        <w:tc>
          <w:tcPr>
            <w:tcW w:w="782" w:type="dxa"/>
            <w:vAlign w:val="center"/>
          </w:tcPr>
          <w:p w14:paraId="61B681CA"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c>
          <w:tcPr>
            <w:tcW w:w="782" w:type="dxa"/>
            <w:vAlign w:val="center"/>
          </w:tcPr>
          <w:p w14:paraId="319E02B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2,9</w:t>
            </w:r>
          </w:p>
        </w:tc>
        <w:tc>
          <w:tcPr>
            <w:tcW w:w="783" w:type="dxa"/>
            <w:vAlign w:val="center"/>
          </w:tcPr>
          <w:p w14:paraId="15DBFD2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r>
      <w:tr w:rsidR="00284BE8" w:rsidRPr="00D62F33" w14:paraId="60E001FD"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182" w:type="dxa"/>
          </w:tcPr>
          <w:p w14:paraId="6939F25A"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5. Darba ražīgums, uz darba stundu</w:t>
            </w:r>
          </w:p>
        </w:tc>
        <w:tc>
          <w:tcPr>
            <w:tcW w:w="686" w:type="dxa"/>
            <w:vAlign w:val="center"/>
          </w:tcPr>
          <w:p w14:paraId="6F135955" w14:textId="77777777" w:rsidR="00284BE8" w:rsidRPr="00D62F33"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54570EA2"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D62F33">
              <w:rPr>
                <w:rFonts w:ascii="Times New Roman" w:hAnsi="Times New Roman" w:cs="Times New Roman"/>
                <w:b/>
                <w:bCs/>
                <w:color w:val="auto"/>
                <w:sz w:val="20"/>
                <w:szCs w:val="20"/>
              </w:rPr>
              <w:t> </w:t>
            </w:r>
          </w:p>
        </w:tc>
        <w:tc>
          <w:tcPr>
            <w:tcW w:w="782" w:type="dxa"/>
            <w:vAlign w:val="center"/>
          </w:tcPr>
          <w:p w14:paraId="2AD94754"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782" w:type="dxa"/>
            <w:vAlign w:val="center"/>
          </w:tcPr>
          <w:p w14:paraId="6C92194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3,3</w:t>
            </w:r>
          </w:p>
        </w:tc>
        <w:tc>
          <w:tcPr>
            <w:tcW w:w="782" w:type="dxa"/>
            <w:vAlign w:val="center"/>
          </w:tcPr>
          <w:p w14:paraId="3BDFFE9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c>
          <w:tcPr>
            <w:tcW w:w="782" w:type="dxa"/>
            <w:vAlign w:val="center"/>
          </w:tcPr>
          <w:p w14:paraId="1B36222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2,9</w:t>
            </w:r>
          </w:p>
        </w:tc>
        <w:tc>
          <w:tcPr>
            <w:tcW w:w="783" w:type="dxa"/>
            <w:vAlign w:val="center"/>
          </w:tcPr>
          <w:p w14:paraId="06C8CFFE"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r>
      <w:tr w:rsidR="00284BE8" w:rsidRPr="00D62F33" w14:paraId="5AD61E30"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14:paraId="0CB92207"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 xml:space="preserve">6. Atlīdzība nodarbinātajiem, milj. </w:t>
            </w:r>
            <w:r w:rsidRPr="00D62F33">
              <w:rPr>
                <w:rFonts w:ascii="Times New Roman" w:eastAsia="Times New Roman" w:hAnsi="Times New Roman" w:cs="Times New Roman"/>
                <w:b w:val="0"/>
                <w:i/>
                <w:snapToGrid w:val="0"/>
                <w:color w:val="auto"/>
                <w:sz w:val="20"/>
                <w:szCs w:val="20"/>
              </w:rPr>
              <w:t>euro</w:t>
            </w:r>
            <w:r w:rsidRPr="00D62F33">
              <w:rPr>
                <w:rFonts w:ascii="Times New Roman" w:eastAsia="Times New Roman" w:hAnsi="Times New Roman" w:cs="Times New Roman"/>
                <w:b w:val="0"/>
                <w:snapToGrid w:val="0"/>
                <w:color w:val="auto"/>
                <w:sz w:val="20"/>
                <w:szCs w:val="20"/>
              </w:rPr>
              <w:t>, faktiskās cenās</w:t>
            </w:r>
          </w:p>
        </w:tc>
        <w:tc>
          <w:tcPr>
            <w:tcW w:w="686" w:type="dxa"/>
            <w:vAlign w:val="center"/>
          </w:tcPr>
          <w:p w14:paraId="355B1539" w14:textId="77777777" w:rsidR="00284BE8" w:rsidRPr="00D62F33"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62F33">
              <w:rPr>
                <w:rFonts w:ascii="Times New Roman" w:eastAsia="Times New Roman" w:hAnsi="Times New Roman" w:cs="Times New Roman"/>
                <w:color w:val="auto"/>
                <w:sz w:val="20"/>
                <w:szCs w:val="20"/>
              </w:rPr>
              <w:t>D.1</w:t>
            </w:r>
          </w:p>
        </w:tc>
        <w:tc>
          <w:tcPr>
            <w:tcW w:w="1372" w:type="dxa"/>
            <w:vAlign w:val="center"/>
          </w:tcPr>
          <w:p w14:paraId="024A0BC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15 173</w:t>
            </w:r>
          </w:p>
        </w:tc>
        <w:tc>
          <w:tcPr>
            <w:tcW w:w="782" w:type="dxa"/>
            <w:vAlign w:val="center"/>
          </w:tcPr>
          <w:p w14:paraId="6DB232C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8,6</w:t>
            </w:r>
          </w:p>
        </w:tc>
        <w:tc>
          <w:tcPr>
            <w:tcW w:w="782" w:type="dxa"/>
            <w:vAlign w:val="center"/>
          </w:tcPr>
          <w:p w14:paraId="685398B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6,0</w:t>
            </w:r>
          </w:p>
        </w:tc>
        <w:tc>
          <w:tcPr>
            <w:tcW w:w="782" w:type="dxa"/>
            <w:vAlign w:val="center"/>
          </w:tcPr>
          <w:p w14:paraId="6A16CF3D"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5,5</w:t>
            </w:r>
          </w:p>
        </w:tc>
        <w:tc>
          <w:tcPr>
            <w:tcW w:w="782" w:type="dxa"/>
            <w:vAlign w:val="center"/>
          </w:tcPr>
          <w:p w14:paraId="081955C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5,0</w:t>
            </w:r>
          </w:p>
        </w:tc>
        <w:tc>
          <w:tcPr>
            <w:tcW w:w="783" w:type="dxa"/>
            <w:vAlign w:val="center"/>
          </w:tcPr>
          <w:p w14:paraId="4EFCFF2C"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5,0</w:t>
            </w:r>
          </w:p>
        </w:tc>
      </w:tr>
      <w:tr w:rsidR="00284BE8" w:rsidRPr="00D62F33" w14:paraId="28F3EF55"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182" w:type="dxa"/>
          </w:tcPr>
          <w:p w14:paraId="63510428" w14:textId="77777777" w:rsidR="00284BE8" w:rsidRPr="00D62F33" w:rsidRDefault="00284BE8" w:rsidP="00284BE8">
            <w:pPr>
              <w:spacing w:line="276" w:lineRule="auto"/>
              <w:rPr>
                <w:rFonts w:ascii="Times New Roman" w:eastAsia="Times New Roman" w:hAnsi="Times New Roman" w:cs="Times New Roman"/>
                <w:b w:val="0"/>
                <w:snapToGrid w:val="0"/>
                <w:color w:val="auto"/>
                <w:sz w:val="20"/>
                <w:szCs w:val="20"/>
              </w:rPr>
            </w:pPr>
            <w:r w:rsidRPr="00D62F33">
              <w:rPr>
                <w:rFonts w:ascii="Times New Roman" w:eastAsia="Times New Roman" w:hAnsi="Times New Roman" w:cs="Times New Roman"/>
                <w:b w:val="0"/>
                <w:snapToGrid w:val="0"/>
                <w:color w:val="auto"/>
                <w:sz w:val="20"/>
                <w:szCs w:val="20"/>
              </w:rPr>
              <w:t xml:space="preserve">7. Bruto darba samaksa, </w:t>
            </w:r>
            <w:r w:rsidRPr="00D62F33">
              <w:rPr>
                <w:rFonts w:ascii="Times New Roman" w:eastAsia="Times New Roman" w:hAnsi="Times New Roman" w:cs="Times New Roman"/>
                <w:b w:val="0"/>
                <w:i/>
                <w:snapToGrid w:val="0"/>
                <w:color w:val="auto"/>
                <w:sz w:val="20"/>
                <w:szCs w:val="20"/>
              </w:rPr>
              <w:t>euro</w:t>
            </w:r>
          </w:p>
        </w:tc>
        <w:tc>
          <w:tcPr>
            <w:tcW w:w="686" w:type="dxa"/>
            <w:vAlign w:val="center"/>
          </w:tcPr>
          <w:p w14:paraId="361961E0" w14:textId="77777777" w:rsidR="00284BE8" w:rsidRPr="00D62F33"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14:paraId="06CCA512"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1076</w:t>
            </w:r>
          </w:p>
        </w:tc>
        <w:tc>
          <w:tcPr>
            <w:tcW w:w="782" w:type="dxa"/>
            <w:vAlign w:val="center"/>
          </w:tcPr>
          <w:p w14:paraId="73E55D1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7,2</w:t>
            </w:r>
          </w:p>
        </w:tc>
        <w:tc>
          <w:tcPr>
            <w:tcW w:w="782" w:type="dxa"/>
            <w:vAlign w:val="center"/>
          </w:tcPr>
          <w:p w14:paraId="4130DBA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6,0</w:t>
            </w:r>
          </w:p>
        </w:tc>
        <w:tc>
          <w:tcPr>
            <w:tcW w:w="782" w:type="dxa"/>
            <w:vAlign w:val="center"/>
          </w:tcPr>
          <w:p w14:paraId="0A67543D"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5,5</w:t>
            </w:r>
          </w:p>
        </w:tc>
        <w:tc>
          <w:tcPr>
            <w:tcW w:w="782" w:type="dxa"/>
            <w:vAlign w:val="center"/>
          </w:tcPr>
          <w:p w14:paraId="39174EF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5,0</w:t>
            </w:r>
          </w:p>
        </w:tc>
        <w:tc>
          <w:tcPr>
            <w:tcW w:w="783" w:type="dxa"/>
            <w:vAlign w:val="center"/>
          </w:tcPr>
          <w:p w14:paraId="4E3D83BE"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5,0</w:t>
            </w:r>
          </w:p>
        </w:tc>
      </w:tr>
    </w:tbl>
    <w:p w14:paraId="5AB8C753" w14:textId="77777777" w:rsidR="005C4806" w:rsidRPr="00D551C4" w:rsidRDefault="005C4806" w:rsidP="005C4806">
      <w:pPr>
        <w:pStyle w:val="T"/>
        <w:spacing w:after="0"/>
        <w:ind w:left="0"/>
        <w:rPr>
          <w:rFonts w:ascii="Times New Roman" w:hAnsi="Times New Roman"/>
          <w:color w:val="000000"/>
          <w:highlight w:val="yellow"/>
        </w:rPr>
      </w:pPr>
    </w:p>
    <w:p w14:paraId="7DC3A09A" w14:textId="77777777" w:rsidR="005C4806" w:rsidRPr="00284BE8" w:rsidRDefault="005C4806" w:rsidP="005C4806">
      <w:pPr>
        <w:pStyle w:val="T"/>
        <w:spacing w:after="0"/>
        <w:ind w:left="0"/>
        <w:rPr>
          <w:rFonts w:ascii="Times New Roman" w:hAnsi="Times New Roman"/>
          <w:color w:val="000000"/>
        </w:rPr>
      </w:pPr>
      <w:r w:rsidRPr="00284BE8">
        <w:rPr>
          <w:rFonts w:ascii="Times New Roman" w:hAnsi="Times New Roman"/>
          <w:color w:val="000000"/>
        </w:rPr>
        <w:t>1d.tabula. Sektoru bilances</w:t>
      </w:r>
    </w:p>
    <w:tbl>
      <w:tblPr>
        <w:tblStyle w:val="GridTable6Colorful-Accent11"/>
        <w:tblW w:w="9543" w:type="dxa"/>
        <w:jc w:val="center"/>
        <w:tblLayout w:type="fixed"/>
        <w:tblLook w:val="04A0" w:firstRow="1" w:lastRow="0" w:firstColumn="1" w:lastColumn="0" w:noHBand="0" w:noVBand="1"/>
      </w:tblPr>
      <w:tblGrid>
        <w:gridCol w:w="4649"/>
        <w:gridCol w:w="960"/>
        <w:gridCol w:w="786"/>
        <w:gridCol w:w="787"/>
        <w:gridCol w:w="787"/>
        <w:gridCol w:w="787"/>
        <w:gridCol w:w="787"/>
      </w:tblGrid>
      <w:tr w:rsidR="00284BE8" w:rsidRPr="00D62F33" w14:paraId="4318B086" w14:textId="77777777" w:rsidTr="00284BE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49" w:type="dxa"/>
            <w:vMerge w:val="restart"/>
            <w:vAlign w:val="center"/>
            <w:hideMark/>
          </w:tcPr>
          <w:p w14:paraId="7A9D70E4" w14:textId="77777777" w:rsidR="00284BE8" w:rsidRPr="00D62F33" w:rsidRDefault="00284BE8" w:rsidP="00284BE8">
            <w:pPr>
              <w:jc w:val="center"/>
              <w:rPr>
                <w:rFonts w:ascii="Times New Roman" w:eastAsia="Calibri" w:hAnsi="Times New Roman" w:cs="Times New Roman"/>
                <w:color w:val="auto"/>
                <w:sz w:val="20"/>
                <w:szCs w:val="20"/>
              </w:rPr>
            </w:pPr>
            <w:r w:rsidRPr="00D62F33">
              <w:rPr>
                <w:rFonts w:ascii="Times New Roman" w:eastAsia="Calibri" w:hAnsi="Times New Roman" w:cs="Times New Roman"/>
                <w:color w:val="auto"/>
                <w:sz w:val="20"/>
                <w:szCs w:val="20"/>
              </w:rPr>
              <w:t>% no IKP</w:t>
            </w:r>
          </w:p>
        </w:tc>
        <w:tc>
          <w:tcPr>
            <w:tcW w:w="960" w:type="dxa"/>
            <w:vMerge w:val="restart"/>
            <w:vAlign w:val="center"/>
            <w:hideMark/>
          </w:tcPr>
          <w:p w14:paraId="0500DA5C" w14:textId="77777777" w:rsidR="00284BE8" w:rsidRPr="00D62F3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D62F33">
              <w:rPr>
                <w:rFonts w:ascii="Times New Roman" w:eastAsia="Calibri" w:hAnsi="Times New Roman" w:cs="Times New Roman"/>
                <w:color w:val="auto"/>
                <w:sz w:val="20"/>
                <w:szCs w:val="20"/>
              </w:rPr>
              <w:t>EKS kods</w:t>
            </w:r>
          </w:p>
        </w:tc>
        <w:tc>
          <w:tcPr>
            <w:tcW w:w="786" w:type="dxa"/>
            <w:vMerge w:val="restart"/>
            <w:vAlign w:val="center"/>
            <w:hideMark/>
          </w:tcPr>
          <w:p w14:paraId="0CC5B4E5"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11B80">
              <w:rPr>
                <w:rFonts w:ascii="Times New Roman" w:hAnsi="Times New Roman" w:cs="Times New Roman"/>
                <w:bCs w:val="0"/>
                <w:color w:val="auto"/>
                <w:sz w:val="20"/>
                <w:szCs w:val="20"/>
              </w:rPr>
              <w:t>2019</w:t>
            </w:r>
          </w:p>
        </w:tc>
        <w:tc>
          <w:tcPr>
            <w:tcW w:w="787" w:type="dxa"/>
            <w:vMerge w:val="restart"/>
            <w:vAlign w:val="center"/>
            <w:hideMark/>
          </w:tcPr>
          <w:p w14:paraId="17B974E2"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2020</w:t>
            </w:r>
          </w:p>
        </w:tc>
        <w:tc>
          <w:tcPr>
            <w:tcW w:w="787" w:type="dxa"/>
            <w:vMerge w:val="restart"/>
            <w:vAlign w:val="center"/>
            <w:hideMark/>
          </w:tcPr>
          <w:p w14:paraId="40C5C4B7"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2021</w:t>
            </w:r>
          </w:p>
        </w:tc>
        <w:tc>
          <w:tcPr>
            <w:tcW w:w="787" w:type="dxa"/>
            <w:vMerge w:val="restart"/>
            <w:vAlign w:val="center"/>
            <w:hideMark/>
          </w:tcPr>
          <w:p w14:paraId="7E18664F"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2022</w:t>
            </w:r>
          </w:p>
        </w:tc>
        <w:tc>
          <w:tcPr>
            <w:tcW w:w="787" w:type="dxa"/>
            <w:vMerge w:val="restart"/>
            <w:vAlign w:val="center"/>
            <w:hideMark/>
          </w:tcPr>
          <w:p w14:paraId="0919EFFF"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2023</w:t>
            </w:r>
          </w:p>
        </w:tc>
      </w:tr>
      <w:tr w:rsidR="00284BE8" w:rsidRPr="00D62F33" w14:paraId="21D53169" w14:textId="77777777" w:rsidTr="00284BE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649" w:type="dxa"/>
            <w:vMerge/>
            <w:hideMark/>
          </w:tcPr>
          <w:p w14:paraId="2538E8F0" w14:textId="77777777" w:rsidR="00284BE8" w:rsidRPr="00D62F33" w:rsidRDefault="00284BE8" w:rsidP="00284BE8">
            <w:pPr>
              <w:rPr>
                <w:rFonts w:ascii="Times New Roman" w:eastAsia="Calibri" w:hAnsi="Times New Roman" w:cs="Times New Roman"/>
                <w:b w:val="0"/>
                <w:color w:val="auto"/>
                <w:sz w:val="20"/>
                <w:szCs w:val="20"/>
              </w:rPr>
            </w:pPr>
          </w:p>
        </w:tc>
        <w:tc>
          <w:tcPr>
            <w:tcW w:w="960" w:type="dxa"/>
            <w:vMerge/>
            <w:vAlign w:val="center"/>
            <w:hideMark/>
          </w:tcPr>
          <w:p w14:paraId="134CF404"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Merge/>
            <w:vAlign w:val="center"/>
            <w:hideMark/>
          </w:tcPr>
          <w:p w14:paraId="0A39F31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6C30086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09BE6C9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6957F64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6E8FE87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r>
      <w:tr w:rsidR="00284BE8" w:rsidRPr="00D62F33" w14:paraId="0F1C0513" w14:textId="77777777" w:rsidTr="00284BE8">
        <w:trPr>
          <w:trHeight w:val="20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0AD55473"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1. Tekošais un kapitāla konts</w:t>
            </w:r>
          </w:p>
        </w:tc>
        <w:tc>
          <w:tcPr>
            <w:tcW w:w="960" w:type="dxa"/>
            <w:vAlign w:val="center"/>
            <w:hideMark/>
          </w:tcPr>
          <w:p w14:paraId="3515884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D62F33">
              <w:rPr>
                <w:rFonts w:ascii="Times New Roman" w:eastAsia="Calibri" w:hAnsi="Times New Roman" w:cs="Times New Roman"/>
                <w:snapToGrid w:val="0"/>
                <w:color w:val="auto"/>
                <w:sz w:val="20"/>
                <w:szCs w:val="20"/>
              </w:rPr>
              <w:t>B.9</w:t>
            </w:r>
          </w:p>
        </w:tc>
        <w:tc>
          <w:tcPr>
            <w:tcW w:w="786" w:type="dxa"/>
            <w:vAlign w:val="center"/>
          </w:tcPr>
          <w:p w14:paraId="161B11F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1,4</w:t>
            </w:r>
          </w:p>
        </w:tc>
        <w:tc>
          <w:tcPr>
            <w:tcW w:w="787" w:type="dxa"/>
            <w:vAlign w:val="center"/>
          </w:tcPr>
          <w:p w14:paraId="278C4330"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787" w:type="dxa"/>
            <w:vAlign w:val="center"/>
          </w:tcPr>
          <w:p w14:paraId="4AFA4CD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w:t>
            </w:r>
          </w:p>
        </w:tc>
        <w:tc>
          <w:tcPr>
            <w:tcW w:w="787" w:type="dxa"/>
            <w:vAlign w:val="center"/>
          </w:tcPr>
          <w:p w14:paraId="7F62F47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1,0</w:t>
            </w:r>
          </w:p>
        </w:tc>
        <w:tc>
          <w:tcPr>
            <w:tcW w:w="787" w:type="dxa"/>
            <w:vAlign w:val="center"/>
          </w:tcPr>
          <w:p w14:paraId="1248D4E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r>
      <w:tr w:rsidR="00284BE8" w:rsidRPr="00D62F33" w14:paraId="19913D75" w14:textId="77777777" w:rsidTr="00284BE8">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40FB6000"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t.sk.:</w:t>
            </w:r>
          </w:p>
        </w:tc>
        <w:tc>
          <w:tcPr>
            <w:tcW w:w="960" w:type="dxa"/>
            <w:vAlign w:val="center"/>
            <w:hideMark/>
          </w:tcPr>
          <w:p w14:paraId="069EBF6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noWrap/>
            <w:vAlign w:val="center"/>
          </w:tcPr>
          <w:p w14:paraId="1320F53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787" w:type="dxa"/>
            <w:noWrap/>
            <w:vAlign w:val="center"/>
          </w:tcPr>
          <w:p w14:paraId="726BCD9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787" w:type="dxa"/>
            <w:noWrap/>
            <w:vAlign w:val="center"/>
          </w:tcPr>
          <w:p w14:paraId="2CBB03C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787" w:type="dxa"/>
            <w:noWrap/>
            <w:vAlign w:val="center"/>
          </w:tcPr>
          <w:p w14:paraId="1D8DC9A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787" w:type="dxa"/>
            <w:noWrap/>
            <w:vAlign w:val="center"/>
          </w:tcPr>
          <w:p w14:paraId="637EFBDD"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r>
      <w:tr w:rsidR="00284BE8" w:rsidRPr="00D62F33" w14:paraId="1A012236" w14:textId="77777777" w:rsidTr="00284BE8">
        <w:trPr>
          <w:trHeight w:val="230"/>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73EF61C1"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 Preču un pakalpojumu bilance</w:t>
            </w:r>
          </w:p>
        </w:tc>
        <w:tc>
          <w:tcPr>
            <w:tcW w:w="960" w:type="dxa"/>
            <w:vAlign w:val="center"/>
            <w:hideMark/>
          </w:tcPr>
          <w:p w14:paraId="4186286B"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52C95BB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7" w:type="dxa"/>
            <w:vAlign w:val="center"/>
          </w:tcPr>
          <w:p w14:paraId="11D0B3A8"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7" w:type="dxa"/>
            <w:vAlign w:val="center"/>
          </w:tcPr>
          <w:p w14:paraId="0E88F9A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c>
          <w:tcPr>
            <w:tcW w:w="787" w:type="dxa"/>
            <w:vAlign w:val="center"/>
          </w:tcPr>
          <w:p w14:paraId="37DDD89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c>
          <w:tcPr>
            <w:tcW w:w="787" w:type="dxa"/>
            <w:vAlign w:val="center"/>
          </w:tcPr>
          <w:p w14:paraId="54CB657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r>
      <w:tr w:rsidR="00284BE8" w:rsidRPr="00D62F33" w14:paraId="41D22DFE" w14:textId="77777777" w:rsidTr="00284BE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388A3521"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 Ienākumu un pārvedumu bilance</w:t>
            </w:r>
          </w:p>
        </w:tc>
        <w:tc>
          <w:tcPr>
            <w:tcW w:w="960" w:type="dxa"/>
            <w:vAlign w:val="center"/>
            <w:hideMark/>
          </w:tcPr>
          <w:p w14:paraId="2924FFB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0B72E95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-0,6</w:t>
            </w:r>
          </w:p>
        </w:tc>
        <w:tc>
          <w:tcPr>
            <w:tcW w:w="787" w:type="dxa"/>
            <w:vAlign w:val="center"/>
          </w:tcPr>
          <w:p w14:paraId="526DC07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c>
          <w:tcPr>
            <w:tcW w:w="787" w:type="dxa"/>
            <w:vAlign w:val="center"/>
          </w:tcPr>
          <w:p w14:paraId="577D484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7" w:type="dxa"/>
            <w:vAlign w:val="center"/>
          </w:tcPr>
          <w:p w14:paraId="7C49DA3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-0,5</w:t>
            </w:r>
          </w:p>
        </w:tc>
        <w:tc>
          <w:tcPr>
            <w:tcW w:w="787" w:type="dxa"/>
            <w:vAlign w:val="center"/>
          </w:tcPr>
          <w:p w14:paraId="3844C8A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-0,9</w:t>
            </w:r>
          </w:p>
        </w:tc>
      </w:tr>
      <w:tr w:rsidR="00284BE8" w:rsidRPr="00D62F33" w14:paraId="3375F268" w14:textId="77777777" w:rsidTr="00284BE8">
        <w:trPr>
          <w:trHeight w:val="25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373B5120"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 Kapitāla konts</w:t>
            </w:r>
          </w:p>
        </w:tc>
        <w:tc>
          <w:tcPr>
            <w:tcW w:w="960" w:type="dxa"/>
            <w:vAlign w:val="center"/>
            <w:hideMark/>
          </w:tcPr>
          <w:p w14:paraId="79A4090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24FB0133"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1,9</w:t>
            </w:r>
          </w:p>
        </w:tc>
        <w:tc>
          <w:tcPr>
            <w:tcW w:w="787" w:type="dxa"/>
            <w:vAlign w:val="center"/>
          </w:tcPr>
          <w:p w14:paraId="4C69C91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787" w:type="dxa"/>
            <w:vAlign w:val="center"/>
          </w:tcPr>
          <w:p w14:paraId="11541661"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787" w:type="dxa"/>
            <w:vAlign w:val="center"/>
          </w:tcPr>
          <w:p w14:paraId="61EB425B"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1,6</w:t>
            </w:r>
          </w:p>
        </w:tc>
        <w:tc>
          <w:tcPr>
            <w:tcW w:w="787" w:type="dxa"/>
            <w:vAlign w:val="center"/>
          </w:tcPr>
          <w:p w14:paraId="195D82F7"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1,9</w:t>
            </w:r>
          </w:p>
        </w:tc>
      </w:tr>
      <w:tr w:rsidR="00284BE8" w:rsidRPr="00D62F33" w14:paraId="1E43DBBA" w14:textId="77777777" w:rsidTr="00284BE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4EE14DDB"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2. Neto aizdevumi/ aizņemšanās privātajā sektorā</w:t>
            </w:r>
          </w:p>
        </w:tc>
        <w:tc>
          <w:tcPr>
            <w:tcW w:w="960" w:type="dxa"/>
            <w:vAlign w:val="center"/>
            <w:hideMark/>
          </w:tcPr>
          <w:p w14:paraId="3474AEBD"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D62F33">
              <w:rPr>
                <w:rFonts w:ascii="Times New Roman" w:eastAsia="Calibri" w:hAnsi="Times New Roman" w:cs="Times New Roman"/>
                <w:snapToGrid w:val="0"/>
                <w:color w:val="auto"/>
                <w:sz w:val="20"/>
                <w:szCs w:val="20"/>
              </w:rPr>
              <w:t>B.9</w:t>
            </w:r>
          </w:p>
        </w:tc>
        <w:tc>
          <w:tcPr>
            <w:tcW w:w="786" w:type="dxa"/>
            <w:vAlign w:val="center"/>
          </w:tcPr>
          <w:p w14:paraId="7B605CE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1,6</w:t>
            </w:r>
          </w:p>
        </w:tc>
        <w:tc>
          <w:tcPr>
            <w:tcW w:w="787" w:type="dxa"/>
            <w:vAlign w:val="center"/>
          </w:tcPr>
          <w:p w14:paraId="3AD803D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1,7</w:t>
            </w:r>
          </w:p>
        </w:tc>
        <w:tc>
          <w:tcPr>
            <w:tcW w:w="787" w:type="dxa"/>
            <w:vAlign w:val="center"/>
          </w:tcPr>
          <w:p w14:paraId="0C195DA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c>
          <w:tcPr>
            <w:tcW w:w="787" w:type="dxa"/>
            <w:vAlign w:val="center"/>
          </w:tcPr>
          <w:p w14:paraId="442A88C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w:t>
            </w:r>
          </w:p>
        </w:tc>
        <w:tc>
          <w:tcPr>
            <w:tcW w:w="787" w:type="dxa"/>
            <w:vAlign w:val="center"/>
          </w:tcPr>
          <w:p w14:paraId="2ECD8A6A"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r>
      <w:tr w:rsidR="00284BE8" w:rsidRPr="00D62F33" w14:paraId="79924778" w14:textId="77777777" w:rsidTr="00284BE8">
        <w:trPr>
          <w:trHeight w:val="27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2C513288"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3. Neto aizdevumi/ aizņemšanās vispārējās valdības sektorā</w:t>
            </w:r>
          </w:p>
        </w:tc>
        <w:tc>
          <w:tcPr>
            <w:tcW w:w="960" w:type="dxa"/>
            <w:vAlign w:val="center"/>
            <w:hideMark/>
          </w:tcPr>
          <w:p w14:paraId="420C5B94"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D62F33">
              <w:rPr>
                <w:rFonts w:ascii="Times New Roman" w:eastAsia="Calibri" w:hAnsi="Times New Roman" w:cs="Times New Roman"/>
                <w:snapToGrid w:val="0"/>
                <w:color w:val="auto"/>
                <w:sz w:val="20"/>
                <w:szCs w:val="20"/>
              </w:rPr>
              <w:t>EDP B.9</w:t>
            </w:r>
          </w:p>
        </w:tc>
        <w:tc>
          <w:tcPr>
            <w:tcW w:w="786" w:type="dxa"/>
            <w:vAlign w:val="center"/>
          </w:tcPr>
          <w:p w14:paraId="6F22243D"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-0,2</w:t>
            </w:r>
          </w:p>
        </w:tc>
        <w:tc>
          <w:tcPr>
            <w:tcW w:w="787" w:type="dxa"/>
            <w:vAlign w:val="center"/>
          </w:tcPr>
          <w:p w14:paraId="0BD53272"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787" w:type="dxa"/>
            <w:vAlign w:val="center"/>
          </w:tcPr>
          <w:p w14:paraId="0CFD03AD"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7" w:type="dxa"/>
            <w:vAlign w:val="center"/>
          </w:tcPr>
          <w:p w14:paraId="6182C987"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787" w:type="dxa"/>
            <w:vAlign w:val="center"/>
          </w:tcPr>
          <w:p w14:paraId="717A3D6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1,0</w:t>
            </w:r>
          </w:p>
        </w:tc>
      </w:tr>
      <w:tr w:rsidR="00284BE8" w:rsidRPr="00D62F33" w14:paraId="1D659BCE" w14:textId="77777777" w:rsidTr="00284BE8">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7BCCC97D" w14:textId="77777777" w:rsidR="00284BE8" w:rsidRPr="00D62F33" w:rsidRDefault="00284BE8" w:rsidP="00284BE8">
            <w:pPr>
              <w:rPr>
                <w:rFonts w:ascii="Times New Roman" w:eastAsia="Calibri" w:hAnsi="Times New Roman" w:cs="Times New Roman"/>
                <w:b w:val="0"/>
                <w:color w:val="auto"/>
                <w:sz w:val="20"/>
                <w:szCs w:val="20"/>
              </w:rPr>
            </w:pPr>
            <w:r w:rsidRPr="00D62F33">
              <w:rPr>
                <w:rFonts w:ascii="Times New Roman" w:eastAsia="Calibri" w:hAnsi="Times New Roman" w:cs="Times New Roman"/>
                <w:b w:val="0"/>
                <w:snapToGrid w:val="0"/>
                <w:color w:val="auto"/>
                <w:sz w:val="20"/>
                <w:szCs w:val="20"/>
              </w:rPr>
              <w:t>4. Statistiskā novirze</w:t>
            </w:r>
          </w:p>
        </w:tc>
        <w:tc>
          <w:tcPr>
            <w:tcW w:w="960" w:type="dxa"/>
            <w:vAlign w:val="center"/>
            <w:hideMark/>
          </w:tcPr>
          <w:p w14:paraId="7A5ACD32"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087F030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D62F33">
              <w:rPr>
                <w:rFonts w:ascii="Times New Roman" w:hAnsi="Times New Roman" w:cs="Times New Roman"/>
                <w:i/>
                <w:iCs/>
                <w:color w:val="auto"/>
                <w:sz w:val="20"/>
                <w:szCs w:val="20"/>
              </w:rPr>
              <w:t>0</w:t>
            </w:r>
          </w:p>
        </w:tc>
        <w:tc>
          <w:tcPr>
            <w:tcW w:w="787" w:type="dxa"/>
            <w:vAlign w:val="center"/>
          </w:tcPr>
          <w:p w14:paraId="0BA50EB9"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D62F33">
              <w:rPr>
                <w:rFonts w:ascii="Times New Roman" w:hAnsi="Times New Roman" w:cs="Times New Roman"/>
                <w:i/>
                <w:iCs/>
                <w:color w:val="auto"/>
                <w:sz w:val="20"/>
                <w:szCs w:val="20"/>
              </w:rPr>
              <w:t>0</w:t>
            </w:r>
          </w:p>
        </w:tc>
        <w:tc>
          <w:tcPr>
            <w:tcW w:w="787" w:type="dxa"/>
            <w:vAlign w:val="center"/>
          </w:tcPr>
          <w:p w14:paraId="5632927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D62F33">
              <w:rPr>
                <w:rFonts w:ascii="Times New Roman" w:hAnsi="Times New Roman" w:cs="Times New Roman"/>
                <w:i/>
                <w:iCs/>
                <w:color w:val="auto"/>
                <w:sz w:val="20"/>
                <w:szCs w:val="20"/>
              </w:rPr>
              <w:t>0</w:t>
            </w:r>
          </w:p>
        </w:tc>
        <w:tc>
          <w:tcPr>
            <w:tcW w:w="787" w:type="dxa"/>
            <w:vAlign w:val="center"/>
          </w:tcPr>
          <w:p w14:paraId="6D2AC9F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D62F33">
              <w:rPr>
                <w:rFonts w:ascii="Times New Roman" w:hAnsi="Times New Roman" w:cs="Times New Roman"/>
                <w:i/>
                <w:iCs/>
                <w:color w:val="auto"/>
                <w:sz w:val="20"/>
                <w:szCs w:val="20"/>
              </w:rPr>
              <w:t>0</w:t>
            </w:r>
          </w:p>
        </w:tc>
        <w:tc>
          <w:tcPr>
            <w:tcW w:w="787" w:type="dxa"/>
            <w:vAlign w:val="center"/>
          </w:tcPr>
          <w:p w14:paraId="1D92A23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D62F33">
              <w:rPr>
                <w:rFonts w:ascii="Times New Roman" w:hAnsi="Times New Roman" w:cs="Times New Roman"/>
                <w:i/>
                <w:iCs/>
                <w:color w:val="auto"/>
                <w:sz w:val="20"/>
                <w:szCs w:val="20"/>
              </w:rPr>
              <w:t>0</w:t>
            </w:r>
          </w:p>
        </w:tc>
      </w:tr>
    </w:tbl>
    <w:p w14:paraId="0BE7E72D" w14:textId="77777777" w:rsidR="005C4806" w:rsidRPr="00D551C4" w:rsidRDefault="005C4806" w:rsidP="005C4806">
      <w:pPr>
        <w:spacing w:after="0"/>
        <w:rPr>
          <w:rFonts w:ascii="Times New Roman" w:hAnsi="Times New Roman" w:cs="Times New Roman"/>
          <w:b/>
          <w:color w:val="000000"/>
          <w:sz w:val="24"/>
          <w:szCs w:val="24"/>
          <w:highlight w:val="yellow"/>
        </w:rPr>
      </w:pPr>
    </w:p>
    <w:p w14:paraId="5A9C6DE8" w14:textId="77777777" w:rsidR="00094C88" w:rsidRPr="00284BE8" w:rsidRDefault="00C81719" w:rsidP="00FC55D0">
      <w:pPr>
        <w:spacing w:after="0"/>
        <w:rPr>
          <w:rFonts w:ascii="Times New Roman" w:hAnsi="Times New Roman" w:cs="Times New Roman"/>
          <w:b/>
          <w:color w:val="000000"/>
          <w:szCs w:val="24"/>
        </w:rPr>
      </w:pPr>
      <w:r w:rsidRPr="00284BE8">
        <w:rPr>
          <w:rFonts w:ascii="Times New Roman" w:hAnsi="Times New Roman" w:cs="Times New Roman"/>
          <w:b/>
          <w:color w:val="000000"/>
          <w:sz w:val="24"/>
          <w:szCs w:val="24"/>
        </w:rPr>
        <w:t>2a.</w:t>
      </w:r>
      <w:r w:rsidR="00F51615" w:rsidRPr="00284BE8">
        <w:rPr>
          <w:rFonts w:ascii="Times New Roman" w:hAnsi="Times New Roman" w:cs="Times New Roman"/>
          <w:b/>
          <w:color w:val="000000"/>
          <w:sz w:val="24"/>
          <w:szCs w:val="24"/>
        </w:rPr>
        <w:t xml:space="preserve">tabula. Vispārējās valdības budžeta attīstība </w:t>
      </w:r>
    </w:p>
    <w:tbl>
      <w:tblPr>
        <w:tblStyle w:val="GridTable6Colorful-Accent113"/>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4C5D83" w14:paraId="36F55C78" w14:textId="77777777" w:rsidTr="00284BE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6FF1DDC" w14:textId="77777777" w:rsidR="00284BE8" w:rsidRPr="004C5D83" w:rsidRDefault="00284BE8" w:rsidP="00284BE8">
            <w:pPr>
              <w:rPr>
                <w:rFonts w:ascii="Times New Roman" w:hAnsi="Times New Roman" w:cs="Times New Roman"/>
                <w:b w:val="0"/>
                <w:color w:val="000000" w:themeColor="text1"/>
                <w:sz w:val="20"/>
                <w:szCs w:val="20"/>
                <w:lang w:eastAsia="lv-LV"/>
              </w:rPr>
            </w:pPr>
          </w:p>
        </w:tc>
        <w:tc>
          <w:tcPr>
            <w:tcW w:w="1134" w:type="dxa"/>
            <w:vAlign w:val="center"/>
            <w:hideMark/>
          </w:tcPr>
          <w:p w14:paraId="04293D8B" w14:textId="77777777" w:rsidR="00284BE8" w:rsidRPr="004C5D8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4C5D83">
              <w:rPr>
                <w:rFonts w:ascii="Times New Roman" w:hAnsi="Times New Roman" w:cs="Times New Roman"/>
                <w:color w:val="000000" w:themeColor="text1"/>
                <w:sz w:val="20"/>
                <w:szCs w:val="20"/>
                <w:lang w:eastAsia="lv-LV"/>
              </w:rPr>
              <w:t>EKS kods</w:t>
            </w:r>
          </w:p>
        </w:tc>
        <w:tc>
          <w:tcPr>
            <w:tcW w:w="1134" w:type="dxa"/>
            <w:vAlign w:val="center"/>
            <w:hideMark/>
          </w:tcPr>
          <w:p w14:paraId="3D2AAEF3" w14:textId="77777777" w:rsidR="00284BE8" w:rsidRPr="00786A6A"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Pr>
                <w:rFonts w:ascii="Times New Roman" w:hAnsi="Times New Roman" w:cs="Times New Roman"/>
                <w:color w:val="000000" w:themeColor="text1"/>
                <w:sz w:val="20"/>
                <w:szCs w:val="20"/>
                <w:lang w:eastAsia="lv-LV"/>
              </w:rPr>
              <w:t>2019</w:t>
            </w:r>
          </w:p>
        </w:tc>
        <w:tc>
          <w:tcPr>
            <w:tcW w:w="861" w:type="dxa"/>
            <w:vAlign w:val="center"/>
            <w:hideMark/>
          </w:tcPr>
          <w:p w14:paraId="2986759F" w14:textId="77777777" w:rsidR="00284BE8" w:rsidRPr="00786A6A"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Pr>
                <w:rFonts w:ascii="Times New Roman" w:hAnsi="Times New Roman" w:cs="Times New Roman"/>
                <w:color w:val="000000" w:themeColor="text1"/>
                <w:sz w:val="20"/>
                <w:szCs w:val="20"/>
                <w:lang w:eastAsia="lv-LV"/>
              </w:rPr>
              <w:t>2019</w:t>
            </w:r>
          </w:p>
        </w:tc>
        <w:tc>
          <w:tcPr>
            <w:tcW w:w="708" w:type="dxa"/>
            <w:vAlign w:val="center"/>
            <w:hideMark/>
          </w:tcPr>
          <w:p w14:paraId="265B2A55" w14:textId="77777777" w:rsidR="00284BE8" w:rsidRPr="004C5D8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4C5D83">
              <w:rPr>
                <w:rFonts w:ascii="Times New Roman" w:hAnsi="Times New Roman" w:cs="Times New Roman"/>
                <w:color w:val="000000" w:themeColor="text1"/>
                <w:sz w:val="20"/>
                <w:szCs w:val="20"/>
                <w:lang w:eastAsia="lv-LV"/>
              </w:rPr>
              <w:t>20</w:t>
            </w:r>
            <w:r>
              <w:rPr>
                <w:rFonts w:ascii="Times New Roman" w:hAnsi="Times New Roman" w:cs="Times New Roman"/>
                <w:color w:val="000000" w:themeColor="text1"/>
                <w:sz w:val="20"/>
                <w:szCs w:val="20"/>
                <w:lang w:eastAsia="lv-LV"/>
              </w:rPr>
              <w:t>20</w:t>
            </w:r>
          </w:p>
        </w:tc>
        <w:tc>
          <w:tcPr>
            <w:tcW w:w="709" w:type="dxa"/>
            <w:vAlign w:val="center"/>
            <w:hideMark/>
          </w:tcPr>
          <w:p w14:paraId="1273C2FE" w14:textId="77777777" w:rsidR="00284BE8" w:rsidRPr="004C5D8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4C5D83">
              <w:rPr>
                <w:rFonts w:ascii="Times New Roman" w:hAnsi="Times New Roman" w:cs="Times New Roman"/>
                <w:color w:val="000000" w:themeColor="text1"/>
                <w:sz w:val="20"/>
                <w:szCs w:val="20"/>
                <w:lang w:eastAsia="lv-LV"/>
              </w:rPr>
              <w:t>2</w:t>
            </w:r>
            <w:r>
              <w:rPr>
                <w:rFonts w:ascii="Times New Roman" w:hAnsi="Times New Roman" w:cs="Times New Roman"/>
                <w:color w:val="000000" w:themeColor="text1"/>
                <w:sz w:val="20"/>
                <w:szCs w:val="20"/>
                <w:lang w:eastAsia="lv-LV"/>
              </w:rPr>
              <w:t>021</w:t>
            </w:r>
          </w:p>
        </w:tc>
        <w:tc>
          <w:tcPr>
            <w:tcW w:w="709" w:type="dxa"/>
            <w:vAlign w:val="center"/>
            <w:hideMark/>
          </w:tcPr>
          <w:p w14:paraId="7E0C4204" w14:textId="77777777" w:rsidR="00284BE8" w:rsidRPr="004C5D8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4C5D83">
              <w:rPr>
                <w:rFonts w:ascii="Times New Roman" w:hAnsi="Times New Roman" w:cs="Times New Roman"/>
                <w:color w:val="000000" w:themeColor="text1"/>
                <w:sz w:val="20"/>
                <w:szCs w:val="20"/>
                <w:lang w:eastAsia="lv-LV"/>
              </w:rPr>
              <w:t>202</w:t>
            </w:r>
            <w:r>
              <w:rPr>
                <w:rFonts w:ascii="Times New Roman" w:hAnsi="Times New Roman" w:cs="Times New Roman"/>
                <w:color w:val="000000" w:themeColor="text1"/>
                <w:sz w:val="20"/>
                <w:szCs w:val="20"/>
                <w:lang w:eastAsia="lv-LV"/>
              </w:rPr>
              <w:t>2</w:t>
            </w:r>
          </w:p>
        </w:tc>
        <w:tc>
          <w:tcPr>
            <w:tcW w:w="709" w:type="dxa"/>
            <w:vAlign w:val="center"/>
            <w:hideMark/>
          </w:tcPr>
          <w:p w14:paraId="374D990D" w14:textId="77777777" w:rsidR="00284BE8" w:rsidRPr="004C5D83"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4C5D83">
              <w:rPr>
                <w:rFonts w:ascii="Times New Roman" w:hAnsi="Times New Roman" w:cs="Times New Roman"/>
                <w:color w:val="000000" w:themeColor="text1"/>
                <w:sz w:val="20"/>
                <w:szCs w:val="20"/>
                <w:lang w:eastAsia="lv-LV"/>
              </w:rPr>
              <w:t>202</w:t>
            </w:r>
            <w:r>
              <w:rPr>
                <w:rFonts w:ascii="Times New Roman" w:hAnsi="Times New Roman" w:cs="Times New Roman"/>
                <w:color w:val="000000" w:themeColor="text1"/>
                <w:sz w:val="20"/>
                <w:szCs w:val="20"/>
                <w:lang w:eastAsia="lv-LV"/>
              </w:rPr>
              <w:t>3</w:t>
            </w:r>
          </w:p>
        </w:tc>
      </w:tr>
      <w:tr w:rsidR="00284BE8" w:rsidRPr="004C5D83" w14:paraId="052C8B72" w14:textId="77777777" w:rsidTr="00284BE8">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DE92BC6" w14:textId="77777777" w:rsidR="00284BE8" w:rsidRPr="004C5D83" w:rsidRDefault="00284BE8" w:rsidP="00284BE8">
            <w:pPr>
              <w:rPr>
                <w:rFonts w:ascii="Times New Roman" w:hAnsi="Times New Roman" w:cs="Times New Roman"/>
                <w:b w:val="0"/>
                <w:color w:val="000000" w:themeColor="text1"/>
                <w:sz w:val="20"/>
                <w:szCs w:val="20"/>
                <w:lang w:eastAsia="lv-LV"/>
              </w:rPr>
            </w:pPr>
          </w:p>
        </w:tc>
        <w:tc>
          <w:tcPr>
            <w:tcW w:w="1134" w:type="dxa"/>
            <w:vAlign w:val="center"/>
            <w:hideMark/>
          </w:tcPr>
          <w:p w14:paraId="7541565E"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hideMark/>
          </w:tcPr>
          <w:p w14:paraId="669B55B3"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 xml:space="preserve">milj. </w:t>
            </w:r>
            <w:r w:rsidRPr="004C5D83">
              <w:rPr>
                <w:rFonts w:ascii="Times New Roman" w:hAnsi="Times New Roman" w:cs="Times New Roman"/>
                <w:bCs/>
                <w:i/>
                <w:color w:val="000000" w:themeColor="text1"/>
                <w:sz w:val="20"/>
                <w:szCs w:val="20"/>
                <w:lang w:eastAsia="lv-LV"/>
              </w:rPr>
              <w:t>euro</w:t>
            </w:r>
          </w:p>
        </w:tc>
        <w:tc>
          <w:tcPr>
            <w:tcW w:w="3696" w:type="dxa"/>
            <w:gridSpan w:val="5"/>
            <w:vAlign w:val="center"/>
            <w:hideMark/>
          </w:tcPr>
          <w:p w14:paraId="7033901D"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 no IKP</w:t>
            </w:r>
          </w:p>
        </w:tc>
      </w:tr>
      <w:tr w:rsidR="00284BE8" w:rsidRPr="004C5D83" w14:paraId="06EFD706" w14:textId="77777777" w:rsidTr="00284BE8">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14:paraId="18EE3EE7" w14:textId="77777777" w:rsidR="00284BE8" w:rsidRPr="004C5D83" w:rsidRDefault="00284BE8" w:rsidP="00284BE8">
            <w:pPr>
              <w:jc w:val="center"/>
              <w:rPr>
                <w:rFonts w:ascii="Times New Roman" w:hAnsi="Times New Roman" w:cs="Times New Roman"/>
                <w:b w:val="0"/>
                <w:color w:val="000000" w:themeColor="text1"/>
                <w:sz w:val="20"/>
                <w:szCs w:val="20"/>
                <w:lang w:eastAsia="lv-LV"/>
              </w:rPr>
            </w:pPr>
            <w:r w:rsidRPr="004C5D83">
              <w:rPr>
                <w:rFonts w:ascii="Times New Roman" w:hAnsi="Times New Roman" w:cs="Times New Roman"/>
                <w:b w:val="0"/>
                <w:color w:val="000000" w:themeColor="text1"/>
                <w:sz w:val="20"/>
                <w:szCs w:val="20"/>
                <w:lang w:eastAsia="lv-LV"/>
              </w:rPr>
              <w:t>Neto aizdevumi (+) v</w:t>
            </w:r>
            <w:r>
              <w:rPr>
                <w:rFonts w:ascii="Times New Roman" w:hAnsi="Times New Roman" w:cs="Times New Roman"/>
                <w:b w:val="0"/>
                <w:color w:val="000000" w:themeColor="text1"/>
                <w:sz w:val="20"/>
                <w:szCs w:val="20"/>
                <w:lang w:eastAsia="lv-LV"/>
              </w:rPr>
              <w:t>ai aizņēmumi (–) (B.9) pa apakš</w:t>
            </w:r>
            <w:r w:rsidRPr="004C5D83">
              <w:rPr>
                <w:rFonts w:ascii="Times New Roman" w:hAnsi="Times New Roman" w:cs="Times New Roman"/>
                <w:b w:val="0"/>
                <w:color w:val="000000" w:themeColor="text1"/>
                <w:sz w:val="20"/>
                <w:szCs w:val="20"/>
                <w:lang w:eastAsia="lv-LV"/>
              </w:rPr>
              <w:t>sektoriem</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B14F0C" w14:paraId="0FEA7A9E" w14:textId="77777777" w:rsidTr="00284BE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A18B003"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 Vispārējā valdība</w:t>
            </w:r>
          </w:p>
        </w:tc>
        <w:tc>
          <w:tcPr>
            <w:tcW w:w="1134" w:type="dxa"/>
            <w:vAlign w:val="center"/>
            <w:hideMark/>
          </w:tcPr>
          <w:p w14:paraId="60252AB8" w14:textId="77777777" w:rsidR="00284BE8" w:rsidRPr="00B14F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S.13</w:t>
            </w:r>
          </w:p>
        </w:tc>
        <w:tc>
          <w:tcPr>
            <w:tcW w:w="1134" w:type="dxa"/>
            <w:vAlign w:val="center"/>
          </w:tcPr>
          <w:p w14:paraId="0CE4C790"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auto"/>
                <w:sz w:val="20"/>
                <w:szCs w:val="20"/>
                <w:lang w:eastAsia="lv-LV"/>
              </w:rPr>
              <w:t>-63,2</w:t>
            </w:r>
          </w:p>
        </w:tc>
        <w:tc>
          <w:tcPr>
            <w:tcW w:w="861" w:type="dxa"/>
            <w:vAlign w:val="center"/>
          </w:tcPr>
          <w:p w14:paraId="3FC8964F"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auto"/>
                <w:sz w:val="20"/>
                <w:szCs w:val="20"/>
                <w:lang w:eastAsia="lv-LV"/>
              </w:rPr>
              <w:t>-0,2</w:t>
            </w:r>
          </w:p>
        </w:tc>
        <w:tc>
          <w:tcPr>
            <w:tcW w:w="708" w:type="dxa"/>
            <w:vAlign w:val="center"/>
          </w:tcPr>
          <w:p w14:paraId="0D3B3AFB"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000000" w:themeColor="text1"/>
                <w:sz w:val="20"/>
                <w:szCs w:val="20"/>
                <w:lang w:eastAsia="lv-LV"/>
              </w:rPr>
              <w:t>-0,4</w:t>
            </w:r>
          </w:p>
        </w:tc>
        <w:tc>
          <w:tcPr>
            <w:tcW w:w="709" w:type="dxa"/>
            <w:vAlign w:val="center"/>
          </w:tcPr>
          <w:p w14:paraId="34526056"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000000" w:themeColor="text1"/>
                <w:sz w:val="20"/>
                <w:szCs w:val="20"/>
                <w:lang w:eastAsia="lv-LV"/>
              </w:rPr>
              <w:t>-0,1</w:t>
            </w:r>
          </w:p>
        </w:tc>
        <w:tc>
          <w:tcPr>
            <w:tcW w:w="709" w:type="dxa"/>
            <w:vAlign w:val="center"/>
          </w:tcPr>
          <w:p w14:paraId="5746A313"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000000" w:themeColor="text1"/>
                <w:sz w:val="20"/>
                <w:szCs w:val="20"/>
                <w:lang w:eastAsia="lv-LV"/>
              </w:rPr>
              <w:t>-0,1</w:t>
            </w:r>
          </w:p>
        </w:tc>
        <w:tc>
          <w:tcPr>
            <w:tcW w:w="709" w:type="dxa"/>
            <w:vAlign w:val="center"/>
          </w:tcPr>
          <w:p w14:paraId="4BEAF5F4" w14:textId="77777777" w:rsidR="00284BE8" w:rsidRPr="00C675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6750C">
              <w:rPr>
                <w:rFonts w:ascii="Times New Roman" w:hAnsi="Times New Roman" w:cs="Times New Roman"/>
                <w:b w:val="0"/>
                <w:color w:val="000000" w:themeColor="text1"/>
                <w:sz w:val="20"/>
                <w:szCs w:val="20"/>
                <w:lang w:eastAsia="lv-LV"/>
              </w:rPr>
              <w:t>1,0</w:t>
            </w:r>
          </w:p>
        </w:tc>
      </w:tr>
      <w:tr w:rsidR="00284BE8" w:rsidRPr="004C5D83" w14:paraId="027EE73A" w14:textId="77777777" w:rsidTr="00284BE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16EC53C"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 Centrālā valdība</w:t>
            </w:r>
          </w:p>
        </w:tc>
        <w:tc>
          <w:tcPr>
            <w:tcW w:w="1134" w:type="dxa"/>
            <w:vAlign w:val="center"/>
            <w:hideMark/>
          </w:tcPr>
          <w:p w14:paraId="01914D5E"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S.1311</w:t>
            </w:r>
          </w:p>
        </w:tc>
        <w:tc>
          <w:tcPr>
            <w:tcW w:w="1134" w:type="dxa"/>
            <w:vAlign w:val="center"/>
          </w:tcPr>
          <w:p w14:paraId="3E51B5F6"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-526,5</w:t>
            </w:r>
          </w:p>
        </w:tc>
        <w:tc>
          <w:tcPr>
            <w:tcW w:w="861" w:type="dxa"/>
            <w:vAlign w:val="center"/>
          </w:tcPr>
          <w:p w14:paraId="5FBE7BA7"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-1,7</w:t>
            </w:r>
          </w:p>
        </w:tc>
        <w:tc>
          <w:tcPr>
            <w:tcW w:w="708" w:type="dxa"/>
            <w:vAlign w:val="center"/>
          </w:tcPr>
          <w:p w14:paraId="299AA071"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-0,9</w:t>
            </w:r>
          </w:p>
        </w:tc>
        <w:tc>
          <w:tcPr>
            <w:tcW w:w="709" w:type="dxa"/>
            <w:vAlign w:val="center"/>
          </w:tcPr>
          <w:p w14:paraId="2C09E2AC"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-0,7</w:t>
            </w:r>
          </w:p>
        </w:tc>
        <w:tc>
          <w:tcPr>
            <w:tcW w:w="709" w:type="dxa"/>
            <w:vAlign w:val="center"/>
          </w:tcPr>
          <w:p w14:paraId="1249AF3D"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-0,7</w:t>
            </w:r>
          </w:p>
        </w:tc>
        <w:tc>
          <w:tcPr>
            <w:tcW w:w="709" w:type="dxa"/>
            <w:vAlign w:val="center"/>
          </w:tcPr>
          <w:p w14:paraId="2FD466F7"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0,4</w:t>
            </w:r>
          </w:p>
        </w:tc>
      </w:tr>
      <w:tr w:rsidR="00284BE8" w:rsidRPr="004C5D83" w14:paraId="0AD226D0" w14:textId="77777777" w:rsidTr="00284BE8">
        <w:trPr>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9795936"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3. Pavalsts valdība</w:t>
            </w:r>
          </w:p>
        </w:tc>
        <w:tc>
          <w:tcPr>
            <w:tcW w:w="1134" w:type="dxa"/>
            <w:vAlign w:val="center"/>
            <w:hideMark/>
          </w:tcPr>
          <w:p w14:paraId="1F604EDA" w14:textId="77777777" w:rsidR="00284BE8" w:rsidRPr="004C5D8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S.1312</w:t>
            </w:r>
          </w:p>
        </w:tc>
        <w:tc>
          <w:tcPr>
            <w:tcW w:w="1134" w:type="dxa"/>
            <w:vAlign w:val="center"/>
          </w:tcPr>
          <w:p w14:paraId="4CBDD0B2"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 </w:t>
            </w:r>
          </w:p>
        </w:tc>
        <w:tc>
          <w:tcPr>
            <w:tcW w:w="861" w:type="dxa"/>
            <w:vAlign w:val="center"/>
          </w:tcPr>
          <w:p w14:paraId="28FC0BCA"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 </w:t>
            </w:r>
          </w:p>
        </w:tc>
        <w:tc>
          <w:tcPr>
            <w:tcW w:w="708" w:type="dxa"/>
            <w:vAlign w:val="center"/>
          </w:tcPr>
          <w:p w14:paraId="685D1707"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 </w:t>
            </w:r>
          </w:p>
        </w:tc>
        <w:tc>
          <w:tcPr>
            <w:tcW w:w="709" w:type="dxa"/>
            <w:vAlign w:val="center"/>
          </w:tcPr>
          <w:p w14:paraId="56494ECB"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vAlign w:val="center"/>
          </w:tcPr>
          <w:p w14:paraId="5560A720"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vAlign w:val="center"/>
          </w:tcPr>
          <w:p w14:paraId="77F8473F"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r>
      <w:tr w:rsidR="00284BE8" w:rsidRPr="004C5D83" w14:paraId="289CA599" w14:textId="77777777" w:rsidTr="00284BE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B27B4D5"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4. Vietējā valdība</w:t>
            </w:r>
          </w:p>
        </w:tc>
        <w:tc>
          <w:tcPr>
            <w:tcW w:w="1134" w:type="dxa"/>
            <w:vAlign w:val="center"/>
            <w:hideMark/>
          </w:tcPr>
          <w:p w14:paraId="7D511CDA"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S.1313</w:t>
            </w:r>
          </w:p>
        </w:tc>
        <w:tc>
          <w:tcPr>
            <w:tcW w:w="1134" w:type="dxa"/>
            <w:vAlign w:val="center"/>
          </w:tcPr>
          <w:p w14:paraId="2BCCD05B"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179,9</w:t>
            </w:r>
          </w:p>
        </w:tc>
        <w:tc>
          <w:tcPr>
            <w:tcW w:w="861" w:type="dxa"/>
            <w:vAlign w:val="center"/>
          </w:tcPr>
          <w:p w14:paraId="6B6201F5"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0,6</w:t>
            </w:r>
          </w:p>
        </w:tc>
        <w:tc>
          <w:tcPr>
            <w:tcW w:w="708" w:type="dxa"/>
            <w:vAlign w:val="center"/>
          </w:tcPr>
          <w:p w14:paraId="29F1F81C"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-0,2</w:t>
            </w:r>
          </w:p>
        </w:tc>
        <w:tc>
          <w:tcPr>
            <w:tcW w:w="709" w:type="dxa"/>
            <w:vAlign w:val="center"/>
          </w:tcPr>
          <w:p w14:paraId="42C8176C"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-0,1</w:t>
            </w:r>
          </w:p>
        </w:tc>
        <w:tc>
          <w:tcPr>
            <w:tcW w:w="709" w:type="dxa"/>
            <w:vAlign w:val="center"/>
          </w:tcPr>
          <w:p w14:paraId="11376E7E"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0,0</w:t>
            </w:r>
          </w:p>
        </w:tc>
        <w:tc>
          <w:tcPr>
            <w:tcW w:w="709" w:type="dxa"/>
            <w:vAlign w:val="center"/>
          </w:tcPr>
          <w:p w14:paraId="16968C9A" w14:textId="77777777" w:rsidR="00284BE8" w:rsidRPr="00C675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0,1</w:t>
            </w:r>
          </w:p>
        </w:tc>
      </w:tr>
      <w:tr w:rsidR="00284BE8" w:rsidRPr="004C5D83" w14:paraId="362C6A33" w14:textId="77777777" w:rsidTr="00284BE8">
        <w:trPr>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C899429"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5. Sociālās nodrošināšanas fondi</w:t>
            </w:r>
          </w:p>
        </w:tc>
        <w:tc>
          <w:tcPr>
            <w:tcW w:w="1134" w:type="dxa"/>
            <w:vAlign w:val="center"/>
            <w:hideMark/>
          </w:tcPr>
          <w:p w14:paraId="6505977F" w14:textId="77777777" w:rsidR="00284BE8" w:rsidRPr="004C5D8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S.1314</w:t>
            </w:r>
          </w:p>
        </w:tc>
        <w:tc>
          <w:tcPr>
            <w:tcW w:w="1134" w:type="dxa"/>
            <w:vAlign w:val="center"/>
          </w:tcPr>
          <w:p w14:paraId="2291E298"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283,4</w:t>
            </w:r>
          </w:p>
        </w:tc>
        <w:tc>
          <w:tcPr>
            <w:tcW w:w="861" w:type="dxa"/>
            <w:vAlign w:val="center"/>
          </w:tcPr>
          <w:p w14:paraId="51AE9392"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auto"/>
                <w:sz w:val="20"/>
                <w:szCs w:val="20"/>
                <w:lang w:eastAsia="lv-LV"/>
              </w:rPr>
              <w:t>0,9</w:t>
            </w:r>
          </w:p>
        </w:tc>
        <w:tc>
          <w:tcPr>
            <w:tcW w:w="708" w:type="dxa"/>
            <w:vAlign w:val="center"/>
          </w:tcPr>
          <w:p w14:paraId="31602447"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0,7</w:t>
            </w:r>
          </w:p>
        </w:tc>
        <w:tc>
          <w:tcPr>
            <w:tcW w:w="709" w:type="dxa"/>
            <w:vAlign w:val="center"/>
          </w:tcPr>
          <w:p w14:paraId="505C8245"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0,7</w:t>
            </w:r>
          </w:p>
        </w:tc>
        <w:tc>
          <w:tcPr>
            <w:tcW w:w="709" w:type="dxa"/>
            <w:vAlign w:val="center"/>
          </w:tcPr>
          <w:p w14:paraId="07FE800A"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0,6</w:t>
            </w:r>
          </w:p>
        </w:tc>
        <w:tc>
          <w:tcPr>
            <w:tcW w:w="709" w:type="dxa"/>
            <w:vAlign w:val="center"/>
          </w:tcPr>
          <w:p w14:paraId="4982B37C" w14:textId="77777777" w:rsidR="00284BE8" w:rsidRPr="00C675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6750C">
              <w:rPr>
                <w:rFonts w:ascii="Times New Roman" w:hAnsi="Times New Roman" w:cs="Times New Roman"/>
                <w:bCs/>
                <w:color w:val="000000" w:themeColor="text1"/>
                <w:sz w:val="20"/>
                <w:szCs w:val="20"/>
                <w:lang w:eastAsia="lv-LV"/>
              </w:rPr>
              <w:t>0,5</w:t>
            </w: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4C5D83" w14:paraId="623A2C29" w14:textId="77777777" w:rsidTr="00284BE8">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60F2EB4F" w14:textId="77777777" w:rsidR="00284BE8" w:rsidRPr="004C5D83" w:rsidRDefault="00284BE8" w:rsidP="00284BE8">
            <w:pPr>
              <w:jc w:val="center"/>
              <w:rPr>
                <w:rFonts w:ascii="Times New Roman" w:hAnsi="Times New Roman" w:cs="Times New Roman"/>
                <w:bCs w:val="0"/>
                <w:color w:val="000000" w:themeColor="text1"/>
                <w:sz w:val="20"/>
                <w:szCs w:val="20"/>
                <w:lang w:eastAsia="lv-LV"/>
              </w:rPr>
            </w:pPr>
            <w:r w:rsidRPr="004C5D83">
              <w:rPr>
                <w:rFonts w:ascii="Times New Roman" w:hAnsi="Times New Roman" w:cs="Times New Roman"/>
                <w:bCs w:val="0"/>
                <w:color w:val="000000" w:themeColor="text1"/>
                <w:sz w:val="20"/>
                <w:szCs w:val="20"/>
                <w:lang w:eastAsia="lv-LV"/>
              </w:rPr>
              <w:t>Vispārējā valdība (S.13)</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B14F0C" w14:paraId="28E8F4EF" w14:textId="77777777" w:rsidTr="00284BE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CBD0166"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6. Kopējie ieņēmumi</w:t>
            </w:r>
          </w:p>
        </w:tc>
        <w:tc>
          <w:tcPr>
            <w:tcW w:w="1134" w:type="dxa"/>
            <w:vAlign w:val="center"/>
            <w:hideMark/>
          </w:tcPr>
          <w:p w14:paraId="29EBA476" w14:textId="77777777" w:rsidR="00284BE8" w:rsidRPr="00B14F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TR</w:t>
            </w:r>
          </w:p>
        </w:tc>
        <w:tc>
          <w:tcPr>
            <w:tcW w:w="1134" w:type="dxa"/>
            <w:vAlign w:val="center"/>
          </w:tcPr>
          <w:p w14:paraId="501106D4"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auto"/>
                <w:sz w:val="20"/>
                <w:szCs w:val="20"/>
                <w:lang w:eastAsia="lv-LV"/>
              </w:rPr>
              <w:t>11 790,1</w:t>
            </w:r>
          </w:p>
        </w:tc>
        <w:tc>
          <w:tcPr>
            <w:tcW w:w="861" w:type="dxa"/>
            <w:vAlign w:val="center"/>
          </w:tcPr>
          <w:p w14:paraId="383FC331"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auto"/>
                <w:sz w:val="20"/>
                <w:szCs w:val="20"/>
                <w:lang w:eastAsia="lv-LV"/>
              </w:rPr>
              <w:t>38,7</w:t>
            </w:r>
          </w:p>
        </w:tc>
        <w:tc>
          <w:tcPr>
            <w:tcW w:w="708" w:type="dxa"/>
            <w:vAlign w:val="center"/>
          </w:tcPr>
          <w:p w14:paraId="012FEFEB"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38,2</w:t>
            </w:r>
          </w:p>
        </w:tc>
        <w:tc>
          <w:tcPr>
            <w:tcW w:w="709" w:type="dxa"/>
            <w:vAlign w:val="center"/>
          </w:tcPr>
          <w:p w14:paraId="2713B7EE"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37,5</w:t>
            </w:r>
          </w:p>
        </w:tc>
        <w:tc>
          <w:tcPr>
            <w:tcW w:w="709" w:type="dxa"/>
            <w:vAlign w:val="center"/>
          </w:tcPr>
          <w:p w14:paraId="3A83E9B9"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37,1</w:t>
            </w:r>
          </w:p>
        </w:tc>
        <w:tc>
          <w:tcPr>
            <w:tcW w:w="709" w:type="dxa"/>
            <w:vAlign w:val="center"/>
          </w:tcPr>
          <w:p w14:paraId="71AA2F64"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36,9</w:t>
            </w:r>
          </w:p>
        </w:tc>
      </w:tr>
      <w:tr w:rsidR="00284BE8" w:rsidRPr="00B14F0C" w14:paraId="682F1D4F" w14:textId="77777777" w:rsidTr="00284BE8">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C0933FE"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7. Kopējie izdevumi</w:t>
            </w:r>
          </w:p>
        </w:tc>
        <w:tc>
          <w:tcPr>
            <w:tcW w:w="1134" w:type="dxa"/>
            <w:vAlign w:val="center"/>
            <w:hideMark/>
          </w:tcPr>
          <w:p w14:paraId="581C4F78"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TE</w:t>
            </w:r>
          </w:p>
        </w:tc>
        <w:tc>
          <w:tcPr>
            <w:tcW w:w="1134" w:type="dxa"/>
            <w:vAlign w:val="center"/>
          </w:tcPr>
          <w:p w14:paraId="51219146"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11 853,3</w:t>
            </w:r>
          </w:p>
        </w:tc>
        <w:tc>
          <w:tcPr>
            <w:tcW w:w="861" w:type="dxa"/>
            <w:vAlign w:val="center"/>
          </w:tcPr>
          <w:p w14:paraId="0FCF0CBD"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38,9</w:t>
            </w:r>
          </w:p>
        </w:tc>
        <w:tc>
          <w:tcPr>
            <w:tcW w:w="708" w:type="dxa"/>
            <w:vAlign w:val="center"/>
          </w:tcPr>
          <w:p w14:paraId="15286E21"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38,6</w:t>
            </w:r>
          </w:p>
        </w:tc>
        <w:tc>
          <w:tcPr>
            <w:tcW w:w="709" w:type="dxa"/>
            <w:vAlign w:val="center"/>
          </w:tcPr>
          <w:p w14:paraId="4B1595B2"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37,6</w:t>
            </w:r>
          </w:p>
        </w:tc>
        <w:tc>
          <w:tcPr>
            <w:tcW w:w="709" w:type="dxa"/>
            <w:vAlign w:val="center"/>
          </w:tcPr>
          <w:p w14:paraId="161C9FDD"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37,1</w:t>
            </w:r>
          </w:p>
        </w:tc>
        <w:tc>
          <w:tcPr>
            <w:tcW w:w="709" w:type="dxa"/>
            <w:vAlign w:val="center"/>
          </w:tcPr>
          <w:p w14:paraId="632D9EB9"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35,9</w:t>
            </w:r>
          </w:p>
        </w:tc>
      </w:tr>
      <w:tr w:rsidR="00284BE8" w:rsidRPr="00B14F0C" w14:paraId="3CA13992" w14:textId="77777777" w:rsidTr="00284BE8">
        <w:trPr>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284546F"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8. Budžeta bilance</w:t>
            </w:r>
          </w:p>
        </w:tc>
        <w:tc>
          <w:tcPr>
            <w:tcW w:w="1134" w:type="dxa"/>
            <w:vAlign w:val="center"/>
            <w:hideMark/>
          </w:tcPr>
          <w:p w14:paraId="59A82660"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B.9</w:t>
            </w:r>
          </w:p>
        </w:tc>
        <w:tc>
          <w:tcPr>
            <w:tcW w:w="1134" w:type="dxa"/>
            <w:vAlign w:val="center"/>
          </w:tcPr>
          <w:p w14:paraId="22D51B0D"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-63,2</w:t>
            </w:r>
          </w:p>
        </w:tc>
        <w:tc>
          <w:tcPr>
            <w:tcW w:w="861" w:type="dxa"/>
            <w:vAlign w:val="center"/>
          </w:tcPr>
          <w:p w14:paraId="647B83F5"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-0,2</w:t>
            </w:r>
          </w:p>
        </w:tc>
        <w:tc>
          <w:tcPr>
            <w:tcW w:w="708" w:type="dxa"/>
            <w:vAlign w:val="center"/>
          </w:tcPr>
          <w:p w14:paraId="71823DB8"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-0,4</w:t>
            </w:r>
          </w:p>
        </w:tc>
        <w:tc>
          <w:tcPr>
            <w:tcW w:w="709" w:type="dxa"/>
            <w:vAlign w:val="center"/>
          </w:tcPr>
          <w:p w14:paraId="2C86B561"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-0,1</w:t>
            </w:r>
          </w:p>
        </w:tc>
        <w:tc>
          <w:tcPr>
            <w:tcW w:w="709" w:type="dxa"/>
            <w:vAlign w:val="center"/>
          </w:tcPr>
          <w:p w14:paraId="46E915B1"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-0,1</w:t>
            </w:r>
          </w:p>
        </w:tc>
        <w:tc>
          <w:tcPr>
            <w:tcW w:w="709" w:type="dxa"/>
            <w:vAlign w:val="center"/>
          </w:tcPr>
          <w:p w14:paraId="76F1FDC4"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1,0</w:t>
            </w:r>
          </w:p>
        </w:tc>
      </w:tr>
      <w:tr w:rsidR="00284BE8" w:rsidRPr="004C5D83" w14:paraId="07F2DDDE" w14:textId="77777777" w:rsidTr="00284BE8">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02A6923"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9. Procentu izdevumi</w:t>
            </w:r>
          </w:p>
        </w:tc>
        <w:tc>
          <w:tcPr>
            <w:tcW w:w="1134" w:type="dxa"/>
            <w:vAlign w:val="center"/>
            <w:hideMark/>
          </w:tcPr>
          <w:p w14:paraId="4610280D"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4C5D83">
              <w:rPr>
                <w:rFonts w:ascii="Times New Roman" w:hAnsi="Times New Roman" w:cs="Times New Roman"/>
                <w:bCs/>
                <w:color w:val="000000" w:themeColor="text1"/>
                <w:sz w:val="20"/>
                <w:szCs w:val="20"/>
                <w:lang w:eastAsia="lv-LV"/>
              </w:rPr>
              <w:t>D.41</w:t>
            </w:r>
          </w:p>
        </w:tc>
        <w:tc>
          <w:tcPr>
            <w:tcW w:w="1134" w:type="dxa"/>
            <w:vAlign w:val="center"/>
          </w:tcPr>
          <w:p w14:paraId="74DD475F"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210,7</w:t>
            </w:r>
          </w:p>
        </w:tc>
        <w:tc>
          <w:tcPr>
            <w:tcW w:w="861" w:type="dxa"/>
            <w:vAlign w:val="center"/>
          </w:tcPr>
          <w:p w14:paraId="680800BE"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0,7</w:t>
            </w:r>
          </w:p>
        </w:tc>
        <w:tc>
          <w:tcPr>
            <w:tcW w:w="708" w:type="dxa"/>
            <w:vAlign w:val="center"/>
          </w:tcPr>
          <w:p w14:paraId="16117555"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0,8</w:t>
            </w:r>
          </w:p>
        </w:tc>
        <w:tc>
          <w:tcPr>
            <w:tcW w:w="709" w:type="dxa"/>
            <w:vAlign w:val="center"/>
          </w:tcPr>
          <w:p w14:paraId="36CEFE78"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0,8</w:t>
            </w:r>
          </w:p>
        </w:tc>
        <w:tc>
          <w:tcPr>
            <w:tcW w:w="709" w:type="dxa"/>
            <w:vAlign w:val="center"/>
          </w:tcPr>
          <w:p w14:paraId="3E050B19"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0,8</w:t>
            </w:r>
          </w:p>
        </w:tc>
        <w:tc>
          <w:tcPr>
            <w:tcW w:w="709" w:type="dxa"/>
            <w:vAlign w:val="center"/>
          </w:tcPr>
          <w:p w14:paraId="62879F30"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0,8</w:t>
            </w:r>
          </w:p>
        </w:tc>
      </w:tr>
      <w:tr w:rsidR="00284BE8" w:rsidRPr="004C5D83" w14:paraId="3E0A584E" w14:textId="77777777" w:rsidTr="00284BE8">
        <w:trPr>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B363092"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10. Primārā bilance</w:t>
            </w:r>
          </w:p>
        </w:tc>
        <w:tc>
          <w:tcPr>
            <w:tcW w:w="1134" w:type="dxa"/>
            <w:vAlign w:val="center"/>
            <w:hideMark/>
          </w:tcPr>
          <w:p w14:paraId="38F1F6E1" w14:textId="77777777" w:rsidR="00284BE8" w:rsidRPr="004C5D8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3598E52A"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147,5</w:t>
            </w:r>
          </w:p>
        </w:tc>
        <w:tc>
          <w:tcPr>
            <w:tcW w:w="861" w:type="dxa"/>
            <w:vAlign w:val="center"/>
          </w:tcPr>
          <w:p w14:paraId="459C446A"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0,5</w:t>
            </w:r>
          </w:p>
        </w:tc>
        <w:tc>
          <w:tcPr>
            <w:tcW w:w="708" w:type="dxa"/>
            <w:vAlign w:val="center"/>
          </w:tcPr>
          <w:p w14:paraId="16F96D47"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0,4</w:t>
            </w:r>
          </w:p>
        </w:tc>
        <w:tc>
          <w:tcPr>
            <w:tcW w:w="709" w:type="dxa"/>
            <w:vAlign w:val="center"/>
          </w:tcPr>
          <w:p w14:paraId="79E1FD4E"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0,7</w:t>
            </w:r>
          </w:p>
        </w:tc>
        <w:tc>
          <w:tcPr>
            <w:tcW w:w="709" w:type="dxa"/>
            <w:vAlign w:val="center"/>
          </w:tcPr>
          <w:p w14:paraId="6DBF823C"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0,7</w:t>
            </w:r>
          </w:p>
        </w:tc>
        <w:tc>
          <w:tcPr>
            <w:tcW w:w="709" w:type="dxa"/>
            <w:vAlign w:val="center"/>
          </w:tcPr>
          <w:p w14:paraId="66F41D06"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1,7</w:t>
            </w:r>
          </w:p>
        </w:tc>
      </w:tr>
      <w:tr w:rsidR="00284BE8" w:rsidRPr="004C5D83" w14:paraId="19E34EFF" w14:textId="77777777" w:rsidTr="00284BE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DEA7C1B"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11. Vienreizēji un citi īslaicīgi pasākumi</w:t>
            </w:r>
          </w:p>
        </w:tc>
        <w:tc>
          <w:tcPr>
            <w:tcW w:w="1134" w:type="dxa"/>
            <w:vAlign w:val="center"/>
            <w:hideMark/>
          </w:tcPr>
          <w:p w14:paraId="17A7F47F" w14:textId="77777777" w:rsidR="00284BE8" w:rsidRPr="004C5D8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215B7A10"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60,7</w:t>
            </w:r>
          </w:p>
        </w:tc>
        <w:tc>
          <w:tcPr>
            <w:tcW w:w="861" w:type="dxa"/>
            <w:vAlign w:val="center"/>
          </w:tcPr>
          <w:p w14:paraId="4D668E0E"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0,2</w:t>
            </w:r>
          </w:p>
        </w:tc>
        <w:tc>
          <w:tcPr>
            <w:tcW w:w="708" w:type="dxa"/>
            <w:vAlign w:val="center"/>
          </w:tcPr>
          <w:p w14:paraId="72648B8B"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tcPr>
          <w:p w14:paraId="164A593F"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tcPr>
          <w:p w14:paraId="3D4E8234"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tcPr>
          <w:p w14:paraId="07E5E733"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4C5D83" w14:paraId="607D142A" w14:textId="77777777" w:rsidTr="00284BE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405A3A58" w14:textId="77777777" w:rsidR="00284BE8" w:rsidRPr="004C5D83" w:rsidRDefault="00284BE8" w:rsidP="00284BE8">
            <w:pPr>
              <w:jc w:val="center"/>
              <w:rPr>
                <w:rFonts w:ascii="Times New Roman" w:hAnsi="Times New Roman" w:cs="Times New Roman"/>
                <w:bCs w:val="0"/>
                <w:color w:val="000000" w:themeColor="text1"/>
                <w:sz w:val="20"/>
                <w:szCs w:val="20"/>
                <w:lang w:eastAsia="lv-LV"/>
              </w:rPr>
            </w:pPr>
            <w:r w:rsidRPr="004C5D83">
              <w:rPr>
                <w:rFonts w:ascii="Times New Roman" w:hAnsi="Times New Roman" w:cs="Times New Roman"/>
                <w:bCs w:val="0"/>
                <w:color w:val="000000" w:themeColor="text1"/>
                <w:sz w:val="20"/>
                <w:szCs w:val="20"/>
                <w:lang w:eastAsia="lv-LV"/>
              </w:rPr>
              <w:t>Ieņēmumu sadaļas</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B14F0C" w14:paraId="6E495841" w14:textId="77777777" w:rsidTr="00284BE8">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97B7310"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12. Nodokļi kopā (12=12a+12b+12c)</w:t>
            </w:r>
          </w:p>
        </w:tc>
        <w:tc>
          <w:tcPr>
            <w:tcW w:w="1134" w:type="dxa"/>
            <w:vAlign w:val="center"/>
            <w:hideMark/>
          </w:tcPr>
          <w:p w14:paraId="4FFA048E" w14:textId="77777777" w:rsidR="00284BE8" w:rsidRPr="00B14F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p>
        </w:tc>
        <w:tc>
          <w:tcPr>
            <w:tcW w:w="1134" w:type="dxa"/>
            <w:vAlign w:val="center"/>
          </w:tcPr>
          <w:p w14:paraId="458D89F6"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auto"/>
                <w:sz w:val="20"/>
                <w:szCs w:val="20"/>
                <w:lang w:eastAsia="lv-LV"/>
              </w:rPr>
              <w:t>6 460,8</w:t>
            </w:r>
          </w:p>
        </w:tc>
        <w:tc>
          <w:tcPr>
            <w:tcW w:w="861" w:type="dxa"/>
            <w:vAlign w:val="center"/>
          </w:tcPr>
          <w:p w14:paraId="61F27C0E"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auto"/>
                <w:sz w:val="20"/>
                <w:szCs w:val="20"/>
                <w:lang w:eastAsia="lv-LV"/>
              </w:rPr>
              <w:t>21,2</w:t>
            </w:r>
          </w:p>
        </w:tc>
        <w:tc>
          <w:tcPr>
            <w:tcW w:w="708" w:type="dxa"/>
            <w:vAlign w:val="center"/>
          </w:tcPr>
          <w:p w14:paraId="2E8E0F30"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21,3</w:t>
            </w:r>
          </w:p>
        </w:tc>
        <w:tc>
          <w:tcPr>
            <w:tcW w:w="709" w:type="dxa"/>
            <w:vAlign w:val="center"/>
          </w:tcPr>
          <w:p w14:paraId="1AE95FB5"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21,5</w:t>
            </w:r>
          </w:p>
        </w:tc>
        <w:tc>
          <w:tcPr>
            <w:tcW w:w="709" w:type="dxa"/>
            <w:vAlign w:val="center"/>
          </w:tcPr>
          <w:p w14:paraId="0609703C"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21,3</w:t>
            </w:r>
          </w:p>
        </w:tc>
        <w:tc>
          <w:tcPr>
            <w:tcW w:w="709" w:type="dxa"/>
            <w:vAlign w:val="center"/>
          </w:tcPr>
          <w:p w14:paraId="33235A3B" w14:textId="77777777" w:rsidR="00284BE8" w:rsidRPr="00CB5E8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CB5E81">
              <w:rPr>
                <w:rFonts w:ascii="Times New Roman" w:hAnsi="Times New Roman" w:cs="Times New Roman"/>
                <w:b w:val="0"/>
                <w:color w:val="000000" w:themeColor="text1"/>
                <w:sz w:val="20"/>
                <w:szCs w:val="20"/>
                <w:lang w:eastAsia="lv-LV"/>
              </w:rPr>
              <w:t>21,4</w:t>
            </w:r>
          </w:p>
        </w:tc>
      </w:tr>
      <w:tr w:rsidR="00284BE8" w:rsidRPr="00B14F0C" w14:paraId="1D40A0E5" w14:textId="77777777" w:rsidTr="00284BE8">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ECBB91E"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12a. Ražošanas un importa nodokļi</w:t>
            </w:r>
          </w:p>
        </w:tc>
        <w:tc>
          <w:tcPr>
            <w:tcW w:w="1134" w:type="dxa"/>
            <w:vAlign w:val="center"/>
            <w:hideMark/>
          </w:tcPr>
          <w:p w14:paraId="38895EFC"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D.2</w:t>
            </w:r>
          </w:p>
        </w:tc>
        <w:tc>
          <w:tcPr>
            <w:tcW w:w="1134" w:type="dxa"/>
            <w:vAlign w:val="center"/>
          </w:tcPr>
          <w:p w14:paraId="090DAE09"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4 319,7</w:t>
            </w:r>
          </w:p>
        </w:tc>
        <w:tc>
          <w:tcPr>
            <w:tcW w:w="861" w:type="dxa"/>
            <w:vAlign w:val="center"/>
          </w:tcPr>
          <w:p w14:paraId="6CDA437E"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14,2</w:t>
            </w:r>
          </w:p>
        </w:tc>
        <w:tc>
          <w:tcPr>
            <w:tcW w:w="708" w:type="dxa"/>
            <w:vAlign w:val="center"/>
          </w:tcPr>
          <w:p w14:paraId="0C5C29C5"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14,5</w:t>
            </w:r>
          </w:p>
        </w:tc>
        <w:tc>
          <w:tcPr>
            <w:tcW w:w="709" w:type="dxa"/>
            <w:vAlign w:val="center"/>
          </w:tcPr>
          <w:p w14:paraId="46BB1ABF"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14,5</w:t>
            </w:r>
          </w:p>
        </w:tc>
        <w:tc>
          <w:tcPr>
            <w:tcW w:w="709" w:type="dxa"/>
            <w:vAlign w:val="center"/>
          </w:tcPr>
          <w:p w14:paraId="12FDE35D"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14,3</w:t>
            </w:r>
          </w:p>
        </w:tc>
        <w:tc>
          <w:tcPr>
            <w:tcW w:w="709" w:type="dxa"/>
            <w:vAlign w:val="center"/>
          </w:tcPr>
          <w:p w14:paraId="31080F53"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14,4</w:t>
            </w:r>
          </w:p>
        </w:tc>
      </w:tr>
      <w:tr w:rsidR="00284BE8" w:rsidRPr="00B14F0C" w14:paraId="4B65C65E" w14:textId="77777777" w:rsidTr="00284BE8">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3693E71"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12b. Ienākuma un mantas kārtējie nodokļi</w:t>
            </w:r>
          </w:p>
        </w:tc>
        <w:tc>
          <w:tcPr>
            <w:tcW w:w="1134" w:type="dxa"/>
            <w:vAlign w:val="center"/>
            <w:hideMark/>
          </w:tcPr>
          <w:p w14:paraId="078D594F"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D.5</w:t>
            </w:r>
          </w:p>
        </w:tc>
        <w:tc>
          <w:tcPr>
            <w:tcW w:w="1134" w:type="dxa"/>
            <w:vAlign w:val="center"/>
          </w:tcPr>
          <w:p w14:paraId="54A7E086"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2 129,5</w:t>
            </w:r>
          </w:p>
        </w:tc>
        <w:tc>
          <w:tcPr>
            <w:tcW w:w="861" w:type="dxa"/>
            <w:vAlign w:val="center"/>
          </w:tcPr>
          <w:p w14:paraId="475D50B1"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7,0</w:t>
            </w:r>
          </w:p>
        </w:tc>
        <w:tc>
          <w:tcPr>
            <w:tcW w:w="708" w:type="dxa"/>
            <w:vAlign w:val="center"/>
          </w:tcPr>
          <w:p w14:paraId="61ED723C"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6,8</w:t>
            </w:r>
          </w:p>
        </w:tc>
        <w:tc>
          <w:tcPr>
            <w:tcW w:w="709" w:type="dxa"/>
            <w:vAlign w:val="center"/>
          </w:tcPr>
          <w:p w14:paraId="6D446320"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7,0</w:t>
            </w:r>
          </w:p>
        </w:tc>
        <w:tc>
          <w:tcPr>
            <w:tcW w:w="709" w:type="dxa"/>
            <w:vAlign w:val="center"/>
          </w:tcPr>
          <w:p w14:paraId="739BC213"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7,0</w:t>
            </w:r>
          </w:p>
        </w:tc>
        <w:tc>
          <w:tcPr>
            <w:tcW w:w="709" w:type="dxa"/>
            <w:vAlign w:val="center"/>
          </w:tcPr>
          <w:p w14:paraId="3971520E"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7,0</w:t>
            </w:r>
          </w:p>
        </w:tc>
      </w:tr>
      <w:tr w:rsidR="00284BE8" w:rsidRPr="00B14F0C" w14:paraId="14F83696" w14:textId="77777777" w:rsidTr="00284BE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A77D17A"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12c. Kapitāla nodokļi</w:t>
            </w:r>
          </w:p>
        </w:tc>
        <w:tc>
          <w:tcPr>
            <w:tcW w:w="1134" w:type="dxa"/>
            <w:vAlign w:val="center"/>
            <w:hideMark/>
          </w:tcPr>
          <w:p w14:paraId="01ABFA2F"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D.91</w:t>
            </w:r>
          </w:p>
        </w:tc>
        <w:tc>
          <w:tcPr>
            <w:tcW w:w="1134" w:type="dxa"/>
            <w:vAlign w:val="center"/>
          </w:tcPr>
          <w:p w14:paraId="3DA98DC7"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11,5</w:t>
            </w:r>
          </w:p>
        </w:tc>
        <w:tc>
          <w:tcPr>
            <w:tcW w:w="861" w:type="dxa"/>
            <w:vAlign w:val="center"/>
          </w:tcPr>
          <w:p w14:paraId="2CB0E7AF"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0,0</w:t>
            </w:r>
          </w:p>
        </w:tc>
        <w:tc>
          <w:tcPr>
            <w:tcW w:w="708" w:type="dxa"/>
            <w:vAlign w:val="center"/>
          </w:tcPr>
          <w:p w14:paraId="19B4EDA2"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0,0</w:t>
            </w:r>
          </w:p>
        </w:tc>
        <w:tc>
          <w:tcPr>
            <w:tcW w:w="709" w:type="dxa"/>
            <w:vAlign w:val="center"/>
          </w:tcPr>
          <w:p w14:paraId="4D0D1726"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0,0</w:t>
            </w:r>
          </w:p>
        </w:tc>
        <w:tc>
          <w:tcPr>
            <w:tcW w:w="709" w:type="dxa"/>
            <w:vAlign w:val="center"/>
          </w:tcPr>
          <w:p w14:paraId="0A3DE898"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0,0</w:t>
            </w:r>
          </w:p>
        </w:tc>
        <w:tc>
          <w:tcPr>
            <w:tcW w:w="709" w:type="dxa"/>
            <w:vAlign w:val="center"/>
          </w:tcPr>
          <w:p w14:paraId="0410D641"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0,0</w:t>
            </w:r>
          </w:p>
        </w:tc>
      </w:tr>
      <w:tr w:rsidR="00284BE8" w:rsidRPr="00B14F0C" w14:paraId="3F5BDA73" w14:textId="77777777" w:rsidTr="00284BE8">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152CA19"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13. Sociālās iemaksas</w:t>
            </w:r>
          </w:p>
        </w:tc>
        <w:tc>
          <w:tcPr>
            <w:tcW w:w="1134" w:type="dxa"/>
            <w:vAlign w:val="center"/>
            <w:hideMark/>
          </w:tcPr>
          <w:p w14:paraId="301FDE00"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D.61</w:t>
            </w:r>
          </w:p>
        </w:tc>
        <w:tc>
          <w:tcPr>
            <w:tcW w:w="1134" w:type="dxa"/>
            <w:vAlign w:val="center"/>
          </w:tcPr>
          <w:p w14:paraId="51947353"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3 052,2</w:t>
            </w:r>
          </w:p>
        </w:tc>
        <w:tc>
          <w:tcPr>
            <w:tcW w:w="861" w:type="dxa"/>
            <w:vAlign w:val="center"/>
          </w:tcPr>
          <w:p w14:paraId="47192260"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10,0</w:t>
            </w:r>
          </w:p>
        </w:tc>
        <w:tc>
          <w:tcPr>
            <w:tcW w:w="708" w:type="dxa"/>
            <w:vAlign w:val="center"/>
          </w:tcPr>
          <w:p w14:paraId="2A4893F1"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10,1</w:t>
            </w:r>
          </w:p>
        </w:tc>
        <w:tc>
          <w:tcPr>
            <w:tcW w:w="709" w:type="dxa"/>
            <w:vAlign w:val="center"/>
          </w:tcPr>
          <w:p w14:paraId="3D6060F0"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10,1</w:t>
            </w:r>
          </w:p>
        </w:tc>
        <w:tc>
          <w:tcPr>
            <w:tcW w:w="709" w:type="dxa"/>
            <w:vAlign w:val="center"/>
          </w:tcPr>
          <w:p w14:paraId="3573AF9B"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10,1</w:t>
            </w:r>
          </w:p>
        </w:tc>
        <w:tc>
          <w:tcPr>
            <w:tcW w:w="709" w:type="dxa"/>
            <w:vAlign w:val="center"/>
          </w:tcPr>
          <w:p w14:paraId="32248DAC"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10,1</w:t>
            </w:r>
          </w:p>
        </w:tc>
      </w:tr>
      <w:tr w:rsidR="00284BE8" w:rsidRPr="00B14F0C" w14:paraId="12DA9C82" w14:textId="77777777" w:rsidTr="00284BE8">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1D834E2"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14. Īpašuma ienākumi</w:t>
            </w:r>
          </w:p>
        </w:tc>
        <w:tc>
          <w:tcPr>
            <w:tcW w:w="1134" w:type="dxa"/>
            <w:vAlign w:val="center"/>
            <w:hideMark/>
          </w:tcPr>
          <w:p w14:paraId="1E71AA67"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D.4</w:t>
            </w:r>
          </w:p>
        </w:tc>
        <w:tc>
          <w:tcPr>
            <w:tcW w:w="1134" w:type="dxa"/>
            <w:vAlign w:val="center"/>
          </w:tcPr>
          <w:p w14:paraId="09A30544"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188,8</w:t>
            </w:r>
          </w:p>
        </w:tc>
        <w:tc>
          <w:tcPr>
            <w:tcW w:w="861" w:type="dxa"/>
            <w:vAlign w:val="center"/>
          </w:tcPr>
          <w:p w14:paraId="4E0DBEFE"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0,6</w:t>
            </w:r>
          </w:p>
        </w:tc>
        <w:tc>
          <w:tcPr>
            <w:tcW w:w="708" w:type="dxa"/>
            <w:vAlign w:val="center"/>
          </w:tcPr>
          <w:p w14:paraId="00650672"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0,7</w:t>
            </w:r>
          </w:p>
        </w:tc>
        <w:tc>
          <w:tcPr>
            <w:tcW w:w="709" w:type="dxa"/>
            <w:vAlign w:val="center"/>
          </w:tcPr>
          <w:p w14:paraId="3EB4F3AB"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0,3</w:t>
            </w:r>
          </w:p>
        </w:tc>
        <w:tc>
          <w:tcPr>
            <w:tcW w:w="709" w:type="dxa"/>
            <w:vAlign w:val="center"/>
          </w:tcPr>
          <w:p w14:paraId="3EF4C010"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0,2</w:t>
            </w:r>
          </w:p>
        </w:tc>
        <w:tc>
          <w:tcPr>
            <w:tcW w:w="709" w:type="dxa"/>
            <w:vAlign w:val="center"/>
          </w:tcPr>
          <w:p w14:paraId="4E78FEFA"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0,2</w:t>
            </w:r>
          </w:p>
        </w:tc>
      </w:tr>
      <w:tr w:rsidR="00284BE8" w:rsidRPr="00B14F0C" w14:paraId="32498A47" w14:textId="77777777" w:rsidTr="00284BE8">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7B2D8FA"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15. Pārējie ieņēmumi</w:t>
            </w:r>
          </w:p>
        </w:tc>
        <w:tc>
          <w:tcPr>
            <w:tcW w:w="1134" w:type="dxa"/>
            <w:vAlign w:val="center"/>
            <w:hideMark/>
          </w:tcPr>
          <w:p w14:paraId="533AE009"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14B1A4B8"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2 088,3</w:t>
            </w:r>
          </w:p>
        </w:tc>
        <w:tc>
          <w:tcPr>
            <w:tcW w:w="861" w:type="dxa"/>
            <w:vAlign w:val="center"/>
          </w:tcPr>
          <w:p w14:paraId="7E08EC73"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6,9</w:t>
            </w:r>
          </w:p>
        </w:tc>
        <w:tc>
          <w:tcPr>
            <w:tcW w:w="708" w:type="dxa"/>
            <w:vAlign w:val="center"/>
          </w:tcPr>
          <w:p w14:paraId="3763EE2A"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6,1</w:t>
            </w:r>
          </w:p>
        </w:tc>
        <w:tc>
          <w:tcPr>
            <w:tcW w:w="709" w:type="dxa"/>
            <w:vAlign w:val="center"/>
          </w:tcPr>
          <w:p w14:paraId="0FB49ACD"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5,7</w:t>
            </w:r>
          </w:p>
        </w:tc>
        <w:tc>
          <w:tcPr>
            <w:tcW w:w="709" w:type="dxa"/>
            <w:vAlign w:val="center"/>
          </w:tcPr>
          <w:p w14:paraId="1EA36046"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5,5</w:t>
            </w:r>
          </w:p>
        </w:tc>
        <w:tc>
          <w:tcPr>
            <w:tcW w:w="709" w:type="dxa"/>
            <w:vAlign w:val="center"/>
          </w:tcPr>
          <w:p w14:paraId="7CB120F0"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5,1</w:t>
            </w:r>
          </w:p>
        </w:tc>
      </w:tr>
      <w:tr w:rsidR="00284BE8" w:rsidRPr="00B14F0C" w14:paraId="3AFBD94F" w14:textId="77777777" w:rsidTr="00284BE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A4A9FA2"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16. Kopējie ieņēmumi</w:t>
            </w:r>
          </w:p>
        </w:tc>
        <w:tc>
          <w:tcPr>
            <w:tcW w:w="1134" w:type="dxa"/>
            <w:vAlign w:val="center"/>
            <w:hideMark/>
          </w:tcPr>
          <w:p w14:paraId="2BDADB86"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TR</w:t>
            </w:r>
          </w:p>
        </w:tc>
        <w:tc>
          <w:tcPr>
            <w:tcW w:w="1134" w:type="dxa"/>
            <w:vAlign w:val="center"/>
          </w:tcPr>
          <w:p w14:paraId="06247D13"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11 790,1</w:t>
            </w:r>
          </w:p>
        </w:tc>
        <w:tc>
          <w:tcPr>
            <w:tcW w:w="861" w:type="dxa"/>
            <w:vAlign w:val="center"/>
          </w:tcPr>
          <w:p w14:paraId="40DEE9C4"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38,7</w:t>
            </w:r>
          </w:p>
        </w:tc>
        <w:tc>
          <w:tcPr>
            <w:tcW w:w="708" w:type="dxa"/>
            <w:vAlign w:val="center"/>
          </w:tcPr>
          <w:p w14:paraId="42BACFF5"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38,2</w:t>
            </w:r>
          </w:p>
        </w:tc>
        <w:tc>
          <w:tcPr>
            <w:tcW w:w="709" w:type="dxa"/>
            <w:vAlign w:val="center"/>
          </w:tcPr>
          <w:p w14:paraId="13C8B5FC"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37,5</w:t>
            </w:r>
          </w:p>
        </w:tc>
        <w:tc>
          <w:tcPr>
            <w:tcW w:w="709" w:type="dxa"/>
            <w:vAlign w:val="center"/>
          </w:tcPr>
          <w:p w14:paraId="15FA3F12"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37,1</w:t>
            </w:r>
          </w:p>
        </w:tc>
        <w:tc>
          <w:tcPr>
            <w:tcW w:w="709" w:type="dxa"/>
            <w:vAlign w:val="center"/>
          </w:tcPr>
          <w:p w14:paraId="3C5243B2" w14:textId="77777777" w:rsidR="00284BE8" w:rsidRPr="00CB5E8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36,9</w:t>
            </w:r>
          </w:p>
        </w:tc>
      </w:tr>
      <w:tr w:rsidR="00284BE8" w:rsidRPr="00B14F0C" w14:paraId="07E91A33" w14:textId="77777777" w:rsidTr="00284BE8">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ACC76C6" w14:textId="77777777" w:rsidR="00284BE8" w:rsidRPr="00B14F0C" w:rsidRDefault="00284BE8" w:rsidP="00284BE8">
            <w:pPr>
              <w:rPr>
                <w:rFonts w:ascii="Times New Roman" w:hAnsi="Times New Roman" w:cs="Times New Roman"/>
                <w:b w:val="0"/>
                <w:color w:val="000000" w:themeColor="text1"/>
                <w:sz w:val="20"/>
                <w:szCs w:val="20"/>
                <w:lang w:eastAsia="lv-LV"/>
              </w:rPr>
            </w:pPr>
            <w:r>
              <w:rPr>
                <w:rFonts w:ascii="Times New Roman" w:hAnsi="Times New Roman" w:cs="Times New Roman"/>
                <w:b w:val="0"/>
                <w:color w:val="000000" w:themeColor="text1"/>
                <w:sz w:val="20"/>
                <w:szCs w:val="20"/>
                <w:lang w:eastAsia="lv-LV"/>
              </w:rPr>
              <w:t>Nodokļu slogs (D.2</w:t>
            </w:r>
            <w:r>
              <w:rPr>
                <w:rStyle w:val="FootnoteReference"/>
                <w:rFonts w:cs="Times New Roman"/>
                <w:b w:val="0"/>
                <w:color w:val="000000" w:themeColor="text1"/>
                <w:szCs w:val="20"/>
                <w:lang w:eastAsia="lv-LV"/>
              </w:rPr>
              <w:footnoteReference w:id="34"/>
            </w:r>
            <w:r w:rsidRPr="00B14F0C">
              <w:rPr>
                <w:rFonts w:ascii="Times New Roman" w:hAnsi="Times New Roman" w:cs="Times New Roman"/>
                <w:b w:val="0"/>
                <w:color w:val="000000" w:themeColor="text1"/>
                <w:sz w:val="20"/>
                <w:szCs w:val="20"/>
                <w:lang w:eastAsia="lv-LV"/>
              </w:rPr>
              <w:t>+D.5+D.61+D.91-D.995)</w:t>
            </w:r>
          </w:p>
        </w:tc>
        <w:tc>
          <w:tcPr>
            <w:tcW w:w="1134" w:type="dxa"/>
            <w:vAlign w:val="center"/>
            <w:hideMark/>
          </w:tcPr>
          <w:p w14:paraId="40F58A48"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26C6CBD7"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9 568,7</w:t>
            </w:r>
          </w:p>
        </w:tc>
        <w:tc>
          <w:tcPr>
            <w:tcW w:w="861" w:type="dxa"/>
            <w:vAlign w:val="center"/>
          </w:tcPr>
          <w:p w14:paraId="3386CF39"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auto"/>
                <w:sz w:val="20"/>
                <w:szCs w:val="20"/>
                <w:lang w:eastAsia="lv-LV"/>
              </w:rPr>
              <w:t>31,4</w:t>
            </w:r>
          </w:p>
        </w:tc>
        <w:tc>
          <w:tcPr>
            <w:tcW w:w="708" w:type="dxa"/>
            <w:vAlign w:val="center"/>
          </w:tcPr>
          <w:p w14:paraId="55C8888F"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31,6</w:t>
            </w:r>
          </w:p>
        </w:tc>
        <w:tc>
          <w:tcPr>
            <w:tcW w:w="709" w:type="dxa"/>
            <w:vAlign w:val="center"/>
          </w:tcPr>
          <w:p w14:paraId="092BC166"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31,8</w:t>
            </w:r>
          </w:p>
        </w:tc>
        <w:tc>
          <w:tcPr>
            <w:tcW w:w="709" w:type="dxa"/>
            <w:vAlign w:val="center"/>
          </w:tcPr>
          <w:p w14:paraId="6EA72BA9"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31,5</w:t>
            </w:r>
          </w:p>
        </w:tc>
        <w:tc>
          <w:tcPr>
            <w:tcW w:w="709" w:type="dxa"/>
            <w:vAlign w:val="center"/>
          </w:tcPr>
          <w:p w14:paraId="1E42E8C9" w14:textId="77777777" w:rsidR="00284BE8" w:rsidRPr="00CB5E8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CB5E81">
              <w:rPr>
                <w:rFonts w:ascii="Times New Roman" w:hAnsi="Times New Roman" w:cs="Times New Roman"/>
                <w:bCs/>
                <w:color w:val="000000" w:themeColor="text1"/>
                <w:sz w:val="20"/>
                <w:szCs w:val="20"/>
                <w:lang w:eastAsia="lv-LV"/>
              </w:rPr>
              <w:t>31,7</w:t>
            </w: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4C5D83" w14:paraId="2B117607" w14:textId="77777777" w:rsidTr="00284BE8">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149ECC54" w14:textId="77777777" w:rsidR="00284BE8" w:rsidRPr="004C5D83" w:rsidRDefault="00284BE8" w:rsidP="00284BE8">
            <w:pPr>
              <w:jc w:val="center"/>
              <w:rPr>
                <w:rFonts w:ascii="Times New Roman" w:hAnsi="Times New Roman" w:cs="Times New Roman"/>
                <w:bCs w:val="0"/>
                <w:color w:val="000000" w:themeColor="text1"/>
                <w:sz w:val="20"/>
                <w:szCs w:val="20"/>
                <w:lang w:eastAsia="lv-LV"/>
              </w:rPr>
            </w:pPr>
            <w:r w:rsidRPr="004C5D83">
              <w:rPr>
                <w:rFonts w:ascii="Times New Roman" w:hAnsi="Times New Roman" w:cs="Times New Roman"/>
                <w:bCs w:val="0"/>
                <w:color w:val="000000" w:themeColor="text1"/>
                <w:sz w:val="20"/>
                <w:szCs w:val="20"/>
                <w:lang w:eastAsia="lv-LV"/>
              </w:rPr>
              <w:t>Izdevumu sadaļas</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815B65" w14:paraId="78F3B6CE" w14:textId="77777777" w:rsidTr="00284BE8">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7E9B745"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17. Atlīdzība nodarbinātajiem un starppatēriņš</w:t>
            </w:r>
          </w:p>
        </w:tc>
        <w:tc>
          <w:tcPr>
            <w:tcW w:w="1134" w:type="dxa"/>
            <w:vAlign w:val="center"/>
            <w:hideMark/>
          </w:tcPr>
          <w:p w14:paraId="3C28ABE8" w14:textId="77777777" w:rsidR="00284BE8" w:rsidRPr="00B14F0C"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D.1+P.2</w:t>
            </w:r>
          </w:p>
        </w:tc>
        <w:tc>
          <w:tcPr>
            <w:tcW w:w="1134" w:type="dxa"/>
            <w:vAlign w:val="center"/>
          </w:tcPr>
          <w:p w14:paraId="7F57B4F3"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auto"/>
                <w:sz w:val="20"/>
                <w:szCs w:val="20"/>
                <w:lang w:eastAsia="lv-LV"/>
              </w:rPr>
              <w:t>5 246,6</w:t>
            </w:r>
          </w:p>
        </w:tc>
        <w:tc>
          <w:tcPr>
            <w:tcW w:w="861" w:type="dxa"/>
            <w:vAlign w:val="center"/>
          </w:tcPr>
          <w:p w14:paraId="62C5CE07"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auto"/>
                <w:sz w:val="20"/>
                <w:szCs w:val="20"/>
                <w:lang w:eastAsia="lv-LV"/>
              </w:rPr>
              <w:t>17,2</w:t>
            </w:r>
          </w:p>
        </w:tc>
        <w:tc>
          <w:tcPr>
            <w:tcW w:w="708" w:type="dxa"/>
            <w:vAlign w:val="center"/>
          </w:tcPr>
          <w:p w14:paraId="597DD735"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000000" w:themeColor="text1"/>
                <w:sz w:val="20"/>
                <w:szCs w:val="20"/>
                <w:lang w:eastAsia="lv-LV"/>
              </w:rPr>
              <w:t>16,3</w:t>
            </w:r>
          </w:p>
        </w:tc>
        <w:tc>
          <w:tcPr>
            <w:tcW w:w="709" w:type="dxa"/>
            <w:vAlign w:val="center"/>
          </w:tcPr>
          <w:p w14:paraId="4BB5DEF9"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000000" w:themeColor="text1"/>
                <w:sz w:val="20"/>
                <w:szCs w:val="20"/>
                <w:lang w:eastAsia="lv-LV"/>
              </w:rPr>
              <w:t>15,9</w:t>
            </w:r>
          </w:p>
        </w:tc>
        <w:tc>
          <w:tcPr>
            <w:tcW w:w="709" w:type="dxa"/>
            <w:vAlign w:val="center"/>
          </w:tcPr>
          <w:p w14:paraId="1B37E4AE"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000000" w:themeColor="text1"/>
                <w:sz w:val="20"/>
                <w:szCs w:val="20"/>
                <w:lang w:eastAsia="lv-LV"/>
              </w:rPr>
              <w:t>15,4</w:t>
            </w:r>
          </w:p>
        </w:tc>
        <w:tc>
          <w:tcPr>
            <w:tcW w:w="709" w:type="dxa"/>
            <w:vAlign w:val="center"/>
          </w:tcPr>
          <w:p w14:paraId="4A4CA21B" w14:textId="77777777" w:rsidR="00284BE8" w:rsidRPr="00815B65"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lv-LV"/>
              </w:rPr>
            </w:pPr>
            <w:r w:rsidRPr="00815B65">
              <w:rPr>
                <w:rFonts w:ascii="Times New Roman" w:hAnsi="Times New Roman" w:cs="Times New Roman"/>
                <w:b w:val="0"/>
                <w:color w:val="000000" w:themeColor="text1"/>
                <w:sz w:val="20"/>
                <w:szCs w:val="20"/>
                <w:lang w:eastAsia="lv-LV"/>
              </w:rPr>
              <w:t>14,7</w:t>
            </w:r>
          </w:p>
        </w:tc>
      </w:tr>
      <w:tr w:rsidR="00284BE8" w:rsidRPr="00815B65" w14:paraId="5E3F38A1" w14:textId="77777777" w:rsidTr="00284BE8">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8B8E43D"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17a. Atlīdzība nodarbinātajiem</w:t>
            </w:r>
          </w:p>
        </w:tc>
        <w:tc>
          <w:tcPr>
            <w:tcW w:w="1134" w:type="dxa"/>
            <w:vAlign w:val="center"/>
            <w:hideMark/>
          </w:tcPr>
          <w:p w14:paraId="2818C51D"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D.1</w:t>
            </w:r>
          </w:p>
        </w:tc>
        <w:tc>
          <w:tcPr>
            <w:tcW w:w="1134" w:type="dxa"/>
            <w:vAlign w:val="center"/>
          </w:tcPr>
          <w:p w14:paraId="594EB1EA"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3 309,1</w:t>
            </w:r>
          </w:p>
        </w:tc>
        <w:tc>
          <w:tcPr>
            <w:tcW w:w="861" w:type="dxa"/>
            <w:vAlign w:val="center"/>
          </w:tcPr>
          <w:p w14:paraId="3B0C49AE"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10,9</w:t>
            </w:r>
          </w:p>
        </w:tc>
        <w:tc>
          <w:tcPr>
            <w:tcW w:w="708" w:type="dxa"/>
            <w:vAlign w:val="center"/>
          </w:tcPr>
          <w:p w14:paraId="617372B9"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10,9</w:t>
            </w:r>
          </w:p>
        </w:tc>
        <w:tc>
          <w:tcPr>
            <w:tcW w:w="709" w:type="dxa"/>
            <w:vAlign w:val="center"/>
          </w:tcPr>
          <w:p w14:paraId="25050D3C"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10,5</w:t>
            </w:r>
          </w:p>
        </w:tc>
        <w:tc>
          <w:tcPr>
            <w:tcW w:w="709" w:type="dxa"/>
            <w:vAlign w:val="center"/>
          </w:tcPr>
          <w:p w14:paraId="4DD96B19"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10,2</w:t>
            </w:r>
          </w:p>
        </w:tc>
        <w:tc>
          <w:tcPr>
            <w:tcW w:w="709" w:type="dxa"/>
            <w:vAlign w:val="center"/>
          </w:tcPr>
          <w:p w14:paraId="28EE6FAE"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9,8</w:t>
            </w:r>
          </w:p>
        </w:tc>
      </w:tr>
      <w:tr w:rsidR="00284BE8" w:rsidRPr="00815B65" w14:paraId="5ABD82DD" w14:textId="77777777" w:rsidTr="00284BE8">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A6C7133"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17b. Starppatēriņš</w:t>
            </w:r>
          </w:p>
        </w:tc>
        <w:tc>
          <w:tcPr>
            <w:tcW w:w="1134" w:type="dxa"/>
            <w:vAlign w:val="center"/>
            <w:hideMark/>
          </w:tcPr>
          <w:p w14:paraId="6D3F7CE7"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P.2</w:t>
            </w:r>
          </w:p>
        </w:tc>
        <w:tc>
          <w:tcPr>
            <w:tcW w:w="1134" w:type="dxa"/>
            <w:vAlign w:val="center"/>
          </w:tcPr>
          <w:p w14:paraId="37A79FC8"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1 937,5</w:t>
            </w:r>
          </w:p>
        </w:tc>
        <w:tc>
          <w:tcPr>
            <w:tcW w:w="861" w:type="dxa"/>
            <w:vAlign w:val="center"/>
          </w:tcPr>
          <w:p w14:paraId="34A98ADB"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6,4</w:t>
            </w:r>
          </w:p>
        </w:tc>
        <w:tc>
          <w:tcPr>
            <w:tcW w:w="708" w:type="dxa"/>
            <w:vAlign w:val="center"/>
          </w:tcPr>
          <w:p w14:paraId="6740CD2C"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5,4</w:t>
            </w:r>
          </w:p>
        </w:tc>
        <w:tc>
          <w:tcPr>
            <w:tcW w:w="709" w:type="dxa"/>
            <w:vAlign w:val="center"/>
          </w:tcPr>
          <w:p w14:paraId="3C0BF41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5,4</w:t>
            </w:r>
          </w:p>
        </w:tc>
        <w:tc>
          <w:tcPr>
            <w:tcW w:w="709" w:type="dxa"/>
            <w:vAlign w:val="center"/>
          </w:tcPr>
          <w:p w14:paraId="31A0E24A"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5,2</w:t>
            </w:r>
          </w:p>
        </w:tc>
        <w:tc>
          <w:tcPr>
            <w:tcW w:w="709" w:type="dxa"/>
            <w:vAlign w:val="center"/>
          </w:tcPr>
          <w:p w14:paraId="0415FDF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4,9</w:t>
            </w:r>
          </w:p>
        </w:tc>
      </w:tr>
      <w:tr w:rsidR="00284BE8" w:rsidRPr="00815B65" w14:paraId="59A14B18" w14:textId="77777777" w:rsidTr="00284BE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3523BB7"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18. Sociālie maksājumi (18=18a+18b)</w:t>
            </w:r>
          </w:p>
        </w:tc>
        <w:tc>
          <w:tcPr>
            <w:tcW w:w="1134" w:type="dxa"/>
            <w:vAlign w:val="center"/>
            <w:hideMark/>
          </w:tcPr>
          <w:p w14:paraId="74C9B6BD"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79747A00"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3 621,3</w:t>
            </w:r>
          </w:p>
        </w:tc>
        <w:tc>
          <w:tcPr>
            <w:tcW w:w="861" w:type="dxa"/>
            <w:vAlign w:val="center"/>
          </w:tcPr>
          <w:p w14:paraId="04795042"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11,9</w:t>
            </w:r>
          </w:p>
        </w:tc>
        <w:tc>
          <w:tcPr>
            <w:tcW w:w="708" w:type="dxa"/>
            <w:vAlign w:val="center"/>
          </w:tcPr>
          <w:p w14:paraId="3D08AA00"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12,3</w:t>
            </w:r>
          </w:p>
        </w:tc>
        <w:tc>
          <w:tcPr>
            <w:tcW w:w="709" w:type="dxa"/>
            <w:vAlign w:val="center"/>
          </w:tcPr>
          <w:p w14:paraId="106E9A6B"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12,3</w:t>
            </w:r>
          </w:p>
        </w:tc>
        <w:tc>
          <w:tcPr>
            <w:tcW w:w="709" w:type="dxa"/>
            <w:vAlign w:val="center"/>
          </w:tcPr>
          <w:p w14:paraId="7E26BB3B"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12,3</w:t>
            </w:r>
          </w:p>
        </w:tc>
        <w:tc>
          <w:tcPr>
            <w:tcW w:w="709" w:type="dxa"/>
            <w:vAlign w:val="center"/>
          </w:tcPr>
          <w:p w14:paraId="2EE9C7C3"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12,4</w:t>
            </w:r>
          </w:p>
        </w:tc>
      </w:tr>
      <w:tr w:rsidR="00284BE8" w:rsidRPr="00815B65" w14:paraId="0B944CD0" w14:textId="77777777" w:rsidTr="00284BE8">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BCACDF5"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tai skaitā bezdarbnieku pabalsti</w:t>
            </w:r>
          </w:p>
        </w:tc>
        <w:tc>
          <w:tcPr>
            <w:tcW w:w="1134" w:type="dxa"/>
            <w:vAlign w:val="center"/>
            <w:hideMark/>
          </w:tcPr>
          <w:p w14:paraId="4E4BFB9B"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54004DB6"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130,4</w:t>
            </w:r>
          </w:p>
        </w:tc>
        <w:tc>
          <w:tcPr>
            <w:tcW w:w="861" w:type="dxa"/>
            <w:vAlign w:val="center"/>
          </w:tcPr>
          <w:p w14:paraId="2AB2283E"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0,4</w:t>
            </w:r>
          </w:p>
        </w:tc>
        <w:tc>
          <w:tcPr>
            <w:tcW w:w="708" w:type="dxa"/>
            <w:vAlign w:val="center"/>
          </w:tcPr>
          <w:p w14:paraId="0FBEA64C"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0,4</w:t>
            </w:r>
          </w:p>
        </w:tc>
        <w:tc>
          <w:tcPr>
            <w:tcW w:w="709" w:type="dxa"/>
            <w:vAlign w:val="center"/>
          </w:tcPr>
          <w:p w14:paraId="1FFE67EF"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0,4</w:t>
            </w:r>
          </w:p>
        </w:tc>
        <w:tc>
          <w:tcPr>
            <w:tcW w:w="709" w:type="dxa"/>
            <w:vAlign w:val="center"/>
          </w:tcPr>
          <w:p w14:paraId="7DE609BF"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0,4</w:t>
            </w:r>
          </w:p>
        </w:tc>
        <w:tc>
          <w:tcPr>
            <w:tcW w:w="709" w:type="dxa"/>
            <w:vAlign w:val="center"/>
          </w:tcPr>
          <w:p w14:paraId="7D10E0F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0,4</w:t>
            </w:r>
          </w:p>
        </w:tc>
      </w:tr>
      <w:tr w:rsidR="00284BE8" w:rsidRPr="004C5D83" w14:paraId="1B5C1767" w14:textId="77777777" w:rsidTr="00284BE8">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35387A0"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18a. Sociālie pārvedumi piegādāti caur tirgus ražotājiem</w:t>
            </w:r>
          </w:p>
        </w:tc>
        <w:tc>
          <w:tcPr>
            <w:tcW w:w="1134" w:type="dxa"/>
            <w:vAlign w:val="center"/>
            <w:hideMark/>
          </w:tcPr>
          <w:p w14:paraId="4686EA94"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D.6311, D.63121, D.63131</w:t>
            </w:r>
          </w:p>
        </w:tc>
        <w:tc>
          <w:tcPr>
            <w:tcW w:w="1134" w:type="dxa"/>
            <w:vAlign w:val="center"/>
          </w:tcPr>
          <w:p w14:paraId="40E2075B"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389,5</w:t>
            </w:r>
          </w:p>
        </w:tc>
        <w:tc>
          <w:tcPr>
            <w:tcW w:w="861" w:type="dxa"/>
            <w:vAlign w:val="center"/>
          </w:tcPr>
          <w:p w14:paraId="3A4114DC"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1,3</w:t>
            </w:r>
          </w:p>
        </w:tc>
        <w:tc>
          <w:tcPr>
            <w:tcW w:w="708" w:type="dxa"/>
            <w:vAlign w:val="center"/>
          </w:tcPr>
          <w:p w14:paraId="6DCA1DDA"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1,3</w:t>
            </w:r>
          </w:p>
        </w:tc>
        <w:tc>
          <w:tcPr>
            <w:tcW w:w="709" w:type="dxa"/>
            <w:vAlign w:val="center"/>
          </w:tcPr>
          <w:p w14:paraId="7DE81D8B"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1,3</w:t>
            </w:r>
          </w:p>
        </w:tc>
        <w:tc>
          <w:tcPr>
            <w:tcW w:w="709" w:type="dxa"/>
            <w:vAlign w:val="center"/>
          </w:tcPr>
          <w:p w14:paraId="4CC24652"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1,3</w:t>
            </w:r>
          </w:p>
        </w:tc>
        <w:tc>
          <w:tcPr>
            <w:tcW w:w="709" w:type="dxa"/>
            <w:vAlign w:val="center"/>
          </w:tcPr>
          <w:p w14:paraId="5410961F"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1,3</w:t>
            </w:r>
          </w:p>
        </w:tc>
      </w:tr>
      <w:tr w:rsidR="00284BE8" w:rsidRPr="004C5D83" w14:paraId="504BB53D" w14:textId="77777777" w:rsidTr="00284BE8">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6FA92BA"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18b. Sociālie pārvedumi, kas nav sociālie pārvedumi natūrā</w:t>
            </w:r>
          </w:p>
        </w:tc>
        <w:tc>
          <w:tcPr>
            <w:tcW w:w="1134" w:type="dxa"/>
            <w:vAlign w:val="center"/>
            <w:hideMark/>
          </w:tcPr>
          <w:p w14:paraId="45DBA7E9"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D.62</w:t>
            </w:r>
          </w:p>
        </w:tc>
        <w:tc>
          <w:tcPr>
            <w:tcW w:w="1134" w:type="dxa"/>
            <w:vAlign w:val="center"/>
          </w:tcPr>
          <w:p w14:paraId="16C57448"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3 231,8</w:t>
            </w:r>
          </w:p>
        </w:tc>
        <w:tc>
          <w:tcPr>
            <w:tcW w:w="861" w:type="dxa"/>
            <w:vAlign w:val="center"/>
          </w:tcPr>
          <w:p w14:paraId="300AB171"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10,6</w:t>
            </w:r>
          </w:p>
        </w:tc>
        <w:tc>
          <w:tcPr>
            <w:tcW w:w="708" w:type="dxa"/>
            <w:vAlign w:val="center"/>
          </w:tcPr>
          <w:p w14:paraId="25461A3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11,1</w:t>
            </w:r>
          </w:p>
        </w:tc>
        <w:tc>
          <w:tcPr>
            <w:tcW w:w="709" w:type="dxa"/>
            <w:vAlign w:val="center"/>
          </w:tcPr>
          <w:p w14:paraId="0D695601"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11,1</w:t>
            </w:r>
          </w:p>
        </w:tc>
        <w:tc>
          <w:tcPr>
            <w:tcW w:w="709" w:type="dxa"/>
            <w:vAlign w:val="center"/>
          </w:tcPr>
          <w:p w14:paraId="1D150E8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11,0</w:t>
            </w:r>
          </w:p>
        </w:tc>
        <w:tc>
          <w:tcPr>
            <w:tcW w:w="709" w:type="dxa"/>
            <w:vAlign w:val="center"/>
          </w:tcPr>
          <w:p w14:paraId="4BDBF4D0"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11,1</w:t>
            </w:r>
          </w:p>
        </w:tc>
      </w:tr>
      <w:tr w:rsidR="00284BE8" w:rsidRPr="004C5D83" w14:paraId="2D96561C" w14:textId="77777777" w:rsidTr="00284BE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374D1A9"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19.=9. Procentu izdevumi</w:t>
            </w:r>
          </w:p>
        </w:tc>
        <w:tc>
          <w:tcPr>
            <w:tcW w:w="1134" w:type="dxa"/>
            <w:vAlign w:val="center"/>
            <w:hideMark/>
          </w:tcPr>
          <w:p w14:paraId="339BF479"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D.41</w:t>
            </w:r>
          </w:p>
        </w:tc>
        <w:tc>
          <w:tcPr>
            <w:tcW w:w="1134" w:type="dxa"/>
            <w:vAlign w:val="center"/>
          </w:tcPr>
          <w:p w14:paraId="00FE82A7"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210,7</w:t>
            </w:r>
          </w:p>
        </w:tc>
        <w:tc>
          <w:tcPr>
            <w:tcW w:w="861" w:type="dxa"/>
            <w:vAlign w:val="center"/>
          </w:tcPr>
          <w:p w14:paraId="3EE6F917"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0,7</w:t>
            </w:r>
          </w:p>
        </w:tc>
        <w:tc>
          <w:tcPr>
            <w:tcW w:w="708" w:type="dxa"/>
            <w:vAlign w:val="center"/>
          </w:tcPr>
          <w:p w14:paraId="3DEEB894"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0,8</w:t>
            </w:r>
          </w:p>
        </w:tc>
        <w:tc>
          <w:tcPr>
            <w:tcW w:w="709" w:type="dxa"/>
            <w:vAlign w:val="center"/>
          </w:tcPr>
          <w:p w14:paraId="0A2BE72D"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0,8</w:t>
            </w:r>
          </w:p>
        </w:tc>
        <w:tc>
          <w:tcPr>
            <w:tcW w:w="709" w:type="dxa"/>
            <w:vAlign w:val="center"/>
          </w:tcPr>
          <w:p w14:paraId="515061EB"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0,8</w:t>
            </w:r>
          </w:p>
        </w:tc>
        <w:tc>
          <w:tcPr>
            <w:tcW w:w="709" w:type="dxa"/>
            <w:vAlign w:val="center"/>
          </w:tcPr>
          <w:p w14:paraId="13C95388"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0,8</w:t>
            </w:r>
          </w:p>
        </w:tc>
      </w:tr>
      <w:tr w:rsidR="00284BE8" w:rsidRPr="004C5D83" w14:paraId="772060C6" w14:textId="77777777" w:rsidTr="00284BE8">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B723182"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20. Subsīdijas</w:t>
            </w:r>
          </w:p>
        </w:tc>
        <w:tc>
          <w:tcPr>
            <w:tcW w:w="1134" w:type="dxa"/>
            <w:vAlign w:val="center"/>
            <w:hideMark/>
          </w:tcPr>
          <w:p w14:paraId="66E2310D"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D.3</w:t>
            </w:r>
          </w:p>
        </w:tc>
        <w:tc>
          <w:tcPr>
            <w:tcW w:w="1134" w:type="dxa"/>
            <w:vAlign w:val="center"/>
          </w:tcPr>
          <w:p w14:paraId="0E809E10"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308,7</w:t>
            </w:r>
          </w:p>
        </w:tc>
        <w:tc>
          <w:tcPr>
            <w:tcW w:w="861" w:type="dxa"/>
            <w:vAlign w:val="center"/>
          </w:tcPr>
          <w:p w14:paraId="773C7339"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1,0</w:t>
            </w:r>
          </w:p>
        </w:tc>
        <w:tc>
          <w:tcPr>
            <w:tcW w:w="708" w:type="dxa"/>
            <w:vAlign w:val="center"/>
          </w:tcPr>
          <w:p w14:paraId="651D4060"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w:t>
            </w:r>
          </w:p>
        </w:tc>
        <w:tc>
          <w:tcPr>
            <w:tcW w:w="709" w:type="dxa"/>
            <w:vAlign w:val="center"/>
          </w:tcPr>
          <w:p w14:paraId="2E3B87A8"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1,2</w:t>
            </w:r>
          </w:p>
        </w:tc>
        <w:tc>
          <w:tcPr>
            <w:tcW w:w="709" w:type="dxa"/>
            <w:vAlign w:val="center"/>
          </w:tcPr>
          <w:p w14:paraId="3CCFF745"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1,1</w:t>
            </w:r>
          </w:p>
        </w:tc>
        <w:tc>
          <w:tcPr>
            <w:tcW w:w="709" w:type="dxa"/>
            <w:vAlign w:val="center"/>
          </w:tcPr>
          <w:p w14:paraId="114DF799"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1,0</w:t>
            </w:r>
          </w:p>
        </w:tc>
      </w:tr>
      <w:tr w:rsidR="00284BE8" w:rsidRPr="004C5D83" w14:paraId="04A02EE1" w14:textId="77777777" w:rsidTr="00284BE8">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02D94FA"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21. Bruto kopējā pamatkapitāla veidošana</w:t>
            </w:r>
          </w:p>
        </w:tc>
        <w:tc>
          <w:tcPr>
            <w:tcW w:w="1134" w:type="dxa"/>
            <w:vAlign w:val="center"/>
            <w:hideMark/>
          </w:tcPr>
          <w:p w14:paraId="5FB8F6D6"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P.51</w:t>
            </w:r>
          </w:p>
        </w:tc>
        <w:tc>
          <w:tcPr>
            <w:tcW w:w="1134" w:type="dxa"/>
            <w:vAlign w:val="center"/>
          </w:tcPr>
          <w:p w14:paraId="55E25C89"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1 495,9</w:t>
            </w:r>
          </w:p>
        </w:tc>
        <w:tc>
          <w:tcPr>
            <w:tcW w:w="861" w:type="dxa"/>
            <w:vAlign w:val="center"/>
          </w:tcPr>
          <w:p w14:paraId="6804EA14"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4,9</w:t>
            </w:r>
          </w:p>
        </w:tc>
        <w:tc>
          <w:tcPr>
            <w:tcW w:w="708" w:type="dxa"/>
            <w:vAlign w:val="center"/>
          </w:tcPr>
          <w:p w14:paraId="1F94FA34"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5,0</w:t>
            </w:r>
          </w:p>
        </w:tc>
        <w:tc>
          <w:tcPr>
            <w:tcW w:w="709" w:type="dxa"/>
            <w:vAlign w:val="center"/>
          </w:tcPr>
          <w:p w14:paraId="314F56D0"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4,7</w:t>
            </w:r>
          </w:p>
        </w:tc>
        <w:tc>
          <w:tcPr>
            <w:tcW w:w="709" w:type="dxa"/>
            <w:vAlign w:val="center"/>
          </w:tcPr>
          <w:p w14:paraId="4BC22CB3"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5,0</w:t>
            </w:r>
          </w:p>
        </w:tc>
        <w:tc>
          <w:tcPr>
            <w:tcW w:w="709" w:type="dxa"/>
            <w:vAlign w:val="center"/>
          </w:tcPr>
          <w:p w14:paraId="73399F46"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4,7</w:t>
            </w:r>
          </w:p>
        </w:tc>
      </w:tr>
      <w:tr w:rsidR="00284BE8" w:rsidRPr="004C5D83" w14:paraId="43FE667B" w14:textId="77777777" w:rsidTr="00284BE8">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0331754"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22. Kapitālo izdevumu transferti</w:t>
            </w:r>
          </w:p>
        </w:tc>
        <w:tc>
          <w:tcPr>
            <w:tcW w:w="1134" w:type="dxa"/>
            <w:vAlign w:val="center"/>
            <w:hideMark/>
          </w:tcPr>
          <w:p w14:paraId="13129DBA"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D.9</w:t>
            </w:r>
          </w:p>
        </w:tc>
        <w:tc>
          <w:tcPr>
            <w:tcW w:w="1134" w:type="dxa"/>
            <w:vAlign w:val="center"/>
          </w:tcPr>
          <w:p w14:paraId="4C39A27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11,9</w:t>
            </w:r>
          </w:p>
        </w:tc>
        <w:tc>
          <w:tcPr>
            <w:tcW w:w="861" w:type="dxa"/>
            <w:vAlign w:val="center"/>
          </w:tcPr>
          <w:p w14:paraId="5A1B7EE8"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0,0</w:t>
            </w:r>
          </w:p>
        </w:tc>
        <w:tc>
          <w:tcPr>
            <w:tcW w:w="708" w:type="dxa"/>
            <w:vAlign w:val="center"/>
          </w:tcPr>
          <w:p w14:paraId="6BE080E4"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0,0</w:t>
            </w:r>
          </w:p>
        </w:tc>
        <w:tc>
          <w:tcPr>
            <w:tcW w:w="709" w:type="dxa"/>
            <w:vAlign w:val="center"/>
          </w:tcPr>
          <w:p w14:paraId="1EBD9946"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0,0</w:t>
            </w:r>
          </w:p>
        </w:tc>
        <w:tc>
          <w:tcPr>
            <w:tcW w:w="709" w:type="dxa"/>
            <w:vAlign w:val="center"/>
          </w:tcPr>
          <w:p w14:paraId="6AADE260"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0,0</w:t>
            </w:r>
          </w:p>
        </w:tc>
        <w:tc>
          <w:tcPr>
            <w:tcW w:w="709" w:type="dxa"/>
            <w:vAlign w:val="center"/>
          </w:tcPr>
          <w:p w14:paraId="2BD275D0"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0,0</w:t>
            </w:r>
          </w:p>
        </w:tc>
      </w:tr>
      <w:tr w:rsidR="00284BE8" w:rsidRPr="004C5D83" w14:paraId="581DDA71" w14:textId="77777777" w:rsidTr="00284BE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1AE6630"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23. Pārējie izdevumi</w:t>
            </w:r>
          </w:p>
        </w:tc>
        <w:tc>
          <w:tcPr>
            <w:tcW w:w="1134" w:type="dxa"/>
            <w:vAlign w:val="center"/>
            <w:hideMark/>
          </w:tcPr>
          <w:p w14:paraId="6A92E952"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210DDD3C"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958,4</w:t>
            </w:r>
          </w:p>
        </w:tc>
        <w:tc>
          <w:tcPr>
            <w:tcW w:w="861" w:type="dxa"/>
            <w:vAlign w:val="center"/>
          </w:tcPr>
          <w:p w14:paraId="2BED1699"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3,1</w:t>
            </w:r>
          </w:p>
        </w:tc>
        <w:tc>
          <w:tcPr>
            <w:tcW w:w="708" w:type="dxa"/>
            <w:vAlign w:val="center"/>
          </w:tcPr>
          <w:p w14:paraId="4188B037"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2,9</w:t>
            </w:r>
          </w:p>
        </w:tc>
        <w:tc>
          <w:tcPr>
            <w:tcW w:w="709" w:type="dxa"/>
            <w:vAlign w:val="center"/>
          </w:tcPr>
          <w:p w14:paraId="33DD1682"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2,6</w:t>
            </w:r>
          </w:p>
        </w:tc>
        <w:tc>
          <w:tcPr>
            <w:tcW w:w="709" w:type="dxa"/>
            <w:vAlign w:val="center"/>
          </w:tcPr>
          <w:p w14:paraId="43B53B9D"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2,5</w:t>
            </w:r>
          </w:p>
        </w:tc>
        <w:tc>
          <w:tcPr>
            <w:tcW w:w="709" w:type="dxa"/>
            <w:vAlign w:val="center"/>
          </w:tcPr>
          <w:p w14:paraId="1ABCCD54"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2,3</w:t>
            </w:r>
          </w:p>
        </w:tc>
      </w:tr>
      <w:tr w:rsidR="00284BE8" w:rsidRPr="004C5D83" w14:paraId="65945B80" w14:textId="77777777" w:rsidTr="00284BE8">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C521378"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24.=7. Kopējie izdevumi</w:t>
            </w:r>
          </w:p>
        </w:tc>
        <w:tc>
          <w:tcPr>
            <w:tcW w:w="1134" w:type="dxa"/>
            <w:vAlign w:val="center"/>
            <w:hideMark/>
          </w:tcPr>
          <w:p w14:paraId="43C1A415" w14:textId="77777777" w:rsidR="00284BE8" w:rsidRPr="00B14F0C"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TE</w:t>
            </w:r>
          </w:p>
        </w:tc>
        <w:tc>
          <w:tcPr>
            <w:tcW w:w="1134" w:type="dxa"/>
            <w:vAlign w:val="center"/>
          </w:tcPr>
          <w:p w14:paraId="76C08A06"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11 853,3</w:t>
            </w:r>
          </w:p>
        </w:tc>
        <w:tc>
          <w:tcPr>
            <w:tcW w:w="861" w:type="dxa"/>
            <w:vAlign w:val="center"/>
          </w:tcPr>
          <w:p w14:paraId="537C048F"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38,9</w:t>
            </w:r>
          </w:p>
        </w:tc>
        <w:tc>
          <w:tcPr>
            <w:tcW w:w="708" w:type="dxa"/>
            <w:vAlign w:val="center"/>
          </w:tcPr>
          <w:p w14:paraId="57C7CFDE"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38,6</w:t>
            </w:r>
          </w:p>
        </w:tc>
        <w:tc>
          <w:tcPr>
            <w:tcW w:w="709" w:type="dxa"/>
            <w:vAlign w:val="center"/>
          </w:tcPr>
          <w:p w14:paraId="277E6366"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37,6</w:t>
            </w:r>
          </w:p>
        </w:tc>
        <w:tc>
          <w:tcPr>
            <w:tcW w:w="709" w:type="dxa"/>
            <w:vAlign w:val="center"/>
          </w:tcPr>
          <w:p w14:paraId="36B7FB2D"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37,1</w:t>
            </w:r>
          </w:p>
        </w:tc>
        <w:tc>
          <w:tcPr>
            <w:tcW w:w="709" w:type="dxa"/>
            <w:vAlign w:val="center"/>
          </w:tcPr>
          <w:p w14:paraId="4B2BACE3" w14:textId="77777777" w:rsidR="00284BE8" w:rsidRPr="00815B65"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35,9</w:t>
            </w:r>
          </w:p>
        </w:tc>
      </w:tr>
      <w:tr w:rsidR="00284BE8" w:rsidRPr="004C5D83" w14:paraId="14C3845F" w14:textId="77777777" w:rsidTr="00284BE8">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78731F1" w14:textId="77777777" w:rsidR="00284BE8" w:rsidRPr="00B14F0C" w:rsidRDefault="00284BE8" w:rsidP="00284BE8">
            <w:pPr>
              <w:rPr>
                <w:rFonts w:ascii="Times New Roman" w:hAnsi="Times New Roman" w:cs="Times New Roman"/>
                <w:b w:val="0"/>
                <w:color w:val="000000" w:themeColor="text1"/>
                <w:sz w:val="20"/>
                <w:szCs w:val="20"/>
                <w:lang w:eastAsia="lv-LV"/>
              </w:rPr>
            </w:pPr>
            <w:r w:rsidRPr="00B14F0C">
              <w:rPr>
                <w:rFonts w:ascii="Times New Roman" w:hAnsi="Times New Roman" w:cs="Times New Roman"/>
                <w:b w:val="0"/>
                <w:color w:val="000000" w:themeColor="text1"/>
                <w:sz w:val="20"/>
                <w:szCs w:val="20"/>
                <w:lang w:eastAsia="lv-LV"/>
              </w:rPr>
              <w:t>Valdības patēriņš</w:t>
            </w:r>
          </w:p>
        </w:tc>
        <w:tc>
          <w:tcPr>
            <w:tcW w:w="1134" w:type="dxa"/>
            <w:vAlign w:val="center"/>
            <w:hideMark/>
          </w:tcPr>
          <w:p w14:paraId="6893A85D" w14:textId="77777777" w:rsidR="00284BE8" w:rsidRPr="00B14F0C"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B14F0C">
              <w:rPr>
                <w:rFonts w:ascii="Times New Roman" w:hAnsi="Times New Roman" w:cs="Times New Roman"/>
                <w:bCs/>
                <w:color w:val="000000" w:themeColor="text1"/>
                <w:sz w:val="20"/>
                <w:szCs w:val="20"/>
                <w:lang w:eastAsia="lv-LV"/>
              </w:rPr>
              <w:t>P.3</w:t>
            </w:r>
          </w:p>
        </w:tc>
        <w:tc>
          <w:tcPr>
            <w:tcW w:w="1134" w:type="dxa"/>
            <w:vAlign w:val="center"/>
          </w:tcPr>
          <w:p w14:paraId="03AEF25F"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5 560,2</w:t>
            </w:r>
          </w:p>
        </w:tc>
        <w:tc>
          <w:tcPr>
            <w:tcW w:w="861" w:type="dxa"/>
            <w:vAlign w:val="center"/>
          </w:tcPr>
          <w:p w14:paraId="6994E047"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auto"/>
                <w:sz w:val="20"/>
                <w:szCs w:val="20"/>
                <w:lang w:eastAsia="lv-LV"/>
              </w:rPr>
              <w:t>18,2</w:t>
            </w:r>
          </w:p>
        </w:tc>
        <w:tc>
          <w:tcPr>
            <w:tcW w:w="708" w:type="dxa"/>
            <w:vAlign w:val="center"/>
          </w:tcPr>
          <w:p w14:paraId="0F6D05B9"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18,4</w:t>
            </w:r>
          </w:p>
        </w:tc>
        <w:tc>
          <w:tcPr>
            <w:tcW w:w="709" w:type="dxa"/>
            <w:vAlign w:val="center"/>
          </w:tcPr>
          <w:p w14:paraId="64813C55"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18,1</w:t>
            </w:r>
          </w:p>
        </w:tc>
        <w:tc>
          <w:tcPr>
            <w:tcW w:w="709" w:type="dxa"/>
            <w:vAlign w:val="center"/>
          </w:tcPr>
          <w:p w14:paraId="4CF47693"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17,6</w:t>
            </w:r>
          </w:p>
        </w:tc>
        <w:tc>
          <w:tcPr>
            <w:tcW w:w="709" w:type="dxa"/>
            <w:vAlign w:val="center"/>
          </w:tcPr>
          <w:p w14:paraId="5975BC3E" w14:textId="77777777" w:rsidR="00284BE8" w:rsidRPr="00815B65"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815B65">
              <w:rPr>
                <w:rFonts w:ascii="Times New Roman" w:hAnsi="Times New Roman" w:cs="Times New Roman"/>
                <w:bCs/>
                <w:color w:val="000000" w:themeColor="text1"/>
                <w:sz w:val="20"/>
                <w:szCs w:val="20"/>
                <w:lang w:eastAsia="lv-LV"/>
              </w:rPr>
              <w:t>16,9</w:t>
            </w:r>
          </w:p>
        </w:tc>
      </w:tr>
    </w:tbl>
    <w:p w14:paraId="67297700" w14:textId="3924AA26" w:rsidR="00DF4C38" w:rsidRPr="00D551C4" w:rsidRDefault="00DF4C38" w:rsidP="00393D5A">
      <w:pPr>
        <w:spacing w:after="0" w:line="240" w:lineRule="auto"/>
        <w:rPr>
          <w:rFonts w:ascii="Times New Roman" w:hAnsi="Times New Roman" w:cs="Times New Roman"/>
          <w:b/>
          <w:bCs/>
          <w:sz w:val="24"/>
          <w:szCs w:val="32"/>
          <w:highlight w:val="yellow"/>
          <w:lang w:eastAsia="lv-LV"/>
        </w:rPr>
      </w:pPr>
    </w:p>
    <w:p w14:paraId="3CC72519" w14:textId="77777777" w:rsidR="00DF4C38" w:rsidRPr="00D551C4" w:rsidRDefault="00DF4C38" w:rsidP="00393D5A">
      <w:pPr>
        <w:spacing w:after="0" w:line="240" w:lineRule="auto"/>
        <w:rPr>
          <w:rFonts w:ascii="Times New Roman" w:hAnsi="Times New Roman" w:cs="Times New Roman"/>
          <w:b/>
          <w:bCs/>
          <w:sz w:val="24"/>
          <w:szCs w:val="32"/>
          <w:highlight w:val="yellow"/>
          <w:lang w:eastAsia="lv-LV"/>
        </w:rPr>
      </w:pPr>
    </w:p>
    <w:p w14:paraId="3EE711B7" w14:textId="50946CD0" w:rsidR="0009609E" w:rsidRPr="0075482C" w:rsidRDefault="00C81719" w:rsidP="00393D5A">
      <w:pPr>
        <w:spacing w:after="0" w:line="240" w:lineRule="auto"/>
        <w:rPr>
          <w:rFonts w:ascii="Times New Roman" w:hAnsi="Times New Roman" w:cs="Times New Roman"/>
          <w:b/>
          <w:bCs/>
          <w:szCs w:val="32"/>
          <w:lang w:eastAsia="lv-LV"/>
        </w:rPr>
      </w:pPr>
      <w:r w:rsidRPr="0075482C">
        <w:rPr>
          <w:rFonts w:ascii="Times New Roman" w:hAnsi="Times New Roman" w:cs="Times New Roman"/>
          <w:b/>
          <w:bCs/>
          <w:sz w:val="24"/>
          <w:szCs w:val="32"/>
          <w:lang w:eastAsia="lv-LV"/>
        </w:rPr>
        <w:t>4.</w:t>
      </w:r>
      <w:r w:rsidR="00F51615" w:rsidRPr="0075482C">
        <w:rPr>
          <w:rFonts w:ascii="Times New Roman" w:hAnsi="Times New Roman" w:cs="Times New Roman"/>
          <w:b/>
          <w:bCs/>
          <w:sz w:val="24"/>
          <w:szCs w:val="32"/>
          <w:lang w:eastAsia="lv-LV"/>
        </w:rPr>
        <w:t>tabula. Vispārējās valdības parāda attīstība un parāda izmaiņas ietekmējošie faktori 201</w:t>
      </w:r>
      <w:r w:rsidR="0075482C" w:rsidRPr="0075482C">
        <w:rPr>
          <w:rFonts w:ascii="Times New Roman" w:hAnsi="Times New Roman" w:cs="Times New Roman"/>
          <w:b/>
          <w:bCs/>
          <w:sz w:val="24"/>
          <w:szCs w:val="32"/>
          <w:lang w:eastAsia="lv-LV"/>
        </w:rPr>
        <w:t>9</w:t>
      </w:r>
      <w:r w:rsidR="00FD5100" w:rsidRPr="0075482C">
        <w:rPr>
          <w:rFonts w:ascii="Times New Roman" w:hAnsi="Times New Roman" w:cs="Times New Roman"/>
          <w:b/>
          <w:bCs/>
          <w:sz w:val="24"/>
          <w:szCs w:val="32"/>
          <w:lang w:eastAsia="lv-LV"/>
        </w:rPr>
        <w:t>.</w:t>
      </w:r>
      <w:r w:rsidR="00FC55D0" w:rsidRPr="0075482C">
        <w:t xml:space="preserve"> </w:t>
      </w:r>
      <w:r w:rsidR="00FC55D0" w:rsidRPr="0075482C">
        <w:rPr>
          <w:rFonts w:ascii="Times New Roman" w:hAnsi="Times New Roman" w:cs="Times New Roman"/>
          <w:b/>
          <w:bCs/>
          <w:sz w:val="24"/>
          <w:szCs w:val="32"/>
          <w:lang w:eastAsia="lv-LV"/>
        </w:rPr>
        <w:t xml:space="preserve">– </w:t>
      </w:r>
      <w:r w:rsidR="00FD5100" w:rsidRPr="0075482C">
        <w:rPr>
          <w:rFonts w:ascii="Times New Roman" w:hAnsi="Times New Roman" w:cs="Times New Roman"/>
          <w:b/>
          <w:bCs/>
          <w:sz w:val="24"/>
          <w:szCs w:val="32"/>
          <w:lang w:eastAsia="lv-LV"/>
        </w:rPr>
        <w:t>202</w:t>
      </w:r>
      <w:r w:rsidR="0075482C" w:rsidRPr="0075482C">
        <w:rPr>
          <w:rFonts w:ascii="Times New Roman" w:hAnsi="Times New Roman" w:cs="Times New Roman"/>
          <w:b/>
          <w:bCs/>
          <w:sz w:val="24"/>
          <w:szCs w:val="32"/>
          <w:lang w:eastAsia="lv-LV"/>
        </w:rPr>
        <w:t>3</w:t>
      </w:r>
      <w:r w:rsidR="00F51615" w:rsidRPr="0075482C">
        <w:rPr>
          <w:rFonts w:ascii="Times New Roman" w:hAnsi="Times New Roman" w:cs="Times New Roman"/>
          <w:b/>
          <w:bCs/>
          <w:sz w:val="24"/>
          <w:szCs w:val="32"/>
          <w:lang w:eastAsia="lv-LV"/>
        </w:rPr>
        <w:t>.gadā</w:t>
      </w:r>
    </w:p>
    <w:tbl>
      <w:tblPr>
        <w:tblStyle w:val="GridTable6Colorful-Accent11"/>
        <w:tblW w:w="9214" w:type="dxa"/>
        <w:tblInd w:w="-147" w:type="dxa"/>
        <w:tblLayout w:type="fixed"/>
        <w:tblLook w:val="04A0" w:firstRow="1" w:lastRow="0" w:firstColumn="1" w:lastColumn="0" w:noHBand="0" w:noVBand="1"/>
      </w:tblPr>
      <w:tblGrid>
        <w:gridCol w:w="3686"/>
        <w:gridCol w:w="1134"/>
        <w:gridCol w:w="851"/>
        <w:gridCol w:w="850"/>
        <w:gridCol w:w="851"/>
        <w:gridCol w:w="850"/>
        <w:gridCol w:w="992"/>
      </w:tblGrid>
      <w:tr w:rsidR="00DC2556" w:rsidRPr="00D551C4" w14:paraId="370D509A" w14:textId="77777777" w:rsidTr="007A462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19F66F5" w14:textId="77777777" w:rsidR="00DC2556" w:rsidRPr="0075482C" w:rsidRDefault="00DC2556" w:rsidP="00DC2556">
            <w:pPr>
              <w:jc w:val="center"/>
              <w:rPr>
                <w:rFonts w:ascii="Times New Roman" w:eastAsia="Times New Roman" w:hAnsi="Times New Roman" w:cs="Times New Roman"/>
                <w:b w:val="0"/>
                <w:bCs w:val="0"/>
                <w:color w:val="auto"/>
                <w:sz w:val="20"/>
                <w:szCs w:val="20"/>
                <w:lang w:eastAsia="lv-LV"/>
              </w:rPr>
            </w:pPr>
            <w:r w:rsidRPr="0075482C">
              <w:rPr>
                <w:rFonts w:ascii="Times New Roman" w:eastAsia="Times New Roman" w:hAnsi="Times New Roman" w:cs="Times New Roman"/>
                <w:color w:val="auto"/>
                <w:sz w:val="20"/>
                <w:szCs w:val="20"/>
                <w:lang w:eastAsia="lv-LV"/>
              </w:rPr>
              <w:t>% no IKP</w:t>
            </w:r>
          </w:p>
        </w:tc>
        <w:tc>
          <w:tcPr>
            <w:tcW w:w="1134" w:type="dxa"/>
            <w:hideMark/>
          </w:tcPr>
          <w:p w14:paraId="1B3D97CD" w14:textId="77777777"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75482C">
              <w:rPr>
                <w:rFonts w:ascii="Times New Roman" w:eastAsia="Times New Roman" w:hAnsi="Times New Roman" w:cs="Times New Roman"/>
                <w:color w:val="auto"/>
                <w:sz w:val="20"/>
                <w:szCs w:val="20"/>
                <w:lang w:eastAsia="lv-LV"/>
              </w:rPr>
              <w:t>EKS Kods</w:t>
            </w:r>
          </w:p>
        </w:tc>
        <w:tc>
          <w:tcPr>
            <w:tcW w:w="851" w:type="dxa"/>
            <w:noWrap/>
            <w:vAlign w:val="center"/>
          </w:tcPr>
          <w:p w14:paraId="24F5624D" w14:textId="37D08661"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75482C">
              <w:rPr>
                <w:rFonts w:ascii="Times New Roman" w:hAnsi="Times New Roman" w:cs="Times New Roman"/>
                <w:bCs w:val="0"/>
                <w:color w:val="000000" w:themeColor="text1"/>
                <w:sz w:val="20"/>
                <w:szCs w:val="20"/>
              </w:rPr>
              <w:t>2019</w:t>
            </w:r>
          </w:p>
        </w:tc>
        <w:tc>
          <w:tcPr>
            <w:tcW w:w="850" w:type="dxa"/>
            <w:noWrap/>
            <w:vAlign w:val="center"/>
          </w:tcPr>
          <w:p w14:paraId="74C8DABE" w14:textId="423416C5"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75482C">
              <w:rPr>
                <w:rFonts w:ascii="Times New Roman" w:hAnsi="Times New Roman" w:cs="Times New Roman"/>
                <w:bCs w:val="0"/>
                <w:color w:val="000000" w:themeColor="text1"/>
                <w:sz w:val="20"/>
                <w:szCs w:val="20"/>
              </w:rPr>
              <w:t>2020</w:t>
            </w:r>
          </w:p>
        </w:tc>
        <w:tc>
          <w:tcPr>
            <w:tcW w:w="851" w:type="dxa"/>
            <w:noWrap/>
            <w:vAlign w:val="center"/>
          </w:tcPr>
          <w:p w14:paraId="587CA2C2" w14:textId="1A850A10"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75482C">
              <w:rPr>
                <w:rFonts w:ascii="Times New Roman" w:hAnsi="Times New Roman" w:cs="Times New Roman"/>
                <w:bCs w:val="0"/>
                <w:color w:val="000000" w:themeColor="text1"/>
                <w:sz w:val="20"/>
                <w:szCs w:val="20"/>
              </w:rPr>
              <w:t>2021</w:t>
            </w:r>
          </w:p>
        </w:tc>
        <w:tc>
          <w:tcPr>
            <w:tcW w:w="850" w:type="dxa"/>
            <w:noWrap/>
            <w:vAlign w:val="center"/>
          </w:tcPr>
          <w:p w14:paraId="407CD082" w14:textId="2F9C467C"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75482C">
              <w:rPr>
                <w:rFonts w:ascii="Times New Roman" w:hAnsi="Times New Roman" w:cs="Times New Roman"/>
                <w:bCs w:val="0"/>
                <w:color w:val="000000" w:themeColor="text1"/>
                <w:sz w:val="20"/>
                <w:szCs w:val="20"/>
              </w:rPr>
              <w:t>2022</w:t>
            </w:r>
          </w:p>
        </w:tc>
        <w:tc>
          <w:tcPr>
            <w:tcW w:w="992" w:type="dxa"/>
            <w:noWrap/>
            <w:vAlign w:val="center"/>
          </w:tcPr>
          <w:p w14:paraId="0F57D183" w14:textId="1105EA49" w:rsidR="00DC2556" w:rsidRPr="0075482C"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75482C">
              <w:rPr>
                <w:rFonts w:ascii="Times New Roman" w:hAnsi="Times New Roman" w:cs="Times New Roman"/>
                <w:bCs w:val="0"/>
                <w:color w:val="000000" w:themeColor="text1"/>
                <w:sz w:val="20"/>
                <w:szCs w:val="20"/>
              </w:rPr>
              <w:t>202</w:t>
            </w:r>
            <w:r>
              <w:rPr>
                <w:rFonts w:ascii="Times New Roman" w:hAnsi="Times New Roman" w:cs="Times New Roman"/>
                <w:bCs w:val="0"/>
                <w:color w:val="000000" w:themeColor="text1"/>
                <w:sz w:val="20"/>
                <w:szCs w:val="20"/>
              </w:rPr>
              <w:t>3</w:t>
            </w:r>
          </w:p>
        </w:tc>
      </w:tr>
      <w:tr w:rsidR="0075482C" w:rsidRPr="00D551C4" w14:paraId="3A6ECE0C" w14:textId="77777777" w:rsidTr="007A462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4D9FEC3"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1. Bruto parāds</w:t>
            </w:r>
          </w:p>
        </w:tc>
        <w:tc>
          <w:tcPr>
            <w:tcW w:w="1134" w:type="dxa"/>
            <w:noWrap/>
            <w:hideMark/>
          </w:tcPr>
          <w:p w14:paraId="0A0F3804"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04E49546" w14:textId="72FC6891"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36,9</w:t>
            </w:r>
          </w:p>
        </w:tc>
        <w:tc>
          <w:tcPr>
            <w:tcW w:w="850" w:type="dxa"/>
            <w:noWrap/>
            <w:vAlign w:val="center"/>
          </w:tcPr>
          <w:p w14:paraId="503F4B29" w14:textId="046594AE"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37,9</w:t>
            </w:r>
          </w:p>
        </w:tc>
        <w:tc>
          <w:tcPr>
            <w:tcW w:w="851" w:type="dxa"/>
            <w:noWrap/>
            <w:vAlign w:val="center"/>
          </w:tcPr>
          <w:p w14:paraId="27334E98" w14:textId="158BDC69"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34,8</w:t>
            </w:r>
          </w:p>
        </w:tc>
        <w:tc>
          <w:tcPr>
            <w:tcW w:w="850" w:type="dxa"/>
            <w:noWrap/>
            <w:vAlign w:val="center"/>
          </w:tcPr>
          <w:p w14:paraId="765AE9DE" w14:textId="0B051CE8"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34,2</w:t>
            </w:r>
          </w:p>
        </w:tc>
        <w:tc>
          <w:tcPr>
            <w:tcW w:w="992" w:type="dxa"/>
            <w:noWrap/>
            <w:vAlign w:val="center"/>
          </w:tcPr>
          <w:p w14:paraId="18CAE2E3" w14:textId="22FE350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33,8</w:t>
            </w:r>
          </w:p>
        </w:tc>
      </w:tr>
      <w:tr w:rsidR="0075482C" w:rsidRPr="00D551C4" w14:paraId="67CA7780" w14:textId="77777777" w:rsidTr="007A4624">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7E362F3"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2. Bruto parāda izmaiņas</w:t>
            </w:r>
          </w:p>
        </w:tc>
        <w:tc>
          <w:tcPr>
            <w:tcW w:w="1134" w:type="dxa"/>
            <w:noWrap/>
            <w:hideMark/>
          </w:tcPr>
          <w:p w14:paraId="7957CDC7" w14:textId="7777777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387E52C4" w14:textId="2703370D"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850" w:type="dxa"/>
            <w:noWrap/>
            <w:vAlign w:val="center"/>
          </w:tcPr>
          <w:p w14:paraId="6139EC43" w14:textId="0608EE0F"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2,7</w:t>
            </w:r>
          </w:p>
        </w:tc>
        <w:tc>
          <w:tcPr>
            <w:tcW w:w="851" w:type="dxa"/>
            <w:noWrap/>
            <w:vAlign w:val="center"/>
          </w:tcPr>
          <w:p w14:paraId="0629B5FD" w14:textId="757CA2F3"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850" w:type="dxa"/>
            <w:noWrap/>
            <w:vAlign w:val="center"/>
          </w:tcPr>
          <w:p w14:paraId="093750C1" w14:textId="36C7E3CA"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992" w:type="dxa"/>
            <w:noWrap/>
            <w:vAlign w:val="center"/>
          </w:tcPr>
          <w:p w14:paraId="2A21A52D" w14:textId="004DE4DD"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r>
      <w:tr w:rsidR="00DB1E82" w:rsidRPr="00D551C4" w14:paraId="608579AF" w14:textId="77777777" w:rsidTr="007A462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222" w:type="dxa"/>
            <w:gridSpan w:val="6"/>
            <w:hideMark/>
          </w:tcPr>
          <w:p w14:paraId="5D5766A1" w14:textId="77777777" w:rsidR="00DB1E82" w:rsidRPr="0075482C" w:rsidRDefault="00DB1E82" w:rsidP="001C5123">
            <w:pPr>
              <w:jc w:val="cente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Kopējā parāda izmaiņas ietekmējošie faktori</w:t>
            </w:r>
          </w:p>
        </w:tc>
        <w:tc>
          <w:tcPr>
            <w:tcW w:w="992" w:type="dxa"/>
            <w:hideMark/>
          </w:tcPr>
          <w:p w14:paraId="7D09155D" w14:textId="77777777" w:rsidR="00DB1E82" w:rsidRPr="0075482C"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p>
        </w:tc>
      </w:tr>
      <w:tr w:rsidR="0075482C" w:rsidRPr="00D551C4" w14:paraId="4C25DC06" w14:textId="77777777" w:rsidTr="007A4624">
        <w:trPr>
          <w:trHeight w:val="267"/>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B9A13CD"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3. Primārā bilance</w:t>
            </w:r>
          </w:p>
        </w:tc>
        <w:tc>
          <w:tcPr>
            <w:tcW w:w="1134" w:type="dxa"/>
            <w:noWrap/>
            <w:hideMark/>
          </w:tcPr>
          <w:p w14:paraId="60F68885" w14:textId="7777777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6CE049A1" w14:textId="406089D1"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0,5</w:t>
            </w:r>
          </w:p>
        </w:tc>
        <w:tc>
          <w:tcPr>
            <w:tcW w:w="850" w:type="dxa"/>
            <w:noWrap/>
            <w:vAlign w:val="center"/>
          </w:tcPr>
          <w:p w14:paraId="7375943B" w14:textId="0654350E"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0,4</w:t>
            </w:r>
          </w:p>
        </w:tc>
        <w:tc>
          <w:tcPr>
            <w:tcW w:w="851" w:type="dxa"/>
            <w:noWrap/>
            <w:vAlign w:val="center"/>
          </w:tcPr>
          <w:p w14:paraId="00C48742" w14:textId="688C6FCB"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0,7</w:t>
            </w:r>
          </w:p>
        </w:tc>
        <w:tc>
          <w:tcPr>
            <w:tcW w:w="850" w:type="dxa"/>
            <w:noWrap/>
            <w:vAlign w:val="center"/>
          </w:tcPr>
          <w:p w14:paraId="0E85B124" w14:textId="1B9BAF0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0,7</w:t>
            </w:r>
          </w:p>
        </w:tc>
        <w:tc>
          <w:tcPr>
            <w:tcW w:w="992" w:type="dxa"/>
            <w:noWrap/>
            <w:vAlign w:val="center"/>
          </w:tcPr>
          <w:p w14:paraId="39E97477" w14:textId="76BC075B"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1,7</w:t>
            </w:r>
          </w:p>
        </w:tc>
      </w:tr>
      <w:tr w:rsidR="0075482C" w:rsidRPr="00D551C4" w14:paraId="1015ADFF" w14:textId="77777777" w:rsidTr="007A462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376ABCB"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4. Procentu maksājumi</w:t>
            </w:r>
          </w:p>
        </w:tc>
        <w:tc>
          <w:tcPr>
            <w:tcW w:w="1134" w:type="dxa"/>
            <w:hideMark/>
          </w:tcPr>
          <w:p w14:paraId="5AA96DE0"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EDP D.41</w:t>
            </w:r>
          </w:p>
        </w:tc>
        <w:tc>
          <w:tcPr>
            <w:tcW w:w="851" w:type="dxa"/>
            <w:noWrap/>
            <w:vAlign w:val="center"/>
          </w:tcPr>
          <w:p w14:paraId="30E91021" w14:textId="009F1F76"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0,7</w:t>
            </w:r>
          </w:p>
        </w:tc>
        <w:tc>
          <w:tcPr>
            <w:tcW w:w="850" w:type="dxa"/>
            <w:noWrap/>
            <w:vAlign w:val="center"/>
          </w:tcPr>
          <w:p w14:paraId="781C8F16" w14:textId="764675C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0,8</w:t>
            </w:r>
          </w:p>
        </w:tc>
        <w:tc>
          <w:tcPr>
            <w:tcW w:w="851" w:type="dxa"/>
            <w:noWrap/>
            <w:vAlign w:val="center"/>
          </w:tcPr>
          <w:p w14:paraId="7AAA3BAB" w14:textId="266F7504"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0,8</w:t>
            </w:r>
          </w:p>
        </w:tc>
        <w:tc>
          <w:tcPr>
            <w:tcW w:w="850" w:type="dxa"/>
            <w:noWrap/>
            <w:vAlign w:val="center"/>
          </w:tcPr>
          <w:p w14:paraId="6FC018E9" w14:textId="14A13116"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0,8</w:t>
            </w:r>
          </w:p>
        </w:tc>
        <w:tc>
          <w:tcPr>
            <w:tcW w:w="992" w:type="dxa"/>
            <w:noWrap/>
            <w:vAlign w:val="center"/>
          </w:tcPr>
          <w:p w14:paraId="3788A459" w14:textId="7C9F08C2"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0,8</w:t>
            </w:r>
          </w:p>
        </w:tc>
      </w:tr>
      <w:tr w:rsidR="0075482C" w:rsidRPr="00D551C4" w14:paraId="45228FF0" w14:textId="77777777" w:rsidTr="007A4624">
        <w:trPr>
          <w:trHeight w:val="26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AC0C3F0"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5. Krājumu izmaiņas, t.sk.</w:t>
            </w:r>
          </w:p>
        </w:tc>
        <w:tc>
          <w:tcPr>
            <w:tcW w:w="1134" w:type="dxa"/>
            <w:hideMark/>
          </w:tcPr>
          <w:p w14:paraId="40299FC9" w14:textId="7777777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17E3B472" w14:textId="6556A393"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850" w:type="dxa"/>
            <w:noWrap/>
            <w:vAlign w:val="center"/>
          </w:tcPr>
          <w:p w14:paraId="158E2566" w14:textId="28324549"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2,3</w:t>
            </w:r>
          </w:p>
        </w:tc>
        <w:tc>
          <w:tcPr>
            <w:tcW w:w="851" w:type="dxa"/>
            <w:noWrap/>
            <w:vAlign w:val="center"/>
          </w:tcPr>
          <w:p w14:paraId="093D8570" w14:textId="6D822A2A"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850" w:type="dxa"/>
            <w:noWrap/>
            <w:vAlign w:val="center"/>
          </w:tcPr>
          <w:p w14:paraId="1834C2D3" w14:textId="02B9076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992" w:type="dxa"/>
            <w:noWrap/>
            <w:vAlign w:val="center"/>
          </w:tcPr>
          <w:p w14:paraId="3B22E7C7" w14:textId="7F32CE0F"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r>
      <w:tr w:rsidR="0075482C" w:rsidRPr="00D551C4" w14:paraId="1E4F342A" w14:textId="77777777" w:rsidTr="007A462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86" w:type="dxa"/>
            <w:hideMark/>
          </w:tcPr>
          <w:p w14:paraId="59F8D170"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Valsts parāda netiešā procentu likme</w:t>
            </w:r>
          </w:p>
        </w:tc>
        <w:tc>
          <w:tcPr>
            <w:tcW w:w="1134" w:type="dxa"/>
            <w:noWrap/>
            <w:hideMark/>
          </w:tcPr>
          <w:p w14:paraId="39879B11"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2254ABCD" w14:textId="264524FC"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850" w:type="dxa"/>
            <w:noWrap/>
            <w:vAlign w:val="center"/>
          </w:tcPr>
          <w:p w14:paraId="254F9C09" w14:textId="075B7E58"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851" w:type="dxa"/>
            <w:noWrap/>
            <w:vAlign w:val="center"/>
          </w:tcPr>
          <w:p w14:paraId="7A21C076" w14:textId="06543B99"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850" w:type="dxa"/>
            <w:noWrap/>
            <w:vAlign w:val="center"/>
          </w:tcPr>
          <w:p w14:paraId="7BE15BBC" w14:textId="21BE4CC5"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992" w:type="dxa"/>
            <w:noWrap/>
            <w:vAlign w:val="center"/>
          </w:tcPr>
          <w:p w14:paraId="0F8938A8" w14:textId="34E5ACED"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r>
      <w:tr w:rsidR="00DB1E82" w:rsidRPr="00D551C4" w14:paraId="3DBABA61" w14:textId="77777777" w:rsidTr="007A4624">
        <w:trPr>
          <w:trHeight w:val="255"/>
        </w:trPr>
        <w:tc>
          <w:tcPr>
            <w:cnfStyle w:val="001000000000" w:firstRow="0" w:lastRow="0" w:firstColumn="1" w:lastColumn="0" w:oddVBand="0" w:evenVBand="0" w:oddHBand="0" w:evenHBand="0" w:firstRowFirstColumn="0" w:firstRowLastColumn="0" w:lastRowFirstColumn="0" w:lastRowLastColumn="0"/>
            <w:tcW w:w="8222" w:type="dxa"/>
            <w:gridSpan w:val="6"/>
            <w:hideMark/>
          </w:tcPr>
          <w:p w14:paraId="5F90EC66" w14:textId="77777777" w:rsidR="00DB1E82" w:rsidRPr="0075482C" w:rsidRDefault="00DB1E82" w:rsidP="001C5123">
            <w:pPr>
              <w:jc w:val="cente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Citi mainīgie</w:t>
            </w:r>
          </w:p>
        </w:tc>
        <w:tc>
          <w:tcPr>
            <w:tcW w:w="992" w:type="dxa"/>
            <w:hideMark/>
          </w:tcPr>
          <w:p w14:paraId="55C9E749" w14:textId="77777777" w:rsidR="00DB1E82" w:rsidRPr="0075482C"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p>
        </w:tc>
      </w:tr>
      <w:tr w:rsidR="0075482C" w:rsidRPr="00D551C4" w14:paraId="5AC897BD" w14:textId="77777777" w:rsidTr="007A462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F8CF36E"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6. Likvīdi finanšu aktīvi</w:t>
            </w:r>
          </w:p>
        </w:tc>
        <w:tc>
          <w:tcPr>
            <w:tcW w:w="1134" w:type="dxa"/>
            <w:noWrap/>
            <w:hideMark/>
          </w:tcPr>
          <w:p w14:paraId="1D6394C9"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104FA3FC" w14:textId="3B3E630E"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8,1</w:t>
            </w:r>
          </w:p>
        </w:tc>
        <w:tc>
          <w:tcPr>
            <w:tcW w:w="850" w:type="dxa"/>
            <w:noWrap/>
            <w:vAlign w:val="center"/>
          </w:tcPr>
          <w:p w14:paraId="5A52C087" w14:textId="0D8C3CCC"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1" w:type="dxa"/>
            <w:noWrap/>
            <w:vAlign w:val="center"/>
          </w:tcPr>
          <w:p w14:paraId="33B0EDE9" w14:textId="5701B356"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0" w:type="dxa"/>
            <w:noWrap/>
            <w:vAlign w:val="center"/>
          </w:tcPr>
          <w:p w14:paraId="25A3C895" w14:textId="63CECCFB"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992" w:type="dxa"/>
            <w:noWrap/>
            <w:vAlign w:val="center"/>
          </w:tcPr>
          <w:p w14:paraId="1752B3CE" w14:textId="3A40453F"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r>
      <w:tr w:rsidR="0075482C" w:rsidRPr="00D551C4" w14:paraId="44BFD5FC" w14:textId="77777777" w:rsidTr="007A4624">
        <w:trPr>
          <w:trHeight w:val="252"/>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C720673"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7. Neto finansiālais parāds (7=1-6)</w:t>
            </w:r>
          </w:p>
        </w:tc>
        <w:tc>
          <w:tcPr>
            <w:tcW w:w="1134" w:type="dxa"/>
            <w:noWrap/>
            <w:hideMark/>
          </w:tcPr>
          <w:p w14:paraId="1D6E4CFC" w14:textId="7777777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2B8C25E8" w14:textId="64A79A98"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28,8</w:t>
            </w:r>
          </w:p>
        </w:tc>
        <w:tc>
          <w:tcPr>
            <w:tcW w:w="850" w:type="dxa"/>
            <w:noWrap/>
            <w:vAlign w:val="center"/>
          </w:tcPr>
          <w:p w14:paraId="3A96FE43" w14:textId="469A3909"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1" w:type="dxa"/>
            <w:noWrap/>
            <w:vAlign w:val="center"/>
          </w:tcPr>
          <w:p w14:paraId="4DA52708" w14:textId="5C1CD5AC"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0" w:type="dxa"/>
            <w:noWrap/>
            <w:vAlign w:val="center"/>
          </w:tcPr>
          <w:p w14:paraId="53D73DD0" w14:textId="3BA5D4BD"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992" w:type="dxa"/>
            <w:noWrap/>
            <w:vAlign w:val="center"/>
          </w:tcPr>
          <w:p w14:paraId="036B4196" w14:textId="02158A0B"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r>
      <w:tr w:rsidR="0075482C" w:rsidRPr="00D551C4" w14:paraId="07FECD14" w14:textId="77777777" w:rsidTr="007A462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686" w:type="dxa"/>
            <w:hideMark/>
          </w:tcPr>
          <w:p w14:paraId="0E80EAC2"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8. Parāda amortizācija</w:t>
            </w:r>
          </w:p>
        </w:tc>
        <w:tc>
          <w:tcPr>
            <w:tcW w:w="1134" w:type="dxa"/>
            <w:noWrap/>
            <w:hideMark/>
          </w:tcPr>
          <w:p w14:paraId="02BACF86"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53B80040" w14:textId="1EC21C53"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850" w:type="dxa"/>
            <w:noWrap/>
            <w:vAlign w:val="center"/>
          </w:tcPr>
          <w:p w14:paraId="54EE7669" w14:textId="532F834C"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c>
          <w:tcPr>
            <w:tcW w:w="851" w:type="dxa"/>
            <w:noWrap/>
            <w:vAlign w:val="center"/>
          </w:tcPr>
          <w:p w14:paraId="5B417ED9" w14:textId="5A5F4801"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850" w:type="dxa"/>
            <w:noWrap/>
            <w:vAlign w:val="center"/>
          </w:tcPr>
          <w:p w14:paraId="7AAC2977" w14:textId="34F0FFE6"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0,6</w:t>
            </w:r>
          </w:p>
        </w:tc>
        <w:tc>
          <w:tcPr>
            <w:tcW w:w="992" w:type="dxa"/>
            <w:noWrap/>
            <w:vAlign w:val="center"/>
          </w:tcPr>
          <w:p w14:paraId="39BFA3E1" w14:textId="5E708258"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r>
      <w:tr w:rsidR="0075482C" w:rsidRPr="00D551C4" w14:paraId="284A794E" w14:textId="77777777" w:rsidTr="007A4624">
        <w:trPr>
          <w:trHeight w:val="415"/>
        </w:trPr>
        <w:tc>
          <w:tcPr>
            <w:cnfStyle w:val="001000000000" w:firstRow="0" w:lastRow="0" w:firstColumn="1" w:lastColumn="0" w:oddVBand="0" w:evenVBand="0" w:oddHBand="0" w:evenHBand="0" w:firstRowFirstColumn="0" w:firstRowLastColumn="0" w:lastRowFirstColumn="0" w:lastRowLastColumn="0"/>
            <w:tcW w:w="3686" w:type="dxa"/>
            <w:hideMark/>
          </w:tcPr>
          <w:p w14:paraId="550E1FAD"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9. Ārvalstu valūtā denominētā parāda īpatsvars</w:t>
            </w:r>
          </w:p>
        </w:tc>
        <w:tc>
          <w:tcPr>
            <w:tcW w:w="1134" w:type="dxa"/>
            <w:noWrap/>
            <w:hideMark/>
          </w:tcPr>
          <w:p w14:paraId="19E21E85" w14:textId="7777777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12B992A9" w14:textId="4727BB16"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850" w:type="dxa"/>
            <w:noWrap/>
            <w:vAlign w:val="center"/>
          </w:tcPr>
          <w:p w14:paraId="743C15AA" w14:textId="27775187"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851" w:type="dxa"/>
            <w:noWrap/>
            <w:vAlign w:val="center"/>
          </w:tcPr>
          <w:p w14:paraId="40180468" w14:textId="6F2D26AC"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850" w:type="dxa"/>
            <w:noWrap/>
            <w:vAlign w:val="center"/>
          </w:tcPr>
          <w:p w14:paraId="746DE81D" w14:textId="39AAA459"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992" w:type="dxa"/>
            <w:noWrap/>
            <w:vAlign w:val="center"/>
          </w:tcPr>
          <w:p w14:paraId="376E94AD" w14:textId="2DC18656" w:rsidR="0075482C" w:rsidRPr="0075482C" w:rsidRDefault="0075482C" w:rsidP="007548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r>
      <w:tr w:rsidR="0075482C" w:rsidRPr="00D551C4" w14:paraId="203C8C4C" w14:textId="77777777" w:rsidTr="007A462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C1C719D" w14:textId="77777777" w:rsidR="0075482C" w:rsidRPr="0075482C" w:rsidRDefault="0075482C" w:rsidP="001C5123">
            <w:pPr>
              <w:rPr>
                <w:rFonts w:ascii="Times New Roman" w:eastAsia="Times New Roman" w:hAnsi="Times New Roman" w:cs="Times New Roman"/>
                <w:bCs w:val="0"/>
                <w:color w:val="000000"/>
                <w:sz w:val="20"/>
                <w:szCs w:val="20"/>
              </w:rPr>
            </w:pPr>
            <w:r w:rsidRPr="0075482C">
              <w:rPr>
                <w:rFonts w:ascii="Times New Roman" w:eastAsia="Times New Roman" w:hAnsi="Times New Roman" w:cs="Times New Roman"/>
                <w:bCs w:val="0"/>
                <w:color w:val="000000"/>
                <w:sz w:val="20"/>
                <w:szCs w:val="20"/>
              </w:rPr>
              <w:t>10. Vidējā dzēšana</w:t>
            </w:r>
          </w:p>
        </w:tc>
        <w:tc>
          <w:tcPr>
            <w:tcW w:w="1134" w:type="dxa"/>
            <w:noWrap/>
            <w:hideMark/>
          </w:tcPr>
          <w:p w14:paraId="7A3F6A6D" w14:textId="77777777"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75482C">
              <w:rPr>
                <w:rFonts w:ascii="Times New Roman" w:eastAsia="Times New Roman" w:hAnsi="Times New Roman" w:cs="Times New Roman"/>
                <w:bCs/>
                <w:color w:val="000000"/>
                <w:sz w:val="20"/>
                <w:szCs w:val="20"/>
              </w:rPr>
              <w:t> </w:t>
            </w:r>
          </w:p>
        </w:tc>
        <w:tc>
          <w:tcPr>
            <w:tcW w:w="851" w:type="dxa"/>
            <w:noWrap/>
            <w:vAlign w:val="center"/>
          </w:tcPr>
          <w:p w14:paraId="6DE2C1FE" w14:textId="64A170C2"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9,03 gadi</w:t>
            </w:r>
          </w:p>
        </w:tc>
        <w:tc>
          <w:tcPr>
            <w:tcW w:w="850" w:type="dxa"/>
            <w:noWrap/>
            <w:vAlign w:val="center"/>
          </w:tcPr>
          <w:p w14:paraId="2F392AC8" w14:textId="7A41A23E"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1" w:type="dxa"/>
            <w:noWrap/>
            <w:vAlign w:val="center"/>
          </w:tcPr>
          <w:p w14:paraId="3F2AF7B9" w14:textId="101DD3CE"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850" w:type="dxa"/>
            <w:noWrap/>
            <w:vAlign w:val="center"/>
          </w:tcPr>
          <w:p w14:paraId="6E6E4F78" w14:textId="0BF2966B"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c>
          <w:tcPr>
            <w:tcW w:w="992" w:type="dxa"/>
            <w:noWrap/>
            <w:vAlign w:val="center"/>
          </w:tcPr>
          <w:p w14:paraId="18EB9194" w14:textId="1C381F0D" w:rsidR="0075482C" w:rsidRPr="0075482C" w:rsidRDefault="0075482C" w:rsidP="007548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5482C">
              <w:rPr>
                <w:rFonts w:ascii="Times New Roman" w:hAnsi="Times New Roman" w:cs="Times New Roman"/>
                <w:bCs/>
                <w:color w:val="000000"/>
                <w:sz w:val="20"/>
                <w:szCs w:val="20"/>
              </w:rPr>
              <w:t> </w:t>
            </w:r>
          </w:p>
        </w:tc>
      </w:tr>
    </w:tbl>
    <w:p w14:paraId="4DDEF58F" w14:textId="77777777" w:rsidR="006D382A" w:rsidRPr="00D551C4" w:rsidRDefault="006D382A" w:rsidP="00FC55D0">
      <w:pPr>
        <w:pStyle w:val="T"/>
        <w:spacing w:after="0"/>
        <w:ind w:left="0"/>
        <w:jc w:val="both"/>
        <w:rPr>
          <w:rFonts w:ascii="Times New Roman" w:hAnsi="Times New Roman"/>
          <w:color w:val="000000"/>
          <w:szCs w:val="24"/>
          <w:highlight w:val="yellow"/>
        </w:rPr>
      </w:pPr>
    </w:p>
    <w:p w14:paraId="7D7F4065" w14:textId="77777777" w:rsidR="00F51615" w:rsidRPr="00284BE8" w:rsidRDefault="00C81719" w:rsidP="00FC55D0">
      <w:pPr>
        <w:pStyle w:val="T"/>
        <w:spacing w:after="0"/>
        <w:ind w:left="0"/>
        <w:jc w:val="both"/>
        <w:rPr>
          <w:rFonts w:ascii="Times New Roman" w:hAnsi="Times New Roman"/>
          <w:color w:val="000000"/>
          <w:szCs w:val="24"/>
        </w:rPr>
      </w:pPr>
      <w:r w:rsidRPr="00284BE8">
        <w:rPr>
          <w:rFonts w:ascii="Times New Roman" w:hAnsi="Times New Roman"/>
          <w:color w:val="000000"/>
          <w:szCs w:val="24"/>
        </w:rPr>
        <w:t>5.</w:t>
      </w:r>
      <w:r w:rsidR="00F51615" w:rsidRPr="00284BE8">
        <w:rPr>
          <w:rFonts w:ascii="Times New Roman" w:hAnsi="Times New Roman"/>
          <w:color w:val="000000"/>
          <w:szCs w:val="24"/>
        </w:rPr>
        <w:t>tabula. Cikliskā attīstība</w:t>
      </w:r>
    </w:p>
    <w:tbl>
      <w:tblPr>
        <w:tblStyle w:val="GridTable6Colorful-Accent117"/>
        <w:tblW w:w="9352" w:type="dxa"/>
        <w:jc w:val="center"/>
        <w:tblLook w:val="04A0" w:firstRow="1" w:lastRow="0" w:firstColumn="1" w:lastColumn="0" w:noHBand="0" w:noVBand="1"/>
      </w:tblPr>
      <w:tblGrid>
        <w:gridCol w:w="3681"/>
        <w:gridCol w:w="840"/>
        <w:gridCol w:w="803"/>
        <w:gridCol w:w="1007"/>
        <w:gridCol w:w="1007"/>
        <w:gridCol w:w="1007"/>
        <w:gridCol w:w="1007"/>
      </w:tblGrid>
      <w:tr w:rsidR="00284BE8" w:rsidRPr="00496C39" w14:paraId="412306AA" w14:textId="77777777" w:rsidTr="00284BE8">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noWrap/>
            <w:vAlign w:val="center"/>
            <w:hideMark/>
          </w:tcPr>
          <w:p w14:paraId="7FC7FB06" w14:textId="77777777" w:rsidR="00284BE8" w:rsidRPr="00496C39" w:rsidRDefault="00284BE8" w:rsidP="00284BE8">
            <w:pPr>
              <w:jc w:val="center"/>
              <w:rPr>
                <w:rFonts w:ascii="Times New Roman" w:hAnsi="Times New Roman" w:cs="Times New Roman"/>
                <w:color w:val="000000"/>
                <w:sz w:val="20"/>
                <w:szCs w:val="20"/>
              </w:rPr>
            </w:pPr>
            <w:r w:rsidRPr="00496C39">
              <w:rPr>
                <w:rFonts w:ascii="Times New Roman" w:hAnsi="Times New Roman" w:cs="Times New Roman"/>
                <w:color w:val="000000"/>
                <w:sz w:val="20"/>
                <w:szCs w:val="20"/>
              </w:rPr>
              <w:t xml:space="preserve">% no IKP </w:t>
            </w:r>
          </w:p>
        </w:tc>
        <w:tc>
          <w:tcPr>
            <w:tcW w:w="840" w:type="dxa"/>
            <w:shd w:val="clear" w:color="auto" w:fill="DEEAF6"/>
            <w:vAlign w:val="center"/>
            <w:hideMark/>
          </w:tcPr>
          <w:p w14:paraId="35F617C8"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96C39">
              <w:rPr>
                <w:rFonts w:ascii="Times New Roman" w:hAnsi="Times New Roman" w:cs="Times New Roman"/>
                <w:color w:val="000000"/>
                <w:sz w:val="20"/>
                <w:szCs w:val="20"/>
              </w:rPr>
              <w:t>EKS Kods</w:t>
            </w:r>
          </w:p>
        </w:tc>
        <w:tc>
          <w:tcPr>
            <w:tcW w:w="803" w:type="dxa"/>
            <w:shd w:val="clear" w:color="auto" w:fill="DEEAF6"/>
            <w:noWrap/>
            <w:vAlign w:val="center"/>
            <w:hideMark/>
          </w:tcPr>
          <w:p w14:paraId="3CFB1E36"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2019</w:t>
            </w:r>
          </w:p>
        </w:tc>
        <w:tc>
          <w:tcPr>
            <w:tcW w:w="1007" w:type="dxa"/>
            <w:shd w:val="clear" w:color="auto" w:fill="DEEAF6"/>
            <w:noWrap/>
            <w:vAlign w:val="center"/>
            <w:hideMark/>
          </w:tcPr>
          <w:p w14:paraId="08C2CD32"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2020</w:t>
            </w:r>
          </w:p>
        </w:tc>
        <w:tc>
          <w:tcPr>
            <w:tcW w:w="1007" w:type="dxa"/>
            <w:shd w:val="clear" w:color="auto" w:fill="DEEAF6"/>
            <w:noWrap/>
            <w:vAlign w:val="center"/>
            <w:hideMark/>
          </w:tcPr>
          <w:p w14:paraId="3446A6E5"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2021</w:t>
            </w:r>
          </w:p>
        </w:tc>
        <w:tc>
          <w:tcPr>
            <w:tcW w:w="1007" w:type="dxa"/>
            <w:shd w:val="clear" w:color="auto" w:fill="DEEAF6"/>
            <w:noWrap/>
            <w:vAlign w:val="center"/>
            <w:hideMark/>
          </w:tcPr>
          <w:p w14:paraId="157D6DB8"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2022</w:t>
            </w:r>
          </w:p>
        </w:tc>
        <w:tc>
          <w:tcPr>
            <w:tcW w:w="1007" w:type="dxa"/>
            <w:shd w:val="clear" w:color="auto" w:fill="DEEAF6"/>
            <w:noWrap/>
            <w:vAlign w:val="center"/>
            <w:hideMark/>
          </w:tcPr>
          <w:p w14:paraId="07E6ED1C" w14:textId="77777777" w:rsidR="00284BE8" w:rsidRPr="00496C39"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2023</w:t>
            </w:r>
          </w:p>
        </w:tc>
      </w:tr>
    </w:tbl>
    <w:tbl>
      <w:tblPr>
        <w:tblStyle w:val="GridTable6Colorful-Accent118"/>
        <w:tblW w:w="9352" w:type="dxa"/>
        <w:jc w:val="center"/>
        <w:tblLook w:val="04A0" w:firstRow="1" w:lastRow="0" w:firstColumn="1" w:lastColumn="0" w:noHBand="0" w:noVBand="1"/>
      </w:tblPr>
      <w:tblGrid>
        <w:gridCol w:w="3681"/>
        <w:gridCol w:w="840"/>
        <w:gridCol w:w="803"/>
        <w:gridCol w:w="1007"/>
        <w:gridCol w:w="1007"/>
        <w:gridCol w:w="1007"/>
        <w:gridCol w:w="1007"/>
      </w:tblGrid>
      <w:tr w:rsidR="00284BE8" w:rsidRPr="00B14F0C" w14:paraId="430BA7AC" w14:textId="77777777" w:rsidTr="00284BE8">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77C38A23"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1. IKP pieaugums salīdzināmās cenās (%)</w:t>
            </w:r>
          </w:p>
        </w:tc>
        <w:tc>
          <w:tcPr>
            <w:tcW w:w="840" w:type="dxa"/>
            <w:noWrap/>
            <w:vAlign w:val="center"/>
            <w:hideMark/>
          </w:tcPr>
          <w:p w14:paraId="23974D83"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B1g</w:t>
            </w:r>
          </w:p>
        </w:tc>
        <w:tc>
          <w:tcPr>
            <w:tcW w:w="803" w:type="dxa"/>
            <w:noWrap/>
            <w:vAlign w:val="bottom"/>
          </w:tcPr>
          <w:p w14:paraId="7E856A89"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themeColor="text1"/>
                <w:sz w:val="20"/>
                <w:szCs w:val="20"/>
              </w:rPr>
              <w:t>2,2</w:t>
            </w:r>
          </w:p>
        </w:tc>
        <w:tc>
          <w:tcPr>
            <w:tcW w:w="1007" w:type="dxa"/>
            <w:noWrap/>
            <w:vAlign w:val="bottom"/>
          </w:tcPr>
          <w:p w14:paraId="5F5502B4"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2,2</w:t>
            </w:r>
          </w:p>
        </w:tc>
        <w:tc>
          <w:tcPr>
            <w:tcW w:w="1007" w:type="dxa"/>
            <w:noWrap/>
            <w:vAlign w:val="bottom"/>
          </w:tcPr>
          <w:p w14:paraId="5B5593D2"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2,8</w:t>
            </w:r>
          </w:p>
        </w:tc>
        <w:tc>
          <w:tcPr>
            <w:tcW w:w="1007" w:type="dxa"/>
            <w:noWrap/>
            <w:vAlign w:val="bottom"/>
          </w:tcPr>
          <w:p w14:paraId="7D14D6B9"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2,8</w:t>
            </w:r>
          </w:p>
        </w:tc>
        <w:tc>
          <w:tcPr>
            <w:tcW w:w="1007" w:type="dxa"/>
            <w:noWrap/>
            <w:vAlign w:val="bottom"/>
          </w:tcPr>
          <w:p w14:paraId="237E6594" w14:textId="77777777" w:rsidR="00284BE8" w:rsidRPr="00B74B22"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2,4</w:t>
            </w:r>
          </w:p>
        </w:tc>
      </w:tr>
      <w:tr w:rsidR="00284BE8" w:rsidRPr="00B14F0C" w14:paraId="6D0FA777"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312C4136"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2. Faktiskā budžeta bilance</w:t>
            </w:r>
          </w:p>
        </w:tc>
        <w:tc>
          <w:tcPr>
            <w:tcW w:w="840" w:type="dxa"/>
            <w:noWrap/>
            <w:vAlign w:val="center"/>
            <w:hideMark/>
          </w:tcPr>
          <w:p w14:paraId="09CE7249"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B.9</w:t>
            </w:r>
          </w:p>
        </w:tc>
        <w:tc>
          <w:tcPr>
            <w:tcW w:w="803" w:type="dxa"/>
            <w:noWrap/>
            <w:vAlign w:val="bottom"/>
          </w:tcPr>
          <w:p w14:paraId="500320CD"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-0,2</w:t>
            </w:r>
          </w:p>
        </w:tc>
        <w:tc>
          <w:tcPr>
            <w:tcW w:w="1007" w:type="dxa"/>
            <w:noWrap/>
            <w:vAlign w:val="bottom"/>
          </w:tcPr>
          <w:p w14:paraId="230E40DA"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-0,4</w:t>
            </w:r>
          </w:p>
        </w:tc>
        <w:tc>
          <w:tcPr>
            <w:tcW w:w="1007" w:type="dxa"/>
            <w:noWrap/>
            <w:vAlign w:val="bottom"/>
          </w:tcPr>
          <w:p w14:paraId="74DA9FA4"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022B5C7B"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54877E93"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1,0</w:t>
            </w:r>
          </w:p>
        </w:tc>
      </w:tr>
      <w:tr w:rsidR="00284BE8" w:rsidRPr="00B14F0C" w14:paraId="2D705334"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0C987DD0"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3. Procentu izdevumi</w:t>
            </w:r>
          </w:p>
        </w:tc>
        <w:tc>
          <w:tcPr>
            <w:tcW w:w="840" w:type="dxa"/>
            <w:noWrap/>
            <w:vAlign w:val="center"/>
            <w:hideMark/>
          </w:tcPr>
          <w:p w14:paraId="511F5886"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D.41</w:t>
            </w:r>
          </w:p>
        </w:tc>
        <w:tc>
          <w:tcPr>
            <w:tcW w:w="803" w:type="dxa"/>
            <w:noWrap/>
            <w:vAlign w:val="bottom"/>
          </w:tcPr>
          <w:p w14:paraId="3A93DCDB"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0,7</w:t>
            </w:r>
          </w:p>
        </w:tc>
        <w:tc>
          <w:tcPr>
            <w:tcW w:w="1007" w:type="dxa"/>
            <w:noWrap/>
            <w:vAlign w:val="bottom"/>
          </w:tcPr>
          <w:p w14:paraId="558C7EAC"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0,8</w:t>
            </w:r>
          </w:p>
        </w:tc>
        <w:tc>
          <w:tcPr>
            <w:tcW w:w="1007" w:type="dxa"/>
            <w:noWrap/>
            <w:vAlign w:val="bottom"/>
          </w:tcPr>
          <w:p w14:paraId="09E46068"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0,8</w:t>
            </w:r>
          </w:p>
        </w:tc>
        <w:tc>
          <w:tcPr>
            <w:tcW w:w="1007" w:type="dxa"/>
            <w:noWrap/>
            <w:vAlign w:val="bottom"/>
          </w:tcPr>
          <w:p w14:paraId="19533A0B"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0,8</w:t>
            </w:r>
          </w:p>
        </w:tc>
        <w:tc>
          <w:tcPr>
            <w:tcW w:w="1007" w:type="dxa"/>
            <w:noWrap/>
            <w:vAlign w:val="bottom"/>
          </w:tcPr>
          <w:p w14:paraId="28E67DAE"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0,8</w:t>
            </w:r>
          </w:p>
        </w:tc>
      </w:tr>
      <w:tr w:rsidR="00284BE8" w:rsidRPr="00B14F0C" w14:paraId="2A099E28"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4934C74F"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4. Vienreizēji un citi īslaicīgi pasākumi</w:t>
            </w:r>
            <w:r w:rsidRPr="00B74B22">
              <w:rPr>
                <w:rStyle w:val="FootnoteReference"/>
                <w:rFonts w:ascii="Times New Roman" w:hAnsi="Times New Roman" w:cs="Times New Roman"/>
                <w:color w:val="000000"/>
                <w:szCs w:val="20"/>
              </w:rPr>
              <w:footnoteReference w:id="35"/>
            </w:r>
          </w:p>
        </w:tc>
        <w:tc>
          <w:tcPr>
            <w:tcW w:w="840" w:type="dxa"/>
            <w:noWrap/>
            <w:vAlign w:val="center"/>
            <w:hideMark/>
          </w:tcPr>
          <w:p w14:paraId="08CEFE3D"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07FC2A27"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6FE9D249"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78353C98"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2D6279A6"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35E19478"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284BE8" w:rsidRPr="00B14F0C" w14:paraId="3EFD787F"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4E0520D9"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5. Potenciālā IKP pieaugums (%)</w:t>
            </w:r>
          </w:p>
        </w:tc>
        <w:tc>
          <w:tcPr>
            <w:tcW w:w="840" w:type="dxa"/>
            <w:noWrap/>
            <w:vAlign w:val="center"/>
            <w:hideMark/>
          </w:tcPr>
          <w:p w14:paraId="35CA0724"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2280AF8B"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3,0</w:t>
            </w:r>
          </w:p>
        </w:tc>
        <w:tc>
          <w:tcPr>
            <w:tcW w:w="1007" w:type="dxa"/>
            <w:noWrap/>
            <w:vAlign w:val="bottom"/>
          </w:tcPr>
          <w:p w14:paraId="3DDB3B91"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2,9</w:t>
            </w:r>
          </w:p>
        </w:tc>
        <w:tc>
          <w:tcPr>
            <w:tcW w:w="1007" w:type="dxa"/>
            <w:noWrap/>
            <w:vAlign w:val="bottom"/>
          </w:tcPr>
          <w:p w14:paraId="1E88FBE0"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2,9</w:t>
            </w:r>
          </w:p>
        </w:tc>
        <w:tc>
          <w:tcPr>
            <w:tcW w:w="1007" w:type="dxa"/>
            <w:noWrap/>
            <w:vAlign w:val="bottom"/>
          </w:tcPr>
          <w:p w14:paraId="08337DD2"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2,8</w:t>
            </w:r>
          </w:p>
        </w:tc>
        <w:tc>
          <w:tcPr>
            <w:tcW w:w="1007" w:type="dxa"/>
            <w:noWrap/>
            <w:vAlign w:val="bottom"/>
          </w:tcPr>
          <w:p w14:paraId="3A6E92AB"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2,9</w:t>
            </w:r>
          </w:p>
        </w:tc>
      </w:tr>
      <w:tr w:rsidR="00284BE8" w:rsidRPr="00B14F0C" w14:paraId="146B9B7A"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1D0479D4" w14:textId="77777777" w:rsidR="00284BE8" w:rsidRPr="00B74B22" w:rsidRDefault="00284BE8" w:rsidP="00284BE8">
            <w:pPr>
              <w:ind w:firstLineChars="100" w:firstLine="20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ieguldījums:</w:t>
            </w:r>
          </w:p>
        </w:tc>
        <w:tc>
          <w:tcPr>
            <w:tcW w:w="840" w:type="dxa"/>
            <w:noWrap/>
            <w:vAlign w:val="center"/>
            <w:hideMark/>
          </w:tcPr>
          <w:p w14:paraId="4FC27DC0"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735F1061"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21044D14"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 </w:t>
            </w:r>
          </w:p>
        </w:tc>
        <w:tc>
          <w:tcPr>
            <w:tcW w:w="1007" w:type="dxa"/>
            <w:noWrap/>
            <w:vAlign w:val="bottom"/>
          </w:tcPr>
          <w:p w14:paraId="3D0DCB36"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5539B361"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21A36522"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284BE8" w:rsidRPr="00B14F0C" w14:paraId="05E2CEF5"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7F384DCA" w14:textId="77777777" w:rsidR="00284BE8" w:rsidRPr="00B74B22" w:rsidRDefault="00284BE8" w:rsidP="00284BE8">
            <w:pPr>
              <w:ind w:firstLineChars="200" w:firstLine="40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 xml:space="preserve"> - nodarbinātības</w:t>
            </w:r>
          </w:p>
        </w:tc>
        <w:tc>
          <w:tcPr>
            <w:tcW w:w="840" w:type="dxa"/>
            <w:noWrap/>
            <w:vAlign w:val="center"/>
            <w:hideMark/>
          </w:tcPr>
          <w:p w14:paraId="2E0D409C"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4D746ED2"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0,1</w:t>
            </w:r>
          </w:p>
        </w:tc>
        <w:tc>
          <w:tcPr>
            <w:tcW w:w="1007" w:type="dxa"/>
            <w:noWrap/>
            <w:vAlign w:val="bottom"/>
          </w:tcPr>
          <w:p w14:paraId="06CC5971"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0,0</w:t>
            </w:r>
          </w:p>
        </w:tc>
        <w:tc>
          <w:tcPr>
            <w:tcW w:w="1007" w:type="dxa"/>
            <w:noWrap/>
            <w:vAlign w:val="bottom"/>
          </w:tcPr>
          <w:p w14:paraId="688FEDC9"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74A21886"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0993CB16"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r>
      <w:tr w:rsidR="00284BE8" w:rsidRPr="00B14F0C" w14:paraId="21EA294A"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692A36D0" w14:textId="77777777" w:rsidR="00284BE8" w:rsidRPr="00B74B22" w:rsidRDefault="00284BE8" w:rsidP="00284BE8">
            <w:pPr>
              <w:ind w:firstLineChars="200" w:firstLine="40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 xml:space="preserve"> - kapitāla</w:t>
            </w:r>
          </w:p>
        </w:tc>
        <w:tc>
          <w:tcPr>
            <w:tcW w:w="840" w:type="dxa"/>
            <w:noWrap/>
            <w:vAlign w:val="center"/>
            <w:hideMark/>
          </w:tcPr>
          <w:p w14:paraId="1385B10B"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0AE5A08E"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0,9</w:t>
            </w:r>
          </w:p>
        </w:tc>
        <w:tc>
          <w:tcPr>
            <w:tcW w:w="1007" w:type="dxa"/>
            <w:noWrap/>
            <w:vAlign w:val="bottom"/>
          </w:tcPr>
          <w:p w14:paraId="264D2BD9"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1,0</w:t>
            </w:r>
          </w:p>
        </w:tc>
        <w:tc>
          <w:tcPr>
            <w:tcW w:w="1007" w:type="dxa"/>
            <w:noWrap/>
            <w:vAlign w:val="bottom"/>
          </w:tcPr>
          <w:p w14:paraId="7997E983"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1,0</w:t>
            </w:r>
          </w:p>
        </w:tc>
        <w:tc>
          <w:tcPr>
            <w:tcW w:w="1007" w:type="dxa"/>
            <w:noWrap/>
            <w:vAlign w:val="bottom"/>
          </w:tcPr>
          <w:p w14:paraId="53E643F2"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1,1</w:t>
            </w:r>
          </w:p>
        </w:tc>
        <w:tc>
          <w:tcPr>
            <w:tcW w:w="1007" w:type="dxa"/>
            <w:noWrap/>
            <w:vAlign w:val="bottom"/>
          </w:tcPr>
          <w:p w14:paraId="43C97068"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1,1</w:t>
            </w:r>
          </w:p>
        </w:tc>
      </w:tr>
      <w:tr w:rsidR="00284BE8" w:rsidRPr="00B14F0C" w14:paraId="530D9B57"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2F3EB7C0" w14:textId="77777777" w:rsidR="00284BE8" w:rsidRPr="00B74B22" w:rsidRDefault="00284BE8" w:rsidP="00284BE8">
            <w:pPr>
              <w:ind w:firstLineChars="200" w:firstLine="400"/>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 xml:space="preserve"> - kopējās ražošanas faktoru produktivitātes</w:t>
            </w:r>
          </w:p>
        </w:tc>
        <w:tc>
          <w:tcPr>
            <w:tcW w:w="840" w:type="dxa"/>
            <w:noWrap/>
            <w:vAlign w:val="center"/>
            <w:hideMark/>
          </w:tcPr>
          <w:p w14:paraId="141C1F9D"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15F57BDE"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2,0</w:t>
            </w:r>
          </w:p>
        </w:tc>
        <w:tc>
          <w:tcPr>
            <w:tcW w:w="1007" w:type="dxa"/>
            <w:noWrap/>
            <w:vAlign w:val="bottom"/>
          </w:tcPr>
          <w:p w14:paraId="059D9F1C"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1,9</w:t>
            </w:r>
          </w:p>
        </w:tc>
        <w:tc>
          <w:tcPr>
            <w:tcW w:w="1007" w:type="dxa"/>
            <w:noWrap/>
            <w:vAlign w:val="bottom"/>
          </w:tcPr>
          <w:p w14:paraId="0AEDB623"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1,9</w:t>
            </w:r>
          </w:p>
        </w:tc>
        <w:tc>
          <w:tcPr>
            <w:tcW w:w="1007" w:type="dxa"/>
            <w:noWrap/>
            <w:vAlign w:val="bottom"/>
          </w:tcPr>
          <w:p w14:paraId="5C7122B2"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1,8</w:t>
            </w:r>
          </w:p>
        </w:tc>
        <w:tc>
          <w:tcPr>
            <w:tcW w:w="1007" w:type="dxa"/>
            <w:noWrap/>
            <w:vAlign w:val="bottom"/>
          </w:tcPr>
          <w:p w14:paraId="7B4CF987"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1,8</w:t>
            </w:r>
          </w:p>
        </w:tc>
      </w:tr>
      <w:tr w:rsidR="00284BE8" w:rsidRPr="00B14F0C" w14:paraId="10045274"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vAlign w:val="bottom"/>
            <w:hideMark/>
          </w:tcPr>
          <w:p w14:paraId="4C0D36A4"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 xml:space="preserve">6. Starpība starp faktisko un potenciālo IKP </w:t>
            </w:r>
            <w:r w:rsidRPr="00B74B22">
              <w:rPr>
                <w:rFonts w:ascii="Times New Roman" w:hAnsi="Times New Roman" w:cs="Times New Roman"/>
                <w:b w:val="0"/>
                <w:color w:val="000000"/>
                <w:sz w:val="20"/>
                <w:szCs w:val="20"/>
              </w:rPr>
              <w:br/>
              <w:t>(% no potenciālā IKP)</w:t>
            </w:r>
          </w:p>
        </w:tc>
        <w:tc>
          <w:tcPr>
            <w:tcW w:w="840" w:type="dxa"/>
            <w:noWrap/>
            <w:vAlign w:val="center"/>
            <w:hideMark/>
          </w:tcPr>
          <w:p w14:paraId="31F609D8"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46E47C42"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0,9</w:t>
            </w:r>
          </w:p>
        </w:tc>
        <w:tc>
          <w:tcPr>
            <w:tcW w:w="1007" w:type="dxa"/>
            <w:noWrap/>
            <w:vAlign w:val="bottom"/>
          </w:tcPr>
          <w:p w14:paraId="467FD32E"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30D5786F"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087A034F"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4BDD9E07"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-0,3</w:t>
            </w:r>
          </w:p>
        </w:tc>
      </w:tr>
      <w:tr w:rsidR="00284BE8" w:rsidRPr="00B14F0C" w14:paraId="30EE9DB9"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10DBF2CD"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7. Budžeta bilances cikliskā komponente</w:t>
            </w:r>
          </w:p>
        </w:tc>
        <w:tc>
          <w:tcPr>
            <w:tcW w:w="840" w:type="dxa"/>
            <w:noWrap/>
            <w:vAlign w:val="center"/>
            <w:hideMark/>
          </w:tcPr>
          <w:p w14:paraId="60FE60F6"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19DAA9F1"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0,3</w:t>
            </w:r>
          </w:p>
        </w:tc>
        <w:tc>
          <w:tcPr>
            <w:tcW w:w="1007" w:type="dxa"/>
            <w:noWrap/>
            <w:vAlign w:val="bottom"/>
          </w:tcPr>
          <w:p w14:paraId="74B63D97"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0E65CF28"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72C8EA66"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20D54617" w14:textId="77777777" w:rsidR="00284BE8" w:rsidRPr="00B74B22"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r>
      <w:tr w:rsidR="00284BE8" w:rsidRPr="00B14F0C" w14:paraId="40C4F2B2"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4D2592FB" w14:textId="77777777" w:rsidR="00284BE8" w:rsidRPr="00B74B22" w:rsidRDefault="00284BE8" w:rsidP="00284BE8">
            <w:pPr>
              <w:rPr>
                <w:rFonts w:ascii="Times New Roman" w:hAnsi="Times New Roman" w:cs="Times New Roman"/>
                <w:b w:val="0"/>
                <w:color w:val="000000"/>
                <w:sz w:val="20"/>
                <w:szCs w:val="20"/>
              </w:rPr>
            </w:pPr>
            <w:r w:rsidRPr="00B74B22">
              <w:rPr>
                <w:rFonts w:ascii="Times New Roman" w:hAnsi="Times New Roman" w:cs="Times New Roman"/>
                <w:b w:val="0"/>
                <w:color w:val="000000"/>
                <w:sz w:val="20"/>
                <w:szCs w:val="20"/>
              </w:rPr>
              <w:t>8. Cikliski koriģētā bilance (2–7)</w:t>
            </w:r>
          </w:p>
        </w:tc>
        <w:tc>
          <w:tcPr>
            <w:tcW w:w="840" w:type="dxa"/>
            <w:noWrap/>
            <w:vAlign w:val="center"/>
            <w:hideMark/>
          </w:tcPr>
          <w:p w14:paraId="358479AE"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363CE187"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themeColor="text1"/>
                <w:sz w:val="20"/>
                <w:szCs w:val="20"/>
              </w:rPr>
              <w:t>-0,6</w:t>
            </w:r>
          </w:p>
        </w:tc>
        <w:tc>
          <w:tcPr>
            <w:tcW w:w="1007" w:type="dxa"/>
            <w:noWrap/>
            <w:vAlign w:val="bottom"/>
          </w:tcPr>
          <w:p w14:paraId="58A4BF4C"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-0,5</w:t>
            </w:r>
          </w:p>
        </w:tc>
        <w:tc>
          <w:tcPr>
            <w:tcW w:w="1007" w:type="dxa"/>
            <w:noWrap/>
            <w:vAlign w:val="bottom"/>
          </w:tcPr>
          <w:p w14:paraId="434BBCD9"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4B989C6F"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38B632BB" w14:textId="77777777" w:rsidR="00284BE8" w:rsidRPr="00B74B22"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1,1</w:t>
            </w:r>
          </w:p>
        </w:tc>
      </w:tr>
      <w:tr w:rsidR="00284BE8" w:rsidRPr="00B14F0C" w14:paraId="56D353FF" w14:textId="77777777" w:rsidTr="00284BE8">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5E9F6A6F" w14:textId="77777777" w:rsidR="00284BE8" w:rsidRPr="00B74B22" w:rsidRDefault="00284BE8" w:rsidP="001C5123">
            <w:pPr>
              <w:rPr>
                <w:rFonts w:ascii="Times New Roman" w:hAnsi="Times New Roman" w:cs="Times New Roman"/>
                <w:color w:val="000000"/>
                <w:sz w:val="20"/>
                <w:szCs w:val="20"/>
              </w:rPr>
            </w:pPr>
            <w:r w:rsidRPr="00B74B22">
              <w:rPr>
                <w:rFonts w:ascii="Times New Roman" w:hAnsi="Times New Roman" w:cs="Times New Roman"/>
                <w:color w:val="000000"/>
                <w:sz w:val="20"/>
                <w:szCs w:val="20"/>
              </w:rPr>
              <w:t>9. Cikliski koriģētā primārā bilance (8+3)</w:t>
            </w:r>
          </w:p>
        </w:tc>
        <w:tc>
          <w:tcPr>
            <w:tcW w:w="840" w:type="dxa"/>
            <w:noWrap/>
            <w:vAlign w:val="center"/>
            <w:hideMark/>
          </w:tcPr>
          <w:p w14:paraId="24C30103"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680A9E03"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7A5CD5B1"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0,3</w:t>
            </w:r>
          </w:p>
        </w:tc>
        <w:tc>
          <w:tcPr>
            <w:tcW w:w="1007" w:type="dxa"/>
            <w:noWrap/>
            <w:vAlign w:val="bottom"/>
          </w:tcPr>
          <w:p w14:paraId="567EEA20"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0,6</w:t>
            </w:r>
          </w:p>
        </w:tc>
        <w:tc>
          <w:tcPr>
            <w:tcW w:w="1007" w:type="dxa"/>
            <w:noWrap/>
            <w:vAlign w:val="bottom"/>
          </w:tcPr>
          <w:p w14:paraId="5DE8AD28"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0,6</w:t>
            </w:r>
          </w:p>
        </w:tc>
        <w:tc>
          <w:tcPr>
            <w:tcW w:w="1007" w:type="dxa"/>
            <w:noWrap/>
            <w:vAlign w:val="bottom"/>
          </w:tcPr>
          <w:p w14:paraId="4247C813" w14:textId="77777777" w:rsidR="00284BE8" w:rsidRPr="00B74B22" w:rsidRDefault="00284BE8" w:rsidP="00B74B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1,8</w:t>
            </w:r>
          </w:p>
        </w:tc>
      </w:tr>
      <w:tr w:rsidR="00284BE8" w:rsidRPr="00B14F0C" w14:paraId="5AEF3BFB" w14:textId="77777777" w:rsidTr="00284BE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044A4857" w14:textId="77777777" w:rsidR="00284BE8" w:rsidRPr="00B74B22" w:rsidRDefault="00284BE8" w:rsidP="001C5123">
            <w:pPr>
              <w:rPr>
                <w:rFonts w:ascii="Times New Roman" w:hAnsi="Times New Roman" w:cs="Times New Roman"/>
                <w:color w:val="000000"/>
                <w:sz w:val="20"/>
                <w:szCs w:val="20"/>
              </w:rPr>
            </w:pPr>
            <w:r w:rsidRPr="00B74B22">
              <w:rPr>
                <w:rFonts w:ascii="Times New Roman" w:hAnsi="Times New Roman" w:cs="Times New Roman"/>
                <w:color w:val="000000"/>
                <w:sz w:val="20"/>
                <w:szCs w:val="20"/>
              </w:rPr>
              <w:t>10. Strukturālā bilance (8–4)</w:t>
            </w:r>
          </w:p>
        </w:tc>
        <w:tc>
          <w:tcPr>
            <w:tcW w:w="840" w:type="dxa"/>
            <w:noWrap/>
            <w:vAlign w:val="center"/>
            <w:hideMark/>
          </w:tcPr>
          <w:p w14:paraId="30C5D7E5"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30F83F10"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-0,7</w:t>
            </w:r>
          </w:p>
        </w:tc>
        <w:tc>
          <w:tcPr>
            <w:tcW w:w="1007" w:type="dxa"/>
            <w:noWrap/>
            <w:vAlign w:val="bottom"/>
          </w:tcPr>
          <w:p w14:paraId="3E981E9B"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-0,5</w:t>
            </w:r>
          </w:p>
        </w:tc>
        <w:tc>
          <w:tcPr>
            <w:tcW w:w="1007" w:type="dxa"/>
            <w:noWrap/>
            <w:vAlign w:val="bottom"/>
          </w:tcPr>
          <w:p w14:paraId="6CDAF952"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-0,2</w:t>
            </w:r>
          </w:p>
        </w:tc>
        <w:tc>
          <w:tcPr>
            <w:tcW w:w="1007" w:type="dxa"/>
            <w:noWrap/>
            <w:vAlign w:val="bottom"/>
          </w:tcPr>
          <w:p w14:paraId="279BB6E7"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-0,1</w:t>
            </w:r>
          </w:p>
        </w:tc>
        <w:tc>
          <w:tcPr>
            <w:tcW w:w="1007" w:type="dxa"/>
            <w:noWrap/>
            <w:vAlign w:val="bottom"/>
          </w:tcPr>
          <w:p w14:paraId="1BC475FD" w14:textId="77777777" w:rsidR="00284BE8" w:rsidRPr="00B74B22" w:rsidRDefault="00284BE8" w:rsidP="00B74B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74B22">
              <w:rPr>
                <w:rFonts w:ascii="Times New Roman" w:hAnsi="Times New Roman" w:cs="Times New Roman"/>
                <w:color w:val="000000"/>
                <w:sz w:val="20"/>
                <w:szCs w:val="20"/>
              </w:rPr>
              <w:t>1,1</w:t>
            </w:r>
          </w:p>
        </w:tc>
      </w:tr>
    </w:tbl>
    <w:p w14:paraId="0CF22966" w14:textId="77777777" w:rsidR="00527227" w:rsidRPr="00D551C4" w:rsidRDefault="00527227" w:rsidP="00FC55D0">
      <w:pPr>
        <w:pStyle w:val="T"/>
        <w:spacing w:after="0"/>
        <w:ind w:left="0"/>
        <w:rPr>
          <w:rFonts w:ascii="Times New Roman" w:hAnsi="Times New Roman"/>
          <w:color w:val="000000"/>
          <w:szCs w:val="24"/>
          <w:highlight w:val="yellow"/>
        </w:rPr>
      </w:pPr>
    </w:p>
    <w:p w14:paraId="7B929048" w14:textId="77777777" w:rsidR="003666E9" w:rsidRPr="001C5709" w:rsidRDefault="005A7265" w:rsidP="00FC55D0">
      <w:pPr>
        <w:spacing w:after="0"/>
        <w:rPr>
          <w:rFonts w:ascii="Times New Roman" w:hAnsi="Times New Roman" w:cs="Times New Roman"/>
          <w:sz w:val="24"/>
        </w:rPr>
      </w:pPr>
      <w:r w:rsidRPr="001C5709">
        <w:rPr>
          <w:rFonts w:ascii="Times New Roman" w:hAnsi="Times New Roman" w:cs="Times New Roman"/>
          <w:b/>
          <w:bCs/>
          <w:color w:val="000000"/>
          <w:sz w:val="24"/>
          <w:szCs w:val="24"/>
        </w:rPr>
        <w:t>7a.tabula</w:t>
      </w:r>
      <w:r w:rsidR="003666E9" w:rsidRPr="001C5709">
        <w:rPr>
          <w:rFonts w:ascii="Times New Roman" w:hAnsi="Times New Roman" w:cs="Times New Roman"/>
          <w:b/>
          <w:bCs/>
          <w:color w:val="000000"/>
          <w:sz w:val="24"/>
          <w:szCs w:val="24"/>
        </w:rPr>
        <w:t xml:space="preserve"> Netiešās saistības</w:t>
      </w:r>
    </w:p>
    <w:tbl>
      <w:tblPr>
        <w:tblStyle w:val="GridTable6Colorful-Accent11"/>
        <w:tblW w:w="0" w:type="auto"/>
        <w:tblLayout w:type="fixed"/>
        <w:tblLook w:val="04A0" w:firstRow="1" w:lastRow="0" w:firstColumn="1" w:lastColumn="0" w:noHBand="0" w:noVBand="1"/>
      </w:tblPr>
      <w:tblGrid>
        <w:gridCol w:w="3387"/>
        <w:gridCol w:w="993"/>
      </w:tblGrid>
      <w:tr w:rsidR="00F51615" w:rsidRPr="001C5709" w14:paraId="7367CCC3" w14:textId="77777777" w:rsidTr="00DB1AEB">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387" w:type="dxa"/>
            <w:vAlign w:val="center"/>
          </w:tcPr>
          <w:p w14:paraId="40B60CF3" w14:textId="77777777" w:rsidR="00F51615" w:rsidRPr="001C5709" w:rsidRDefault="00F51615" w:rsidP="003028D0">
            <w:pPr>
              <w:autoSpaceDE w:val="0"/>
              <w:autoSpaceDN w:val="0"/>
              <w:adjustRightInd w:val="0"/>
              <w:jc w:val="center"/>
              <w:rPr>
                <w:rFonts w:ascii="Times New Roman" w:hAnsi="Times New Roman" w:cs="Times New Roman"/>
                <w:color w:val="000000"/>
                <w:sz w:val="20"/>
                <w:szCs w:val="20"/>
              </w:rPr>
            </w:pPr>
            <w:r w:rsidRPr="001C5709">
              <w:rPr>
                <w:rFonts w:ascii="Times New Roman" w:hAnsi="Times New Roman" w:cs="Times New Roman"/>
                <w:color w:val="000000"/>
                <w:sz w:val="20"/>
                <w:szCs w:val="20"/>
              </w:rPr>
              <w:t>% no IKP</w:t>
            </w:r>
          </w:p>
        </w:tc>
        <w:tc>
          <w:tcPr>
            <w:tcW w:w="993" w:type="dxa"/>
            <w:vAlign w:val="center"/>
          </w:tcPr>
          <w:p w14:paraId="231B8FC9" w14:textId="52F174BC" w:rsidR="00F51615" w:rsidRPr="001C5709" w:rsidRDefault="00DB1E82" w:rsidP="001C57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rPr>
            </w:pPr>
            <w:r w:rsidRPr="001C5709">
              <w:rPr>
                <w:rFonts w:ascii="Times New Roman" w:hAnsi="Times New Roman"/>
                <w:color w:val="000000"/>
                <w:sz w:val="20"/>
              </w:rPr>
              <w:t>201</w:t>
            </w:r>
            <w:r w:rsidR="001C5709" w:rsidRPr="001C5709">
              <w:rPr>
                <w:rFonts w:ascii="Times New Roman" w:hAnsi="Times New Roman"/>
                <w:color w:val="000000"/>
                <w:sz w:val="20"/>
              </w:rPr>
              <w:t>9</w:t>
            </w:r>
          </w:p>
        </w:tc>
      </w:tr>
      <w:tr w:rsidR="00F51615" w:rsidRPr="00D551C4" w14:paraId="251992B2" w14:textId="77777777" w:rsidTr="00DB1AE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387" w:type="dxa"/>
          </w:tcPr>
          <w:p w14:paraId="70273E43" w14:textId="77777777" w:rsidR="00F51615" w:rsidRPr="001C5709" w:rsidRDefault="00FA4740" w:rsidP="003E2559">
            <w:pPr>
              <w:rPr>
                <w:rFonts w:ascii="Times New Roman" w:hAnsi="Times New Roman" w:cs="Times New Roman"/>
                <w:b w:val="0"/>
                <w:bCs w:val="0"/>
                <w:color w:val="000000"/>
                <w:sz w:val="20"/>
                <w:szCs w:val="20"/>
              </w:rPr>
            </w:pPr>
            <w:r w:rsidRPr="001C5709">
              <w:rPr>
                <w:rFonts w:ascii="Times New Roman" w:hAnsi="Times New Roman" w:cs="Times New Roman"/>
                <w:b w:val="0"/>
                <w:color w:val="000000"/>
                <w:sz w:val="20"/>
                <w:szCs w:val="20"/>
              </w:rPr>
              <w:t xml:space="preserve">Valsts un pašvaldību </w:t>
            </w:r>
            <w:r w:rsidR="003E2559" w:rsidRPr="001C5709">
              <w:rPr>
                <w:rFonts w:ascii="Times New Roman" w:hAnsi="Times New Roman" w:cs="Times New Roman"/>
                <w:b w:val="0"/>
                <w:color w:val="000000"/>
                <w:sz w:val="20"/>
                <w:szCs w:val="20"/>
              </w:rPr>
              <w:t>galvojumi</w:t>
            </w:r>
          </w:p>
        </w:tc>
        <w:tc>
          <w:tcPr>
            <w:tcW w:w="993" w:type="dxa"/>
            <w:vAlign w:val="center"/>
          </w:tcPr>
          <w:p w14:paraId="2C8C800F" w14:textId="77777777" w:rsidR="00F51615" w:rsidRPr="001C5709" w:rsidRDefault="00DB1E82" w:rsidP="00DB1E8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1C5709">
              <w:rPr>
                <w:rFonts w:ascii="Times New Roman" w:hAnsi="Times New Roman"/>
                <w:color w:val="000000"/>
                <w:sz w:val="20"/>
              </w:rPr>
              <w:t>1,4%</w:t>
            </w:r>
          </w:p>
        </w:tc>
      </w:tr>
    </w:tbl>
    <w:p w14:paraId="2DDD31A4" w14:textId="77777777" w:rsidR="00A82ADD" w:rsidRPr="00284BE8" w:rsidRDefault="00A82ADD" w:rsidP="00FC55D0">
      <w:pPr>
        <w:pStyle w:val="T"/>
        <w:keepNext w:val="0"/>
        <w:spacing w:after="0"/>
        <w:ind w:left="0"/>
        <w:rPr>
          <w:rFonts w:ascii="Times New Roman" w:hAnsi="Times New Roman"/>
          <w:color w:val="000000"/>
          <w:szCs w:val="24"/>
        </w:rPr>
      </w:pPr>
    </w:p>
    <w:p w14:paraId="19C636C0" w14:textId="77777777" w:rsidR="005C4806" w:rsidRPr="00284BE8" w:rsidRDefault="005C4806" w:rsidP="005C4806">
      <w:pPr>
        <w:pStyle w:val="T"/>
        <w:spacing w:after="0"/>
        <w:ind w:left="0"/>
        <w:rPr>
          <w:rFonts w:ascii="Times New Roman" w:hAnsi="Times New Roman"/>
          <w:color w:val="000000"/>
          <w:szCs w:val="24"/>
        </w:rPr>
      </w:pPr>
      <w:r w:rsidRPr="00284BE8">
        <w:rPr>
          <w:rFonts w:ascii="Times New Roman" w:hAnsi="Times New Roman"/>
          <w:color w:val="000000"/>
          <w:szCs w:val="24"/>
        </w:rPr>
        <w:t>8.tabula. Ārējās vides pamata pieņēmumi</w:t>
      </w:r>
    </w:p>
    <w:tbl>
      <w:tblPr>
        <w:tblStyle w:val="GridTable6Colorful-Accent11"/>
        <w:tblW w:w="9493" w:type="dxa"/>
        <w:jc w:val="center"/>
        <w:tblLook w:val="04A0" w:firstRow="1" w:lastRow="0" w:firstColumn="1" w:lastColumn="0" w:noHBand="0" w:noVBand="1"/>
      </w:tblPr>
      <w:tblGrid>
        <w:gridCol w:w="5240"/>
        <w:gridCol w:w="850"/>
        <w:gridCol w:w="851"/>
        <w:gridCol w:w="850"/>
        <w:gridCol w:w="851"/>
        <w:gridCol w:w="851"/>
      </w:tblGrid>
      <w:tr w:rsidR="00284BE8" w:rsidRPr="00D62F33" w14:paraId="7F2C9C6F" w14:textId="77777777" w:rsidTr="00284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59C5DDAE" w14:textId="77777777" w:rsidR="00284BE8" w:rsidRPr="00D62F33" w:rsidRDefault="00284BE8" w:rsidP="00284BE8">
            <w:pPr>
              <w:rPr>
                <w:rFonts w:ascii="Times New Roman" w:eastAsia="Calibri" w:hAnsi="Times New Roman" w:cs="Times New Roman"/>
                <w:color w:val="auto"/>
                <w:sz w:val="20"/>
                <w:szCs w:val="20"/>
              </w:rPr>
            </w:pPr>
          </w:p>
        </w:tc>
        <w:tc>
          <w:tcPr>
            <w:tcW w:w="850" w:type="dxa"/>
            <w:vAlign w:val="center"/>
            <w:hideMark/>
          </w:tcPr>
          <w:p w14:paraId="16D639CD"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11B80">
              <w:rPr>
                <w:rFonts w:ascii="Times New Roman" w:hAnsi="Times New Roman" w:cs="Times New Roman"/>
                <w:bCs w:val="0"/>
                <w:color w:val="auto"/>
                <w:sz w:val="20"/>
                <w:szCs w:val="20"/>
              </w:rPr>
              <w:t>2019</w:t>
            </w:r>
          </w:p>
        </w:tc>
        <w:tc>
          <w:tcPr>
            <w:tcW w:w="851" w:type="dxa"/>
            <w:vAlign w:val="center"/>
            <w:hideMark/>
          </w:tcPr>
          <w:p w14:paraId="33741BEE"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2020</w:t>
            </w:r>
          </w:p>
        </w:tc>
        <w:tc>
          <w:tcPr>
            <w:tcW w:w="850" w:type="dxa"/>
            <w:vAlign w:val="center"/>
            <w:hideMark/>
          </w:tcPr>
          <w:p w14:paraId="0860449E"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2021</w:t>
            </w:r>
          </w:p>
        </w:tc>
        <w:tc>
          <w:tcPr>
            <w:tcW w:w="851" w:type="dxa"/>
            <w:vAlign w:val="center"/>
            <w:hideMark/>
          </w:tcPr>
          <w:p w14:paraId="70351BFD"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2022</w:t>
            </w:r>
          </w:p>
        </w:tc>
        <w:tc>
          <w:tcPr>
            <w:tcW w:w="851" w:type="dxa"/>
            <w:vAlign w:val="center"/>
            <w:hideMark/>
          </w:tcPr>
          <w:p w14:paraId="407FBAC3" w14:textId="77777777" w:rsidR="00284BE8" w:rsidRPr="00211B80"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11B80">
              <w:rPr>
                <w:rFonts w:ascii="Times New Roman" w:hAnsi="Times New Roman" w:cs="Times New Roman"/>
                <w:bCs w:val="0"/>
                <w:color w:val="auto"/>
                <w:sz w:val="20"/>
                <w:szCs w:val="20"/>
              </w:rPr>
              <w:t>2023</w:t>
            </w:r>
          </w:p>
        </w:tc>
      </w:tr>
      <w:tr w:rsidR="00284BE8" w:rsidRPr="00D62F33" w14:paraId="0A4FEB83" w14:textId="77777777" w:rsidTr="00284BE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6D7A471B"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 xml:space="preserve">Īstermiņa procentu likme </w:t>
            </w:r>
            <w:r w:rsidRPr="00D62F33">
              <w:rPr>
                <w:rFonts w:ascii="Times New Roman" w:eastAsia="Calibri" w:hAnsi="Times New Roman" w:cs="Times New Roman"/>
                <w:b w:val="0"/>
                <w:i/>
                <w:color w:val="auto"/>
                <w:sz w:val="20"/>
                <w:szCs w:val="20"/>
                <w:lang w:eastAsia="lv-LV"/>
              </w:rPr>
              <w:t>euro</w:t>
            </w:r>
            <w:r w:rsidRPr="00D62F33">
              <w:rPr>
                <w:rFonts w:ascii="Times New Roman" w:eastAsia="Calibri" w:hAnsi="Times New Roman" w:cs="Times New Roman"/>
                <w:b w:val="0"/>
                <w:color w:val="auto"/>
                <w:sz w:val="20"/>
                <w:szCs w:val="20"/>
                <w:lang w:eastAsia="lv-LV"/>
              </w:rPr>
              <w:t xml:space="preserve"> zonā (gada vidējā)</w:t>
            </w:r>
          </w:p>
        </w:tc>
        <w:tc>
          <w:tcPr>
            <w:tcW w:w="850" w:type="dxa"/>
            <w:vAlign w:val="center"/>
          </w:tcPr>
          <w:p w14:paraId="0706CF8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851" w:type="dxa"/>
            <w:vAlign w:val="center"/>
          </w:tcPr>
          <w:p w14:paraId="2B53ECC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850" w:type="dxa"/>
            <w:vAlign w:val="center"/>
          </w:tcPr>
          <w:p w14:paraId="4DAF1808"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851" w:type="dxa"/>
            <w:vAlign w:val="center"/>
          </w:tcPr>
          <w:p w14:paraId="5139DC46"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851" w:type="dxa"/>
            <w:vAlign w:val="center"/>
          </w:tcPr>
          <w:p w14:paraId="33C43C74"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r>
      <w:tr w:rsidR="00284BE8" w:rsidRPr="00D62F33" w14:paraId="2DA7F363" w14:textId="77777777" w:rsidTr="00284BE8">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70AAB00"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 xml:space="preserve">Ilgtermiņa procentu likme </w:t>
            </w:r>
            <w:r w:rsidRPr="00D62F33">
              <w:rPr>
                <w:rFonts w:ascii="Times New Roman" w:eastAsia="Calibri" w:hAnsi="Times New Roman" w:cs="Times New Roman"/>
                <w:b w:val="0"/>
                <w:i/>
                <w:color w:val="auto"/>
                <w:sz w:val="20"/>
                <w:szCs w:val="20"/>
                <w:lang w:eastAsia="lv-LV"/>
              </w:rPr>
              <w:t>euro</w:t>
            </w:r>
            <w:r w:rsidRPr="00D62F33">
              <w:rPr>
                <w:rFonts w:ascii="Times New Roman" w:eastAsia="Calibri" w:hAnsi="Times New Roman" w:cs="Times New Roman"/>
                <w:b w:val="0"/>
                <w:color w:val="auto"/>
                <w:sz w:val="20"/>
                <w:szCs w:val="20"/>
                <w:lang w:eastAsia="lv-LV"/>
              </w:rPr>
              <w:t xml:space="preserve"> zonā (gada vidējā)</w:t>
            </w:r>
          </w:p>
        </w:tc>
        <w:tc>
          <w:tcPr>
            <w:tcW w:w="850" w:type="dxa"/>
            <w:vAlign w:val="center"/>
          </w:tcPr>
          <w:p w14:paraId="2F4EF17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-0,3</w:t>
            </w:r>
          </w:p>
        </w:tc>
        <w:tc>
          <w:tcPr>
            <w:tcW w:w="851" w:type="dxa"/>
            <w:vAlign w:val="center"/>
          </w:tcPr>
          <w:p w14:paraId="02936E7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-0,2</w:t>
            </w:r>
          </w:p>
        </w:tc>
        <w:tc>
          <w:tcPr>
            <w:tcW w:w="850" w:type="dxa"/>
            <w:vAlign w:val="center"/>
          </w:tcPr>
          <w:p w14:paraId="6D011F6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851" w:type="dxa"/>
            <w:vAlign w:val="center"/>
          </w:tcPr>
          <w:p w14:paraId="5F1E5BEE"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c>
          <w:tcPr>
            <w:tcW w:w="851" w:type="dxa"/>
            <w:vAlign w:val="center"/>
          </w:tcPr>
          <w:p w14:paraId="2AB99C2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-0,1</w:t>
            </w:r>
          </w:p>
        </w:tc>
      </w:tr>
      <w:tr w:rsidR="00284BE8" w:rsidRPr="00D62F33" w14:paraId="2812C44B" w14:textId="77777777" w:rsidTr="00284BE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1F30DC6E" w14:textId="77777777" w:rsidR="00284BE8" w:rsidRPr="00D62F33" w:rsidRDefault="00284BE8" w:rsidP="00284BE8">
            <w:pPr>
              <w:jc w:val="both"/>
              <w:rPr>
                <w:rFonts w:ascii="Times New Roman" w:eastAsia="Calibri" w:hAnsi="Times New Roman" w:cs="Times New Roman"/>
                <w:b w:val="0"/>
                <w:color w:val="auto"/>
                <w:sz w:val="20"/>
                <w:szCs w:val="20"/>
                <w:highlight w:val="yellow"/>
              </w:rPr>
            </w:pPr>
            <w:r w:rsidRPr="00D62F33">
              <w:rPr>
                <w:rFonts w:ascii="Times New Roman" w:eastAsia="Calibri" w:hAnsi="Times New Roman" w:cs="Times New Roman"/>
                <w:b w:val="0"/>
                <w:color w:val="auto"/>
                <w:sz w:val="20"/>
                <w:szCs w:val="20"/>
                <w:lang w:eastAsia="lv-LV"/>
              </w:rPr>
              <w:t>EUR/USD kurss (gada vidējais)</w:t>
            </w:r>
          </w:p>
        </w:tc>
        <w:tc>
          <w:tcPr>
            <w:tcW w:w="850" w:type="dxa"/>
            <w:vAlign w:val="center"/>
          </w:tcPr>
          <w:p w14:paraId="30853C08"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1,12</w:t>
            </w:r>
          </w:p>
        </w:tc>
        <w:tc>
          <w:tcPr>
            <w:tcW w:w="851" w:type="dxa"/>
            <w:vAlign w:val="center"/>
          </w:tcPr>
          <w:p w14:paraId="025CD11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1,11</w:t>
            </w:r>
          </w:p>
        </w:tc>
        <w:tc>
          <w:tcPr>
            <w:tcW w:w="850" w:type="dxa"/>
            <w:vAlign w:val="center"/>
          </w:tcPr>
          <w:p w14:paraId="3DCEB64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1,11</w:t>
            </w:r>
          </w:p>
        </w:tc>
        <w:tc>
          <w:tcPr>
            <w:tcW w:w="851" w:type="dxa"/>
            <w:vAlign w:val="center"/>
          </w:tcPr>
          <w:p w14:paraId="3E328CF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1,11</w:t>
            </w:r>
          </w:p>
        </w:tc>
        <w:tc>
          <w:tcPr>
            <w:tcW w:w="851" w:type="dxa"/>
            <w:vAlign w:val="center"/>
          </w:tcPr>
          <w:p w14:paraId="3457D1A7"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1,11</w:t>
            </w:r>
          </w:p>
        </w:tc>
      </w:tr>
      <w:tr w:rsidR="00284BE8" w:rsidRPr="00D62F33" w14:paraId="009FC045" w14:textId="77777777" w:rsidTr="00284BE8">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730135CD"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Nominālais efektīvais maiņas kurss ES</w:t>
            </w:r>
          </w:p>
        </w:tc>
        <w:tc>
          <w:tcPr>
            <w:tcW w:w="850" w:type="dxa"/>
            <w:vAlign w:val="center"/>
          </w:tcPr>
          <w:p w14:paraId="107A016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c>
          <w:tcPr>
            <w:tcW w:w="851" w:type="dxa"/>
            <w:vAlign w:val="center"/>
          </w:tcPr>
          <w:p w14:paraId="3394465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850" w:type="dxa"/>
            <w:vAlign w:val="center"/>
          </w:tcPr>
          <w:p w14:paraId="5A5BA92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0,0</w:t>
            </w:r>
          </w:p>
        </w:tc>
        <w:tc>
          <w:tcPr>
            <w:tcW w:w="851" w:type="dxa"/>
            <w:vAlign w:val="center"/>
          </w:tcPr>
          <w:p w14:paraId="09765CA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0,0</w:t>
            </w:r>
          </w:p>
        </w:tc>
        <w:tc>
          <w:tcPr>
            <w:tcW w:w="851" w:type="dxa"/>
            <w:vAlign w:val="center"/>
          </w:tcPr>
          <w:p w14:paraId="1CCD075A"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0,0</w:t>
            </w:r>
          </w:p>
        </w:tc>
      </w:tr>
      <w:tr w:rsidR="00284BE8" w:rsidRPr="00D62F33" w14:paraId="748B62F2" w14:textId="77777777" w:rsidTr="00284BE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B9FCFDE"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Pasaules IKP, izņemot ES, pieaugums salīdzināmās cenās, %</w:t>
            </w:r>
          </w:p>
        </w:tc>
        <w:tc>
          <w:tcPr>
            <w:tcW w:w="850" w:type="dxa"/>
            <w:vAlign w:val="center"/>
          </w:tcPr>
          <w:p w14:paraId="0CF61EF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3,8</w:t>
            </w:r>
          </w:p>
        </w:tc>
        <w:tc>
          <w:tcPr>
            <w:tcW w:w="851" w:type="dxa"/>
            <w:vAlign w:val="center"/>
          </w:tcPr>
          <w:p w14:paraId="590F9CB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3,3</w:t>
            </w:r>
          </w:p>
        </w:tc>
        <w:tc>
          <w:tcPr>
            <w:tcW w:w="850" w:type="dxa"/>
            <w:vAlign w:val="center"/>
          </w:tcPr>
          <w:p w14:paraId="46FD42DC"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3,4</w:t>
            </w:r>
          </w:p>
        </w:tc>
        <w:tc>
          <w:tcPr>
            <w:tcW w:w="851" w:type="dxa"/>
            <w:vAlign w:val="center"/>
          </w:tcPr>
          <w:p w14:paraId="7CFAD0A1"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3,4</w:t>
            </w:r>
          </w:p>
        </w:tc>
        <w:tc>
          <w:tcPr>
            <w:tcW w:w="851" w:type="dxa"/>
            <w:vAlign w:val="center"/>
          </w:tcPr>
          <w:p w14:paraId="3D22A11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3,4</w:t>
            </w:r>
          </w:p>
        </w:tc>
      </w:tr>
      <w:tr w:rsidR="00284BE8" w:rsidRPr="00D62F33" w14:paraId="12DBB89B" w14:textId="77777777" w:rsidTr="00284BE8">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225FCB76"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ES IKP pieaugums salīdzināmās cenās, %</w:t>
            </w:r>
          </w:p>
        </w:tc>
        <w:tc>
          <w:tcPr>
            <w:tcW w:w="850" w:type="dxa"/>
            <w:vAlign w:val="center"/>
          </w:tcPr>
          <w:p w14:paraId="500D36EC"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1,3</w:t>
            </w:r>
          </w:p>
        </w:tc>
        <w:tc>
          <w:tcPr>
            <w:tcW w:w="851" w:type="dxa"/>
            <w:vAlign w:val="center"/>
          </w:tcPr>
          <w:p w14:paraId="2600D96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c>
          <w:tcPr>
            <w:tcW w:w="850" w:type="dxa"/>
            <w:vAlign w:val="center"/>
          </w:tcPr>
          <w:p w14:paraId="09A0D37B"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c>
          <w:tcPr>
            <w:tcW w:w="851" w:type="dxa"/>
            <w:vAlign w:val="center"/>
          </w:tcPr>
          <w:p w14:paraId="79DDDCB6"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c>
          <w:tcPr>
            <w:tcW w:w="851" w:type="dxa"/>
            <w:vAlign w:val="center"/>
          </w:tcPr>
          <w:p w14:paraId="4F6939D0"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1,2</w:t>
            </w:r>
          </w:p>
        </w:tc>
      </w:tr>
      <w:tr w:rsidR="00284BE8" w:rsidRPr="00D62F33" w14:paraId="5D89CA71" w14:textId="77777777" w:rsidTr="00284BE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1245D632" w14:textId="77777777" w:rsidR="00284BE8" w:rsidRPr="00D62F33" w:rsidRDefault="00284BE8" w:rsidP="00284BE8">
            <w:pPr>
              <w:jc w:val="both"/>
              <w:rPr>
                <w:rFonts w:ascii="Times New Roman" w:eastAsia="Calibri" w:hAnsi="Times New Roman" w:cs="Times New Roman"/>
                <w:b w:val="0"/>
                <w:color w:val="auto"/>
                <w:sz w:val="20"/>
                <w:szCs w:val="20"/>
                <w:lang w:eastAsia="lv-LV"/>
              </w:rPr>
            </w:pPr>
            <w:r w:rsidRPr="00D62F33">
              <w:rPr>
                <w:rFonts w:ascii="Times New Roman" w:eastAsia="Calibri" w:hAnsi="Times New Roman" w:cs="Times New Roman"/>
                <w:b w:val="0"/>
                <w:color w:val="auto"/>
                <w:sz w:val="20"/>
                <w:szCs w:val="20"/>
                <w:lang w:eastAsia="lv-LV"/>
              </w:rPr>
              <w:t>Pasaules preču un pakalpojumu tirdzniecības apjomu izmaiņas ES eksporta tirgos, izslēdzot ES, %</w:t>
            </w:r>
          </w:p>
        </w:tc>
        <w:tc>
          <w:tcPr>
            <w:tcW w:w="850" w:type="dxa"/>
            <w:vAlign w:val="center"/>
          </w:tcPr>
          <w:p w14:paraId="1C37055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0,6</w:t>
            </w:r>
          </w:p>
        </w:tc>
        <w:tc>
          <w:tcPr>
            <w:tcW w:w="851" w:type="dxa"/>
            <w:vAlign w:val="center"/>
          </w:tcPr>
          <w:p w14:paraId="05D5D2C0"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2,1</w:t>
            </w:r>
          </w:p>
        </w:tc>
        <w:tc>
          <w:tcPr>
            <w:tcW w:w="850" w:type="dxa"/>
            <w:vAlign w:val="center"/>
          </w:tcPr>
          <w:p w14:paraId="7702BCEE"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c>
          <w:tcPr>
            <w:tcW w:w="851" w:type="dxa"/>
            <w:vAlign w:val="center"/>
          </w:tcPr>
          <w:p w14:paraId="3F16E49B"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c>
          <w:tcPr>
            <w:tcW w:w="851" w:type="dxa"/>
            <w:vAlign w:val="center"/>
          </w:tcPr>
          <w:p w14:paraId="6C4CE8BF"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2,5</w:t>
            </w:r>
          </w:p>
        </w:tc>
      </w:tr>
      <w:tr w:rsidR="00284BE8" w:rsidRPr="00D62F33" w14:paraId="768F8303" w14:textId="77777777" w:rsidTr="00284BE8">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A282FFD"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Pasaules preču un pakalpojumu importa apjomu izmaiņas, izslēdzot ES, %</w:t>
            </w:r>
          </w:p>
        </w:tc>
        <w:tc>
          <w:tcPr>
            <w:tcW w:w="850" w:type="dxa"/>
            <w:vAlign w:val="center"/>
          </w:tcPr>
          <w:p w14:paraId="42C5B5B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0,4</w:t>
            </w:r>
          </w:p>
        </w:tc>
        <w:tc>
          <w:tcPr>
            <w:tcW w:w="851" w:type="dxa"/>
            <w:vAlign w:val="center"/>
          </w:tcPr>
          <w:p w14:paraId="35D8AE75"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2,1</w:t>
            </w:r>
          </w:p>
        </w:tc>
        <w:tc>
          <w:tcPr>
            <w:tcW w:w="850" w:type="dxa"/>
            <w:vAlign w:val="center"/>
          </w:tcPr>
          <w:p w14:paraId="54A97FD7"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2,6</w:t>
            </w:r>
          </w:p>
        </w:tc>
        <w:tc>
          <w:tcPr>
            <w:tcW w:w="851" w:type="dxa"/>
            <w:vAlign w:val="center"/>
          </w:tcPr>
          <w:p w14:paraId="059A43EF"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2,6</w:t>
            </w:r>
          </w:p>
        </w:tc>
        <w:tc>
          <w:tcPr>
            <w:tcW w:w="851" w:type="dxa"/>
            <w:vAlign w:val="center"/>
          </w:tcPr>
          <w:p w14:paraId="0A2CDFB9" w14:textId="77777777" w:rsidR="00284BE8" w:rsidRPr="00D62F33"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2,6</w:t>
            </w:r>
          </w:p>
        </w:tc>
      </w:tr>
      <w:tr w:rsidR="00284BE8" w:rsidRPr="00D62F33" w14:paraId="6218754A" w14:textId="77777777" w:rsidTr="00284BE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7AA1FCE0" w14:textId="77777777" w:rsidR="00284BE8" w:rsidRPr="00D62F33" w:rsidRDefault="00284BE8" w:rsidP="00284BE8">
            <w:pPr>
              <w:jc w:val="both"/>
              <w:rPr>
                <w:rFonts w:ascii="Times New Roman" w:eastAsia="Calibri" w:hAnsi="Times New Roman" w:cs="Times New Roman"/>
                <w:b w:val="0"/>
                <w:color w:val="auto"/>
                <w:sz w:val="20"/>
                <w:szCs w:val="20"/>
              </w:rPr>
            </w:pPr>
            <w:r w:rsidRPr="00D62F33">
              <w:rPr>
                <w:rFonts w:ascii="Times New Roman" w:eastAsia="Calibri" w:hAnsi="Times New Roman" w:cs="Times New Roman"/>
                <w:b w:val="0"/>
                <w:color w:val="auto"/>
                <w:sz w:val="20"/>
                <w:szCs w:val="20"/>
                <w:lang w:eastAsia="lv-LV"/>
              </w:rPr>
              <w:t>Naftas cena (</w:t>
            </w:r>
            <w:r w:rsidRPr="00D62F33">
              <w:rPr>
                <w:rFonts w:ascii="Times New Roman" w:eastAsia="Calibri" w:hAnsi="Times New Roman" w:cs="Times New Roman"/>
                <w:b w:val="0"/>
                <w:i/>
                <w:color w:val="auto"/>
                <w:sz w:val="20"/>
                <w:szCs w:val="20"/>
                <w:lang w:eastAsia="lv-LV"/>
              </w:rPr>
              <w:t>Brent</w:t>
            </w:r>
            <w:r w:rsidRPr="00D62F33">
              <w:rPr>
                <w:rFonts w:ascii="Times New Roman" w:eastAsia="Calibri" w:hAnsi="Times New Roman" w:cs="Times New Roman"/>
                <w:b w:val="0"/>
                <w:color w:val="auto"/>
                <w:sz w:val="20"/>
                <w:szCs w:val="20"/>
                <w:lang w:eastAsia="lv-LV"/>
              </w:rPr>
              <w:t>, USD par barelu)</w:t>
            </w:r>
          </w:p>
        </w:tc>
        <w:tc>
          <w:tcPr>
            <w:tcW w:w="850" w:type="dxa"/>
            <w:vAlign w:val="center"/>
          </w:tcPr>
          <w:p w14:paraId="336F2812"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62F33">
              <w:rPr>
                <w:rFonts w:ascii="Times New Roman" w:hAnsi="Times New Roman" w:cs="Times New Roman"/>
                <w:b/>
                <w:bCs/>
                <w:color w:val="auto"/>
                <w:sz w:val="20"/>
                <w:szCs w:val="20"/>
              </w:rPr>
              <w:t>64,1</w:t>
            </w:r>
          </w:p>
        </w:tc>
        <w:tc>
          <w:tcPr>
            <w:tcW w:w="851" w:type="dxa"/>
            <w:vAlign w:val="center"/>
          </w:tcPr>
          <w:p w14:paraId="4A60F668"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62F33">
              <w:rPr>
                <w:rFonts w:ascii="Times New Roman" w:hAnsi="Times New Roman" w:cs="Times New Roman"/>
                <w:b/>
                <w:bCs/>
                <w:color w:val="auto"/>
                <w:sz w:val="20"/>
                <w:szCs w:val="20"/>
              </w:rPr>
              <w:t>66,0</w:t>
            </w:r>
          </w:p>
        </w:tc>
        <w:tc>
          <w:tcPr>
            <w:tcW w:w="850" w:type="dxa"/>
            <w:vAlign w:val="center"/>
          </w:tcPr>
          <w:p w14:paraId="04D9D2A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62F33">
              <w:rPr>
                <w:rFonts w:ascii="Times New Roman" w:hAnsi="Times New Roman" w:cs="Times New Roman"/>
                <w:b/>
                <w:bCs/>
                <w:color w:val="auto"/>
                <w:sz w:val="20"/>
                <w:szCs w:val="20"/>
              </w:rPr>
              <w:t>63,0</w:t>
            </w:r>
          </w:p>
        </w:tc>
        <w:tc>
          <w:tcPr>
            <w:tcW w:w="851" w:type="dxa"/>
            <w:vAlign w:val="center"/>
          </w:tcPr>
          <w:p w14:paraId="3372B5C5"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c>
          <w:tcPr>
            <w:tcW w:w="851" w:type="dxa"/>
            <w:vAlign w:val="center"/>
          </w:tcPr>
          <w:p w14:paraId="52B41863" w14:textId="77777777" w:rsidR="00284BE8" w:rsidRPr="00D62F33"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62F33">
              <w:rPr>
                <w:rFonts w:ascii="Times New Roman" w:hAnsi="Times New Roman" w:cs="Times New Roman"/>
                <w:color w:val="auto"/>
                <w:sz w:val="20"/>
                <w:szCs w:val="20"/>
              </w:rPr>
              <w:t> </w:t>
            </w:r>
          </w:p>
        </w:tc>
      </w:tr>
    </w:tbl>
    <w:p w14:paraId="6C18E6C8" w14:textId="77777777" w:rsidR="005C4806" w:rsidRPr="00D551C4" w:rsidRDefault="005C4806" w:rsidP="005C4806">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highlight w:val="yellow"/>
          <w:lang w:eastAsia="lv-LV"/>
        </w:rPr>
      </w:pPr>
    </w:p>
    <w:p w14:paraId="125A88A9" w14:textId="77777777" w:rsidR="0024257A" w:rsidRPr="00D551C4" w:rsidRDefault="0024257A" w:rsidP="003E2FE0">
      <w:pPr>
        <w:tabs>
          <w:tab w:val="left" w:pos="988"/>
        </w:tabs>
        <w:rPr>
          <w:rFonts w:ascii="Times New Roman" w:hAnsi="Times New Roman" w:cs="Times New Roman"/>
          <w:sz w:val="20"/>
          <w:highlight w:val="yellow"/>
        </w:rPr>
      </w:pPr>
    </w:p>
    <w:p w14:paraId="36397491" w14:textId="3B7819CA" w:rsidR="00284BE8" w:rsidRDefault="00284BE8">
      <w:pPr>
        <w:rPr>
          <w:rFonts w:ascii="Times New Roman" w:hAnsi="Times New Roman" w:cs="Times New Roman"/>
          <w:sz w:val="20"/>
          <w:highlight w:val="yellow"/>
        </w:rPr>
      </w:pPr>
      <w:r>
        <w:rPr>
          <w:rFonts w:ascii="Times New Roman" w:hAnsi="Times New Roman" w:cs="Times New Roman"/>
          <w:sz w:val="20"/>
          <w:highlight w:val="yellow"/>
        </w:rPr>
        <w:br w:type="page"/>
      </w:r>
    </w:p>
    <w:p w14:paraId="6F57A0F0" w14:textId="0C90DBD3" w:rsidR="00284BE8" w:rsidRPr="00B74B22" w:rsidRDefault="00B74B22" w:rsidP="00B74B22">
      <w:pPr>
        <w:pStyle w:val="Heading2"/>
        <w:numPr>
          <w:ilvl w:val="0"/>
          <w:numId w:val="0"/>
        </w:numPr>
        <w:ind w:left="576"/>
        <w:rPr>
          <w:rFonts w:ascii="Times New Roman" w:eastAsia="Times New Roman" w:hAnsi="Times New Roman" w:cs="Times New Roman"/>
          <w:sz w:val="24"/>
          <w:szCs w:val="24"/>
        </w:rPr>
      </w:pPr>
      <w:bookmarkStart w:id="62" w:name="_Toc38887988"/>
      <w:r>
        <w:rPr>
          <w:rFonts w:ascii="Times New Roman" w:eastAsia="Times New Roman" w:hAnsi="Times New Roman" w:cs="Times New Roman"/>
          <w:sz w:val="24"/>
          <w:szCs w:val="24"/>
        </w:rPr>
        <w:t xml:space="preserve">B. </w:t>
      </w:r>
      <w:r w:rsidR="00284BE8" w:rsidRPr="00B74B22">
        <w:rPr>
          <w:rFonts w:ascii="Times New Roman" w:eastAsia="Times New Roman" w:hAnsi="Times New Roman" w:cs="Times New Roman"/>
          <w:sz w:val="24"/>
          <w:szCs w:val="24"/>
        </w:rPr>
        <w:t>Pielikums. Covid-19 ietekmes scenārijs</w:t>
      </w:r>
      <w:bookmarkEnd w:id="62"/>
    </w:p>
    <w:p w14:paraId="0FC60B2E" w14:textId="77777777" w:rsidR="00284BE8" w:rsidRPr="00284BE8" w:rsidRDefault="00284BE8" w:rsidP="00284BE8">
      <w:pPr>
        <w:keepNext/>
        <w:spacing w:before="360" w:after="120" w:line="240" w:lineRule="auto"/>
        <w:rPr>
          <w:rFonts w:ascii="Times New Roman" w:eastAsia="Times New Roman" w:hAnsi="Times New Roman" w:cs="Times New Roman"/>
          <w:b/>
          <w:sz w:val="24"/>
          <w:szCs w:val="20"/>
        </w:rPr>
      </w:pPr>
      <w:r w:rsidRPr="00284BE8">
        <w:rPr>
          <w:rFonts w:ascii="Times New Roman" w:eastAsia="Times New Roman" w:hAnsi="Times New Roman" w:cs="Times New Roman"/>
          <w:b/>
          <w:sz w:val="24"/>
          <w:szCs w:val="20"/>
        </w:rPr>
        <w:t>1a.tabula. Izaugsme un ar to saistītie faktori</w:t>
      </w:r>
    </w:p>
    <w:tbl>
      <w:tblPr>
        <w:tblStyle w:val="GridTable6Colorful-Accent151"/>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284BE8" w:rsidRPr="00284BE8" w14:paraId="7E603F36" w14:textId="77777777" w:rsidTr="00284BE8">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14:paraId="3BA79E15" w14:textId="77777777" w:rsidR="00284BE8" w:rsidRPr="00284BE8" w:rsidRDefault="00284BE8" w:rsidP="00284BE8">
            <w:pPr>
              <w:autoSpaceDE w:val="0"/>
              <w:autoSpaceDN w:val="0"/>
              <w:adjustRightInd w:val="0"/>
              <w:spacing w:line="259" w:lineRule="auto"/>
              <w:jc w:val="both"/>
              <w:rPr>
                <w:rFonts w:ascii="Times New Roman" w:eastAsia="Times New Roman" w:hAnsi="Times New Roman" w:cs="Times New Roman"/>
                <w:b w:val="0"/>
                <w:bCs w:val="0"/>
                <w:color w:val="auto"/>
                <w:sz w:val="20"/>
                <w:szCs w:val="24"/>
                <w:lang w:eastAsia="lv-LV"/>
              </w:rPr>
            </w:pPr>
          </w:p>
        </w:tc>
        <w:tc>
          <w:tcPr>
            <w:tcW w:w="998" w:type="dxa"/>
            <w:vMerge w:val="restart"/>
            <w:noWrap/>
            <w:vAlign w:val="center"/>
            <w:hideMark/>
          </w:tcPr>
          <w:p w14:paraId="28685237" w14:textId="77777777" w:rsidR="00284BE8" w:rsidRPr="00284BE8" w:rsidRDefault="00284BE8" w:rsidP="00284BE8">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bCs w:val="0"/>
                <w:color w:val="auto"/>
                <w:sz w:val="20"/>
                <w:szCs w:val="24"/>
                <w:lang w:eastAsia="lv-LV"/>
              </w:rPr>
              <w:t>EKS Kods</w:t>
            </w:r>
          </w:p>
        </w:tc>
        <w:tc>
          <w:tcPr>
            <w:tcW w:w="803" w:type="dxa"/>
            <w:noWrap/>
            <w:vAlign w:val="center"/>
          </w:tcPr>
          <w:p w14:paraId="4526BF8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803" w:type="dxa"/>
            <w:noWrap/>
            <w:vAlign w:val="center"/>
          </w:tcPr>
          <w:p w14:paraId="7A8D8230"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2019</w:t>
            </w:r>
          </w:p>
        </w:tc>
        <w:tc>
          <w:tcPr>
            <w:tcW w:w="803" w:type="dxa"/>
            <w:noWrap/>
            <w:vAlign w:val="center"/>
          </w:tcPr>
          <w:p w14:paraId="21C872D6"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803" w:type="dxa"/>
            <w:noWrap/>
            <w:vAlign w:val="center"/>
          </w:tcPr>
          <w:p w14:paraId="21EA37E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803" w:type="dxa"/>
            <w:noWrap/>
            <w:vAlign w:val="center"/>
          </w:tcPr>
          <w:p w14:paraId="316FBA04"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804" w:type="dxa"/>
            <w:noWrap/>
            <w:vAlign w:val="center"/>
          </w:tcPr>
          <w:p w14:paraId="263FF32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284BE8" w14:paraId="1A062766" w14:textId="77777777" w:rsidTr="00284BE8">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14:paraId="4D65FA38" w14:textId="77777777" w:rsidR="00284BE8" w:rsidRPr="00284BE8" w:rsidRDefault="00284BE8" w:rsidP="00284BE8">
            <w:pPr>
              <w:autoSpaceDE w:val="0"/>
              <w:autoSpaceDN w:val="0"/>
              <w:adjustRightInd w:val="0"/>
              <w:spacing w:line="259" w:lineRule="auto"/>
              <w:jc w:val="both"/>
              <w:rPr>
                <w:rFonts w:ascii="Times New Roman" w:eastAsia="Times New Roman" w:hAnsi="Times New Roman" w:cs="Times New Roman"/>
                <w:b w:val="0"/>
                <w:bCs w:val="0"/>
                <w:color w:val="auto"/>
                <w:sz w:val="20"/>
                <w:szCs w:val="24"/>
                <w:lang w:eastAsia="lv-LV"/>
              </w:rPr>
            </w:pPr>
          </w:p>
        </w:tc>
        <w:tc>
          <w:tcPr>
            <w:tcW w:w="998" w:type="dxa"/>
            <w:vMerge/>
            <w:vAlign w:val="center"/>
            <w:hideMark/>
          </w:tcPr>
          <w:p w14:paraId="5C3D1D12"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2F911681"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 xml:space="preserve">milj. </w:t>
            </w:r>
            <w:r w:rsidRPr="00284BE8">
              <w:rPr>
                <w:rFonts w:ascii="Times New Roman" w:eastAsia="Times New Roman" w:hAnsi="Times New Roman" w:cs="Times New Roman"/>
                <w:i/>
                <w:iCs/>
                <w:color w:val="auto"/>
                <w:sz w:val="20"/>
                <w:szCs w:val="24"/>
                <w:lang w:eastAsia="lv-LV"/>
              </w:rPr>
              <w:t>euro</w:t>
            </w:r>
          </w:p>
        </w:tc>
        <w:tc>
          <w:tcPr>
            <w:tcW w:w="4016" w:type="dxa"/>
            <w:gridSpan w:val="5"/>
            <w:vAlign w:val="center"/>
          </w:tcPr>
          <w:p w14:paraId="6C1919F8"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Pieaugums %</w:t>
            </w:r>
          </w:p>
        </w:tc>
      </w:tr>
      <w:tr w:rsidR="00284BE8" w:rsidRPr="00284BE8" w14:paraId="00BC89BD" w14:textId="77777777" w:rsidTr="00284BE8">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79222188"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1. IKP 2010.gada cenās</w:t>
            </w:r>
          </w:p>
        </w:tc>
        <w:tc>
          <w:tcPr>
            <w:tcW w:w="998" w:type="dxa"/>
            <w:noWrap/>
            <w:vAlign w:val="center"/>
            <w:hideMark/>
          </w:tcPr>
          <w:p w14:paraId="2D6D686D"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B1*g</w:t>
            </w:r>
          </w:p>
        </w:tc>
        <w:tc>
          <w:tcPr>
            <w:tcW w:w="803" w:type="dxa"/>
            <w:noWrap/>
            <w:vAlign w:val="center"/>
            <w:hideMark/>
          </w:tcPr>
          <w:p w14:paraId="594BE78D" w14:textId="5085C78A"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27</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497</w:t>
            </w:r>
          </w:p>
        </w:tc>
        <w:tc>
          <w:tcPr>
            <w:tcW w:w="803" w:type="dxa"/>
            <w:noWrap/>
            <w:vAlign w:val="center"/>
            <w:hideMark/>
          </w:tcPr>
          <w:p w14:paraId="4FFEF0C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2,2</w:t>
            </w:r>
          </w:p>
        </w:tc>
        <w:tc>
          <w:tcPr>
            <w:tcW w:w="803" w:type="dxa"/>
            <w:noWrap/>
            <w:vAlign w:val="center"/>
            <w:hideMark/>
          </w:tcPr>
          <w:p w14:paraId="0267D2F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-7,0</w:t>
            </w:r>
          </w:p>
        </w:tc>
        <w:tc>
          <w:tcPr>
            <w:tcW w:w="803" w:type="dxa"/>
            <w:noWrap/>
            <w:vAlign w:val="center"/>
            <w:hideMark/>
          </w:tcPr>
          <w:p w14:paraId="641625C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803" w:type="dxa"/>
            <w:noWrap/>
            <w:vAlign w:val="center"/>
            <w:hideMark/>
          </w:tcPr>
          <w:p w14:paraId="40B506E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3,5</w:t>
            </w:r>
          </w:p>
        </w:tc>
        <w:tc>
          <w:tcPr>
            <w:tcW w:w="804" w:type="dxa"/>
            <w:noWrap/>
            <w:vAlign w:val="center"/>
            <w:hideMark/>
          </w:tcPr>
          <w:p w14:paraId="7BD6F68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2,4</w:t>
            </w:r>
          </w:p>
        </w:tc>
      </w:tr>
      <w:tr w:rsidR="00284BE8" w:rsidRPr="00284BE8" w14:paraId="21D411A9" w14:textId="77777777" w:rsidTr="00284BE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5BFCD254"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2. IKP faktiskajās cenās</w:t>
            </w:r>
          </w:p>
        </w:tc>
        <w:tc>
          <w:tcPr>
            <w:tcW w:w="998" w:type="dxa"/>
            <w:noWrap/>
            <w:vAlign w:val="center"/>
            <w:hideMark/>
          </w:tcPr>
          <w:p w14:paraId="0D1DC2FA"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B1*g</w:t>
            </w:r>
          </w:p>
        </w:tc>
        <w:tc>
          <w:tcPr>
            <w:tcW w:w="803" w:type="dxa"/>
            <w:noWrap/>
            <w:vAlign w:val="center"/>
            <w:hideMark/>
          </w:tcPr>
          <w:p w14:paraId="49CDA352" w14:textId="0AC7FDB9"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476</w:t>
            </w:r>
          </w:p>
        </w:tc>
        <w:tc>
          <w:tcPr>
            <w:tcW w:w="803" w:type="dxa"/>
            <w:noWrap/>
            <w:vAlign w:val="center"/>
            <w:hideMark/>
          </w:tcPr>
          <w:p w14:paraId="70FF6AF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4,9</w:t>
            </w:r>
          </w:p>
        </w:tc>
        <w:tc>
          <w:tcPr>
            <w:tcW w:w="803" w:type="dxa"/>
            <w:noWrap/>
            <w:vAlign w:val="center"/>
            <w:hideMark/>
          </w:tcPr>
          <w:p w14:paraId="11B747F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-7,9</w:t>
            </w:r>
          </w:p>
        </w:tc>
        <w:tc>
          <w:tcPr>
            <w:tcW w:w="803" w:type="dxa"/>
            <w:noWrap/>
            <w:vAlign w:val="center"/>
            <w:hideMark/>
          </w:tcPr>
          <w:p w14:paraId="3F50BE7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2,4</w:t>
            </w:r>
          </w:p>
        </w:tc>
        <w:tc>
          <w:tcPr>
            <w:tcW w:w="803" w:type="dxa"/>
            <w:noWrap/>
            <w:vAlign w:val="center"/>
            <w:hideMark/>
          </w:tcPr>
          <w:p w14:paraId="17A714F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5,6</w:t>
            </w:r>
          </w:p>
        </w:tc>
        <w:tc>
          <w:tcPr>
            <w:tcW w:w="804" w:type="dxa"/>
            <w:noWrap/>
            <w:vAlign w:val="center"/>
            <w:hideMark/>
          </w:tcPr>
          <w:p w14:paraId="7FDB799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4,4</w:t>
            </w:r>
          </w:p>
        </w:tc>
      </w:tr>
      <w:tr w:rsidR="00284BE8" w:rsidRPr="00284BE8" w14:paraId="70B38CD9" w14:textId="77777777" w:rsidTr="00284BE8">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5FB653A3" w14:textId="77777777" w:rsidR="00284BE8" w:rsidRPr="00284BE8" w:rsidRDefault="00284BE8" w:rsidP="00284BE8">
            <w:pPr>
              <w:autoSpaceDE w:val="0"/>
              <w:autoSpaceDN w:val="0"/>
              <w:adjustRightInd w:val="0"/>
              <w:spacing w:line="259" w:lineRule="auto"/>
              <w:jc w:val="center"/>
              <w:rPr>
                <w:rFonts w:ascii="Times New Roman" w:eastAsia="Times New Roman" w:hAnsi="Times New Roman" w:cs="Times New Roman"/>
                <w:b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IKP pēc izlietojuma 2010.gada cenās</w:t>
            </w:r>
          </w:p>
        </w:tc>
      </w:tr>
      <w:tr w:rsidR="00284BE8" w:rsidRPr="00284BE8" w14:paraId="05BCB5FB" w14:textId="77777777" w:rsidTr="00284BE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32F4B9B"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3. Privātais patēriņš</w:t>
            </w:r>
          </w:p>
        </w:tc>
        <w:tc>
          <w:tcPr>
            <w:tcW w:w="998" w:type="dxa"/>
            <w:noWrap/>
            <w:vAlign w:val="center"/>
            <w:hideMark/>
          </w:tcPr>
          <w:p w14:paraId="38744D01"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P3</w:t>
            </w:r>
          </w:p>
        </w:tc>
        <w:tc>
          <w:tcPr>
            <w:tcW w:w="803" w:type="dxa"/>
            <w:noWrap/>
            <w:vAlign w:val="center"/>
            <w:hideMark/>
          </w:tcPr>
          <w:p w14:paraId="60BAF514" w14:textId="5233529D"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515</w:t>
            </w:r>
          </w:p>
        </w:tc>
        <w:tc>
          <w:tcPr>
            <w:tcW w:w="803" w:type="dxa"/>
            <w:noWrap/>
            <w:vAlign w:val="center"/>
            <w:hideMark/>
          </w:tcPr>
          <w:p w14:paraId="7F58F8A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803" w:type="dxa"/>
            <w:noWrap/>
            <w:vAlign w:val="center"/>
            <w:hideMark/>
          </w:tcPr>
          <w:p w14:paraId="1348DAB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-6,0</w:t>
            </w:r>
          </w:p>
        </w:tc>
        <w:tc>
          <w:tcPr>
            <w:tcW w:w="803" w:type="dxa"/>
            <w:noWrap/>
            <w:vAlign w:val="center"/>
            <w:hideMark/>
          </w:tcPr>
          <w:p w14:paraId="6CFB7E9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803" w:type="dxa"/>
            <w:noWrap/>
            <w:vAlign w:val="center"/>
            <w:hideMark/>
          </w:tcPr>
          <w:p w14:paraId="0735289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3,9</w:t>
            </w:r>
          </w:p>
        </w:tc>
        <w:tc>
          <w:tcPr>
            <w:tcW w:w="804" w:type="dxa"/>
            <w:noWrap/>
            <w:vAlign w:val="center"/>
            <w:hideMark/>
          </w:tcPr>
          <w:p w14:paraId="1D634E3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r>
      <w:tr w:rsidR="00284BE8" w:rsidRPr="00284BE8" w14:paraId="24EE80C6" w14:textId="77777777" w:rsidTr="00284BE8">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39E066C"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4. Sabiedriskais patēriņš</w:t>
            </w:r>
          </w:p>
        </w:tc>
        <w:tc>
          <w:tcPr>
            <w:tcW w:w="998" w:type="dxa"/>
            <w:noWrap/>
            <w:vAlign w:val="center"/>
            <w:hideMark/>
          </w:tcPr>
          <w:p w14:paraId="50692577"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P3</w:t>
            </w:r>
          </w:p>
        </w:tc>
        <w:tc>
          <w:tcPr>
            <w:tcW w:w="803" w:type="dxa"/>
            <w:noWrap/>
            <w:vAlign w:val="center"/>
            <w:hideMark/>
          </w:tcPr>
          <w:p w14:paraId="6CCF23F7" w14:textId="50894DCF"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5</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005</w:t>
            </w:r>
          </w:p>
        </w:tc>
        <w:tc>
          <w:tcPr>
            <w:tcW w:w="803" w:type="dxa"/>
            <w:noWrap/>
            <w:vAlign w:val="center"/>
            <w:hideMark/>
          </w:tcPr>
          <w:p w14:paraId="61A39D7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w:t>
            </w:r>
          </w:p>
        </w:tc>
        <w:tc>
          <w:tcPr>
            <w:tcW w:w="803" w:type="dxa"/>
            <w:noWrap/>
            <w:vAlign w:val="center"/>
            <w:hideMark/>
          </w:tcPr>
          <w:p w14:paraId="5CDD877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c>
          <w:tcPr>
            <w:tcW w:w="803" w:type="dxa"/>
            <w:noWrap/>
            <w:vAlign w:val="center"/>
            <w:hideMark/>
          </w:tcPr>
          <w:p w14:paraId="39A2F63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c>
          <w:tcPr>
            <w:tcW w:w="803" w:type="dxa"/>
            <w:noWrap/>
            <w:vAlign w:val="center"/>
            <w:hideMark/>
          </w:tcPr>
          <w:p w14:paraId="3BCD4E5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2,9</w:t>
            </w:r>
          </w:p>
        </w:tc>
        <w:tc>
          <w:tcPr>
            <w:tcW w:w="804" w:type="dxa"/>
            <w:noWrap/>
            <w:vAlign w:val="center"/>
            <w:hideMark/>
          </w:tcPr>
          <w:p w14:paraId="4E44153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r>
      <w:tr w:rsidR="00284BE8" w:rsidRPr="00284BE8" w14:paraId="79CF6FA1" w14:textId="77777777" w:rsidTr="00284BE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CCF02B2"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5. Kopējā pamatkapitāla veidošana</w:t>
            </w:r>
          </w:p>
        </w:tc>
        <w:tc>
          <w:tcPr>
            <w:tcW w:w="998" w:type="dxa"/>
            <w:noWrap/>
            <w:vAlign w:val="center"/>
            <w:hideMark/>
          </w:tcPr>
          <w:p w14:paraId="5CA74D8A"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P51</w:t>
            </w:r>
          </w:p>
        </w:tc>
        <w:tc>
          <w:tcPr>
            <w:tcW w:w="803" w:type="dxa"/>
            <w:noWrap/>
            <w:vAlign w:val="center"/>
            <w:hideMark/>
          </w:tcPr>
          <w:p w14:paraId="1956901C" w14:textId="5CDF15CB"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550</w:t>
            </w:r>
          </w:p>
        </w:tc>
        <w:tc>
          <w:tcPr>
            <w:tcW w:w="803" w:type="dxa"/>
            <w:noWrap/>
            <w:vAlign w:val="center"/>
            <w:hideMark/>
          </w:tcPr>
          <w:p w14:paraId="28E3480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3,1</w:t>
            </w:r>
          </w:p>
        </w:tc>
        <w:tc>
          <w:tcPr>
            <w:tcW w:w="803" w:type="dxa"/>
            <w:noWrap/>
            <w:vAlign w:val="center"/>
            <w:hideMark/>
          </w:tcPr>
          <w:p w14:paraId="324E334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-18,0</w:t>
            </w:r>
          </w:p>
        </w:tc>
        <w:tc>
          <w:tcPr>
            <w:tcW w:w="803" w:type="dxa"/>
            <w:noWrap/>
            <w:vAlign w:val="center"/>
            <w:hideMark/>
          </w:tcPr>
          <w:p w14:paraId="7D12916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803" w:type="dxa"/>
            <w:noWrap/>
            <w:vAlign w:val="center"/>
            <w:hideMark/>
          </w:tcPr>
          <w:p w14:paraId="4C61B98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4,9</w:t>
            </w:r>
          </w:p>
        </w:tc>
        <w:tc>
          <w:tcPr>
            <w:tcW w:w="804" w:type="dxa"/>
            <w:noWrap/>
            <w:vAlign w:val="center"/>
            <w:hideMark/>
          </w:tcPr>
          <w:p w14:paraId="5C1702B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r>
      <w:tr w:rsidR="00284BE8" w:rsidRPr="00284BE8" w14:paraId="02A656FE" w14:textId="77777777" w:rsidTr="00284BE8">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5FA7531"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6. Krājumu pārmaiņas un vērtslietu iegāde</w:t>
            </w:r>
          </w:p>
        </w:tc>
        <w:tc>
          <w:tcPr>
            <w:tcW w:w="998" w:type="dxa"/>
            <w:noWrap/>
            <w:vAlign w:val="center"/>
            <w:hideMark/>
          </w:tcPr>
          <w:p w14:paraId="146E9C77"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P52+P53</w:t>
            </w:r>
          </w:p>
        </w:tc>
        <w:tc>
          <w:tcPr>
            <w:tcW w:w="803" w:type="dxa"/>
            <w:noWrap/>
            <w:vAlign w:val="center"/>
            <w:hideMark/>
          </w:tcPr>
          <w:p w14:paraId="7275358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467</w:t>
            </w:r>
          </w:p>
        </w:tc>
        <w:tc>
          <w:tcPr>
            <w:tcW w:w="803" w:type="dxa"/>
            <w:noWrap/>
            <w:vAlign w:val="center"/>
          </w:tcPr>
          <w:p w14:paraId="1593740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w:t>
            </w:r>
          </w:p>
        </w:tc>
        <w:tc>
          <w:tcPr>
            <w:tcW w:w="803" w:type="dxa"/>
            <w:noWrap/>
            <w:vAlign w:val="center"/>
          </w:tcPr>
          <w:p w14:paraId="54D61CD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w:t>
            </w:r>
          </w:p>
        </w:tc>
        <w:tc>
          <w:tcPr>
            <w:tcW w:w="803" w:type="dxa"/>
            <w:noWrap/>
            <w:vAlign w:val="center"/>
          </w:tcPr>
          <w:p w14:paraId="351DFD3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w:t>
            </w:r>
          </w:p>
        </w:tc>
        <w:tc>
          <w:tcPr>
            <w:tcW w:w="803" w:type="dxa"/>
            <w:noWrap/>
            <w:vAlign w:val="center"/>
          </w:tcPr>
          <w:p w14:paraId="5A88D46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w:t>
            </w:r>
          </w:p>
        </w:tc>
        <w:tc>
          <w:tcPr>
            <w:tcW w:w="804" w:type="dxa"/>
            <w:noWrap/>
            <w:vAlign w:val="center"/>
          </w:tcPr>
          <w:p w14:paraId="4E49DCB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w:t>
            </w:r>
          </w:p>
        </w:tc>
      </w:tr>
      <w:tr w:rsidR="00284BE8" w:rsidRPr="00284BE8" w14:paraId="7136DF15" w14:textId="77777777" w:rsidTr="00284BE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42640C50"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7. Eksports</w:t>
            </w:r>
          </w:p>
        </w:tc>
        <w:tc>
          <w:tcPr>
            <w:tcW w:w="998" w:type="dxa"/>
            <w:noWrap/>
            <w:vAlign w:val="center"/>
            <w:hideMark/>
          </w:tcPr>
          <w:p w14:paraId="13394231"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P6</w:t>
            </w:r>
          </w:p>
        </w:tc>
        <w:tc>
          <w:tcPr>
            <w:tcW w:w="803" w:type="dxa"/>
            <w:noWrap/>
            <w:vAlign w:val="center"/>
            <w:hideMark/>
          </w:tcPr>
          <w:p w14:paraId="16AD1637" w14:textId="6AE5437F"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17</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387</w:t>
            </w:r>
          </w:p>
        </w:tc>
        <w:tc>
          <w:tcPr>
            <w:tcW w:w="803" w:type="dxa"/>
            <w:noWrap/>
            <w:vAlign w:val="center"/>
            <w:hideMark/>
          </w:tcPr>
          <w:p w14:paraId="0939E93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w:t>
            </w:r>
          </w:p>
        </w:tc>
        <w:tc>
          <w:tcPr>
            <w:tcW w:w="803" w:type="dxa"/>
            <w:noWrap/>
            <w:vAlign w:val="center"/>
            <w:hideMark/>
          </w:tcPr>
          <w:p w14:paraId="0DB597E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-9,0</w:t>
            </w:r>
          </w:p>
        </w:tc>
        <w:tc>
          <w:tcPr>
            <w:tcW w:w="803" w:type="dxa"/>
            <w:noWrap/>
            <w:vAlign w:val="center"/>
            <w:hideMark/>
          </w:tcPr>
          <w:p w14:paraId="0A919BD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803" w:type="dxa"/>
            <w:noWrap/>
            <w:vAlign w:val="center"/>
            <w:hideMark/>
          </w:tcPr>
          <w:p w14:paraId="0F13500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4,0</w:t>
            </w:r>
          </w:p>
        </w:tc>
        <w:tc>
          <w:tcPr>
            <w:tcW w:w="804" w:type="dxa"/>
            <w:noWrap/>
            <w:vAlign w:val="center"/>
            <w:hideMark/>
          </w:tcPr>
          <w:p w14:paraId="72F30C9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3,3</w:t>
            </w:r>
          </w:p>
        </w:tc>
      </w:tr>
      <w:tr w:rsidR="00284BE8" w:rsidRPr="00284BE8" w14:paraId="7A1AE18E" w14:textId="77777777" w:rsidTr="00284BE8">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1192DED"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8. Imports</w:t>
            </w:r>
          </w:p>
        </w:tc>
        <w:tc>
          <w:tcPr>
            <w:tcW w:w="998" w:type="dxa"/>
            <w:noWrap/>
            <w:vAlign w:val="center"/>
            <w:hideMark/>
          </w:tcPr>
          <w:p w14:paraId="1E03BC55"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P7</w:t>
            </w:r>
          </w:p>
        </w:tc>
        <w:tc>
          <w:tcPr>
            <w:tcW w:w="803" w:type="dxa"/>
            <w:noWrap/>
            <w:vAlign w:val="center"/>
            <w:hideMark/>
          </w:tcPr>
          <w:p w14:paraId="105CDD8D" w14:textId="09BE718A"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18</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426</w:t>
            </w:r>
          </w:p>
        </w:tc>
        <w:tc>
          <w:tcPr>
            <w:tcW w:w="803" w:type="dxa"/>
            <w:noWrap/>
            <w:vAlign w:val="center"/>
            <w:hideMark/>
          </w:tcPr>
          <w:p w14:paraId="55AC277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2,3</w:t>
            </w:r>
          </w:p>
        </w:tc>
        <w:tc>
          <w:tcPr>
            <w:tcW w:w="803" w:type="dxa"/>
            <w:noWrap/>
            <w:vAlign w:val="center"/>
            <w:hideMark/>
          </w:tcPr>
          <w:p w14:paraId="4871DCE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-10,0</w:t>
            </w:r>
          </w:p>
        </w:tc>
        <w:tc>
          <w:tcPr>
            <w:tcW w:w="803" w:type="dxa"/>
            <w:noWrap/>
            <w:vAlign w:val="center"/>
            <w:hideMark/>
          </w:tcPr>
          <w:p w14:paraId="5333CB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c>
          <w:tcPr>
            <w:tcW w:w="803" w:type="dxa"/>
            <w:noWrap/>
            <w:vAlign w:val="center"/>
            <w:hideMark/>
          </w:tcPr>
          <w:p w14:paraId="0507627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4,5</w:t>
            </w:r>
          </w:p>
        </w:tc>
        <w:tc>
          <w:tcPr>
            <w:tcW w:w="804" w:type="dxa"/>
            <w:noWrap/>
            <w:vAlign w:val="center"/>
            <w:hideMark/>
          </w:tcPr>
          <w:p w14:paraId="0758F0C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3,7</w:t>
            </w:r>
          </w:p>
        </w:tc>
      </w:tr>
      <w:tr w:rsidR="00284BE8" w:rsidRPr="00284BE8" w14:paraId="20AEAA2C" w14:textId="77777777" w:rsidTr="00284BE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14:paraId="744BF2CD" w14:textId="77777777" w:rsidR="00284BE8" w:rsidRPr="00284BE8" w:rsidRDefault="00284BE8" w:rsidP="00284BE8">
            <w:pPr>
              <w:autoSpaceDE w:val="0"/>
              <w:autoSpaceDN w:val="0"/>
              <w:adjustRightInd w:val="0"/>
              <w:spacing w:line="259" w:lineRule="auto"/>
              <w:jc w:val="center"/>
              <w:rPr>
                <w:rFonts w:ascii="Times New Roman" w:eastAsia="Times New Roman" w:hAnsi="Times New Roman" w:cs="Times New Roman"/>
                <w:b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Ieguldījums IKP izaugsmē</w:t>
            </w:r>
          </w:p>
        </w:tc>
      </w:tr>
      <w:tr w:rsidR="00284BE8" w:rsidRPr="00284BE8" w14:paraId="7265205B" w14:textId="77777777" w:rsidTr="00284BE8">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67C30BA9"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9. Kopējais iekšzemes pieprasījums</w:t>
            </w:r>
          </w:p>
        </w:tc>
        <w:tc>
          <w:tcPr>
            <w:tcW w:w="998" w:type="dxa"/>
            <w:noWrap/>
            <w:vAlign w:val="center"/>
            <w:hideMark/>
          </w:tcPr>
          <w:p w14:paraId="40A33CA5"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515A4F25"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109B2A0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803" w:type="dxa"/>
            <w:noWrap/>
            <w:vAlign w:val="center"/>
            <w:hideMark/>
          </w:tcPr>
          <w:p w14:paraId="2BA8952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-8,4</w:t>
            </w:r>
          </w:p>
        </w:tc>
        <w:tc>
          <w:tcPr>
            <w:tcW w:w="803" w:type="dxa"/>
            <w:noWrap/>
            <w:vAlign w:val="center"/>
            <w:hideMark/>
          </w:tcPr>
          <w:p w14:paraId="7D6FCD7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803" w:type="dxa"/>
            <w:noWrap/>
            <w:vAlign w:val="center"/>
            <w:hideMark/>
          </w:tcPr>
          <w:p w14:paraId="452B351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6,1</w:t>
            </w:r>
          </w:p>
        </w:tc>
        <w:tc>
          <w:tcPr>
            <w:tcW w:w="804" w:type="dxa"/>
            <w:noWrap/>
            <w:vAlign w:val="center"/>
            <w:hideMark/>
          </w:tcPr>
          <w:p w14:paraId="259F7C0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4,7</w:t>
            </w:r>
          </w:p>
        </w:tc>
      </w:tr>
      <w:tr w:rsidR="00284BE8" w:rsidRPr="00284BE8" w14:paraId="49968A65" w14:textId="77777777" w:rsidTr="00284BE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C9735C6"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 xml:space="preserve">10. Krājumu pārmaiņas un vērtslietu iegāde </w:t>
            </w:r>
          </w:p>
        </w:tc>
        <w:tc>
          <w:tcPr>
            <w:tcW w:w="998" w:type="dxa"/>
            <w:noWrap/>
            <w:vAlign w:val="center"/>
            <w:hideMark/>
          </w:tcPr>
          <w:p w14:paraId="3FF6CA5E"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P52+P53</w:t>
            </w:r>
          </w:p>
        </w:tc>
        <w:tc>
          <w:tcPr>
            <w:tcW w:w="803" w:type="dxa"/>
            <w:noWrap/>
            <w:vAlign w:val="center"/>
            <w:hideMark/>
          </w:tcPr>
          <w:p w14:paraId="79BE3F07" w14:textId="77777777" w:rsidR="00284BE8" w:rsidRPr="00284BE8" w:rsidRDefault="00284BE8" w:rsidP="00284BE8">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1284E94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-0,5</w:t>
            </w:r>
          </w:p>
        </w:tc>
        <w:tc>
          <w:tcPr>
            <w:tcW w:w="803" w:type="dxa"/>
            <w:noWrap/>
            <w:vAlign w:val="center"/>
            <w:hideMark/>
          </w:tcPr>
          <w:p w14:paraId="0FF70F4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-0,5</w:t>
            </w:r>
          </w:p>
        </w:tc>
        <w:tc>
          <w:tcPr>
            <w:tcW w:w="803" w:type="dxa"/>
            <w:noWrap/>
            <w:vAlign w:val="center"/>
            <w:hideMark/>
          </w:tcPr>
          <w:p w14:paraId="14111A1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0,0</w:t>
            </w:r>
          </w:p>
        </w:tc>
        <w:tc>
          <w:tcPr>
            <w:tcW w:w="803" w:type="dxa"/>
            <w:noWrap/>
            <w:vAlign w:val="center"/>
            <w:hideMark/>
          </w:tcPr>
          <w:p w14:paraId="6F239AC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0,0</w:t>
            </w:r>
          </w:p>
        </w:tc>
        <w:tc>
          <w:tcPr>
            <w:tcW w:w="804" w:type="dxa"/>
            <w:noWrap/>
            <w:vAlign w:val="center"/>
            <w:hideMark/>
          </w:tcPr>
          <w:p w14:paraId="43F5D91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0,0</w:t>
            </w:r>
          </w:p>
        </w:tc>
      </w:tr>
      <w:tr w:rsidR="00284BE8" w:rsidRPr="00284BE8" w14:paraId="5E3DA5A4" w14:textId="77777777" w:rsidTr="00284BE8">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F481744" w14:textId="77777777" w:rsidR="00284BE8" w:rsidRPr="00284BE8" w:rsidRDefault="00284BE8" w:rsidP="00284BE8">
            <w:pPr>
              <w:autoSpaceDE w:val="0"/>
              <w:autoSpaceDN w:val="0"/>
              <w:adjustRightInd w:val="0"/>
              <w:spacing w:line="259" w:lineRule="auto"/>
              <w:rPr>
                <w:rFonts w:ascii="Times New Roman" w:eastAsia="Times New Roman" w:hAnsi="Times New Roman" w:cs="Times New Roman"/>
                <w:bCs w:val="0"/>
                <w:color w:val="auto"/>
                <w:sz w:val="20"/>
                <w:szCs w:val="24"/>
                <w:lang w:eastAsia="lv-LV"/>
              </w:rPr>
            </w:pPr>
            <w:r w:rsidRPr="00284BE8">
              <w:rPr>
                <w:rFonts w:ascii="Times New Roman" w:eastAsia="Times New Roman" w:hAnsi="Times New Roman" w:cs="Times New Roman"/>
                <w:b w:val="0"/>
                <w:bCs w:val="0"/>
                <w:color w:val="auto"/>
                <w:sz w:val="20"/>
                <w:szCs w:val="24"/>
                <w:lang w:eastAsia="lv-LV"/>
              </w:rPr>
              <w:t>11. Eksporta-importa bilance</w:t>
            </w:r>
          </w:p>
        </w:tc>
        <w:tc>
          <w:tcPr>
            <w:tcW w:w="998" w:type="dxa"/>
            <w:noWrap/>
            <w:vAlign w:val="center"/>
            <w:hideMark/>
          </w:tcPr>
          <w:p w14:paraId="7BB1459F"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r w:rsidRPr="00284BE8">
              <w:rPr>
                <w:rFonts w:ascii="Times New Roman" w:eastAsia="Times New Roman" w:hAnsi="Times New Roman" w:cs="Times New Roman"/>
                <w:color w:val="auto"/>
                <w:sz w:val="20"/>
                <w:szCs w:val="24"/>
                <w:lang w:eastAsia="lv-LV"/>
              </w:rPr>
              <w:t>B11</w:t>
            </w:r>
          </w:p>
        </w:tc>
        <w:tc>
          <w:tcPr>
            <w:tcW w:w="803" w:type="dxa"/>
            <w:noWrap/>
            <w:vAlign w:val="center"/>
            <w:hideMark/>
          </w:tcPr>
          <w:p w14:paraId="5AC8CE42" w14:textId="77777777" w:rsidR="00284BE8" w:rsidRPr="00284BE8" w:rsidRDefault="00284BE8" w:rsidP="00284BE8">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4"/>
                <w:lang w:eastAsia="lv-LV"/>
              </w:rPr>
            </w:pPr>
          </w:p>
        </w:tc>
        <w:tc>
          <w:tcPr>
            <w:tcW w:w="803" w:type="dxa"/>
            <w:noWrap/>
            <w:vAlign w:val="center"/>
            <w:hideMark/>
          </w:tcPr>
          <w:p w14:paraId="649DB09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803" w:type="dxa"/>
            <w:noWrap/>
            <w:vAlign w:val="center"/>
            <w:hideMark/>
          </w:tcPr>
          <w:p w14:paraId="108C58F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803" w:type="dxa"/>
            <w:noWrap/>
            <w:vAlign w:val="center"/>
            <w:hideMark/>
          </w:tcPr>
          <w:p w14:paraId="733CBEF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-0,6</w:t>
            </w:r>
          </w:p>
        </w:tc>
        <w:tc>
          <w:tcPr>
            <w:tcW w:w="803" w:type="dxa"/>
            <w:noWrap/>
            <w:vAlign w:val="center"/>
            <w:hideMark/>
          </w:tcPr>
          <w:p w14:paraId="7C77B48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-0,5</w:t>
            </w:r>
          </w:p>
        </w:tc>
        <w:tc>
          <w:tcPr>
            <w:tcW w:w="804" w:type="dxa"/>
            <w:noWrap/>
            <w:vAlign w:val="center"/>
            <w:hideMark/>
          </w:tcPr>
          <w:p w14:paraId="1756210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-0,4</w:t>
            </w:r>
          </w:p>
        </w:tc>
      </w:tr>
    </w:tbl>
    <w:p w14:paraId="7E0862D6" w14:textId="77777777" w:rsidR="00284BE8" w:rsidRPr="00284BE8" w:rsidRDefault="00284BE8" w:rsidP="00284BE8">
      <w:pPr>
        <w:keepNext/>
        <w:spacing w:after="0" w:line="240" w:lineRule="auto"/>
        <w:rPr>
          <w:rFonts w:ascii="Times New Roman" w:eastAsia="Times New Roman" w:hAnsi="Times New Roman" w:cs="Times New Roman"/>
          <w:b/>
          <w:sz w:val="24"/>
          <w:szCs w:val="20"/>
        </w:rPr>
      </w:pPr>
    </w:p>
    <w:p w14:paraId="22C498EA" w14:textId="77777777" w:rsidR="00284BE8" w:rsidRPr="00284BE8" w:rsidRDefault="00284BE8" w:rsidP="00284BE8">
      <w:pPr>
        <w:keepNext/>
        <w:spacing w:after="0" w:line="240" w:lineRule="auto"/>
        <w:rPr>
          <w:rFonts w:ascii="Times New Roman" w:eastAsia="Times New Roman" w:hAnsi="Times New Roman" w:cs="Times New Roman"/>
          <w:b/>
          <w:sz w:val="24"/>
          <w:szCs w:val="20"/>
        </w:rPr>
      </w:pPr>
      <w:r w:rsidRPr="00284BE8">
        <w:rPr>
          <w:rFonts w:ascii="Times New Roman" w:eastAsia="Times New Roman" w:hAnsi="Times New Roman" w:cs="Times New Roman"/>
          <w:b/>
          <w:sz w:val="24"/>
          <w:szCs w:val="20"/>
        </w:rPr>
        <w:t>1b.tabula. Patēriņa cenu izmaiņas</w:t>
      </w:r>
    </w:p>
    <w:tbl>
      <w:tblPr>
        <w:tblStyle w:val="GridTable6Colorful-Accent112"/>
        <w:tblW w:w="9151" w:type="dxa"/>
        <w:jc w:val="center"/>
        <w:tblLayout w:type="fixed"/>
        <w:tblLook w:val="04A0" w:firstRow="1" w:lastRow="0" w:firstColumn="1" w:lastColumn="0" w:noHBand="0" w:noVBand="1"/>
      </w:tblPr>
      <w:tblGrid>
        <w:gridCol w:w="3285"/>
        <w:gridCol w:w="963"/>
        <w:gridCol w:w="850"/>
        <w:gridCol w:w="931"/>
        <w:gridCol w:w="780"/>
        <w:gridCol w:w="781"/>
        <w:gridCol w:w="780"/>
        <w:gridCol w:w="781"/>
      </w:tblGrid>
      <w:tr w:rsidR="00284BE8" w:rsidRPr="00284BE8" w14:paraId="217F1472" w14:textId="77777777" w:rsidTr="00284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14:paraId="6B2B1582" w14:textId="77777777" w:rsidR="00284BE8" w:rsidRPr="00284BE8" w:rsidRDefault="00284BE8" w:rsidP="00284BE8">
            <w:pPr>
              <w:spacing w:line="256" w:lineRule="auto"/>
              <w:rPr>
                <w:rFonts w:ascii="Times New Roman" w:eastAsia="Times New Roman" w:hAnsi="Times New Roman" w:cs="Times New Roman"/>
                <w:color w:val="auto"/>
                <w:sz w:val="20"/>
                <w:szCs w:val="20"/>
              </w:rPr>
            </w:pPr>
          </w:p>
        </w:tc>
        <w:tc>
          <w:tcPr>
            <w:tcW w:w="963" w:type="dxa"/>
            <w:vAlign w:val="center"/>
            <w:hideMark/>
          </w:tcPr>
          <w:p w14:paraId="6EE50785" w14:textId="77777777" w:rsidR="00284BE8" w:rsidRPr="00284BE8" w:rsidRDefault="00284BE8" w:rsidP="00284BE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EKS</w:t>
            </w:r>
          </w:p>
          <w:p w14:paraId="635E7DB6" w14:textId="77777777" w:rsidR="00284BE8" w:rsidRPr="00284BE8" w:rsidRDefault="00284BE8" w:rsidP="00284BE8">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Kods</w:t>
            </w:r>
          </w:p>
        </w:tc>
        <w:tc>
          <w:tcPr>
            <w:tcW w:w="850" w:type="dxa"/>
            <w:vAlign w:val="center"/>
            <w:hideMark/>
          </w:tcPr>
          <w:p w14:paraId="3B09ADD2"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931" w:type="dxa"/>
            <w:vAlign w:val="center"/>
            <w:hideMark/>
          </w:tcPr>
          <w:p w14:paraId="7D5E310B"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2019</w:t>
            </w:r>
          </w:p>
        </w:tc>
        <w:tc>
          <w:tcPr>
            <w:tcW w:w="780" w:type="dxa"/>
            <w:vAlign w:val="center"/>
            <w:hideMark/>
          </w:tcPr>
          <w:p w14:paraId="218C7872"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781" w:type="dxa"/>
            <w:vAlign w:val="center"/>
            <w:hideMark/>
          </w:tcPr>
          <w:p w14:paraId="24F5743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780" w:type="dxa"/>
            <w:vAlign w:val="center"/>
            <w:hideMark/>
          </w:tcPr>
          <w:p w14:paraId="77787B2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781" w:type="dxa"/>
            <w:vAlign w:val="center"/>
            <w:hideMark/>
          </w:tcPr>
          <w:p w14:paraId="6418ABAE"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284BE8" w14:paraId="5766EE8F"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14:paraId="234011E9" w14:textId="77777777" w:rsidR="00284BE8" w:rsidRPr="00284BE8" w:rsidRDefault="00284BE8" w:rsidP="00284BE8">
            <w:pPr>
              <w:spacing w:line="256" w:lineRule="auto"/>
              <w:rPr>
                <w:rFonts w:ascii="Times New Roman" w:eastAsia="Times New Roman" w:hAnsi="Times New Roman" w:cs="Times New Roman"/>
                <w:snapToGrid w:val="0"/>
                <w:color w:val="auto"/>
                <w:sz w:val="20"/>
                <w:szCs w:val="20"/>
              </w:rPr>
            </w:pPr>
          </w:p>
        </w:tc>
        <w:tc>
          <w:tcPr>
            <w:tcW w:w="963" w:type="dxa"/>
            <w:vAlign w:val="center"/>
          </w:tcPr>
          <w:p w14:paraId="6BFBEFD5"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hideMark/>
          </w:tcPr>
          <w:p w14:paraId="3B2CB691" w14:textId="77777777" w:rsidR="00284BE8" w:rsidRPr="00284BE8" w:rsidRDefault="00284BE8" w:rsidP="00284BE8">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līmenis</w:t>
            </w:r>
          </w:p>
        </w:tc>
        <w:tc>
          <w:tcPr>
            <w:tcW w:w="4053" w:type="dxa"/>
            <w:gridSpan w:val="5"/>
            <w:vAlign w:val="center"/>
            <w:hideMark/>
          </w:tcPr>
          <w:p w14:paraId="3D6499A4" w14:textId="77777777" w:rsidR="00284BE8" w:rsidRPr="00284BE8" w:rsidRDefault="00284BE8" w:rsidP="00284BE8">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Pieaugums %</w:t>
            </w:r>
          </w:p>
        </w:tc>
      </w:tr>
      <w:tr w:rsidR="00284BE8" w:rsidRPr="00284BE8" w14:paraId="242C6117"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22DAD6D1"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1. IKP deflators</w:t>
            </w:r>
          </w:p>
        </w:tc>
        <w:tc>
          <w:tcPr>
            <w:tcW w:w="963" w:type="dxa"/>
            <w:vAlign w:val="center"/>
          </w:tcPr>
          <w:p w14:paraId="406FD4DC"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1D45D9F6"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1BC7644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w:t>
            </w:r>
          </w:p>
        </w:tc>
        <w:tc>
          <w:tcPr>
            <w:tcW w:w="780" w:type="dxa"/>
            <w:vAlign w:val="center"/>
          </w:tcPr>
          <w:p w14:paraId="4B5E83D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1" w:type="dxa"/>
            <w:vAlign w:val="center"/>
          </w:tcPr>
          <w:p w14:paraId="03F54BC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1,3</w:t>
            </w:r>
          </w:p>
        </w:tc>
        <w:tc>
          <w:tcPr>
            <w:tcW w:w="780" w:type="dxa"/>
            <w:vAlign w:val="center"/>
          </w:tcPr>
          <w:p w14:paraId="7468648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c>
          <w:tcPr>
            <w:tcW w:w="781" w:type="dxa"/>
            <w:vAlign w:val="center"/>
          </w:tcPr>
          <w:p w14:paraId="63E6B14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r>
      <w:tr w:rsidR="00284BE8" w:rsidRPr="00284BE8" w14:paraId="5C525066"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559576D6"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2. Privātā patēriņa deflators</w:t>
            </w:r>
          </w:p>
        </w:tc>
        <w:tc>
          <w:tcPr>
            <w:tcW w:w="963" w:type="dxa"/>
            <w:vAlign w:val="center"/>
          </w:tcPr>
          <w:p w14:paraId="61FCD485"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3B71D7EB"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197537E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80" w:type="dxa"/>
            <w:vAlign w:val="center"/>
          </w:tcPr>
          <w:p w14:paraId="40EE511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0,3</w:t>
            </w:r>
          </w:p>
        </w:tc>
        <w:tc>
          <w:tcPr>
            <w:tcW w:w="781" w:type="dxa"/>
            <w:vAlign w:val="center"/>
          </w:tcPr>
          <w:p w14:paraId="11AAA83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1,7</w:t>
            </w:r>
          </w:p>
        </w:tc>
        <w:tc>
          <w:tcPr>
            <w:tcW w:w="780" w:type="dxa"/>
            <w:vAlign w:val="center"/>
          </w:tcPr>
          <w:p w14:paraId="5B04284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c>
          <w:tcPr>
            <w:tcW w:w="781" w:type="dxa"/>
            <w:vAlign w:val="center"/>
          </w:tcPr>
          <w:p w14:paraId="498A5E5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r>
      <w:tr w:rsidR="00284BE8" w:rsidRPr="00284BE8" w14:paraId="7D44078D"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5CE3519D"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 xml:space="preserve">3. </w:t>
            </w:r>
            <w:r w:rsidRPr="00284BE8">
              <w:rPr>
                <w:rFonts w:ascii="Times New Roman" w:eastAsia="Times New Roman" w:hAnsi="Times New Roman" w:cs="Times New Roman"/>
                <w:b w:val="0"/>
                <w:noProof/>
                <w:color w:val="auto"/>
                <w:sz w:val="20"/>
                <w:szCs w:val="20"/>
              </w:rPr>
              <w:t>SPCI izmaiņas (gads pret gadu)</w:t>
            </w:r>
          </w:p>
        </w:tc>
        <w:tc>
          <w:tcPr>
            <w:tcW w:w="963" w:type="dxa"/>
            <w:vAlign w:val="center"/>
          </w:tcPr>
          <w:p w14:paraId="17BED7D8"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0F6B2ADA"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1D57953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2,7</w:t>
            </w:r>
          </w:p>
        </w:tc>
        <w:tc>
          <w:tcPr>
            <w:tcW w:w="780" w:type="dxa"/>
            <w:vAlign w:val="center"/>
          </w:tcPr>
          <w:p w14:paraId="4403EBF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c>
          <w:tcPr>
            <w:tcW w:w="781" w:type="dxa"/>
            <w:vAlign w:val="center"/>
          </w:tcPr>
          <w:p w14:paraId="657F66A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1,7</w:t>
            </w:r>
          </w:p>
        </w:tc>
        <w:tc>
          <w:tcPr>
            <w:tcW w:w="780" w:type="dxa"/>
            <w:vAlign w:val="center"/>
          </w:tcPr>
          <w:p w14:paraId="6391CFE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w:t>
            </w:r>
          </w:p>
        </w:tc>
        <w:tc>
          <w:tcPr>
            <w:tcW w:w="781" w:type="dxa"/>
            <w:vAlign w:val="center"/>
          </w:tcPr>
          <w:p w14:paraId="6BE2F7A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w:t>
            </w:r>
          </w:p>
        </w:tc>
      </w:tr>
      <w:tr w:rsidR="00284BE8" w:rsidRPr="00284BE8" w14:paraId="1E0ECB6B"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35E2A17D"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4. Sabiedriskā patēriņa deflators</w:t>
            </w:r>
          </w:p>
        </w:tc>
        <w:tc>
          <w:tcPr>
            <w:tcW w:w="963" w:type="dxa"/>
            <w:vAlign w:val="center"/>
          </w:tcPr>
          <w:p w14:paraId="5259F63A"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14:paraId="6047E34A"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40E76E0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80" w:type="dxa"/>
            <w:vAlign w:val="center"/>
          </w:tcPr>
          <w:p w14:paraId="09746B0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1" w:type="dxa"/>
            <w:vAlign w:val="center"/>
          </w:tcPr>
          <w:p w14:paraId="523A50F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0" w:type="dxa"/>
            <w:vAlign w:val="center"/>
          </w:tcPr>
          <w:p w14:paraId="22401B3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c>
          <w:tcPr>
            <w:tcW w:w="781" w:type="dxa"/>
            <w:vAlign w:val="center"/>
          </w:tcPr>
          <w:p w14:paraId="106216B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2,0</w:t>
            </w:r>
          </w:p>
        </w:tc>
      </w:tr>
      <w:tr w:rsidR="00284BE8" w:rsidRPr="00284BE8" w14:paraId="60437CD2"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389E864A"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5. Investīciju deflators</w:t>
            </w:r>
          </w:p>
        </w:tc>
        <w:tc>
          <w:tcPr>
            <w:tcW w:w="963" w:type="dxa"/>
            <w:vAlign w:val="center"/>
          </w:tcPr>
          <w:p w14:paraId="34928420"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73E37EC9"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7983E9F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3,2</w:t>
            </w:r>
          </w:p>
        </w:tc>
        <w:tc>
          <w:tcPr>
            <w:tcW w:w="780" w:type="dxa"/>
            <w:vAlign w:val="center"/>
          </w:tcPr>
          <w:p w14:paraId="54B2A56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-1,7</w:t>
            </w:r>
          </w:p>
        </w:tc>
        <w:tc>
          <w:tcPr>
            <w:tcW w:w="781" w:type="dxa"/>
            <w:vAlign w:val="center"/>
          </w:tcPr>
          <w:p w14:paraId="647F6A8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1,1</w:t>
            </w:r>
          </w:p>
        </w:tc>
        <w:tc>
          <w:tcPr>
            <w:tcW w:w="780" w:type="dxa"/>
            <w:vAlign w:val="center"/>
          </w:tcPr>
          <w:p w14:paraId="0727AE2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c>
          <w:tcPr>
            <w:tcW w:w="781" w:type="dxa"/>
            <w:vAlign w:val="center"/>
          </w:tcPr>
          <w:p w14:paraId="18506BC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r>
      <w:tr w:rsidR="00284BE8" w:rsidRPr="00284BE8" w14:paraId="3719E81F"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181861BA"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6. Eksporta (preču un pakalpojumu) deflators</w:t>
            </w:r>
          </w:p>
        </w:tc>
        <w:tc>
          <w:tcPr>
            <w:tcW w:w="963" w:type="dxa"/>
            <w:vAlign w:val="center"/>
          </w:tcPr>
          <w:p w14:paraId="7A69E373"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4B47AC89" w14:textId="77777777" w:rsidR="00284BE8" w:rsidRPr="00284BE8" w:rsidRDefault="00284BE8" w:rsidP="00284BE8">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17B2E40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0,2</w:t>
            </w:r>
          </w:p>
        </w:tc>
        <w:tc>
          <w:tcPr>
            <w:tcW w:w="780" w:type="dxa"/>
            <w:vAlign w:val="center"/>
          </w:tcPr>
          <w:p w14:paraId="44E3B03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781" w:type="dxa"/>
            <w:vAlign w:val="center"/>
          </w:tcPr>
          <w:p w14:paraId="6DEC4AF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0" w:type="dxa"/>
            <w:vAlign w:val="center"/>
          </w:tcPr>
          <w:p w14:paraId="1D04611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c>
          <w:tcPr>
            <w:tcW w:w="781" w:type="dxa"/>
            <w:vAlign w:val="center"/>
          </w:tcPr>
          <w:p w14:paraId="4C0D58F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2,4</w:t>
            </w:r>
          </w:p>
        </w:tc>
      </w:tr>
      <w:tr w:rsidR="00284BE8" w:rsidRPr="00284BE8" w14:paraId="0B30CD22"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14:paraId="77EACD8B" w14:textId="77777777" w:rsidR="00284BE8" w:rsidRPr="00284BE8" w:rsidRDefault="00284BE8" w:rsidP="00284BE8">
            <w:pPr>
              <w:spacing w:line="256" w:lineRule="auto"/>
              <w:rPr>
                <w:rFonts w:ascii="Times New Roman" w:eastAsia="Times New Roman" w:hAnsi="Times New Roman" w:cs="Times New Roman"/>
                <w:b w:val="0"/>
                <w:noProof/>
                <w:snapToGrid w:val="0"/>
                <w:color w:val="auto"/>
                <w:sz w:val="20"/>
                <w:szCs w:val="20"/>
              </w:rPr>
            </w:pPr>
            <w:r w:rsidRPr="00284BE8">
              <w:rPr>
                <w:rFonts w:ascii="Times New Roman" w:eastAsia="Times New Roman" w:hAnsi="Times New Roman" w:cs="Times New Roman"/>
                <w:b w:val="0"/>
                <w:noProof/>
                <w:snapToGrid w:val="0"/>
                <w:color w:val="auto"/>
                <w:sz w:val="20"/>
                <w:szCs w:val="20"/>
              </w:rPr>
              <w:t>7. Importa (preču un pakalpojumu) deflators</w:t>
            </w:r>
          </w:p>
        </w:tc>
        <w:tc>
          <w:tcPr>
            <w:tcW w:w="963" w:type="dxa"/>
            <w:vAlign w:val="center"/>
          </w:tcPr>
          <w:p w14:paraId="05DC3700"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14:paraId="6C36A4E2" w14:textId="77777777" w:rsidR="00284BE8" w:rsidRPr="00284BE8" w:rsidRDefault="00284BE8" w:rsidP="00284BE8">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31" w:type="dxa"/>
            <w:vAlign w:val="center"/>
          </w:tcPr>
          <w:p w14:paraId="0760608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-0,5</w:t>
            </w:r>
          </w:p>
        </w:tc>
        <w:tc>
          <w:tcPr>
            <w:tcW w:w="780" w:type="dxa"/>
            <w:vAlign w:val="center"/>
          </w:tcPr>
          <w:p w14:paraId="1764AAD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-5,5</w:t>
            </w:r>
          </w:p>
        </w:tc>
        <w:tc>
          <w:tcPr>
            <w:tcW w:w="781" w:type="dxa"/>
            <w:vAlign w:val="center"/>
          </w:tcPr>
          <w:p w14:paraId="0BF999C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1,5</w:t>
            </w:r>
          </w:p>
        </w:tc>
        <w:tc>
          <w:tcPr>
            <w:tcW w:w="780" w:type="dxa"/>
            <w:vAlign w:val="center"/>
          </w:tcPr>
          <w:p w14:paraId="018CFAD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781" w:type="dxa"/>
            <w:vAlign w:val="center"/>
          </w:tcPr>
          <w:p w14:paraId="1880405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r>
    </w:tbl>
    <w:p w14:paraId="6A3A3E92" w14:textId="77777777" w:rsidR="00284BE8" w:rsidRPr="00284BE8" w:rsidRDefault="00284BE8" w:rsidP="00284BE8">
      <w:pPr>
        <w:spacing w:after="0" w:line="240" w:lineRule="auto"/>
        <w:rPr>
          <w:rFonts w:ascii="Times New Roman" w:hAnsi="Times New Roman" w:cs="Times New Roman"/>
          <w:b/>
        </w:rPr>
      </w:pPr>
    </w:p>
    <w:p w14:paraId="50255054" w14:textId="77777777" w:rsidR="00DB2F30" w:rsidRDefault="00DB2F30" w:rsidP="00284BE8">
      <w:pPr>
        <w:spacing w:after="0" w:line="240" w:lineRule="auto"/>
        <w:rPr>
          <w:rFonts w:ascii="Times New Roman" w:hAnsi="Times New Roman" w:cs="Times New Roman"/>
          <w:b/>
          <w:sz w:val="24"/>
        </w:rPr>
      </w:pPr>
    </w:p>
    <w:p w14:paraId="577F457C" w14:textId="21C9A756" w:rsidR="00284BE8" w:rsidRPr="00284BE8" w:rsidRDefault="00284BE8" w:rsidP="00284BE8">
      <w:pPr>
        <w:spacing w:after="0" w:line="240" w:lineRule="auto"/>
        <w:rPr>
          <w:rFonts w:ascii="Times New Roman" w:hAnsi="Times New Roman" w:cs="Times New Roman"/>
          <w:b/>
          <w:sz w:val="24"/>
        </w:rPr>
      </w:pPr>
      <w:r w:rsidRPr="00284BE8">
        <w:rPr>
          <w:rFonts w:ascii="Times New Roman" w:hAnsi="Times New Roman" w:cs="Times New Roman"/>
          <w:b/>
          <w:sz w:val="24"/>
        </w:rPr>
        <w:t>1c.tabula. Darba tirgus attīstība</w:t>
      </w:r>
    </w:p>
    <w:tbl>
      <w:tblPr>
        <w:tblStyle w:val="GridTable6Colorful-Accent112"/>
        <w:tblW w:w="9151" w:type="dxa"/>
        <w:jc w:val="center"/>
        <w:tblLayout w:type="fixed"/>
        <w:tblLook w:val="04A0" w:firstRow="1" w:lastRow="0" w:firstColumn="1" w:lastColumn="0" w:noHBand="0" w:noVBand="1"/>
      </w:tblPr>
      <w:tblGrid>
        <w:gridCol w:w="3256"/>
        <w:gridCol w:w="992"/>
        <w:gridCol w:w="992"/>
        <w:gridCol w:w="782"/>
        <w:gridCol w:w="782"/>
        <w:gridCol w:w="782"/>
        <w:gridCol w:w="782"/>
        <w:gridCol w:w="783"/>
      </w:tblGrid>
      <w:tr w:rsidR="00284BE8" w:rsidRPr="00284BE8" w14:paraId="27129271" w14:textId="77777777" w:rsidTr="00284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4899917E" w14:textId="77777777" w:rsidR="00284BE8" w:rsidRPr="00284BE8" w:rsidRDefault="00284BE8" w:rsidP="00284BE8">
            <w:pPr>
              <w:rPr>
                <w:rFonts w:ascii="Times New Roman" w:eastAsia="Times New Roman" w:hAnsi="Times New Roman" w:cs="Times New Roman"/>
                <w:color w:val="auto"/>
                <w:sz w:val="20"/>
                <w:szCs w:val="20"/>
              </w:rPr>
            </w:pPr>
          </w:p>
        </w:tc>
        <w:tc>
          <w:tcPr>
            <w:tcW w:w="992" w:type="dxa"/>
            <w:vAlign w:val="center"/>
          </w:tcPr>
          <w:p w14:paraId="466F7ABF"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EKS</w:t>
            </w:r>
          </w:p>
          <w:p w14:paraId="3DC4C16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Kods</w:t>
            </w:r>
          </w:p>
        </w:tc>
        <w:tc>
          <w:tcPr>
            <w:tcW w:w="992" w:type="dxa"/>
            <w:vAlign w:val="center"/>
          </w:tcPr>
          <w:p w14:paraId="403CB2AF"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782" w:type="dxa"/>
            <w:vAlign w:val="center"/>
          </w:tcPr>
          <w:p w14:paraId="739FBFBC"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2019</w:t>
            </w:r>
          </w:p>
        </w:tc>
        <w:tc>
          <w:tcPr>
            <w:tcW w:w="782" w:type="dxa"/>
            <w:vAlign w:val="center"/>
          </w:tcPr>
          <w:p w14:paraId="528B792B"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782" w:type="dxa"/>
            <w:vAlign w:val="center"/>
          </w:tcPr>
          <w:p w14:paraId="4BB459C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782" w:type="dxa"/>
            <w:vAlign w:val="center"/>
          </w:tcPr>
          <w:p w14:paraId="60E554D3"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783" w:type="dxa"/>
            <w:vAlign w:val="center"/>
          </w:tcPr>
          <w:p w14:paraId="58F4169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284BE8" w14:paraId="7E78464C"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E88C3C2" w14:textId="77777777" w:rsidR="00284BE8" w:rsidRPr="00284BE8" w:rsidRDefault="00284BE8" w:rsidP="00284BE8">
            <w:pPr>
              <w:jc w:val="center"/>
              <w:rPr>
                <w:rFonts w:ascii="Times New Roman" w:eastAsia="Times New Roman" w:hAnsi="Times New Roman" w:cs="Times New Roman"/>
                <w:color w:val="auto"/>
                <w:sz w:val="20"/>
                <w:szCs w:val="20"/>
              </w:rPr>
            </w:pPr>
          </w:p>
        </w:tc>
        <w:tc>
          <w:tcPr>
            <w:tcW w:w="992" w:type="dxa"/>
            <w:vAlign w:val="center"/>
          </w:tcPr>
          <w:p w14:paraId="2FCAA0A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2" w:type="dxa"/>
            <w:vAlign w:val="center"/>
          </w:tcPr>
          <w:p w14:paraId="0B80E7F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4BE8">
              <w:rPr>
                <w:rFonts w:ascii="Times New Roman" w:eastAsia="Times New Roman" w:hAnsi="Times New Roman" w:cs="Times New Roman"/>
                <w:color w:val="auto"/>
                <w:sz w:val="20"/>
                <w:szCs w:val="20"/>
              </w:rPr>
              <w:t>Līmenis</w:t>
            </w:r>
          </w:p>
        </w:tc>
        <w:tc>
          <w:tcPr>
            <w:tcW w:w="3911" w:type="dxa"/>
            <w:gridSpan w:val="5"/>
            <w:vAlign w:val="center"/>
          </w:tcPr>
          <w:p w14:paraId="6B50311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284BE8">
              <w:rPr>
                <w:rFonts w:ascii="Times New Roman" w:eastAsia="Times New Roman" w:hAnsi="Times New Roman" w:cs="Times New Roman"/>
                <w:color w:val="auto"/>
                <w:sz w:val="20"/>
                <w:szCs w:val="20"/>
              </w:rPr>
              <w:t>Pieaugums %</w:t>
            </w:r>
          </w:p>
        </w:tc>
      </w:tr>
      <w:tr w:rsidR="00284BE8" w:rsidRPr="00284BE8" w14:paraId="174A9261"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72DD70E"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1. Nodarbinātība, cilvēki, tūkst</w:t>
            </w:r>
          </w:p>
        </w:tc>
        <w:tc>
          <w:tcPr>
            <w:tcW w:w="992" w:type="dxa"/>
            <w:vAlign w:val="center"/>
          </w:tcPr>
          <w:p w14:paraId="64A02141" w14:textId="77777777" w:rsidR="00284BE8" w:rsidRPr="00284BE8"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6E28AD6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910</w:t>
            </w:r>
          </w:p>
        </w:tc>
        <w:tc>
          <w:tcPr>
            <w:tcW w:w="782" w:type="dxa"/>
            <w:vAlign w:val="center"/>
          </w:tcPr>
          <w:p w14:paraId="29912CC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0,1</w:t>
            </w:r>
          </w:p>
        </w:tc>
        <w:tc>
          <w:tcPr>
            <w:tcW w:w="782" w:type="dxa"/>
            <w:vAlign w:val="center"/>
          </w:tcPr>
          <w:p w14:paraId="416E7D9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782" w:type="dxa"/>
            <w:vAlign w:val="center"/>
          </w:tcPr>
          <w:p w14:paraId="46D5F54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1,2</w:t>
            </w:r>
          </w:p>
        </w:tc>
        <w:tc>
          <w:tcPr>
            <w:tcW w:w="782" w:type="dxa"/>
            <w:vAlign w:val="center"/>
          </w:tcPr>
          <w:p w14:paraId="192EBD2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3" w:type="dxa"/>
            <w:vAlign w:val="center"/>
          </w:tcPr>
          <w:p w14:paraId="311BEC7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r>
      <w:tr w:rsidR="00284BE8" w:rsidRPr="00284BE8" w14:paraId="27C05DA8"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22DE5939"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2. Nodarbinātība, darba stundas uz vienu nodarbināto</w:t>
            </w:r>
          </w:p>
        </w:tc>
        <w:tc>
          <w:tcPr>
            <w:tcW w:w="992" w:type="dxa"/>
            <w:vAlign w:val="center"/>
          </w:tcPr>
          <w:p w14:paraId="4711AC35" w14:textId="77777777" w:rsidR="00284BE8" w:rsidRPr="00284BE8"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0C08588E" w14:textId="28EAA64F"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623,6</w:t>
            </w:r>
          </w:p>
        </w:tc>
        <w:tc>
          <w:tcPr>
            <w:tcW w:w="782" w:type="dxa"/>
            <w:vAlign w:val="center"/>
          </w:tcPr>
          <w:p w14:paraId="3739F74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0,9</w:t>
            </w:r>
          </w:p>
        </w:tc>
        <w:tc>
          <w:tcPr>
            <w:tcW w:w="782" w:type="dxa"/>
            <w:vAlign w:val="center"/>
          </w:tcPr>
          <w:p w14:paraId="45CF773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782" w:type="dxa"/>
            <w:vAlign w:val="center"/>
          </w:tcPr>
          <w:p w14:paraId="431E5E5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1,2</w:t>
            </w:r>
          </w:p>
        </w:tc>
        <w:tc>
          <w:tcPr>
            <w:tcW w:w="782" w:type="dxa"/>
            <w:vAlign w:val="center"/>
          </w:tcPr>
          <w:p w14:paraId="7F15064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783" w:type="dxa"/>
            <w:vAlign w:val="center"/>
          </w:tcPr>
          <w:p w14:paraId="649E4B6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r>
      <w:tr w:rsidR="00284BE8" w:rsidRPr="00284BE8" w14:paraId="7B23D6F1"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9D5AD55"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3. Bezdarba līmenis (%)</w:t>
            </w:r>
          </w:p>
        </w:tc>
        <w:tc>
          <w:tcPr>
            <w:tcW w:w="992" w:type="dxa"/>
            <w:vAlign w:val="center"/>
          </w:tcPr>
          <w:p w14:paraId="35674B4E" w14:textId="77777777" w:rsidR="00284BE8" w:rsidRPr="00284BE8"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56C0B65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c>
          <w:tcPr>
            <w:tcW w:w="782" w:type="dxa"/>
            <w:vAlign w:val="center"/>
          </w:tcPr>
          <w:p w14:paraId="3A21157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6,3</w:t>
            </w:r>
          </w:p>
        </w:tc>
        <w:tc>
          <w:tcPr>
            <w:tcW w:w="782" w:type="dxa"/>
            <w:vAlign w:val="center"/>
          </w:tcPr>
          <w:p w14:paraId="2241E7A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11,2</w:t>
            </w:r>
          </w:p>
        </w:tc>
        <w:tc>
          <w:tcPr>
            <w:tcW w:w="782" w:type="dxa"/>
            <w:vAlign w:val="center"/>
          </w:tcPr>
          <w:p w14:paraId="5560AE9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10,1</w:t>
            </w:r>
          </w:p>
        </w:tc>
        <w:tc>
          <w:tcPr>
            <w:tcW w:w="782" w:type="dxa"/>
            <w:vAlign w:val="center"/>
          </w:tcPr>
          <w:p w14:paraId="79167DD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9,0</w:t>
            </w:r>
          </w:p>
        </w:tc>
        <w:tc>
          <w:tcPr>
            <w:tcW w:w="783" w:type="dxa"/>
            <w:vAlign w:val="center"/>
          </w:tcPr>
          <w:p w14:paraId="6EE5A62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8,6</w:t>
            </w:r>
          </w:p>
        </w:tc>
      </w:tr>
      <w:tr w:rsidR="00284BE8" w:rsidRPr="00284BE8" w14:paraId="433463EC"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28F9E558"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4. Darba ražīgums, uz nodarbināto</w:t>
            </w:r>
          </w:p>
        </w:tc>
        <w:tc>
          <w:tcPr>
            <w:tcW w:w="992" w:type="dxa"/>
            <w:vAlign w:val="center"/>
          </w:tcPr>
          <w:p w14:paraId="15E03C4F" w14:textId="77777777" w:rsidR="00284BE8" w:rsidRPr="00284BE8"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56766649" w14:textId="77777777" w:rsidR="00284BE8" w:rsidRPr="00284BE8" w:rsidRDefault="00284BE8" w:rsidP="00284BE8">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284BE8">
              <w:rPr>
                <w:rFonts w:ascii="Times New Roman" w:hAnsi="Times New Roman" w:cs="Times New Roman"/>
                <w:b/>
                <w:bCs/>
                <w:color w:val="auto"/>
              </w:rPr>
              <w:t> </w:t>
            </w:r>
          </w:p>
        </w:tc>
        <w:tc>
          <w:tcPr>
            <w:tcW w:w="782" w:type="dxa"/>
            <w:vAlign w:val="center"/>
          </w:tcPr>
          <w:p w14:paraId="173ED23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2,1</w:t>
            </w:r>
          </w:p>
        </w:tc>
        <w:tc>
          <w:tcPr>
            <w:tcW w:w="782" w:type="dxa"/>
            <w:vAlign w:val="center"/>
          </w:tcPr>
          <w:p w14:paraId="60135DB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-2,1</w:t>
            </w:r>
          </w:p>
        </w:tc>
        <w:tc>
          <w:tcPr>
            <w:tcW w:w="782" w:type="dxa"/>
            <w:vAlign w:val="center"/>
          </w:tcPr>
          <w:p w14:paraId="61FE6E1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-0,2</w:t>
            </w:r>
          </w:p>
        </w:tc>
        <w:tc>
          <w:tcPr>
            <w:tcW w:w="782" w:type="dxa"/>
            <w:vAlign w:val="center"/>
          </w:tcPr>
          <w:p w14:paraId="78D1A4C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c>
          <w:tcPr>
            <w:tcW w:w="783" w:type="dxa"/>
            <w:vAlign w:val="center"/>
          </w:tcPr>
          <w:p w14:paraId="1DAAF98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r>
      <w:tr w:rsidR="00284BE8" w:rsidRPr="00284BE8" w14:paraId="75F819E7"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BEA3C6F"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5. Darba ražīgums, uz darba stundu</w:t>
            </w:r>
          </w:p>
        </w:tc>
        <w:tc>
          <w:tcPr>
            <w:tcW w:w="992" w:type="dxa"/>
            <w:vAlign w:val="center"/>
          </w:tcPr>
          <w:p w14:paraId="741D5725" w14:textId="77777777" w:rsidR="00284BE8" w:rsidRPr="00284BE8"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24A52B1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284BE8">
              <w:rPr>
                <w:rFonts w:ascii="Times New Roman" w:hAnsi="Times New Roman" w:cs="Times New Roman"/>
                <w:b/>
                <w:bCs/>
                <w:color w:val="auto"/>
                <w:sz w:val="20"/>
                <w:szCs w:val="20"/>
              </w:rPr>
              <w:t> </w:t>
            </w:r>
          </w:p>
        </w:tc>
        <w:tc>
          <w:tcPr>
            <w:tcW w:w="782" w:type="dxa"/>
            <w:vAlign w:val="center"/>
          </w:tcPr>
          <w:p w14:paraId="6F71F22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1,3</w:t>
            </w:r>
          </w:p>
        </w:tc>
        <w:tc>
          <w:tcPr>
            <w:tcW w:w="782" w:type="dxa"/>
            <w:vAlign w:val="center"/>
          </w:tcPr>
          <w:p w14:paraId="0162DCB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-2,1</w:t>
            </w:r>
          </w:p>
        </w:tc>
        <w:tc>
          <w:tcPr>
            <w:tcW w:w="782" w:type="dxa"/>
            <w:vAlign w:val="center"/>
          </w:tcPr>
          <w:p w14:paraId="48BA34B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-0,2</w:t>
            </w:r>
          </w:p>
        </w:tc>
        <w:tc>
          <w:tcPr>
            <w:tcW w:w="782" w:type="dxa"/>
            <w:vAlign w:val="center"/>
          </w:tcPr>
          <w:p w14:paraId="2A85415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c>
          <w:tcPr>
            <w:tcW w:w="783" w:type="dxa"/>
            <w:vAlign w:val="center"/>
          </w:tcPr>
          <w:p w14:paraId="5527E13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2,5</w:t>
            </w:r>
          </w:p>
        </w:tc>
      </w:tr>
      <w:tr w:rsidR="00284BE8" w:rsidRPr="00284BE8" w14:paraId="296EE35C" w14:textId="77777777" w:rsidTr="00284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4A0696B9"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 xml:space="preserve">6. Atlīdzība nodarbinātajiem, milj. </w:t>
            </w:r>
            <w:r w:rsidRPr="00284BE8">
              <w:rPr>
                <w:rFonts w:ascii="Times New Roman" w:eastAsia="Times New Roman" w:hAnsi="Times New Roman" w:cs="Times New Roman"/>
                <w:b w:val="0"/>
                <w:i/>
                <w:snapToGrid w:val="0"/>
                <w:color w:val="auto"/>
                <w:sz w:val="20"/>
                <w:szCs w:val="20"/>
              </w:rPr>
              <w:t>euro</w:t>
            </w:r>
            <w:r w:rsidRPr="00284BE8">
              <w:rPr>
                <w:rFonts w:ascii="Times New Roman" w:eastAsia="Times New Roman" w:hAnsi="Times New Roman" w:cs="Times New Roman"/>
                <w:b w:val="0"/>
                <w:snapToGrid w:val="0"/>
                <w:color w:val="auto"/>
                <w:sz w:val="20"/>
                <w:szCs w:val="20"/>
              </w:rPr>
              <w:t>, faktiskās cenās</w:t>
            </w:r>
          </w:p>
        </w:tc>
        <w:tc>
          <w:tcPr>
            <w:tcW w:w="992" w:type="dxa"/>
            <w:vAlign w:val="center"/>
          </w:tcPr>
          <w:p w14:paraId="79D10EF2" w14:textId="77777777" w:rsidR="00284BE8" w:rsidRPr="00284BE8" w:rsidRDefault="00284BE8" w:rsidP="00284BE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84BE8">
              <w:rPr>
                <w:rFonts w:ascii="Times New Roman" w:eastAsia="Times New Roman" w:hAnsi="Times New Roman" w:cs="Times New Roman"/>
                <w:color w:val="auto"/>
                <w:sz w:val="20"/>
                <w:szCs w:val="20"/>
              </w:rPr>
              <w:t>D.1</w:t>
            </w:r>
          </w:p>
        </w:tc>
        <w:tc>
          <w:tcPr>
            <w:tcW w:w="992" w:type="dxa"/>
            <w:vAlign w:val="center"/>
          </w:tcPr>
          <w:p w14:paraId="64374EA7" w14:textId="07C99242"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15</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173</w:t>
            </w:r>
          </w:p>
        </w:tc>
        <w:tc>
          <w:tcPr>
            <w:tcW w:w="782" w:type="dxa"/>
            <w:vAlign w:val="center"/>
          </w:tcPr>
          <w:p w14:paraId="38D1368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8,6</w:t>
            </w:r>
          </w:p>
        </w:tc>
        <w:tc>
          <w:tcPr>
            <w:tcW w:w="782" w:type="dxa"/>
            <w:vAlign w:val="center"/>
          </w:tcPr>
          <w:p w14:paraId="4D24EAE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782" w:type="dxa"/>
            <w:vAlign w:val="center"/>
          </w:tcPr>
          <w:p w14:paraId="1C5452F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782" w:type="dxa"/>
            <w:vAlign w:val="center"/>
          </w:tcPr>
          <w:p w14:paraId="69FEDC2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783" w:type="dxa"/>
            <w:vAlign w:val="center"/>
          </w:tcPr>
          <w:p w14:paraId="71501CD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r>
      <w:tr w:rsidR="00284BE8" w:rsidRPr="00284BE8" w14:paraId="4ED14489" w14:textId="77777777" w:rsidTr="00284BE8">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E14FB18" w14:textId="77777777" w:rsidR="00284BE8" w:rsidRPr="00284BE8" w:rsidRDefault="00284BE8" w:rsidP="00284BE8">
            <w:pPr>
              <w:spacing w:line="276" w:lineRule="auto"/>
              <w:rPr>
                <w:rFonts w:ascii="Times New Roman" w:eastAsia="Times New Roman" w:hAnsi="Times New Roman" w:cs="Times New Roman"/>
                <w:b w:val="0"/>
                <w:snapToGrid w:val="0"/>
                <w:color w:val="auto"/>
                <w:sz w:val="20"/>
                <w:szCs w:val="20"/>
              </w:rPr>
            </w:pPr>
            <w:r w:rsidRPr="00284BE8">
              <w:rPr>
                <w:rFonts w:ascii="Times New Roman" w:eastAsia="Times New Roman" w:hAnsi="Times New Roman" w:cs="Times New Roman"/>
                <w:b w:val="0"/>
                <w:snapToGrid w:val="0"/>
                <w:color w:val="auto"/>
                <w:sz w:val="20"/>
                <w:szCs w:val="20"/>
              </w:rPr>
              <w:t xml:space="preserve">7. Bruto darba samaksa, </w:t>
            </w:r>
            <w:r w:rsidRPr="00284BE8">
              <w:rPr>
                <w:rFonts w:ascii="Times New Roman" w:eastAsia="Times New Roman" w:hAnsi="Times New Roman" w:cs="Times New Roman"/>
                <w:b w:val="0"/>
                <w:i/>
                <w:snapToGrid w:val="0"/>
                <w:color w:val="auto"/>
                <w:sz w:val="20"/>
                <w:szCs w:val="20"/>
              </w:rPr>
              <w:t>euro</w:t>
            </w:r>
          </w:p>
        </w:tc>
        <w:tc>
          <w:tcPr>
            <w:tcW w:w="992" w:type="dxa"/>
            <w:vAlign w:val="center"/>
          </w:tcPr>
          <w:p w14:paraId="25F183D0" w14:textId="77777777" w:rsidR="00284BE8" w:rsidRPr="00284BE8" w:rsidRDefault="00284BE8" w:rsidP="00284B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992" w:type="dxa"/>
            <w:vAlign w:val="center"/>
          </w:tcPr>
          <w:p w14:paraId="3D5A8FF7" w14:textId="70E74DDC"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w:t>
            </w:r>
            <w:r w:rsidR="00052A03" w:rsidRPr="00284BE8">
              <w:rPr>
                <w:rFonts w:ascii="Times New Roman" w:hAnsi="Times New Roman" w:cs="Times New Roman"/>
                <w:color w:val="auto"/>
                <w:sz w:val="20"/>
                <w:szCs w:val="20"/>
              </w:rPr>
              <w:t> </w:t>
            </w:r>
            <w:r w:rsidRPr="00284BE8">
              <w:rPr>
                <w:rFonts w:ascii="Times New Roman" w:hAnsi="Times New Roman" w:cs="Times New Roman"/>
                <w:color w:val="auto"/>
                <w:sz w:val="20"/>
                <w:szCs w:val="20"/>
              </w:rPr>
              <w:t>076</w:t>
            </w:r>
          </w:p>
        </w:tc>
        <w:tc>
          <w:tcPr>
            <w:tcW w:w="782" w:type="dxa"/>
            <w:vAlign w:val="center"/>
          </w:tcPr>
          <w:p w14:paraId="5651C28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7,2</w:t>
            </w:r>
          </w:p>
        </w:tc>
        <w:tc>
          <w:tcPr>
            <w:tcW w:w="782" w:type="dxa"/>
            <w:vAlign w:val="center"/>
          </w:tcPr>
          <w:p w14:paraId="19A1BAE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782" w:type="dxa"/>
            <w:vAlign w:val="center"/>
          </w:tcPr>
          <w:p w14:paraId="6C8BBFF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3,0</w:t>
            </w:r>
          </w:p>
        </w:tc>
        <w:tc>
          <w:tcPr>
            <w:tcW w:w="782" w:type="dxa"/>
            <w:vAlign w:val="center"/>
          </w:tcPr>
          <w:p w14:paraId="484FC88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783" w:type="dxa"/>
            <w:vAlign w:val="center"/>
          </w:tcPr>
          <w:p w14:paraId="37CD01F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r>
    </w:tbl>
    <w:p w14:paraId="4D3F1383" w14:textId="77777777" w:rsidR="00284BE8" w:rsidRPr="00284BE8" w:rsidRDefault="00284BE8" w:rsidP="00284BE8">
      <w:pPr>
        <w:keepNext/>
        <w:spacing w:after="0" w:line="240" w:lineRule="auto"/>
        <w:rPr>
          <w:rFonts w:ascii="Times New Roman" w:eastAsia="Times New Roman" w:hAnsi="Times New Roman" w:cs="Times New Roman"/>
          <w:b/>
          <w:sz w:val="24"/>
          <w:szCs w:val="20"/>
        </w:rPr>
      </w:pPr>
    </w:p>
    <w:p w14:paraId="07DC56F8" w14:textId="77777777" w:rsidR="00284BE8" w:rsidRPr="00284BE8" w:rsidRDefault="00284BE8" w:rsidP="00284BE8">
      <w:pPr>
        <w:keepNext/>
        <w:spacing w:after="0" w:line="240" w:lineRule="auto"/>
        <w:rPr>
          <w:rFonts w:ascii="Times New Roman" w:eastAsia="Times New Roman" w:hAnsi="Times New Roman" w:cs="Times New Roman"/>
          <w:b/>
          <w:sz w:val="24"/>
          <w:szCs w:val="20"/>
        </w:rPr>
      </w:pPr>
      <w:r w:rsidRPr="00284BE8">
        <w:rPr>
          <w:rFonts w:ascii="Times New Roman" w:eastAsia="Times New Roman" w:hAnsi="Times New Roman" w:cs="Times New Roman"/>
          <w:b/>
          <w:sz w:val="24"/>
          <w:szCs w:val="20"/>
        </w:rPr>
        <w:t>1d.tabula. Sektoru bilances</w:t>
      </w:r>
    </w:p>
    <w:tbl>
      <w:tblPr>
        <w:tblStyle w:val="GridTable6Colorful-Accent112"/>
        <w:tblW w:w="9543" w:type="dxa"/>
        <w:jc w:val="center"/>
        <w:tblLayout w:type="fixed"/>
        <w:tblLook w:val="04A0" w:firstRow="1" w:lastRow="0" w:firstColumn="1" w:lastColumn="0" w:noHBand="0" w:noVBand="1"/>
      </w:tblPr>
      <w:tblGrid>
        <w:gridCol w:w="4649"/>
        <w:gridCol w:w="960"/>
        <w:gridCol w:w="786"/>
        <w:gridCol w:w="787"/>
        <w:gridCol w:w="787"/>
        <w:gridCol w:w="787"/>
        <w:gridCol w:w="787"/>
      </w:tblGrid>
      <w:tr w:rsidR="00284BE8" w:rsidRPr="00284BE8" w14:paraId="5402C4F1" w14:textId="77777777" w:rsidTr="00284BE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49" w:type="dxa"/>
            <w:vMerge w:val="restart"/>
            <w:vAlign w:val="center"/>
            <w:hideMark/>
          </w:tcPr>
          <w:p w14:paraId="2B011B6C" w14:textId="77777777" w:rsidR="00284BE8" w:rsidRPr="00284BE8" w:rsidRDefault="00284BE8" w:rsidP="00284BE8">
            <w:pPr>
              <w:jc w:val="center"/>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 no IKP</w:t>
            </w:r>
          </w:p>
        </w:tc>
        <w:tc>
          <w:tcPr>
            <w:tcW w:w="960" w:type="dxa"/>
            <w:vMerge w:val="restart"/>
            <w:vAlign w:val="center"/>
            <w:hideMark/>
          </w:tcPr>
          <w:p w14:paraId="6485C1F8"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EKS kods</w:t>
            </w:r>
          </w:p>
        </w:tc>
        <w:tc>
          <w:tcPr>
            <w:tcW w:w="786" w:type="dxa"/>
            <w:vMerge w:val="restart"/>
            <w:vAlign w:val="center"/>
            <w:hideMark/>
          </w:tcPr>
          <w:p w14:paraId="7A6F28B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bCs w:val="0"/>
                <w:color w:val="auto"/>
                <w:sz w:val="20"/>
                <w:szCs w:val="20"/>
              </w:rPr>
              <w:t>2019</w:t>
            </w:r>
          </w:p>
        </w:tc>
        <w:tc>
          <w:tcPr>
            <w:tcW w:w="787" w:type="dxa"/>
            <w:vMerge w:val="restart"/>
            <w:vAlign w:val="center"/>
            <w:hideMark/>
          </w:tcPr>
          <w:p w14:paraId="157A350D"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787" w:type="dxa"/>
            <w:vMerge w:val="restart"/>
            <w:vAlign w:val="center"/>
            <w:hideMark/>
          </w:tcPr>
          <w:p w14:paraId="0C51E04F"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787" w:type="dxa"/>
            <w:vMerge w:val="restart"/>
            <w:vAlign w:val="center"/>
            <w:hideMark/>
          </w:tcPr>
          <w:p w14:paraId="3C16ED1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787" w:type="dxa"/>
            <w:vMerge w:val="restart"/>
            <w:vAlign w:val="center"/>
            <w:hideMark/>
          </w:tcPr>
          <w:p w14:paraId="5692ACFA"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r>
      <w:tr w:rsidR="00284BE8" w:rsidRPr="00284BE8" w14:paraId="69102EFE" w14:textId="77777777" w:rsidTr="00284BE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649" w:type="dxa"/>
            <w:vMerge/>
            <w:hideMark/>
          </w:tcPr>
          <w:p w14:paraId="094A2E64" w14:textId="77777777" w:rsidR="00284BE8" w:rsidRPr="00284BE8" w:rsidRDefault="00284BE8" w:rsidP="00284BE8">
            <w:pPr>
              <w:rPr>
                <w:rFonts w:ascii="Times New Roman" w:eastAsia="Calibri" w:hAnsi="Times New Roman" w:cs="Times New Roman"/>
                <w:b w:val="0"/>
                <w:color w:val="auto"/>
                <w:sz w:val="20"/>
                <w:szCs w:val="20"/>
              </w:rPr>
            </w:pPr>
          </w:p>
        </w:tc>
        <w:tc>
          <w:tcPr>
            <w:tcW w:w="960" w:type="dxa"/>
            <w:vMerge/>
            <w:vAlign w:val="center"/>
            <w:hideMark/>
          </w:tcPr>
          <w:p w14:paraId="7DE267D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Merge/>
            <w:vAlign w:val="center"/>
            <w:hideMark/>
          </w:tcPr>
          <w:p w14:paraId="71B5FE0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6DDEBCB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14FB7E0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0F1F4EA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c>
          <w:tcPr>
            <w:tcW w:w="787" w:type="dxa"/>
            <w:vMerge/>
            <w:vAlign w:val="center"/>
            <w:hideMark/>
          </w:tcPr>
          <w:p w14:paraId="3F1A252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0"/>
                <w:szCs w:val="20"/>
              </w:rPr>
            </w:pPr>
          </w:p>
        </w:tc>
      </w:tr>
      <w:tr w:rsidR="00284BE8" w:rsidRPr="00284BE8" w14:paraId="61B49683" w14:textId="77777777" w:rsidTr="00284BE8">
        <w:trPr>
          <w:trHeight w:val="20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2CE7C0B5"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1. Tekošais un kapitāla konts</w:t>
            </w:r>
          </w:p>
        </w:tc>
        <w:tc>
          <w:tcPr>
            <w:tcW w:w="960" w:type="dxa"/>
            <w:vAlign w:val="center"/>
            <w:hideMark/>
          </w:tcPr>
          <w:p w14:paraId="51D8B1F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snapToGrid w:val="0"/>
                <w:color w:val="auto"/>
                <w:sz w:val="20"/>
                <w:szCs w:val="20"/>
              </w:rPr>
              <w:t>B.9</w:t>
            </w:r>
          </w:p>
        </w:tc>
        <w:tc>
          <w:tcPr>
            <w:tcW w:w="786" w:type="dxa"/>
            <w:vAlign w:val="center"/>
          </w:tcPr>
          <w:p w14:paraId="012F9B1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1,4</w:t>
            </w:r>
          </w:p>
        </w:tc>
        <w:tc>
          <w:tcPr>
            <w:tcW w:w="787" w:type="dxa"/>
            <w:vAlign w:val="center"/>
          </w:tcPr>
          <w:p w14:paraId="1A5D4C5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2,2</w:t>
            </w:r>
          </w:p>
        </w:tc>
        <w:tc>
          <w:tcPr>
            <w:tcW w:w="787" w:type="dxa"/>
            <w:vAlign w:val="center"/>
          </w:tcPr>
          <w:p w14:paraId="0847A6E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1,5</w:t>
            </w:r>
          </w:p>
        </w:tc>
        <w:tc>
          <w:tcPr>
            <w:tcW w:w="787" w:type="dxa"/>
            <w:vAlign w:val="center"/>
          </w:tcPr>
          <w:p w14:paraId="3FDA37A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1,0</w:t>
            </w:r>
          </w:p>
        </w:tc>
        <w:tc>
          <w:tcPr>
            <w:tcW w:w="787" w:type="dxa"/>
            <w:vAlign w:val="center"/>
          </w:tcPr>
          <w:p w14:paraId="3195FA6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0,4</w:t>
            </w:r>
          </w:p>
        </w:tc>
      </w:tr>
      <w:tr w:rsidR="00284BE8" w:rsidRPr="00284BE8" w14:paraId="5C323A5C" w14:textId="77777777" w:rsidTr="00284BE8">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67FF0FE8"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t.sk.:</w:t>
            </w:r>
          </w:p>
        </w:tc>
        <w:tc>
          <w:tcPr>
            <w:tcW w:w="960" w:type="dxa"/>
            <w:vAlign w:val="center"/>
            <w:hideMark/>
          </w:tcPr>
          <w:p w14:paraId="3F121BD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noWrap/>
            <w:vAlign w:val="center"/>
          </w:tcPr>
          <w:p w14:paraId="34C2B17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c>
          <w:tcPr>
            <w:tcW w:w="787" w:type="dxa"/>
            <w:noWrap/>
            <w:vAlign w:val="center"/>
          </w:tcPr>
          <w:p w14:paraId="2C1E079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c>
          <w:tcPr>
            <w:tcW w:w="787" w:type="dxa"/>
            <w:noWrap/>
            <w:vAlign w:val="center"/>
          </w:tcPr>
          <w:p w14:paraId="1715963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c>
          <w:tcPr>
            <w:tcW w:w="787" w:type="dxa"/>
            <w:noWrap/>
            <w:vAlign w:val="center"/>
          </w:tcPr>
          <w:p w14:paraId="32300FC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c>
          <w:tcPr>
            <w:tcW w:w="787" w:type="dxa"/>
            <w:noWrap/>
            <w:vAlign w:val="center"/>
          </w:tcPr>
          <w:p w14:paraId="78D9F25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 </w:t>
            </w:r>
          </w:p>
        </w:tc>
      </w:tr>
      <w:tr w:rsidR="00284BE8" w:rsidRPr="00284BE8" w14:paraId="31A7D3B9" w14:textId="77777777" w:rsidTr="00284BE8">
        <w:trPr>
          <w:trHeight w:val="230"/>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0DF5BDF5"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Preču un pakalpojumu bilance</w:t>
            </w:r>
          </w:p>
        </w:tc>
        <w:tc>
          <w:tcPr>
            <w:tcW w:w="960" w:type="dxa"/>
            <w:vAlign w:val="center"/>
            <w:hideMark/>
          </w:tcPr>
          <w:p w14:paraId="27850E0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367750C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0,1</w:t>
            </w:r>
          </w:p>
        </w:tc>
        <w:tc>
          <w:tcPr>
            <w:tcW w:w="787" w:type="dxa"/>
            <w:vAlign w:val="center"/>
          </w:tcPr>
          <w:p w14:paraId="1A63756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1,0</w:t>
            </w:r>
          </w:p>
        </w:tc>
        <w:tc>
          <w:tcPr>
            <w:tcW w:w="787" w:type="dxa"/>
            <w:vAlign w:val="center"/>
          </w:tcPr>
          <w:p w14:paraId="749CD63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0,2</w:t>
            </w:r>
          </w:p>
        </w:tc>
        <w:tc>
          <w:tcPr>
            <w:tcW w:w="787" w:type="dxa"/>
            <w:vAlign w:val="center"/>
          </w:tcPr>
          <w:p w14:paraId="3FD2492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787" w:type="dxa"/>
            <w:vAlign w:val="center"/>
          </w:tcPr>
          <w:p w14:paraId="014E3DD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-0,9</w:t>
            </w:r>
          </w:p>
        </w:tc>
      </w:tr>
      <w:tr w:rsidR="00284BE8" w:rsidRPr="00284BE8" w14:paraId="6A40F7C9" w14:textId="77777777" w:rsidTr="00284BE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0E723FE5"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Ienākumu un pārvedumu bilance</w:t>
            </w:r>
          </w:p>
        </w:tc>
        <w:tc>
          <w:tcPr>
            <w:tcW w:w="960" w:type="dxa"/>
            <w:vAlign w:val="center"/>
            <w:hideMark/>
          </w:tcPr>
          <w:p w14:paraId="5009F17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28807BE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-0,6</w:t>
            </w:r>
          </w:p>
        </w:tc>
        <w:tc>
          <w:tcPr>
            <w:tcW w:w="787" w:type="dxa"/>
            <w:vAlign w:val="center"/>
          </w:tcPr>
          <w:p w14:paraId="641EABE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-0,5</w:t>
            </w:r>
          </w:p>
        </w:tc>
        <w:tc>
          <w:tcPr>
            <w:tcW w:w="787" w:type="dxa"/>
            <w:vAlign w:val="center"/>
          </w:tcPr>
          <w:p w14:paraId="07B5AC5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787" w:type="dxa"/>
            <w:vAlign w:val="center"/>
          </w:tcPr>
          <w:p w14:paraId="5FA13CE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-0,6</w:t>
            </w:r>
          </w:p>
        </w:tc>
        <w:tc>
          <w:tcPr>
            <w:tcW w:w="787" w:type="dxa"/>
            <w:vAlign w:val="center"/>
          </w:tcPr>
          <w:p w14:paraId="47AA45B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-1,0</w:t>
            </w:r>
          </w:p>
        </w:tc>
      </w:tr>
      <w:tr w:rsidR="00284BE8" w:rsidRPr="00284BE8" w14:paraId="55A55EC3" w14:textId="77777777" w:rsidTr="00284BE8">
        <w:trPr>
          <w:trHeight w:val="25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596EBB5A"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Kapitāla konts</w:t>
            </w:r>
          </w:p>
        </w:tc>
        <w:tc>
          <w:tcPr>
            <w:tcW w:w="960" w:type="dxa"/>
            <w:vAlign w:val="center"/>
            <w:hideMark/>
          </w:tcPr>
          <w:p w14:paraId="081643A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592E8DA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1,9</w:t>
            </w:r>
          </w:p>
        </w:tc>
        <w:tc>
          <w:tcPr>
            <w:tcW w:w="787" w:type="dxa"/>
            <w:vAlign w:val="center"/>
          </w:tcPr>
          <w:p w14:paraId="69FDF32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1,7</w:t>
            </w:r>
          </w:p>
        </w:tc>
        <w:tc>
          <w:tcPr>
            <w:tcW w:w="787" w:type="dxa"/>
            <w:vAlign w:val="center"/>
          </w:tcPr>
          <w:p w14:paraId="4E66CA3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1,7</w:t>
            </w:r>
          </w:p>
        </w:tc>
        <w:tc>
          <w:tcPr>
            <w:tcW w:w="787" w:type="dxa"/>
            <w:vAlign w:val="center"/>
          </w:tcPr>
          <w:p w14:paraId="58682A5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1,9</w:t>
            </w:r>
          </w:p>
        </w:tc>
        <w:tc>
          <w:tcPr>
            <w:tcW w:w="787" w:type="dxa"/>
            <w:vAlign w:val="center"/>
          </w:tcPr>
          <w:p w14:paraId="2F2C682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2,3</w:t>
            </w:r>
          </w:p>
        </w:tc>
      </w:tr>
      <w:tr w:rsidR="00284BE8" w:rsidRPr="00284BE8" w14:paraId="45FFB487" w14:textId="77777777" w:rsidTr="00284BE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44314591"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2. Neto aizdevumi/ aizņemšanās privātajā sektorā</w:t>
            </w:r>
          </w:p>
        </w:tc>
        <w:tc>
          <w:tcPr>
            <w:tcW w:w="960" w:type="dxa"/>
            <w:vAlign w:val="center"/>
            <w:hideMark/>
          </w:tcPr>
          <w:p w14:paraId="3146A6A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snapToGrid w:val="0"/>
                <w:color w:val="auto"/>
                <w:sz w:val="20"/>
                <w:szCs w:val="20"/>
              </w:rPr>
              <w:t>B.9</w:t>
            </w:r>
          </w:p>
        </w:tc>
        <w:tc>
          <w:tcPr>
            <w:tcW w:w="786" w:type="dxa"/>
            <w:vAlign w:val="center"/>
          </w:tcPr>
          <w:p w14:paraId="7E73A8A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w:t>
            </w:r>
          </w:p>
        </w:tc>
        <w:tc>
          <w:tcPr>
            <w:tcW w:w="787" w:type="dxa"/>
            <w:vAlign w:val="center"/>
          </w:tcPr>
          <w:p w14:paraId="361B29E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11,6</w:t>
            </w:r>
          </w:p>
        </w:tc>
        <w:tc>
          <w:tcPr>
            <w:tcW w:w="787" w:type="dxa"/>
            <w:vAlign w:val="center"/>
          </w:tcPr>
          <w:p w14:paraId="4B224A3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6,5</w:t>
            </w:r>
          </w:p>
        </w:tc>
        <w:tc>
          <w:tcPr>
            <w:tcW w:w="787" w:type="dxa"/>
            <w:vAlign w:val="center"/>
          </w:tcPr>
          <w:p w14:paraId="7D8629F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4,9</w:t>
            </w:r>
          </w:p>
        </w:tc>
        <w:tc>
          <w:tcPr>
            <w:tcW w:w="787" w:type="dxa"/>
            <w:vAlign w:val="center"/>
          </w:tcPr>
          <w:p w14:paraId="1F060BC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3,1</w:t>
            </w:r>
          </w:p>
        </w:tc>
      </w:tr>
      <w:tr w:rsidR="00284BE8" w:rsidRPr="00284BE8" w14:paraId="54BD7007" w14:textId="77777777" w:rsidTr="00284BE8">
        <w:trPr>
          <w:trHeight w:val="272"/>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7DBD7EF3"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3. Neto aizdevumi/ aizņemšanās vispārējās valdības sektorā</w:t>
            </w:r>
          </w:p>
        </w:tc>
        <w:tc>
          <w:tcPr>
            <w:tcW w:w="960" w:type="dxa"/>
            <w:vAlign w:val="center"/>
            <w:hideMark/>
          </w:tcPr>
          <w:p w14:paraId="69BC1D4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snapToGrid w:val="0"/>
                <w:color w:val="auto"/>
                <w:sz w:val="20"/>
                <w:szCs w:val="20"/>
              </w:rPr>
              <w:t>EDP B.9</w:t>
            </w:r>
          </w:p>
        </w:tc>
        <w:tc>
          <w:tcPr>
            <w:tcW w:w="786" w:type="dxa"/>
            <w:vAlign w:val="center"/>
          </w:tcPr>
          <w:p w14:paraId="70BCD18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-0,2</w:t>
            </w:r>
          </w:p>
        </w:tc>
        <w:tc>
          <w:tcPr>
            <w:tcW w:w="787" w:type="dxa"/>
            <w:vAlign w:val="center"/>
          </w:tcPr>
          <w:p w14:paraId="16BF685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-9,4</w:t>
            </w:r>
          </w:p>
        </w:tc>
        <w:tc>
          <w:tcPr>
            <w:tcW w:w="787" w:type="dxa"/>
            <w:vAlign w:val="center"/>
          </w:tcPr>
          <w:p w14:paraId="48117C2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-5,0</w:t>
            </w:r>
          </w:p>
        </w:tc>
        <w:tc>
          <w:tcPr>
            <w:tcW w:w="787" w:type="dxa"/>
            <w:vAlign w:val="center"/>
          </w:tcPr>
          <w:p w14:paraId="61D4119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-3,9</w:t>
            </w:r>
          </w:p>
        </w:tc>
        <w:tc>
          <w:tcPr>
            <w:tcW w:w="787" w:type="dxa"/>
            <w:vAlign w:val="center"/>
          </w:tcPr>
          <w:p w14:paraId="1FB3EDF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bCs/>
                <w:color w:val="auto"/>
                <w:sz w:val="20"/>
                <w:szCs w:val="20"/>
              </w:rPr>
              <w:t>-2,7</w:t>
            </w:r>
          </w:p>
        </w:tc>
      </w:tr>
      <w:tr w:rsidR="00284BE8" w:rsidRPr="00284BE8" w14:paraId="46CC62CE" w14:textId="77777777" w:rsidTr="00284BE8">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49" w:type="dxa"/>
            <w:hideMark/>
          </w:tcPr>
          <w:p w14:paraId="027F9F14" w14:textId="77777777" w:rsidR="00284BE8" w:rsidRPr="00284BE8" w:rsidRDefault="00284BE8" w:rsidP="00284BE8">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4. Statistiskā novirze</w:t>
            </w:r>
          </w:p>
        </w:tc>
        <w:tc>
          <w:tcPr>
            <w:tcW w:w="960" w:type="dxa"/>
            <w:vAlign w:val="center"/>
            <w:hideMark/>
          </w:tcPr>
          <w:p w14:paraId="7506704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86" w:type="dxa"/>
            <w:vAlign w:val="center"/>
          </w:tcPr>
          <w:p w14:paraId="130DF52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284BE8">
              <w:rPr>
                <w:rFonts w:ascii="Times New Roman" w:hAnsi="Times New Roman" w:cs="Times New Roman"/>
                <w:i/>
                <w:iCs/>
                <w:color w:val="auto"/>
                <w:sz w:val="20"/>
                <w:szCs w:val="20"/>
              </w:rPr>
              <w:t>0</w:t>
            </w:r>
          </w:p>
        </w:tc>
        <w:tc>
          <w:tcPr>
            <w:tcW w:w="787" w:type="dxa"/>
            <w:vAlign w:val="center"/>
          </w:tcPr>
          <w:p w14:paraId="19822A0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284BE8">
              <w:rPr>
                <w:rFonts w:ascii="Times New Roman" w:hAnsi="Times New Roman" w:cs="Times New Roman"/>
                <w:i/>
                <w:iCs/>
                <w:color w:val="auto"/>
                <w:sz w:val="20"/>
                <w:szCs w:val="20"/>
              </w:rPr>
              <w:t>0</w:t>
            </w:r>
          </w:p>
        </w:tc>
        <w:tc>
          <w:tcPr>
            <w:tcW w:w="787" w:type="dxa"/>
            <w:vAlign w:val="center"/>
          </w:tcPr>
          <w:p w14:paraId="319391C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284BE8">
              <w:rPr>
                <w:rFonts w:ascii="Times New Roman" w:hAnsi="Times New Roman" w:cs="Times New Roman"/>
                <w:i/>
                <w:iCs/>
                <w:color w:val="auto"/>
                <w:sz w:val="20"/>
                <w:szCs w:val="20"/>
              </w:rPr>
              <w:t>0</w:t>
            </w:r>
          </w:p>
        </w:tc>
        <w:tc>
          <w:tcPr>
            <w:tcW w:w="787" w:type="dxa"/>
            <w:vAlign w:val="center"/>
          </w:tcPr>
          <w:p w14:paraId="054D735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284BE8">
              <w:rPr>
                <w:rFonts w:ascii="Times New Roman" w:hAnsi="Times New Roman" w:cs="Times New Roman"/>
                <w:i/>
                <w:iCs/>
                <w:color w:val="auto"/>
                <w:sz w:val="20"/>
                <w:szCs w:val="20"/>
              </w:rPr>
              <w:t>0</w:t>
            </w:r>
          </w:p>
        </w:tc>
        <w:tc>
          <w:tcPr>
            <w:tcW w:w="787" w:type="dxa"/>
            <w:vAlign w:val="center"/>
          </w:tcPr>
          <w:p w14:paraId="074D97F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auto"/>
                <w:sz w:val="20"/>
                <w:szCs w:val="20"/>
              </w:rPr>
            </w:pPr>
            <w:r w:rsidRPr="00284BE8">
              <w:rPr>
                <w:rFonts w:ascii="Times New Roman" w:hAnsi="Times New Roman" w:cs="Times New Roman"/>
                <w:i/>
                <w:iCs/>
                <w:color w:val="auto"/>
                <w:sz w:val="20"/>
                <w:szCs w:val="20"/>
              </w:rPr>
              <w:t>0</w:t>
            </w:r>
          </w:p>
        </w:tc>
      </w:tr>
    </w:tbl>
    <w:p w14:paraId="29F764E2" w14:textId="77777777" w:rsidR="00284BE8" w:rsidRPr="00284BE8" w:rsidRDefault="00284BE8" w:rsidP="00284BE8">
      <w:pPr>
        <w:tabs>
          <w:tab w:val="left" w:pos="988"/>
        </w:tabs>
        <w:rPr>
          <w:rFonts w:ascii="Times New Roman" w:hAnsi="Times New Roman" w:cs="Times New Roman"/>
          <w:sz w:val="20"/>
        </w:rPr>
      </w:pPr>
    </w:p>
    <w:p w14:paraId="623399DC" w14:textId="77777777" w:rsidR="00DB2F30" w:rsidRDefault="00DB2F30" w:rsidP="00284BE8">
      <w:pPr>
        <w:spacing w:after="0"/>
        <w:rPr>
          <w:rFonts w:ascii="Times New Roman" w:hAnsi="Times New Roman" w:cs="Times New Roman"/>
          <w:b/>
          <w:color w:val="000000"/>
          <w:sz w:val="24"/>
          <w:szCs w:val="24"/>
        </w:rPr>
      </w:pPr>
    </w:p>
    <w:p w14:paraId="17CF468F" w14:textId="77777777" w:rsidR="00892692" w:rsidRDefault="0089269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2E60919" w14:textId="15D141A0" w:rsidR="00284BE8" w:rsidRPr="00284BE8" w:rsidRDefault="00284BE8" w:rsidP="00284BE8">
      <w:pPr>
        <w:spacing w:after="0"/>
        <w:rPr>
          <w:rFonts w:ascii="Times New Roman" w:hAnsi="Times New Roman" w:cs="Times New Roman"/>
          <w:b/>
          <w:color w:val="000000"/>
          <w:sz w:val="24"/>
          <w:szCs w:val="24"/>
        </w:rPr>
      </w:pPr>
      <w:r w:rsidRPr="00284BE8">
        <w:rPr>
          <w:rFonts w:ascii="Times New Roman" w:hAnsi="Times New Roman" w:cs="Times New Roman"/>
          <w:b/>
          <w:color w:val="000000"/>
          <w:sz w:val="24"/>
          <w:szCs w:val="24"/>
        </w:rPr>
        <w:t xml:space="preserve">2a.tabula. Vispārējās valdības budžeta attīstība </w:t>
      </w:r>
    </w:p>
    <w:tbl>
      <w:tblPr>
        <w:tblStyle w:val="GridTable6Colorful-Accent113"/>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AC2541" w14:paraId="4E03E749" w14:textId="77777777" w:rsidTr="00284BE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DF7B324" w14:textId="77777777" w:rsidR="00284BE8" w:rsidRPr="00AC2541" w:rsidRDefault="00284BE8" w:rsidP="00284BE8">
            <w:pPr>
              <w:rPr>
                <w:rFonts w:ascii="Times New Roman" w:hAnsi="Times New Roman" w:cs="Times New Roman"/>
                <w:color w:val="000000" w:themeColor="text1"/>
                <w:sz w:val="20"/>
                <w:szCs w:val="20"/>
                <w:lang w:eastAsia="lv-LV"/>
              </w:rPr>
            </w:pPr>
          </w:p>
        </w:tc>
        <w:tc>
          <w:tcPr>
            <w:tcW w:w="1134" w:type="dxa"/>
            <w:vAlign w:val="center"/>
            <w:hideMark/>
          </w:tcPr>
          <w:p w14:paraId="42A02240"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EKS kods</w:t>
            </w:r>
          </w:p>
        </w:tc>
        <w:tc>
          <w:tcPr>
            <w:tcW w:w="1134" w:type="dxa"/>
            <w:vAlign w:val="center"/>
            <w:hideMark/>
          </w:tcPr>
          <w:p w14:paraId="144ED79B"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2019</w:t>
            </w:r>
          </w:p>
        </w:tc>
        <w:tc>
          <w:tcPr>
            <w:tcW w:w="861" w:type="dxa"/>
            <w:vAlign w:val="center"/>
            <w:hideMark/>
          </w:tcPr>
          <w:p w14:paraId="2FB20D6E"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2019</w:t>
            </w:r>
          </w:p>
        </w:tc>
        <w:tc>
          <w:tcPr>
            <w:tcW w:w="708" w:type="dxa"/>
            <w:vAlign w:val="center"/>
            <w:hideMark/>
          </w:tcPr>
          <w:p w14:paraId="5CBA10AC"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2020</w:t>
            </w:r>
          </w:p>
        </w:tc>
        <w:tc>
          <w:tcPr>
            <w:tcW w:w="709" w:type="dxa"/>
            <w:vAlign w:val="center"/>
            <w:hideMark/>
          </w:tcPr>
          <w:p w14:paraId="691E7CE9"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2021</w:t>
            </w:r>
          </w:p>
        </w:tc>
        <w:tc>
          <w:tcPr>
            <w:tcW w:w="709" w:type="dxa"/>
            <w:vAlign w:val="center"/>
            <w:hideMark/>
          </w:tcPr>
          <w:p w14:paraId="51AADC19"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2022</w:t>
            </w:r>
          </w:p>
        </w:tc>
        <w:tc>
          <w:tcPr>
            <w:tcW w:w="709" w:type="dxa"/>
            <w:vAlign w:val="center"/>
            <w:hideMark/>
          </w:tcPr>
          <w:p w14:paraId="22CA82AD"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2023</w:t>
            </w:r>
          </w:p>
        </w:tc>
      </w:tr>
      <w:tr w:rsidR="00284BE8" w:rsidRPr="00AC2541" w14:paraId="4FCA1E9B" w14:textId="77777777" w:rsidTr="00284BE8">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6CCBD74" w14:textId="77777777" w:rsidR="00284BE8" w:rsidRPr="00AC2541" w:rsidRDefault="00284BE8" w:rsidP="00284BE8">
            <w:pPr>
              <w:rPr>
                <w:rFonts w:ascii="Times New Roman" w:hAnsi="Times New Roman" w:cs="Times New Roman"/>
                <w:color w:val="000000" w:themeColor="text1"/>
                <w:sz w:val="20"/>
                <w:szCs w:val="20"/>
                <w:lang w:eastAsia="lv-LV"/>
              </w:rPr>
            </w:pPr>
          </w:p>
        </w:tc>
        <w:tc>
          <w:tcPr>
            <w:tcW w:w="1134" w:type="dxa"/>
            <w:vAlign w:val="center"/>
            <w:hideMark/>
          </w:tcPr>
          <w:p w14:paraId="778CCE2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hideMark/>
          </w:tcPr>
          <w:p w14:paraId="6FCC8A4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 xml:space="preserve">milj. </w:t>
            </w:r>
            <w:r w:rsidRPr="00AC2541">
              <w:rPr>
                <w:rFonts w:ascii="Times New Roman" w:hAnsi="Times New Roman" w:cs="Times New Roman"/>
                <w:bCs/>
                <w:i/>
                <w:color w:val="000000" w:themeColor="text1"/>
                <w:sz w:val="20"/>
                <w:szCs w:val="20"/>
                <w:lang w:eastAsia="lv-LV"/>
              </w:rPr>
              <w:t>euro</w:t>
            </w:r>
          </w:p>
        </w:tc>
        <w:tc>
          <w:tcPr>
            <w:tcW w:w="3696" w:type="dxa"/>
            <w:gridSpan w:val="5"/>
            <w:vAlign w:val="center"/>
            <w:hideMark/>
          </w:tcPr>
          <w:p w14:paraId="14E27C6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 no IKP</w:t>
            </w:r>
          </w:p>
        </w:tc>
      </w:tr>
      <w:tr w:rsidR="00284BE8" w:rsidRPr="00AC2541" w14:paraId="104B4902" w14:textId="77777777" w:rsidTr="00284BE8">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14:paraId="1804EED6" w14:textId="77777777" w:rsidR="00284BE8" w:rsidRPr="00AC2541" w:rsidRDefault="00284BE8" w:rsidP="00284BE8">
            <w:pPr>
              <w:jc w:val="cente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Neto aizdevumi (+) vai aizņēmumi (–) (B.9) pa apakšsektoriem</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AC2541" w14:paraId="01667693" w14:textId="77777777" w:rsidTr="00284BE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33C8D39"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 Vispārējā valdība</w:t>
            </w:r>
          </w:p>
        </w:tc>
        <w:tc>
          <w:tcPr>
            <w:tcW w:w="1134" w:type="dxa"/>
            <w:vAlign w:val="center"/>
            <w:hideMark/>
          </w:tcPr>
          <w:p w14:paraId="35027FBA"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S.13</w:t>
            </w:r>
          </w:p>
        </w:tc>
        <w:tc>
          <w:tcPr>
            <w:tcW w:w="1134" w:type="dxa"/>
            <w:vAlign w:val="center"/>
          </w:tcPr>
          <w:p w14:paraId="3BEAC901"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-63,2</w:t>
            </w:r>
          </w:p>
        </w:tc>
        <w:tc>
          <w:tcPr>
            <w:tcW w:w="861" w:type="dxa"/>
            <w:vAlign w:val="center"/>
          </w:tcPr>
          <w:p w14:paraId="392DFB50"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-0,2</w:t>
            </w:r>
          </w:p>
        </w:tc>
        <w:tc>
          <w:tcPr>
            <w:tcW w:w="708" w:type="dxa"/>
            <w:vAlign w:val="center"/>
          </w:tcPr>
          <w:p w14:paraId="340EFEA2"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-9,4</w:t>
            </w:r>
          </w:p>
        </w:tc>
        <w:tc>
          <w:tcPr>
            <w:tcW w:w="709" w:type="dxa"/>
            <w:vAlign w:val="center"/>
          </w:tcPr>
          <w:p w14:paraId="3E4B6D23"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-5,0</w:t>
            </w:r>
          </w:p>
        </w:tc>
        <w:tc>
          <w:tcPr>
            <w:tcW w:w="709" w:type="dxa"/>
            <w:vAlign w:val="center"/>
          </w:tcPr>
          <w:p w14:paraId="6EA69AD9"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-3,9</w:t>
            </w:r>
          </w:p>
        </w:tc>
        <w:tc>
          <w:tcPr>
            <w:tcW w:w="709" w:type="dxa"/>
            <w:vAlign w:val="center"/>
          </w:tcPr>
          <w:p w14:paraId="088F6D72"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-2,7</w:t>
            </w:r>
          </w:p>
        </w:tc>
      </w:tr>
      <w:tr w:rsidR="00284BE8" w:rsidRPr="00AC2541" w14:paraId="4366CBD9" w14:textId="77777777" w:rsidTr="00284BE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2DF95CE"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 Centrālā valdība</w:t>
            </w:r>
          </w:p>
        </w:tc>
        <w:tc>
          <w:tcPr>
            <w:tcW w:w="1134" w:type="dxa"/>
            <w:vAlign w:val="center"/>
            <w:hideMark/>
          </w:tcPr>
          <w:p w14:paraId="6682E6B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S.1311</w:t>
            </w:r>
          </w:p>
        </w:tc>
        <w:tc>
          <w:tcPr>
            <w:tcW w:w="1134" w:type="dxa"/>
            <w:vAlign w:val="center"/>
          </w:tcPr>
          <w:p w14:paraId="46D9C87B"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-526,5</w:t>
            </w:r>
          </w:p>
        </w:tc>
        <w:tc>
          <w:tcPr>
            <w:tcW w:w="861" w:type="dxa"/>
            <w:vAlign w:val="center"/>
          </w:tcPr>
          <w:p w14:paraId="2BECF3E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-1,7</w:t>
            </w:r>
          </w:p>
        </w:tc>
        <w:tc>
          <w:tcPr>
            <w:tcW w:w="708" w:type="dxa"/>
            <w:vAlign w:val="center"/>
          </w:tcPr>
          <w:p w14:paraId="3C55708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-6,9</w:t>
            </w:r>
          </w:p>
        </w:tc>
        <w:tc>
          <w:tcPr>
            <w:tcW w:w="709" w:type="dxa"/>
            <w:vAlign w:val="center"/>
          </w:tcPr>
          <w:p w14:paraId="34CAF12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-3,7</w:t>
            </w:r>
          </w:p>
        </w:tc>
        <w:tc>
          <w:tcPr>
            <w:tcW w:w="709" w:type="dxa"/>
            <w:vAlign w:val="center"/>
          </w:tcPr>
          <w:p w14:paraId="6892B75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-3,1</w:t>
            </w:r>
          </w:p>
        </w:tc>
        <w:tc>
          <w:tcPr>
            <w:tcW w:w="709" w:type="dxa"/>
            <w:vAlign w:val="center"/>
          </w:tcPr>
          <w:p w14:paraId="5F9071B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-2,0</w:t>
            </w:r>
          </w:p>
        </w:tc>
      </w:tr>
      <w:tr w:rsidR="00284BE8" w:rsidRPr="00AC2541" w14:paraId="04BC9840" w14:textId="77777777" w:rsidTr="00284BE8">
        <w:trPr>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9A72C48"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 Pavalsts valdība</w:t>
            </w:r>
          </w:p>
        </w:tc>
        <w:tc>
          <w:tcPr>
            <w:tcW w:w="1134" w:type="dxa"/>
            <w:vAlign w:val="center"/>
            <w:hideMark/>
          </w:tcPr>
          <w:p w14:paraId="7D5AA7E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S.1312</w:t>
            </w:r>
          </w:p>
        </w:tc>
        <w:tc>
          <w:tcPr>
            <w:tcW w:w="1134" w:type="dxa"/>
            <w:vAlign w:val="center"/>
          </w:tcPr>
          <w:p w14:paraId="19E97D9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 </w:t>
            </w:r>
          </w:p>
        </w:tc>
        <w:tc>
          <w:tcPr>
            <w:tcW w:w="861" w:type="dxa"/>
            <w:vAlign w:val="center"/>
          </w:tcPr>
          <w:p w14:paraId="2D84478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 </w:t>
            </w:r>
          </w:p>
        </w:tc>
        <w:tc>
          <w:tcPr>
            <w:tcW w:w="708" w:type="dxa"/>
            <w:vAlign w:val="center"/>
          </w:tcPr>
          <w:p w14:paraId="46B7C91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 </w:t>
            </w:r>
          </w:p>
        </w:tc>
        <w:tc>
          <w:tcPr>
            <w:tcW w:w="709" w:type="dxa"/>
            <w:vAlign w:val="center"/>
          </w:tcPr>
          <w:p w14:paraId="13A9B3F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vAlign w:val="center"/>
          </w:tcPr>
          <w:p w14:paraId="706B0C2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709" w:type="dxa"/>
            <w:vAlign w:val="center"/>
          </w:tcPr>
          <w:p w14:paraId="55BE688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r>
      <w:tr w:rsidR="00284BE8" w:rsidRPr="00AC2541" w14:paraId="345004D3" w14:textId="77777777" w:rsidTr="00284BE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229923C"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4. Vietējā valdība</w:t>
            </w:r>
          </w:p>
        </w:tc>
        <w:tc>
          <w:tcPr>
            <w:tcW w:w="1134" w:type="dxa"/>
            <w:vAlign w:val="center"/>
            <w:hideMark/>
          </w:tcPr>
          <w:p w14:paraId="1FDBF07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S.1313</w:t>
            </w:r>
          </w:p>
        </w:tc>
        <w:tc>
          <w:tcPr>
            <w:tcW w:w="1134" w:type="dxa"/>
            <w:vAlign w:val="center"/>
          </w:tcPr>
          <w:p w14:paraId="53A5224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179,9</w:t>
            </w:r>
          </w:p>
        </w:tc>
        <w:tc>
          <w:tcPr>
            <w:tcW w:w="861" w:type="dxa"/>
            <w:vAlign w:val="center"/>
          </w:tcPr>
          <w:p w14:paraId="0120F33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8" w:type="dxa"/>
            <w:vAlign w:val="center"/>
          </w:tcPr>
          <w:p w14:paraId="681F03E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9" w:type="dxa"/>
            <w:vAlign w:val="center"/>
          </w:tcPr>
          <w:p w14:paraId="08E6ACD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-0,8</w:t>
            </w:r>
          </w:p>
        </w:tc>
        <w:tc>
          <w:tcPr>
            <w:tcW w:w="709" w:type="dxa"/>
            <w:vAlign w:val="center"/>
          </w:tcPr>
          <w:p w14:paraId="148157D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-0,7</w:t>
            </w:r>
          </w:p>
        </w:tc>
        <w:tc>
          <w:tcPr>
            <w:tcW w:w="709" w:type="dxa"/>
            <w:vAlign w:val="center"/>
          </w:tcPr>
          <w:p w14:paraId="4113EBF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-0,5</w:t>
            </w:r>
          </w:p>
        </w:tc>
      </w:tr>
      <w:tr w:rsidR="00284BE8" w:rsidRPr="00AC2541" w14:paraId="07DFEA59" w14:textId="77777777" w:rsidTr="00284BE8">
        <w:trPr>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CD5DEED"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5. Sociālās nodrošināšanas fondi</w:t>
            </w:r>
          </w:p>
        </w:tc>
        <w:tc>
          <w:tcPr>
            <w:tcW w:w="1134" w:type="dxa"/>
            <w:vAlign w:val="center"/>
            <w:hideMark/>
          </w:tcPr>
          <w:p w14:paraId="33D626D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S.1314</w:t>
            </w:r>
          </w:p>
        </w:tc>
        <w:tc>
          <w:tcPr>
            <w:tcW w:w="1134" w:type="dxa"/>
            <w:vAlign w:val="center"/>
          </w:tcPr>
          <w:p w14:paraId="399D63A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238,4</w:t>
            </w:r>
          </w:p>
        </w:tc>
        <w:tc>
          <w:tcPr>
            <w:tcW w:w="861" w:type="dxa"/>
            <w:vAlign w:val="center"/>
          </w:tcPr>
          <w:p w14:paraId="6605753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8" w:type="dxa"/>
            <w:vAlign w:val="center"/>
          </w:tcPr>
          <w:p w14:paraId="7A6F37A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-1,9</w:t>
            </w:r>
          </w:p>
        </w:tc>
        <w:tc>
          <w:tcPr>
            <w:tcW w:w="709" w:type="dxa"/>
            <w:vAlign w:val="center"/>
          </w:tcPr>
          <w:p w14:paraId="17B76FC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-0,5</w:t>
            </w:r>
          </w:p>
        </w:tc>
        <w:tc>
          <w:tcPr>
            <w:tcW w:w="709" w:type="dxa"/>
            <w:vAlign w:val="center"/>
          </w:tcPr>
          <w:p w14:paraId="73487C1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-0,1</w:t>
            </w:r>
          </w:p>
        </w:tc>
        <w:tc>
          <w:tcPr>
            <w:tcW w:w="709" w:type="dxa"/>
            <w:vAlign w:val="center"/>
          </w:tcPr>
          <w:p w14:paraId="3ECE354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-0,2</w:t>
            </w: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AC2541" w14:paraId="678A5EB8" w14:textId="77777777" w:rsidTr="00284BE8">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342E1939" w14:textId="77777777" w:rsidR="00284BE8" w:rsidRPr="00AC2541" w:rsidRDefault="00284BE8" w:rsidP="00284BE8">
            <w:pPr>
              <w:jc w:val="cente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Vispārējā valdība (S.13)</w:t>
            </w:r>
          </w:p>
        </w:tc>
      </w:tr>
    </w:tbl>
    <w:tbl>
      <w:tblPr>
        <w:tblStyle w:val="GridTable6Colorful-Accent114"/>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284BE8" w:rsidRPr="00AC2541" w14:paraId="5D8ADBD6" w14:textId="77777777" w:rsidTr="00284BE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260AFD4"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6. Kopējie ieņēmumi</w:t>
            </w:r>
          </w:p>
        </w:tc>
        <w:tc>
          <w:tcPr>
            <w:tcW w:w="1134" w:type="dxa"/>
            <w:vAlign w:val="center"/>
            <w:hideMark/>
          </w:tcPr>
          <w:p w14:paraId="124642F1"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TR</w:t>
            </w:r>
          </w:p>
        </w:tc>
        <w:tc>
          <w:tcPr>
            <w:tcW w:w="1134" w:type="dxa"/>
            <w:vAlign w:val="center"/>
          </w:tcPr>
          <w:p w14:paraId="2C82D2BF"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11 790,1</w:t>
            </w:r>
          </w:p>
        </w:tc>
        <w:tc>
          <w:tcPr>
            <w:tcW w:w="861" w:type="dxa"/>
            <w:vAlign w:val="center"/>
          </w:tcPr>
          <w:p w14:paraId="31DBAFE5"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38,7</w:t>
            </w:r>
          </w:p>
        </w:tc>
        <w:tc>
          <w:tcPr>
            <w:tcW w:w="708" w:type="dxa"/>
            <w:vAlign w:val="center"/>
          </w:tcPr>
          <w:p w14:paraId="53F7BB1B"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37,4</w:t>
            </w:r>
          </w:p>
        </w:tc>
        <w:tc>
          <w:tcPr>
            <w:tcW w:w="709" w:type="dxa"/>
            <w:vAlign w:val="center"/>
          </w:tcPr>
          <w:p w14:paraId="61D1EF9F"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38,9</w:t>
            </w:r>
          </w:p>
        </w:tc>
        <w:tc>
          <w:tcPr>
            <w:tcW w:w="709" w:type="dxa"/>
            <w:vAlign w:val="center"/>
          </w:tcPr>
          <w:p w14:paraId="4DE2876B"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38,9</w:t>
            </w:r>
          </w:p>
        </w:tc>
        <w:tc>
          <w:tcPr>
            <w:tcW w:w="709" w:type="dxa"/>
            <w:vAlign w:val="center"/>
          </w:tcPr>
          <w:p w14:paraId="0671F9DA"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38,8</w:t>
            </w:r>
          </w:p>
        </w:tc>
      </w:tr>
      <w:tr w:rsidR="00284BE8" w:rsidRPr="00AC2541" w14:paraId="328FDF7B" w14:textId="77777777" w:rsidTr="00284BE8">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3209110"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7. Kopējie izdevumi</w:t>
            </w:r>
          </w:p>
        </w:tc>
        <w:tc>
          <w:tcPr>
            <w:tcW w:w="1134" w:type="dxa"/>
            <w:vAlign w:val="center"/>
            <w:hideMark/>
          </w:tcPr>
          <w:p w14:paraId="0369D10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TE</w:t>
            </w:r>
          </w:p>
        </w:tc>
        <w:tc>
          <w:tcPr>
            <w:tcW w:w="1134" w:type="dxa"/>
            <w:vAlign w:val="center"/>
          </w:tcPr>
          <w:p w14:paraId="0D83E411"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11 853,3</w:t>
            </w:r>
          </w:p>
        </w:tc>
        <w:tc>
          <w:tcPr>
            <w:tcW w:w="861" w:type="dxa"/>
            <w:vAlign w:val="center"/>
          </w:tcPr>
          <w:p w14:paraId="17D1055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38,9</w:t>
            </w:r>
          </w:p>
        </w:tc>
        <w:tc>
          <w:tcPr>
            <w:tcW w:w="708" w:type="dxa"/>
            <w:vAlign w:val="center"/>
          </w:tcPr>
          <w:p w14:paraId="48C6B80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46,8</w:t>
            </w:r>
          </w:p>
        </w:tc>
        <w:tc>
          <w:tcPr>
            <w:tcW w:w="709" w:type="dxa"/>
            <w:vAlign w:val="center"/>
          </w:tcPr>
          <w:p w14:paraId="0A8F44E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43,8</w:t>
            </w:r>
          </w:p>
        </w:tc>
        <w:tc>
          <w:tcPr>
            <w:tcW w:w="709" w:type="dxa"/>
            <w:vAlign w:val="center"/>
          </w:tcPr>
          <w:p w14:paraId="35523F2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42,8</w:t>
            </w:r>
          </w:p>
        </w:tc>
        <w:tc>
          <w:tcPr>
            <w:tcW w:w="709" w:type="dxa"/>
            <w:vAlign w:val="center"/>
          </w:tcPr>
          <w:p w14:paraId="2F4CDB9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41,4</w:t>
            </w:r>
          </w:p>
        </w:tc>
      </w:tr>
      <w:tr w:rsidR="00284BE8" w:rsidRPr="00AC2541" w14:paraId="58416CDC" w14:textId="77777777" w:rsidTr="00284BE8">
        <w:trPr>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47D460D"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8. Budžeta bilance</w:t>
            </w:r>
          </w:p>
        </w:tc>
        <w:tc>
          <w:tcPr>
            <w:tcW w:w="1134" w:type="dxa"/>
            <w:vAlign w:val="center"/>
            <w:hideMark/>
          </w:tcPr>
          <w:p w14:paraId="64F54EC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B.9</w:t>
            </w:r>
          </w:p>
        </w:tc>
        <w:tc>
          <w:tcPr>
            <w:tcW w:w="1134" w:type="dxa"/>
            <w:vAlign w:val="center"/>
          </w:tcPr>
          <w:p w14:paraId="31DC951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-63,2</w:t>
            </w:r>
          </w:p>
        </w:tc>
        <w:tc>
          <w:tcPr>
            <w:tcW w:w="861" w:type="dxa"/>
            <w:vAlign w:val="center"/>
          </w:tcPr>
          <w:p w14:paraId="764F866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-0,2</w:t>
            </w:r>
          </w:p>
        </w:tc>
        <w:tc>
          <w:tcPr>
            <w:tcW w:w="708" w:type="dxa"/>
            <w:vAlign w:val="center"/>
          </w:tcPr>
          <w:p w14:paraId="63E4772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-9,4</w:t>
            </w:r>
          </w:p>
        </w:tc>
        <w:tc>
          <w:tcPr>
            <w:tcW w:w="709" w:type="dxa"/>
            <w:vAlign w:val="center"/>
          </w:tcPr>
          <w:p w14:paraId="4EBC340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-5,0</w:t>
            </w:r>
          </w:p>
        </w:tc>
        <w:tc>
          <w:tcPr>
            <w:tcW w:w="709" w:type="dxa"/>
            <w:vAlign w:val="center"/>
          </w:tcPr>
          <w:p w14:paraId="25253CCD"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-3,9</w:t>
            </w:r>
          </w:p>
        </w:tc>
        <w:tc>
          <w:tcPr>
            <w:tcW w:w="709" w:type="dxa"/>
            <w:vAlign w:val="center"/>
          </w:tcPr>
          <w:p w14:paraId="209A3DC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-2,7</w:t>
            </w:r>
          </w:p>
        </w:tc>
      </w:tr>
      <w:tr w:rsidR="00284BE8" w:rsidRPr="00AC2541" w14:paraId="465347E4" w14:textId="77777777" w:rsidTr="00284BE8">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0FA2523"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9. Procentu izdevumi</w:t>
            </w:r>
          </w:p>
        </w:tc>
        <w:tc>
          <w:tcPr>
            <w:tcW w:w="1134" w:type="dxa"/>
            <w:vAlign w:val="center"/>
            <w:hideMark/>
          </w:tcPr>
          <w:p w14:paraId="776F9B2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D.41</w:t>
            </w:r>
          </w:p>
        </w:tc>
        <w:tc>
          <w:tcPr>
            <w:tcW w:w="1134" w:type="dxa"/>
            <w:vAlign w:val="center"/>
          </w:tcPr>
          <w:p w14:paraId="0FA05FD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210,7</w:t>
            </w:r>
          </w:p>
        </w:tc>
        <w:tc>
          <w:tcPr>
            <w:tcW w:w="861" w:type="dxa"/>
            <w:vAlign w:val="center"/>
          </w:tcPr>
          <w:p w14:paraId="168A97C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0,7</w:t>
            </w:r>
          </w:p>
        </w:tc>
        <w:tc>
          <w:tcPr>
            <w:tcW w:w="708" w:type="dxa"/>
            <w:vAlign w:val="center"/>
          </w:tcPr>
          <w:p w14:paraId="5DEC5AE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4F67DB3B"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5E5250A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16EE12C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r>
      <w:tr w:rsidR="00284BE8" w:rsidRPr="00AC2541" w14:paraId="1E563FF4" w14:textId="77777777" w:rsidTr="00284BE8">
        <w:trPr>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3F9C96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10. Primārā bilance</w:t>
            </w:r>
          </w:p>
        </w:tc>
        <w:tc>
          <w:tcPr>
            <w:tcW w:w="1134" w:type="dxa"/>
            <w:vAlign w:val="center"/>
            <w:hideMark/>
          </w:tcPr>
          <w:p w14:paraId="20AF2FA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7BC41A5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147,5</w:t>
            </w:r>
          </w:p>
        </w:tc>
        <w:tc>
          <w:tcPr>
            <w:tcW w:w="861" w:type="dxa"/>
            <w:vAlign w:val="center"/>
          </w:tcPr>
          <w:p w14:paraId="2D3290E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0,5</w:t>
            </w:r>
          </w:p>
        </w:tc>
        <w:tc>
          <w:tcPr>
            <w:tcW w:w="708" w:type="dxa"/>
            <w:vAlign w:val="center"/>
          </w:tcPr>
          <w:p w14:paraId="07EDFB5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-8,5</w:t>
            </w:r>
          </w:p>
        </w:tc>
        <w:tc>
          <w:tcPr>
            <w:tcW w:w="709" w:type="dxa"/>
            <w:vAlign w:val="center"/>
          </w:tcPr>
          <w:p w14:paraId="4FCED62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-4,1</w:t>
            </w:r>
          </w:p>
        </w:tc>
        <w:tc>
          <w:tcPr>
            <w:tcW w:w="709" w:type="dxa"/>
            <w:vAlign w:val="center"/>
          </w:tcPr>
          <w:p w14:paraId="4CFB32F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-3,0</w:t>
            </w:r>
          </w:p>
        </w:tc>
        <w:tc>
          <w:tcPr>
            <w:tcW w:w="709" w:type="dxa"/>
            <w:vAlign w:val="center"/>
          </w:tcPr>
          <w:p w14:paraId="5BDF3DE4"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-1,7</w:t>
            </w:r>
          </w:p>
        </w:tc>
      </w:tr>
      <w:tr w:rsidR="00284BE8" w:rsidRPr="00AC2541" w14:paraId="1ECEDD46" w14:textId="77777777" w:rsidTr="00284BE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DE02B3C"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11. Vienreizēji un citi īslaicīgi pasākumi</w:t>
            </w:r>
          </w:p>
        </w:tc>
        <w:tc>
          <w:tcPr>
            <w:tcW w:w="1134" w:type="dxa"/>
            <w:vAlign w:val="center"/>
            <w:hideMark/>
          </w:tcPr>
          <w:p w14:paraId="4BE7947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134" w:type="dxa"/>
            <w:vAlign w:val="center"/>
          </w:tcPr>
          <w:p w14:paraId="0E37297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60,7</w:t>
            </w:r>
          </w:p>
        </w:tc>
        <w:tc>
          <w:tcPr>
            <w:tcW w:w="861" w:type="dxa"/>
            <w:vAlign w:val="center"/>
          </w:tcPr>
          <w:p w14:paraId="753F8A3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0,2</w:t>
            </w:r>
          </w:p>
        </w:tc>
        <w:tc>
          <w:tcPr>
            <w:tcW w:w="708" w:type="dxa"/>
            <w:vAlign w:val="center"/>
          </w:tcPr>
          <w:p w14:paraId="21A5FF61"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highlight w:val="yellow"/>
                <w:lang w:eastAsia="lv-LV"/>
              </w:rPr>
            </w:pPr>
          </w:p>
        </w:tc>
        <w:tc>
          <w:tcPr>
            <w:tcW w:w="709" w:type="dxa"/>
          </w:tcPr>
          <w:p w14:paraId="7842E3E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highlight w:val="yellow"/>
                <w:lang w:eastAsia="lv-LV"/>
              </w:rPr>
            </w:pPr>
          </w:p>
        </w:tc>
        <w:tc>
          <w:tcPr>
            <w:tcW w:w="709" w:type="dxa"/>
          </w:tcPr>
          <w:p w14:paraId="392E39E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highlight w:val="yellow"/>
                <w:lang w:eastAsia="lv-LV"/>
              </w:rPr>
            </w:pPr>
          </w:p>
        </w:tc>
        <w:tc>
          <w:tcPr>
            <w:tcW w:w="709" w:type="dxa"/>
          </w:tcPr>
          <w:p w14:paraId="3D70789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highlight w:val="yellow"/>
                <w:lang w:eastAsia="lv-LV"/>
              </w:rPr>
            </w:pP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AC2541" w14:paraId="31E8B897" w14:textId="77777777" w:rsidTr="00284BE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010B848D" w14:textId="77777777" w:rsidR="00284BE8" w:rsidRPr="00AC2541" w:rsidRDefault="00284BE8" w:rsidP="00284BE8">
            <w:pPr>
              <w:jc w:val="cente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Ieņēmumu sadaļas</w:t>
            </w:r>
          </w:p>
        </w:tc>
      </w:tr>
    </w:tbl>
    <w:tbl>
      <w:tblPr>
        <w:tblStyle w:val="GridTable6Colorful-Accent114"/>
        <w:tblW w:w="9645" w:type="dxa"/>
        <w:jc w:val="center"/>
        <w:tblLayout w:type="fixed"/>
        <w:tblLook w:val="04A0" w:firstRow="1" w:lastRow="0" w:firstColumn="1" w:lastColumn="0" w:noHBand="0" w:noVBand="1"/>
      </w:tblPr>
      <w:tblGrid>
        <w:gridCol w:w="3681"/>
        <w:gridCol w:w="992"/>
        <w:gridCol w:w="1276"/>
        <w:gridCol w:w="861"/>
        <w:gridCol w:w="708"/>
        <w:gridCol w:w="709"/>
        <w:gridCol w:w="709"/>
        <w:gridCol w:w="709"/>
      </w:tblGrid>
      <w:tr w:rsidR="00AC2541" w:rsidRPr="00AC2541" w14:paraId="21CA48D0" w14:textId="77777777" w:rsidTr="00AC2541">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7FE488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12. Nodokļi kopā (12=12a+12b+12c)</w:t>
            </w:r>
          </w:p>
        </w:tc>
        <w:tc>
          <w:tcPr>
            <w:tcW w:w="992" w:type="dxa"/>
            <w:vAlign w:val="center"/>
            <w:hideMark/>
          </w:tcPr>
          <w:p w14:paraId="0130656E"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p>
        </w:tc>
        <w:tc>
          <w:tcPr>
            <w:tcW w:w="1276" w:type="dxa"/>
            <w:vAlign w:val="center"/>
          </w:tcPr>
          <w:p w14:paraId="38AFDF9D"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6 460,8</w:t>
            </w:r>
          </w:p>
        </w:tc>
        <w:tc>
          <w:tcPr>
            <w:tcW w:w="861" w:type="dxa"/>
            <w:vAlign w:val="center"/>
          </w:tcPr>
          <w:p w14:paraId="4E225BC8"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21,2</w:t>
            </w:r>
          </w:p>
        </w:tc>
        <w:tc>
          <w:tcPr>
            <w:tcW w:w="708" w:type="dxa"/>
            <w:vAlign w:val="center"/>
          </w:tcPr>
          <w:p w14:paraId="1727F37B"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20,3</w:t>
            </w:r>
          </w:p>
        </w:tc>
        <w:tc>
          <w:tcPr>
            <w:tcW w:w="709" w:type="dxa"/>
            <w:vAlign w:val="center"/>
          </w:tcPr>
          <w:p w14:paraId="72B477C5"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22,0</w:t>
            </w:r>
          </w:p>
        </w:tc>
        <w:tc>
          <w:tcPr>
            <w:tcW w:w="709" w:type="dxa"/>
            <w:vAlign w:val="center"/>
          </w:tcPr>
          <w:p w14:paraId="1063A25A"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22,1</w:t>
            </w:r>
          </w:p>
        </w:tc>
        <w:tc>
          <w:tcPr>
            <w:tcW w:w="709" w:type="dxa"/>
            <w:vAlign w:val="center"/>
          </w:tcPr>
          <w:p w14:paraId="59580BD1"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22,3</w:t>
            </w:r>
          </w:p>
        </w:tc>
      </w:tr>
      <w:tr w:rsidR="00AC2541" w:rsidRPr="00AC2541" w14:paraId="6FF3C0E3" w14:textId="77777777" w:rsidTr="00AC2541">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8581F03"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12a. Ražošanas un importa nodokļi</w:t>
            </w:r>
          </w:p>
        </w:tc>
        <w:tc>
          <w:tcPr>
            <w:tcW w:w="992" w:type="dxa"/>
            <w:vAlign w:val="center"/>
            <w:hideMark/>
          </w:tcPr>
          <w:p w14:paraId="17AAB2E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D.2</w:t>
            </w:r>
          </w:p>
        </w:tc>
        <w:tc>
          <w:tcPr>
            <w:tcW w:w="1276" w:type="dxa"/>
            <w:vAlign w:val="center"/>
          </w:tcPr>
          <w:p w14:paraId="0A9ED2B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4 319,7</w:t>
            </w:r>
          </w:p>
        </w:tc>
        <w:tc>
          <w:tcPr>
            <w:tcW w:w="861" w:type="dxa"/>
            <w:vAlign w:val="center"/>
          </w:tcPr>
          <w:p w14:paraId="0A076FA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14,2</w:t>
            </w:r>
          </w:p>
        </w:tc>
        <w:tc>
          <w:tcPr>
            <w:tcW w:w="708" w:type="dxa"/>
            <w:vAlign w:val="center"/>
          </w:tcPr>
          <w:p w14:paraId="5A5449F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14,0</w:t>
            </w:r>
          </w:p>
        </w:tc>
        <w:tc>
          <w:tcPr>
            <w:tcW w:w="709" w:type="dxa"/>
            <w:vAlign w:val="center"/>
          </w:tcPr>
          <w:p w14:paraId="6EA5735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14,9</w:t>
            </w:r>
          </w:p>
        </w:tc>
        <w:tc>
          <w:tcPr>
            <w:tcW w:w="709" w:type="dxa"/>
            <w:vAlign w:val="center"/>
          </w:tcPr>
          <w:p w14:paraId="5C4609A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14,9</w:t>
            </w:r>
          </w:p>
        </w:tc>
        <w:tc>
          <w:tcPr>
            <w:tcW w:w="709" w:type="dxa"/>
            <w:vAlign w:val="center"/>
          </w:tcPr>
          <w:p w14:paraId="05ECFEB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14,9</w:t>
            </w:r>
          </w:p>
        </w:tc>
      </w:tr>
      <w:tr w:rsidR="00AC2541" w:rsidRPr="00AC2541" w14:paraId="103CB742" w14:textId="77777777" w:rsidTr="00AC2541">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53BB694"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12b. Ienākuma un mantas kārtējie nodokļi</w:t>
            </w:r>
          </w:p>
        </w:tc>
        <w:tc>
          <w:tcPr>
            <w:tcW w:w="992" w:type="dxa"/>
            <w:vAlign w:val="center"/>
            <w:hideMark/>
          </w:tcPr>
          <w:p w14:paraId="0ED83E2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D.5</w:t>
            </w:r>
          </w:p>
        </w:tc>
        <w:tc>
          <w:tcPr>
            <w:tcW w:w="1276" w:type="dxa"/>
            <w:vAlign w:val="center"/>
          </w:tcPr>
          <w:p w14:paraId="18D652A4"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2 129,5</w:t>
            </w:r>
          </w:p>
        </w:tc>
        <w:tc>
          <w:tcPr>
            <w:tcW w:w="861" w:type="dxa"/>
            <w:vAlign w:val="center"/>
          </w:tcPr>
          <w:p w14:paraId="712D0E94"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7,0</w:t>
            </w:r>
          </w:p>
        </w:tc>
        <w:tc>
          <w:tcPr>
            <w:tcW w:w="708" w:type="dxa"/>
            <w:vAlign w:val="center"/>
          </w:tcPr>
          <w:p w14:paraId="68953C0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6,3</w:t>
            </w:r>
          </w:p>
        </w:tc>
        <w:tc>
          <w:tcPr>
            <w:tcW w:w="709" w:type="dxa"/>
            <w:vAlign w:val="center"/>
          </w:tcPr>
          <w:p w14:paraId="402CA08D"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7,1</w:t>
            </w:r>
          </w:p>
        </w:tc>
        <w:tc>
          <w:tcPr>
            <w:tcW w:w="709" w:type="dxa"/>
            <w:vAlign w:val="center"/>
          </w:tcPr>
          <w:p w14:paraId="0B180A0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7,2</w:t>
            </w:r>
          </w:p>
        </w:tc>
        <w:tc>
          <w:tcPr>
            <w:tcW w:w="709" w:type="dxa"/>
            <w:vAlign w:val="center"/>
          </w:tcPr>
          <w:p w14:paraId="344683D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7,3</w:t>
            </w:r>
          </w:p>
        </w:tc>
      </w:tr>
      <w:tr w:rsidR="00AC2541" w:rsidRPr="00AC2541" w14:paraId="41CA30DB" w14:textId="77777777" w:rsidTr="00AC254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44F24E3"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12c. Kapitāla nodokļi</w:t>
            </w:r>
          </w:p>
        </w:tc>
        <w:tc>
          <w:tcPr>
            <w:tcW w:w="992" w:type="dxa"/>
            <w:vAlign w:val="center"/>
            <w:hideMark/>
          </w:tcPr>
          <w:p w14:paraId="6B46DDF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D.91</w:t>
            </w:r>
          </w:p>
        </w:tc>
        <w:tc>
          <w:tcPr>
            <w:tcW w:w="1276" w:type="dxa"/>
            <w:vAlign w:val="center"/>
          </w:tcPr>
          <w:p w14:paraId="18BF6F0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11,5</w:t>
            </w:r>
          </w:p>
        </w:tc>
        <w:tc>
          <w:tcPr>
            <w:tcW w:w="861" w:type="dxa"/>
            <w:vAlign w:val="center"/>
          </w:tcPr>
          <w:p w14:paraId="031449D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c>
          <w:tcPr>
            <w:tcW w:w="708" w:type="dxa"/>
            <w:vAlign w:val="center"/>
          </w:tcPr>
          <w:p w14:paraId="3C60E00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c>
          <w:tcPr>
            <w:tcW w:w="709" w:type="dxa"/>
            <w:vAlign w:val="center"/>
          </w:tcPr>
          <w:p w14:paraId="6B7FEF4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c>
          <w:tcPr>
            <w:tcW w:w="709" w:type="dxa"/>
            <w:vAlign w:val="center"/>
          </w:tcPr>
          <w:p w14:paraId="260B22C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c>
          <w:tcPr>
            <w:tcW w:w="709" w:type="dxa"/>
            <w:vAlign w:val="center"/>
          </w:tcPr>
          <w:p w14:paraId="1441F7C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r>
      <w:tr w:rsidR="00AC2541" w:rsidRPr="00AC2541" w14:paraId="2B9D9683" w14:textId="77777777" w:rsidTr="00AC2541">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4C10C9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13. Sociālās iemaksas</w:t>
            </w:r>
          </w:p>
        </w:tc>
        <w:tc>
          <w:tcPr>
            <w:tcW w:w="992" w:type="dxa"/>
            <w:vAlign w:val="center"/>
            <w:hideMark/>
          </w:tcPr>
          <w:p w14:paraId="7D0BC354"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D.61</w:t>
            </w:r>
          </w:p>
        </w:tc>
        <w:tc>
          <w:tcPr>
            <w:tcW w:w="1276" w:type="dxa"/>
            <w:vAlign w:val="center"/>
          </w:tcPr>
          <w:p w14:paraId="4751779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3 052,2</w:t>
            </w:r>
          </w:p>
        </w:tc>
        <w:tc>
          <w:tcPr>
            <w:tcW w:w="861" w:type="dxa"/>
            <w:vAlign w:val="center"/>
          </w:tcPr>
          <w:p w14:paraId="1B666C8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10,0</w:t>
            </w:r>
          </w:p>
        </w:tc>
        <w:tc>
          <w:tcPr>
            <w:tcW w:w="708" w:type="dxa"/>
            <w:vAlign w:val="center"/>
          </w:tcPr>
          <w:p w14:paraId="435E03C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9,9</w:t>
            </w:r>
          </w:p>
        </w:tc>
        <w:tc>
          <w:tcPr>
            <w:tcW w:w="709" w:type="dxa"/>
            <w:vAlign w:val="center"/>
          </w:tcPr>
          <w:p w14:paraId="08C3E4DA"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10,2</w:t>
            </w:r>
          </w:p>
        </w:tc>
        <w:tc>
          <w:tcPr>
            <w:tcW w:w="709" w:type="dxa"/>
            <w:vAlign w:val="center"/>
          </w:tcPr>
          <w:p w14:paraId="5E2F46D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10,3</w:t>
            </w:r>
          </w:p>
        </w:tc>
        <w:tc>
          <w:tcPr>
            <w:tcW w:w="709" w:type="dxa"/>
            <w:vAlign w:val="center"/>
          </w:tcPr>
          <w:p w14:paraId="56BCFF5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10,4</w:t>
            </w:r>
          </w:p>
        </w:tc>
      </w:tr>
      <w:tr w:rsidR="00AC2541" w:rsidRPr="00AC2541" w14:paraId="059B2CC3" w14:textId="77777777" w:rsidTr="00AC2541">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7A3DF8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14. Īpašuma ienākumi</w:t>
            </w:r>
          </w:p>
        </w:tc>
        <w:tc>
          <w:tcPr>
            <w:tcW w:w="992" w:type="dxa"/>
            <w:vAlign w:val="center"/>
            <w:hideMark/>
          </w:tcPr>
          <w:p w14:paraId="44C22F61"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D.4</w:t>
            </w:r>
          </w:p>
        </w:tc>
        <w:tc>
          <w:tcPr>
            <w:tcW w:w="1276" w:type="dxa"/>
            <w:vAlign w:val="center"/>
          </w:tcPr>
          <w:p w14:paraId="68A07C1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188,8</w:t>
            </w:r>
          </w:p>
        </w:tc>
        <w:tc>
          <w:tcPr>
            <w:tcW w:w="861" w:type="dxa"/>
            <w:vAlign w:val="center"/>
          </w:tcPr>
          <w:p w14:paraId="6FC4A49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8" w:type="dxa"/>
            <w:vAlign w:val="center"/>
          </w:tcPr>
          <w:p w14:paraId="65EB1DD4"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9" w:type="dxa"/>
            <w:vAlign w:val="center"/>
          </w:tcPr>
          <w:p w14:paraId="07E43A4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0,3</w:t>
            </w:r>
          </w:p>
        </w:tc>
        <w:tc>
          <w:tcPr>
            <w:tcW w:w="709" w:type="dxa"/>
            <w:vAlign w:val="center"/>
          </w:tcPr>
          <w:p w14:paraId="599CEE6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0,3</w:t>
            </w:r>
          </w:p>
        </w:tc>
        <w:tc>
          <w:tcPr>
            <w:tcW w:w="709" w:type="dxa"/>
            <w:vAlign w:val="center"/>
          </w:tcPr>
          <w:p w14:paraId="747347E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0,3</w:t>
            </w:r>
          </w:p>
        </w:tc>
      </w:tr>
      <w:tr w:rsidR="00AC2541" w:rsidRPr="00AC2541" w14:paraId="0F699C9D" w14:textId="77777777" w:rsidTr="00AC2541">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D10EA6A"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15. Pārējie ieņēmumi</w:t>
            </w:r>
          </w:p>
        </w:tc>
        <w:tc>
          <w:tcPr>
            <w:tcW w:w="992" w:type="dxa"/>
            <w:vAlign w:val="center"/>
            <w:hideMark/>
          </w:tcPr>
          <w:p w14:paraId="7CFDB97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276" w:type="dxa"/>
            <w:vAlign w:val="center"/>
          </w:tcPr>
          <w:p w14:paraId="2CC1566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2 088,3</w:t>
            </w:r>
          </w:p>
        </w:tc>
        <w:tc>
          <w:tcPr>
            <w:tcW w:w="861" w:type="dxa"/>
            <w:vAlign w:val="center"/>
          </w:tcPr>
          <w:p w14:paraId="101CD2F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6,9</w:t>
            </w:r>
          </w:p>
        </w:tc>
        <w:tc>
          <w:tcPr>
            <w:tcW w:w="708" w:type="dxa"/>
            <w:vAlign w:val="center"/>
          </w:tcPr>
          <w:p w14:paraId="3CD4FE0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6,6</w:t>
            </w:r>
          </w:p>
        </w:tc>
        <w:tc>
          <w:tcPr>
            <w:tcW w:w="709" w:type="dxa"/>
            <w:vAlign w:val="center"/>
          </w:tcPr>
          <w:p w14:paraId="52223F4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6,3</w:t>
            </w:r>
          </w:p>
        </w:tc>
        <w:tc>
          <w:tcPr>
            <w:tcW w:w="709" w:type="dxa"/>
            <w:vAlign w:val="center"/>
          </w:tcPr>
          <w:p w14:paraId="06E1DCB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6,2</w:t>
            </w:r>
          </w:p>
        </w:tc>
        <w:tc>
          <w:tcPr>
            <w:tcW w:w="709" w:type="dxa"/>
            <w:vAlign w:val="center"/>
          </w:tcPr>
          <w:p w14:paraId="21DBFC4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5,8</w:t>
            </w:r>
          </w:p>
        </w:tc>
      </w:tr>
      <w:tr w:rsidR="00AC2541" w:rsidRPr="00AC2541" w14:paraId="11D4110F" w14:textId="77777777" w:rsidTr="00AC254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1A9F9B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16. Kopējie ieņēmumi</w:t>
            </w:r>
          </w:p>
        </w:tc>
        <w:tc>
          <w:tcPr>
            <w:tcW w:w="992" w:type="dxa"/>
            <w:vAlign w:val="center"/>
            <w:hideMark/>
          </w:tcPr>
          <w:p w14:paraId="50DCE02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TR</w:t>
            </w:r>
          </w:p>
        </w:tc>
        <w:tc>
          <w:tcPr>
            <w:tcW w:w="1276" w:type="dxa"/>
            <w:vAlign w:val="center"/>
          </w:tcPr>
          <w:p w14:paraId="449024BD"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11 790,1</w:t>
            </w:r>
          </w:p>
        </w:tc>
        <w:tc>
          <w:tcPr>
            <w:tcW w:w="861" w:type="dxa"/>
            <w:vAlign w:val="center"/>
          </w:tcPr>
          <w:p w14:paraId="68DE4811"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38,7</w:t>
            </w:r>
          </w:p>
        </w:tc>
        <w:tc>
          <w:tcPr>
            <w:tcW w:w="708" w:type="dxa"/>
            <w:vAlign w:val="center"/>
          </w:tcPr>
          <w:p w14:paraId="327F931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37,4</w:t>
            </w:r>
          </w:p>
        </w:tc>
        <w:tc>
          <w:tcPr>
            <w:tcW w:w="709" w:type="dxa"/>
            <w:vAlign w:val="center"/>
          </w:tcPr>
          <w:p w14:paraId="633B7854"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38,9</w:t>
            </w:r>
          </w:p>
        </w:tc>
        <w:tc>
          <w:tcPr>
            <w:tcW w:w="709" w:type="dxa"/>
            <w:vAlign w:val="center"/>
          </w:tcPr>
          <w:p w14:paraId="7B842294"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38,9</w:t>
            </w:r>
          </w:p>
        </w:tc>
        <w:tc>
          <w:tcPr>
            <w:tcW w:w="709" w:type="dxa"/>
            <w:vAlign w:val="center"/>
          </w:tcPr>
          <w:p w14:paraId="172F6F7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38,8</w:t>
            </w:r>
          </w:p>
        </w:tc>
      </w:tr>
      <w:tr w:rsidR="00AC2541" w:rsidRPr="00AC2541" w14:paraId="747C9DEA" w14:textId="77777777" w:rsidTr="00AC2541">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F9F2459"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Nodokļu slogs (D.2</w:t>
            </w:r>
            <w:r w:rsidRPr="00AC2541">
              <w:rPr>
                <w:rFonts w:ascii="Times New Roman" w:hAnsi="Times New Roman" w:cs="Times New Roman"/>
                <w:color w:val="000000" w:themeColor="text1"/>
                <w:sz w:val="20"/>
                <w:szCs w:val="20"/>
                <w:vertAlign w:val="superscript"/>
                <w:lang w:eastAsia="lv-LV"/>
              </w:rPr>
              <w:footnoteReference w:id="36"/>
            </w:r>
            <w:r w:rsidRPr="00AC2541">
              <w:rPr>
                <w:rFonts w:ascii="Times New Roman" w:hAnsi="Times New Roman" w:cs="Times New Roman"/>
                <w:color w:val="000000" w:themeColor="text1"/>
                <w:sz w:val="20"/>
                <w:szCs w:val="20"/>
                <w:lang w:eastAsia="lv-LV"/>
              </w:rPr>
              <w:t>+D.5+D.61+D.91-D.995)</w:t>
            </w:r>
          </w:p>
        </w:tc>
        <w:tc>
          <w:tcPr>
            <w:tcW w:w="992" w:type="dxa"/>
            <w:vAlign w:val="center"/>
            <w:hideMark/>
          </w:tcPr>
          <w:p w14:paraId="6742312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1276" w:type="dxa"/>
            <w:vAlign w:val="center"/>
          </w:tcPr>
          <w:p w14:paraId="7163FE8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9 568,7</w:t>
            </w:r>
          </w:p>
        </w:tc>
        <w:tc>
          <w:tcPr>
            <w:tcW w:w="861" w:type="dxa"/>
            <w:vAlign w:val="center"/>
          </w:tcPr>
          <w:p w14:paraId="24277F32"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31,4</w:t>
            </w:r>
          </w:p>
        </w:tc>
        <w:tc>
          <w:tcPr>
            <w:tcW w:w="708" w:type="dxa"/>
            <w:vAlign w:val="center"/>
          </w:tcPr>
          <w:p w14:paraId="1A475D0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30,4</w:t>
            </w:r>
          </w:p>
        </w:tc>
        <w:tc>
          <w:tcPr>
            <w:tcW w:w="709" w:type="dxa"/>
            <w:vAlign w:val="center"/>
          </w:tcPr>
          <w:p w14:paraId="3EC8DAC4"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32,4</w:t>
            </w:r>
          </w:p>
        </w:tc>
        <w:tc>
          <w:tcPr>
            <w:tcW w:w="709" w:type="dxa"/>
            <w:vAlign w:val="center"/>
          </w:tcPr>
          <w:p w14:paraId="3A7D696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32,6</w:t>
            </w:r>
          </w:p>
        </w:tc>
        <w:tc>
          <w:tcPr>
            <w:tcW w:w="709" w:type="dxa"/>
            <w:vAlign w:val="center"/>
          </w:tcPr>
          <w:p w14:paraId="7841198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32,8</w:t>
            </w:r>
          </w:p>
        </w:tc>
      </w:tr>
    </w:tbl>
    <w:tbl>
      <w:tblPr>
        <w:tblStyle w:val="GridTable6Colorful-Accent113"/>
        <w:tblW w:w="9645" w:type="dxa"/>
        <w:jc w:val="center"/>
        <w:tblLayout w:type="fixed"/>
        <w:tblLook w:val="04A0" w:firstRow="1" w:lastRow="0" w:firstColumn="1" w:lastColumn="0" w:noHBand="0" w:noVBand="1"/>
      </w:tblPr>
      <w:tblGrid>
        <w:gridCol w:w="9645"/>
      </w:tblGrid>
      <w:tr w:rsidR="00284BE8" w:rsidRPr="00AC2541" w14:paraId="33DA7D82" w14:textId="77777777" w:rsidTr="00284BE8">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14:paraId="6BC3066D" w14:textId="77777777" w:rsidR="00284BE8" w:rsidRPr="00AC2541" w:rsidRDefault="00284BE8" w:rsidP="00284BE8">
            <w:pPr>
              <w:jc w:val="cente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Izdevumu sadaļas</w:t>
            </w:r>
          </w:p>
        </w:tc>
      </w:tr>
    </w:tbl>
    <w:tbl>
      <w:tblPr>
        <w:tblStyle w:val="GridTable6Colorful-Accent114"/>
        <w:tblW w:w="9645" w:type="dxa"/>
        <w:jc w:val="center"/>
        <w:tblLayout w:type="fixed"/>
        <w:tblLook w:val="04A0" w:firstRow="1" w:lastRow="0" w:firstColumn="1" w:lastColumn="0" w:noHBand="0" w:noVBand="1"/>
      </w:tblPr>
      <w:tblGrid>
        <w:gridCol w:w="3681"/>
        <w:gridCol w:w="992"/>
        <w:gridCol w:w="992"/>
        <w:gridCol w:w="1145"/>
        <w:gridCol w:w="708"/>
        <w:gridCol w:w="709"/>
        <w:gridCol w:w="709"/>
        <w:gridCol w:w="709"/>
      </w:tblGrid>
      <w:tr w:rsidR="00AC2541" w:rsidRPr="00AC2541" w14:paraId="3ADF4CA4" w14:textId="77777777" w:rsidTr="00AC2541">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600DAC15"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17. Atlīdzība nodarbinātajiem un starppatēriņš</w:t>
            </w:r>
          </w:p>
        </w:tc>
        <w:tc>
          <w:tcPr>
            <w:tcW w:w="992" w:type="dxa"/>
            <w:vAlign w:val="center"/>
            <w:hideMark/>
          </w:tcPr>
          <w:p w14:paraId="078F82E4"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D.1+P.2</w:t>
            </w:r>
          </w:p>
        </w:tc>
        <w:tc>
          <w:tcPr>
            <w:tcW w:w="992" w:type="dxa"/>
            <w:vAlign w:val="center"/>
          </w:tcPr>
          <w:p w14:paraId="279D0F77"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5 246,6</w:t>
            </w:r>
          </w:p>
        </w:tc>
        <w:tc>
          <w:tcPr>
            <w:tcW w:w="1145" w:type="dxa"/>
            <w:vAlign w:val="center"/>
          </w:tcPr>
          <w:p w14:paraId="4F670945"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17,2</w:t>
            </w:r>
          </w:p>
        </w:tc>
        <w:tc>
          <w:tcPr>
            <w:tcW w:w="708" w:type="dxa"/>
            <w:vAlign w:val="center"/>
          </w:tcPr>
          <w:p w14:paraId="3EDB6905"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18,9</w:t>
            </w:r>
          </w:p>
        </w:tc>
        <w:tc>
          <w:tcPr>
            <w:tcW w:w="709" w:type="dxa"/>
            <w:vAlign w:val="center"/>
          </w:tcPr>
          <w:p w14:paraId="0258AD34"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18,6</w:t>
            </w:r>
          </w:p>
        </w:tc>
        <w:tc>
          <w:tcPr>
            <w:tcW w:w="709" w:type="dxa"/>
            <w:vAlign w:val="center"/>
          </w:tcPr>
          <w:p w14:paraId="1EF942D7"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18,0</w:t>
            </w:r>
          </w:p>
        </w:tc>
        <w:tc>
          <w:tcPr>
            <w:tcW w:w="709" w:type="dxa"/>
            <w:vAlign w:val="center"/>
          </w:tcPr>
          <w:p w14:paraId="5B85E642" w14:textId="77777777" w:rsidR="00284BE8" w:rsidRPr="00AC2541"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17,2</w:t>
            </w:r>
          </w:p>
        </w:tc>
      </w:tr>
      <w:tr w:rsidR="00AC2541" w:rsidRPr="00AC2541" w14:paraId="34573AF5" w14:textId="77777777" w:rsidTr="00AC2541">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38C012D"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17a. Atlīdzība nodarbinātajiem</w:t>
            </w:r>
          </w:p>
        </w:tc>
        <w:tc>
          <w:tcPr>
            <w:tcW w:w="992" w:type="dxa"/>
            <w:vAlign w:val="center"/>
            <w:hideMark/>
          </w:tcPr>
          <w:p w14:paraId="4D15EDC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D.1</w:t>
            </w:r>
          </w:p>
        </w:tc>
        <w:tc>
          <w:tcPr>
            <w:tcW w:w="992" w:type="dxa"/>
            <w:vAlign w:val="center"/>
          </w:tcPr>
          <w:p w14:paraId="5D4F70E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3 309,1</w:t>
            </w:r>
          </w:p>
        </w:tc>
        <w:tc>
          <w:tcPr>
            <w:tcW w:w="1145" w:type="dxa"/>
            <w:vAlign w:val="center"/>
          </w:tcPr>
          <w:p w14:paraId="4BAB8C6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10,9</w:t>
            </w:r>
          </w:p>
        </w:tc>
        <w:tc>
          <w:tcPr>
            <w:tcW w:w="708" w:type="dxa"/>
            <w:vAlign w:val="center"/>
          </w:tcPr>
          <w:p w14:paraId="0F35817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12,4</w:t>
            </w:r>
          </w:p>
        </w:tc>
        <w:tc>
          <w:tcPr>
            <w:tcW w:w="709" w:type="dxa"/>
            <w:vAlign w:val="center"/>
          </w:tcPr>
          <w:p w14:paraId="12B4815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12,3</w:t>
            </w:r>
          </w:p>
        </w:tc>
        <w:tc>
          <w:tcPr>
            <w:tcW w:w="709" w:type="dxa"/>
            <w:vAlign w:val="center"/>
          </w:tcPr>
          <w:p w14:paraId="31D352B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11,9</w:t>
            </w:r>
          </w:p>
        </w:tc>
        <w:tc>
          <w:tcPr>
            <w:tcW w:w="709" w:type="dxa"/>
            <w:vAlign w:val="center"/>
          </w:tcPr>
          <w:p w14:paraId="1318AAA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11,5</w:t>
            </w:r>
          </w:p>
        </w:tc>
      </w:tr>
      <w:tr w:rsidR="00AC2541" w:rsidRPr="00AC2541" w14:paraId="7FEA0522" w14:textId="77777777" w:rsidTr="00AC2541">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17D99A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17b. Starppatēriņš</w:t>
            </w:r>
          </w:p>
        </w:tc>
        <w:tc>
          <w:tcPr>
            <w:tcW w:w="992" w:type="dxa"/>
            <w:vAlign w:val="center"/>
            <w:hideMark/>
          </w:tcPr>
          <w:p w14:paraId="1A7B7A0D"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P.2</w:t>
            </w:r>
          </w:p>
        </w:tc>
        <w:tc>
          <w:tcPr>
            <w:tcW w:w="992" w:type="dxa"/>
            <w:vAlign w:val="center"/>
          </w:tcPr>
          <w:p w14:paraId="0E05FFE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1 937,5</w:t>
            </w:r>
          </w:p>
        </w:tc>
        <w:tc>
          <w:tcPr>
            <w:tcW w:w="1145" w:type="dxa"/>
            <w:vAlign w:val="center"/>
          </w:tcPr>
          <w:p w14:paraId="1737A0E2"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6,4</w:t>
            </w:r>
          </w:p>
        </w:tc>
        <w:tc>
          <w:tcPr>
            <w:tcW w:w="708" w:type="dxa"/>
            <w:vAlign w:val="center"/>
          </w:tcPr>
          <w:p w14:paraId="4C23AEA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6,5</w:t>
            </w:r>
          </w:p>
        </w:tc>
        <w:tc>
          <w:tcPr>
            <w:tcW w:w="709" w:type="dxa"/>
            <w:vAlign w:val="center"/>
          </w:tcPr>
          <w:p w14:paraId="0FF0317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6,3</w:t>
            </w:r>
          </w:p>
        </w:tc>
        <w:tc>
          <w:tcPr>
            <w:tcW w:w="709" w:type="dxa"/>
            <w:vAlign w:val="center"/>
          </w:tcPr>
          <w:p w14:paraId="0CA71C58"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6,1</w:t>
            </w:r>
          </w:p>
        </w:tc>
        <w:tc>
          <w:tcPr>
            <w:tcW w:w="709" w:type="dxa"/>
            <w:vAlign w:val="center"/>
          </w:tcPr>
          <w:p w14:paraId="01F71B9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5,7</w:t>
            </w:r>
          </w:p>
        </w:tc>
      </w:tr>
      <w:tr w:rsidR="00AC2541" w:rsidRPr="00AC2541" w14:paraId="2A9C88FC" w14:textId="77777777" w:rsidTr="00AC254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4FD3D9AC"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 Sociālie maksājumi (18=18a+18b)</w:t>
            </w:r>
          </w:p>
        </w:tc>
        <w:tc>
          <w:tcPr>
            <w:tcW w:w="992" w:type="dxa"/>
            <w:vAlign w:val="center"/>
            <w:hideMark/>
          </w:tcPr>
          <w:p w14:paraId="0D5270A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992" w:type="dxa"/>
            <w:vAlign w:val="center"/>
          </w:tcPr>
          <w:p w14:paraId="2EB98AD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3 621,3</w:t>
            </w:r>
          </w:p>
        </w:tc>
        <w:tc>
          <w:tcPr>
            <w:tcW w:w="1145" w:type="dxa"/>
            <w:vAlign w:val="center"/>
          </w:tcPr>
          <w:p w14:paraId="1F104CD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11,9</w:t>
            </w:r>
          </w:p>
        </w:tc>
        <w:tc>
          <w:tcPr>
            <w:tcW w:w="708" w:type="dxa"/>
            <w:vAlign w:val="center"/>
          </w:tcPr>
          <w:p w14:paraId="4F5FF1A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15,3</w:t>
            </w:r>
          </w:p>
        </w:tc>
        <w:tc>
          <w:tcPr>
            <w:tcW w:w="709" w:type="dxa"/>
            <w:vAlign w:val="center"/>
          </w:tcPr>
          <w:p w14:paraId="2EC6539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14,2</w:t>
            </w:r>
          </w:p>
        </w:tc>
        <w:tc>
          <w:tcPr>
            <w:tcW w:w="709" w:type="dxa"/>
            <w:vAlign w:val="center"/>
          </w:tcPr>
          <w:p w14:paraId="098152A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13,8</w:t>
            </w:r>
          </w:p>
        </w:tc>
        <w:tc>
          <w:tcPr>
            <w:tcW w:w="709" w:type="dxa"/>
            <w:vAlign w:val="center"/>
          </w:tcPr>
          <w:p w14:paraId="414C63C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13,9</w:t>
            </w:r>
          </w:p>
        </w:tc>
      </w:tr>
      <w:tr w:rsidR="00AC2541" w:rsidRPr="00AC2541" w14:paraId="512CAD44" w14:textId="77777777" w:rsidTr="00AC2541">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23FEE28"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tai skaitā bezdarbnieku pabalsti</w:t>
            </w:r>
          </w:p>
        </w:tc>
        <w:tc>
          <w:tcPr>
            <w:tcW w:w="992" w:type="dxa"/>
            <w:vAlign w:val="center"/>
            <w:hideMark/>
          </w:tcPr>
          <w:p w14:paraId="79A060B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992" w:type="dxa"/>
            <w:vAlign w:val="center"/>
          </w:tcPr>
          <w:p w14:paraId="18ABA48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130,4</w:t>
            </w:r>
          </w:p>
        </w:tc>
        <w:tc>
          <w:tcPr>
            <w:tcW w:w="1145" w:type="dxa"/>
            <w:vAlign w:val="center"/>
          </w:tcPr>
          <w:p w14:paraId="0BD28FC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0,4</w:t>
            </w:r>
          </w:p>
        </w:tc>
        <w:tc>
          <w:tcPr>
            <w:tcW w:w="708" w:type="dxa"/>
            <w:vAlign w:val="center"/>
          </w:tcPr>
          <w:p w14:paraId="27E19D0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15510A8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0,7</w:t>
            </w:r>
          </w:p>
        </w:tc>
        <w:tc>
          <w:tcPr>
            <w:tcW w:w="709" w:type="dxa"/>
            <w:vAlign w:val="center"/>
          </w:tcPr>
          <w:p w14:paraId="610E9F3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9" w:type="dxa"/>
            <w:vAlign w:val="center"/>
          </w:tcPr>
          <w:p w14:paraId="08FF9CBD"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r>
      <w:tr w:rsidR="00AC2541" w:rsidRPr="00AC2541" w14:paraId="3676AF62" w14:textId="77777777" w:rsidTr="00AC2541">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9FFE2CB"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18a. Sociālie pārvedumi piegādāti caur tirgus ražotājiem</w:t>
            </w:r>
          </w:p>
        </w:tc>
        <w:tc>
          <w:tcPr>
            <w:tcW w:w="992" w:type="dxa"/>
            <w:vAlign w:val="center"/>
            <w:hideMark/>
          </w:tcPr>
          <w:p w14:paraId="28AC5E7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D.6311, D.63121, D.63131</w:t>
            </w:r>
          </w:p>
        </w:tc>
        <w:tc>
          <w:tcPr>
            <w:tcW w:w="992" w:type="dxa"/>
            <w:vAlign w:val="center"/>
          </w:tcPr>
          <w:p w14:paraId="77B0B11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389,5</w:t>
            </w:r>
          </w:p>
        </w:tc>
        <w:tc>
          <w:tcPr>
            <w:tcW w:w="1145" w:type="dxa"/>
            <w:vAlign w:val="center"/>
          </w:tcPr>
          <w:p w14:paraId="5087234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w:t>
            </w:r>
          </w:p>
        </w:tc>
        <w:tc>
          <w:tcPr>
            <w:tcW w:w="708" w:type="dxa"/>
            <w:vAlign w:val="center"/>
          </w:tcPr>
          <w:p w14:paraId="6B6196A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w:t>
            </w:r>
          </w:p>
        </w:tc>
        <w:tc>
          <w:tcPr>
            <w:tcW w:w="709" w:type="dxa"/>
            <w:vAlign w:val="center"/>
          </w:tcPr>
          <w:p w14:paraId="19DCD35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w:t>
            </w:r>
          </w:p>
        </w:tc>
        <w:tc>
          <w:tcPr>
            <w:tcW w:w="709" w:type="dxa"/>
            <w:vAlign w:val="center"/>
          </w:tcPr>
          <w:p w14:paraId="47A58335"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w:t>
            </w:r>
          </w:p>
        </w:tc>
        <w:tc>
          <w:tcPr>
            <w:tcW w:w="709" w:type="dxa"/>
            <w:vAlign w:val="center"/>
          </w:tcPr>
          <w:p w14:paraId="33A75BB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w:t>
            </w:r>
          </w:p>
        </w:tc>
      </w:tr>
      <w:tr w:rsidR="00AC2541" w:rsidRPr="00AC2541" w14:paraId="322AAF23" w14:textId="77777777" w:rsidTr="00AC2541">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02332104"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18b. Sociālie pārvedumi, kas nav sociālie pārvedumi natūrā</w:t>
            </w:r>
          </w:p>
        </w:tc>
        <w:tc>
          <w:tcPr>
            <w:tcW w:w="992" w:type="dxa"/>
            <w:vAlign w:val="center"/>
            <w:hideMark/>
          </w:tcPr>
          <w:p w14:paraId="7E8644D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D.62</w:t>
            </w:r>
          </w:p>
        </w:tc>
        <w:tc>
          <w:tcPr>
            <w:tcW w:w="992" w:type="dxa"/>
            <w:vAlign w:val="center"/>
          </w:tcPr>
          <w:p w14:paraId="000B89E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3 231,8</w:t>
            </w:r>
          </w:p>
        </w:tc>
        <w:tc>
          <w:tcPr>
            <w:tcW w:w="1145" w:type="dxa"/>
            <w:vAlign w:val="center"/>
          </w:tcPr>
          <w:p w14:paraId="55B7454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10,6</w:t>
            </w:r>
          </w:p>
        </w:tc>
        <w:tc>
          <w:tcPr>
            <w:tcW w:w="708" w:type="dxa"/>
            <w:vAlign w:val="center"/>
          </w:tcPr>
          <w:p w14:paraId="72E8A7A0"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13,9</w:t>
            </w:r>
          </w:p>
        </w:tc>
        <w:tc>
          <w:tcPr>
            <w:tcW w:w="709" w:type="dxa"/>
            <w:vAlign w:val="center"/>
          </w:tcPr>
          <w:p w14:paraId="6273AAD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12,7</w:t>
            </w:r>
          </w:p>
        </w:tc>
        <w:tc>
          <w:tcPr>
            <w:tcW w:w="709" w:type="dxa"/>
            <w:vAlign w:val="center"/>
          </w:tcPr>
          <w:p w14:paraId="0A6F0FB2"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12,3</w:t>
            </w:r>
          </w:p>
        </w:tc>
        <w:tc>
          <w:tcPr>
            <w:tcW w:w="709" w:type="dxa"/>
            <w:vAlign w:val="center"/>
          </w:tcPr>
          <w:p w14:paraId="61B9DB9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12,4</w:t>
            </w:r>
          </w:p>
        </w:tc>
      </w:tr>
      <w:tr w:rsidR="00AC2541" w:rsidRPr="00AC2541" w14:paraId="42F131AA" w14:textId="77777777" w:rsidTr="00AC2541">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A8DA5C9"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19.=9. Procentu izdevumi</w:t>
            </w:r>
          </w:p>
        </w:tc>
        <w:tc>
          <w:tcPr>
            <w:tcW w:w="992" w:type="dxa"/>
            <w:vAlign w:val="center"/>
            <w:hideMark/>
          </w:tcPr>
          <w:p w14:paraId="171DE23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D.41</w:t>
            </w:r>
          </w:p>
        </w:tc>
        <w:tc>
          <w:tcPr>
            <w:tcW w:w="992" w:type="dxa"/>
            <w:vAlign w:val="center"/>
          </w:tcPr>
          <w:p w14:paraId="707C3BC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210,7</w:t>
            </w:r>
          </w:p>
        </w:tc>
        <w:tc>
          <w:tcPr>
            <w:tcW w:w="1145" w:type="dxa"/>
            <w:vAlign w:val="center"/>
          </w:tcPr>
          <w:p w14:paraId="690E65C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0,7</w:t>
            </w:r>
          </w:p>
        </w:tc>
        <w:tc>
          <w:tcPr>
            <w:tcW w:w="708" w:type="dxa"/>
            <w:vAlign w:val="center"/>
          </w:tcPr>
          <w:p w14:paraId="6862B84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2E44CF8B"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20DAC71D"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c>
          <w:tcPr>
            <w:tcW w:w="709" w:type="dxa"/>
            <w:vAlign w:val="center"/>
          </w:tcPr>
          <w:p w14:paraId="04155F2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0,9</w:t>
            </w:r>
          </w:p>
        </w:tc>
      </w:tr>
      <w:tr w:rsidR="00AC2541" w:rsidRPr="00AC2541" w14:paraId="4AA0B9D0" w14:textId="77777777" w:rsidTr="00AC2541">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3A0B2B50"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20. Subsīdijas</w:t>
            </w:r>
          </w:p>
        </w:tc>
        <w:tc>
          <w:tcPr>
            <w:tcW w:w="992" w:type="dxa"/>
            <w:vAlign w:val="center"/>
            <w:hideMark/>
          </w:tcPr>
          <w:p w14:paraId="59896CC2"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D.3</w:t>
            </w:r>
          </w:p>
        </w:tc>
        <w:tc>
          <w:tcPr>
            <w:tcW w:w="992" w:type="dxa"/>
            <w:vAlign w:val="center"/>
          </w:tcPr>
          <w:p w14:paraId="081E405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308,7</w:t>
            </w:r>
          </w:p>
        </w:tc>
        <w:tc>
          <w:tcPr>
            <w:tcW w:w="1145" w:type="dxa"/>
            <w:vAlign w:val="center"/>
          </w:tcPr>
          <w:p w14:paraId="0B98339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1,0</w:t>
            </w:r>
          </w:p>
        </w:tc>
        <w:tc>
          <w:tcPr>
            <w:tcW w:w="708" w:type="dxa"/>
            <w:vAlign w:val="center"/>
          </w:tcPr>
          <w:p w14:paraId="68FFC85F"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1,6</w:t>
            </w:r>
          </w:p>
        </w:tc>
        <w:tc>
          <w:tcPr>
            <w:tcW w:w="709" w:type="dxa"/>
            <w:vAlign w:val="center"/>
          </w:tcPr>
          <w:p w14:paraId="37B6DE4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1,5</w:t>
            </w:r>
          </w:p>
        </w:tc>
        <w:tc>
          <w:tcPr>
            <w:tcW w:w="709" w:type="dxa"/>
            <w:vAlign w:val="center"/>
          </w:tcPr>
          <w:p w14:paraId="7D79DD45"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1,3</w:t>
            </w:r>
          </w:p>
        </w:tc>
        <w:tc>
          <w:tcPr>
            <w:tcW w:w="709" w:type="dxa"/>
            <w:vAlign w:val="center"/>
          </w:tcPr>
          <w:p w14:paraId="472AA8F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1,2</w:t>
            </w:r>
          </w:p>
        </w:tc>
      </w:tr>
      <w:tr w:rsidR="00AC2541" w:rsidRPr="00AC2541" w14:paraId="6658A753" w14:textId="77777777" w:rsidTr="00AC254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3052F3E"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21. Bruto kopējā pamatkapitāla veidošana</w:t>
            </w:r>
          </w:p>
        </w:tc>
        <w:tc>
          <w:tcPr>
            <w:tcW w:w="992" w:type="dxa"/>
            <w:vAlign w:val="center"/>
            <w:hideMark/>
          </w:tcPr>
          <w:p w14:paraId="48F2065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P.51</w:t>
            </w:r>
          </w:p>
        </w:tc>
        <w:tc>
          <w:tcPr>
            <w:tcW w:w="992" w:type="dxa"/>
            <w:vAlign w:val="center"/>
          </w:tcPr>
          <w:p w14:paraId="07EAD10A"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1 495,9</w:t>
            </w:r>
          </w:p>
        </w:tc>
        <w:tc>
          <w:tcPr>
            <w:tcW w:w="1145" w:type="dxa"/>
            <w:vAlign w:val="center"/>
          </w:tcPr>
          <w:p w14:paraId="5662296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4,9</w:t>
            </w:r>
          </w:p>
        </w:tc>
        <w:tc>
          <w:tcPr>
            <w:tcW w:w="708" w:type="dxa"/>
            <w:vAlign w:val="center"/>
          </w:tcPr>
          <w:p w14:paraId="0EDB13D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5,7</w:t>
            </w:r>
          </w:p>
        </w:tc>
        <w:tc>
          <w:tcPr>
            <w:tcW w:w="709" w:type="dxa"/>
            <w:vAlign w:val="center"/>
          </w:tcPr>
          <w:p w14:paraId="0593B94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5,5</w:t>
            </w:r>
          </w:p>
        </w:tc>
        <w:tc>
          <w:tcPr>
            <w:tcW w:w="709" w:type="dxa"/>
            <w:vAlign w:val="center"/>
          </w:tcPr>
          <w:p w14:paraId="0F38954B"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5,8</w:t>
            </w:r>
          </w:p>
        </w:tc>
        <w:tc>
          <w:tcPr>
            <w:tcW w:w="709" w:type="dxa"/>
            <w:vAlign w:val="center"/>
          </w:tcPr>
          <w:p w14:paraId="08C41B51"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5,4</w:t>
            </w:r>
          </w:p>
        </w:tc>
      </w:tr>
      <w:tr w:rsidR="00AC2541" w:rsidRPr="00AC2541" w14:paraId="721EE7A6" w14:textId="77777777" w:rsidTr="00AC2541">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7217FE21"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22. Kapitālo izdevumu transferti</w:t>
            </w:r>
          </w:p>
        </w:tc>
        <w:tc>
          <w:tcPr>
            <w:tcW w:w="992" w:type="dxa"/>
            <w:vAlign w:val="center"/>
            <w:hideMark/>
          </w:tcPr>
          <w:p w14:paraId="1D7D362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D.9</w:t>
            </w:r>
          </w:p>
        </w:tc>
        <w:tc>
          <w:tcPr>
            <w:tcW w:w="992" w:type="dxa"/>
            <w:vAlign w:val="center"/>
          </w:tcPr>
          <w:p w14:paraId="6793E4F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11,9</w:t>
            </w:r>
          </w:p>
        </w:tc>
        <w:tc>
          <w:tcPr>
            <w:tcW w:w="1145" w:type="dxa"/>
            <w:vAlign w:val="center"/>
          </w:tcPr>
          <w:p w14:paraId="2FC3AD4D"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0,0</w:t>
            </w:r>
          </w:p>
        </w:tc>
        <w:tc>
          <w:tcPr>
            <w:tcW w:w="708" w:type="dxa"/>
            <w:vAlign w:val="center"/>
          </w:tcPr>
          <w:p w14:paraId="00DC271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0,6</w:t>
            </w:r>
          </w:p>
        </w:tc>
        <w:tc>
          <w:tcPr>
            <w:tcW w:w="709" w:type="dxa"/>
            <w:vAlign w:val="center"/>
          </w:tcPr>
          <w:p w14:paraId="18D42EB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0,1</w:t>
            </w:r>
          </w:p>
        </w:tc>
        <w:tc>
          <w:tcPr>
            <w:tcW w:w="709" w:type="dxa"/>
            <w:vAlign w:val="center"/>
          </w:tcPr>
          <w:p w14:paraId="1F11E7E6"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0,1</w:t>
            </w:r>
          </w:p>
        </w:tc>
        <w:tc>
          <w:tcPr>
            <w:tcW w:w="709" w:type="dxa"/>
            <w:vAlign w:val="center"/>
          </w:tcPr>
          <w:p w14:paraId="0CFA1C5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0,1</w:t>
            </w:r>
          </w:p>
        </w:tc>
      </w:tr>
      <w:tr w:rsidR="00AC2541" w:rsidRPr="00AC2541" w14:paraId="34E06357" w14:textId="77777777" w:rsidTr="00AC2541">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6A9B4EB"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23. Pārējie izdevumi</w:t>
            </w:r>
          </w:p>
        </w:tc>
        <w:tc>
          <w:tcPr>
            <w:tcW w:w="992" w:type="dxa"/>
            <w:vAlign w:val="center"/>
            <w:hideMark/>
          </w:tcPr>
          <w:p w14:paraId="578E62ED"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p>
        </w:tc>
        <w:tc>
          <w:tcPr>
            <w:tcW w:w="992" w:type="dxa"/>
            <w:vAlign w:val="center"/>
          </w:tcPr>
          <w:p w14:paraId="0C7609D9"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958,4</w:t>
            </w:r>
          </w:p>
        </w:tc>
        <w:tc>
          <w:tcPr>
            <w:tcW w:w="1145" w:type="dxa"/>
            <w:vAlign w:val="center"/>
          </w:tcPr>
          <w:p w14:paraId="276484F4"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3,1</w:t>
            </w:r>
          </w:p>
        </w:tc>
        <w:tc>
          <w:tcPr>
            <w:tcW w:w="708" w:type="dxa"/>
            <w:vAlign w:val="center"/>
          </w:tcPr>
          <w:p w14:paraId="564D442E"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w:t>
            </w:r>
          </w:p>
        </w:tc>
        <w:tc>
          <w:tcPr>
            <w:tcW w:w="709" w:type="dxa"/>
            <w:vAlign w:val="center"/>
          </w:tcPr>
          <w:p w14:paraId="6D3D73BF"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3,0</w:t>
            </w:r>
          </w:p>
        </w:tc>
        <w:tc>
          <w:tcPr>
            <w:tcW w:w="709" w:type="dxa"/>
            <w:vAlign w:val="center"/>
          </w:tcPr>
          <w:p w14:paraId="698E5AD3"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2,9</w:t>
            </w:r>
          </w:p>
        </w:tc>
        <w:tc>
          <w:tcPr>
            <w:tcW w:w="709" w:type="dxa"/>
            <w:vAlign w:val="center"/>
          </w:tcPr>
          <w:p w14:paraId="153F34FC"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2,7</w:t>
            </w:r>
          </w:p>
        </w:tc>
      </w:tr>
      <w:tr w:rsidR="00AC2541" w:rsidRPr="00AC2541" w14:paraId="45C5FF87" w14:textId="77777777" w:rsidTr="00AC2541">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1F4FD880"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24.=7. Kopējie izdevumi</w:t>
            </w:r>
          </w:p>
        </w:tc>
        <w:tc>
          <w:tcPr>
            <w:tcW w:w="992" w:type="dxa"/>
            <w:vAlign w:val="center"/>
            <w:hideMark/>
          </w:tcPr>
          <w:p w14:paraId="55315C73"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TE</w:t>
            </w:r>
          </w:p>
        </w:tc>
        <w:tc>
          <w:tcPr>
            <w:tcW w:w="992" w:type="dxa"/>
            <w:vAlign w:val="center"/>
          </w:tcPr>
          <w:p w14:paraId="61B47939"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11 853,3</w:t>
            </w:r>
          </w:p>
        </w:tc>
        <w:tc>
          <w:tcPr>
            <w:tcW w:w="1145" w:type="dxa"/>
            <w:vAlign w:val="center"/>
          </w:tcPr>
          <w:p w14:paraId="639B6A8E"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38,9</w:t>
            </w:r>
          </w:p>
        </w:tc>
        <w:tc>
          <w:tcPr>
            <w:tcW w:w="708" w:type="dxa"/>
            <w:vAlign w:val="center"/>
          </w:tcPr>
          <w:p w14:paraId="5C53A42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46,8</w:t>
            </w:r>
          </w:p>
        </w:tc>
        <w:tc>
          <w:tcPr>
            <w:tcW w:w="709" w:type="dxa"/>
            <w:vAlign w:val="center"/>
          </w:tcPr>
          <w:p w14:paraId="0FCE1CFB"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43,8</w:t>
            </w:r>
          </w:p>
        </w:tc>
        <w:tc>
          <w:tcPr>
            <w:tcW w:w="709" w:type="dxa"/>
            <w:vAlign w:val="center"/>
          </w:tcPr>
          <w:p w14:paraId="713A795C"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42,8</w:t>
            </w:r>
          </w:p>
        </w:tc>
        <w:tc>
          <w:tcPr>
            <w:tcW w:w="709" w:type="dxa"/>
            <w:vAlign w:val="center"/>
          </w:tcPr>
          <w:p w14:paraId="6B4EB6C1" w14:textId="77777777" w:rsidR="00284BE8" w:rsidRPr="00AC2541"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41,4</w:t>
            </w:r>
          </w:p>
        </w:tc>
      </w:tr>
      <w:tr w:rsidR="00AC2541" w:rsidRPr="00AC2541" w14:paraId="79E65790" w14:textId="77777777" w:rsidTr="00AC2541">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57E8A9CB" w14:textId="77777777" w:rsidR="00284BE8" w:rsidRPr="00AC2541" w:rsidRDefault="00284BE8" w:rsidP="00284BE8">
            <w:pPr>
              <w:rPr>
                <w:rFonts w:ascii="Times New Roman" w:hAnsi="Times New Roman" w:cs="Times New Roman"/>
                <w:color w:val="000000" w:themeColor="text1"/>
                <w:sz w:val="20"/>
                <w:szCs w:val="20"/>
                <w:lang w:eastAsia="lv-LV"/>
              </w:rPr>
            </w:pPr>
            <w:r w:rsidRPr="00AC2541">
              <w:rPr>
                <w:rFonts w:ascii="Times New Roman" w:hAnsi="Times New Roman" w:cs="Times New Roman"/>
                <w:color w:val="000000" w:themeColor="text1"/>
                <w:sz w:val="20"/>
                <w:szCs w:val="20"/>
                <w:lang w:eastAsia="lv-LV"/>
              </w:rPr>
              <w:t>Valdības patēriņš</w:t>
            </w:r>
          </w:p>
        </w:tc>
        <w:tc>
          <w:tcPr>
            <w:tcW w:w="992" w:type="dxa"/>
            <w:vAlign w:val="center"/>
            <w:hideMark/>
          </w:tcPr>
          <w:p w14:paraId="13C6C317"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P.3</w:t>
            </w:r>
          </w:p>
        </w:tc>
        <w:tc>
          <w:tcPr>
            <w:tcW w:w="992" w:type="dxa"/>
            <w:vAlign w:val="center"/>
          </w:tcPr>
          <w:p w14:paraId="4B3703E0"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5 560,2</w:t>
            </w:r>
          </w:p>
        </w:tc>
        <w:tc>
          <w:tcPr>
            <w:tcW w:w="1145" w:type="dxa"/>
            <w:vAlign w:val="center"/>
          </w:tcPr>
          <w:p w14:paraId="189C7CE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18,2</w:t>
            </w:r>
          </w:p>
        </w:tc>
        <w:tc>
          <w:tcPr>
            <w:tcW w:w="708" w:type="dxa"/>
            <w:vAlign w:val="center"/>
          </w:tcPr>
          <w:p w14:paraId="467032D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21,4</w:t>
            </w:r>
          </w:p>
        </w:tc>
        <w:tc>
          <w:tcPr>
            <w:tcW w:w="709" w:type="dxa"/>
            <w:vAlign w:val="center"/>
          </w:tcPr>
          <w:p w14:paraId="595B06D2"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21,2</w:t>
            </w:r>
          </w:p>
        </w:tc>
        <w:tc>
          <w:tcPr>
            <w:tcW w:w="709" w:type="dxa"/>
            <w:vAlign w:val="center"/>
          </w:tcPr>
          <w:p w14:paraId="14218048"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20,6</w:t>
            </w:r>
          </w:p>
        </w:tc>
        <w:tc>
          <w:tcPr>
            <w:tcW w:w="709" w:type="dxa"/>
            <w:vAlign w:val="center"/>
          </w:tcPr>
          <w:p w14:paraId="64430366" w14:textId="77777777" w:rsidR="00284BE8" w:rsidRPr="00AC2541"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eastAsia="lv-LV"/>
              </w:rPr>
            </w:pPr>
            <w:r w:rsidRPr="00AC2541">
              <w:rPr>
                <w:rFonts w:ascii="Times New Roman" w:hAnsi="Times New Roman" w:cs="Times New Roman"/>
                <w:bCs/>
                <w:color w:val="000000" w:themeColor="text1"/>
                <w:sz w:val="20"/>
                <w:szCs w:val="20"/>
                <w:lang w:eastAsia="lv-LV"/>
              </w:rPr>
              <w:t>19,7</w:t>
            </w:r>
          </w:p>
        </w:tc>
      </w:tr>
    </w:tbl>
    <w:p w14:paraId="65002A07" w14:textId="77777777" w:rsidR="00956211" w:rsidRDefault="00956211" w:rsidP="00956211">
      <w:pPr>
        <w:spacing w:after="0" w:line="240" w:lineRule="auto"/>
        <w:rPr>
          <w:rFonts w:ascii="Times New Roman" w:hAnsi="Times New Roman" w:cs="Times New Roman"/>
          <w:b/>
          <w:bCs/>
          <w:sz w:val="24"/>
          <w:szCs w:val="32"/>
          <w:highlight w:val="yellow"/>
          <w:lang w:eastAsia="lv-LV"/>
        </w:rPr>
      </w:pPr>
    </w:p>
    <w:p w14:paraId="0124BA45" w14:textId="77777777" w:rsidR="00DB2F30" w:rsidRDefault="00DB2F30" w:rsidP="00956211">
      <w:pPr>
        <w:spacing w:after="0" w:line="240" w:lineRule="auto"/>
        <w:rPr>
          <w:rFonts w:ascii="Times New Roman" w:hAnsi="Times New Roman" w:cs="Times New Roman"/>
          <w:b/>
          <w:bCs/>
          <w:sz w:val="24"/>
          <w:szCs w:val="32"/>
          <w:lang w:eastAsia="lv-LV"/>
        </w:rPr>
      </w:pPr>
    </w:p>
    <w:p w14:paraId="45E8C92A" w14:textId="77777777" w:rsidR="00DB2F30" w:rsidRDefault="00DB2F30" w:rsidP="00956211">
      <w:pPr>
        <w:spacing w:after="0" w:line="240" w:lineRule="auto"/>
        <w:rPr>
          <w:rFonts w:ascii="Times New Roman" w:hAnsi="Times New Roman" w:cs="Times New Roman"/>
          <w:b/>
          <w:bCs/>
          <w:sz w:val="24"/>
          <w:szCs w:val="32"/>
          <w:lang w:eastAsia="lv-LV"/>
        </w:rPr>
      </w:pPr>
    </w:p>
    <w:p w14:paraId="46592B5F" w14:textId="29B9546E" w:rsidR="00956211" w:rsidRPr="00DC2556" w:rsidRDefault="00956211" w:rsidP="00956211">
      <w:pPr>
        <w:spacing w:after="0" w:line="240" w:lineRule="auto"/>
        <w:rPr>
          <w:rFonts w:ascii="Times New Roman" w:hAnsi="Times New Roman" w:cs="Times New Roman"/>
          <w:b/>
          <w:bCs/>
          <w:szCs w:val="32"/>
          <w:lang w:eastAsia="lv-LV"/>
        </w:rPr>
      </w:pPr>
      <w:r w:rsidRPr="00DC2556">
        <w:rPr>
          <w:rFonts w:ascii="Times New Roman" w:hAnsi="Times New Roman" w:cs="Times New Roman"/>
          <w:b/>
          <w:bCs/>
          <w:sz w:val="24"/>
          <w:szCs w:val="32"/>
          <w:lang w:eastAsia="lv-LV"/>
        </w:rPr>
        <w:t>4.tabula. Vispārējās valdības parāda attīstība un parāda izmaiņas ietekmējošie faktori 201</w:t>
      </w:r>
      <w:r w:rsidR="00DC2556" w:rsidRPr="00DC2556">
        <w:rPr>
          <w:rFonts w:ascii="Times New Roman" w:hAnsi="Times New Roman" w:cs="Times New Roman"/>
          <w:b/>
          <w:bCs/>
          <w:sz w:val="24"/>
          <w:szCs w:val="32"/>
          <w:lang w:eastAsia="lv-LV"/>
        </w:rPr>
        <w:t>9</w:t>
      </w:r>
      <w:r w:rsidRPr="00DC2556">
        <w:rPr>
          <w:rFonts w:ascii="Times New Roman" w:hAnsi="Times New Roman" w:cs="Times New Roman"/>
          <w:b/>
          <w:bCs/>
          <w:sz w:val="24"/>
          <w:szCs w:val="32"/>
          <w:lang w:eastAsia="lv-LV"/>
        </w:rPr>
        <w:t>.</w:t>
      </w:r>
      <w:r w:rsidRPr="00DC2556">
        <w:t xml:space="preserve"> </w:t>
      </w:r>
      <w:r w:rsidRPr="00DC2556">
        <w:rPr>
          <w:rFonts w:ascii="Times New Roman" w:hAnsi="Times New Roman" w:cs="Times New Roman"/>
          <w:b/>
          <w:bCs/>
          <w:sz w:val="24"/>
          <w:szCs w:val="32"/>
          <w:lang w:eastAsia="lv-LV"/>
        </w:rPr>
        <w:t>– 202</w:t>
      </w:r>
      <w:r w:rsidR="00DC2556" w:rsidRPr="00DC2556">
        <w:rPr>
          <w:rFonts w:ascii="Times New Roman" w:hAnsi="Times New Roman" w:cs="Times New Roman"/>
          <w:b/>
          <w:bCs/>
          <w:sz w:val="24"/>
          <w:szCs w:val="32"/>
          <w:lang w:eastAsia="lv-LV"/>
        </w:rPr>
        <w:t>3</w:t>
      </w:r>
      <w:r w:rsidRPr="00DC2556">
        <w:rPr>
          <w:rFonts w:ascii="Times New Roman" w:hAnsi="Times New Roman" w:cs="Times New Roman"/>
          <w:b/>
          <w:bCs/>
          <w:sz w:val="24"/>
          <w:szCs w:val="32"/>
          <w:lang w:eastAsia="lv-LV"/>
        </w:rPr>
        <w:t>.gadā</w:t>
      </w:r>
    </w:p>
    <w:tbl>
      <w:tblPr>
        <w:tblStyle w:val="GridTable6Colorful-Accent11"/>
        <w:tblW w:w="9640" w:type="dxa"/>
        <w:tblInd w:w="-289" w:type="dxa"/>
        <w:tblLayout w:type="fixed"/>
        <w:tblLook w:val="04A0" w:firstRow="1" w:lastRow="0" w:firstColumn="1" w:lastColumn="0" w:noHBand="0" w:noVBand="1"/>
      </w:tblPr>
      <w:tblGrid>
        <w:gridCol w:w="4117"/>
        <w:gridCol w:w="1134"/>
        <w:gridCol w:w="851"/>
        <w:gridCol w:w="850"/>
        <w:gridCol w:w="851"/>
        <w:gridCol w:w="850"/>
        <w:gridCol w:w="987"/>
      </w:tblGrid>
      <w:tr w:rsidR="00DC2556" w:rsidRPr="00D551C4" w14:paraId="4BD3A8B7" w14:textId="77777777" w:rsidTr="00B122B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17" w:type="dxa"/>
            <w:noWrap/>
            <w:hideMark/>
          </w:tcPr>
          <w:p w14:paraId="65E1C216" w14:textId="77777777" w:rsidR="00DC2556" w:rsidRPr="00DC2556" w:rsidRDefault="00DC2556" w:rsidP="00B122BE">
            <w:pPr>
              <w:ind w:left="-399"/>
              <w:jc w:val="cente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color w:val="auto"/>
                <w:sz w:val="20"/>
                <w:szCs w:val="20"/>
                <w:lang w:eastAsia="lv-LV"/>
              </w:rPr>
              <w:t>% no IKP</w:t>
            </w:r>
          </w:p>
        </w:tc>
        <w:tc>
          <w:tcPr>
            <w:tcW w:w="1134" w:type="dxa"/>
            <w:hideMark/>
          </w:tcPr>
          <w:p w14:paraId="20DFB962" w14:textId="77777777"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EKS Kods</w:t>
            </w:r>
          </w:p>
        </w:tc>
        <w:tc>
          <w:tcPr>
            <w:tcW w:w="851" w:type="dxa"/>
            <w:noWrap/>
            <w:vAlign w:val="center"/>
          </w:tcPr>
          <w:p w14:paraId="41D7B3F3" w14:textId="7F2F5AD7"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DC2556">
              <w:rPr>
                <w:rFonts w:ascii="Times New Roman" w:hAnsi="Times New Roman" w:cs="Times New Roman"/>
                <w:bCs w:val="0"/>
                <w:color w:val="000000" w:themeColor="text1"/>
                <w:sz w:val="20"/>
                <w:szCs w:val="20"/>
              </w:rPr>
              <w:t>2019</w:t>
            </w:r>
          </w:p>
        </w:tc>
        <w:tc>
          <w:tcPr>
            <w:tcW w:w="850" w:type="dxa"/>
            <w:noWrap/>
            <w:vAlign w:val="center"/>
          </w:tcPr>
          <w:p w14:paraId="0B1F58D5" w14:textId="261CE58D"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DC2556">
              <w:rPr>
                <w:rFonts w:ascii="Times New Roman" w:hAnsi="Times New Roman" w:cs="Times New Roman"/>
                <w:bCs w:val="0"/>
                <w:color w:val="000000" w:themeColor="text1"/>
                <w:sz w:val="20"/>
                <w:szCs w:val="20"/>
              </w:rPr>
              <w:t>2020</w:t>
            </w:r>
          </w:p>
        </w:tc>
        <w:tc>
          <w:tcPr>
            <w:tcW w:w="851" w:type="dxa"/>
            <w:noWrap/>
            <w:vAlign w:val="center"/>
          </w:tcPr>
          <w:p w14:paraId="4C9F97E7" w14:textId="1D47E08C"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DC2556">
              <w:rPr>
                <w:rFonts w:ascii="Times New Roman" w:hAnsi="Times New Roman" w:cs="Times New Roman"/>
                <w:bCs w:val="0"/>
                <w:color w:val="000000" w:themeColor="text1"/>
                <w:sz w:val="20"/>
                <w:szCs w:val="20"/>
              </w:rPr>
              <w:t>2021</w:t>
            </w:r>
          </w:p>
        </w:tc>
        <w:tc>
          <w:tcPr>
            <w:tcW w:w="850" w:type="dxa"/>
            <w:noWrap/>
            <w:vAlign w:val="center"/>
          </w:tcPr>
          <w:p w14:paraId="21935F6C" w14:textId="28C9F36F"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DC2556">
              <w:rPr>
                <w:rFonts w:ascii="Times New Roman" w:hAnsi="Times New Roman" w:cs="Times New Roman"/>
                <w:bCs w:val="0"/>
                <w:color w:val="000000" w:themeColor="text1"/>
                <w:sz w:val="20"/>
                <w:szCs w:val="20"/>
              </w:rPr>
              <w:t>2022</w:t>
            </w:r>
          </w:p>
        </w:tc>
        <w:tc>
          <w:tcPr>
            <w:tcW w:w="987" w:type="dxa"/>
            <w:noWrap/>
            <w:vAlign w:val="center"/>
          </w:tcPr>
          <w:p w14:paraId="2DC0784B" w14:textId="4E39F3F3" w:rsidR="00DC2556" w:rsidRPr="00DC2556" w:rsidRDefault="00DC2556" w:rsidP="00DC25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DC2556">
              <w:rPr>
                <w:rFonts w:ascii="Times New Roman" w:hAnsi="Times New Roman" w:cs="Times New Roman"/>
                <w:bCs w:val="0"/>
                <w:color w:val="000000" w:themeColor="text1"/>
                <w:sz w:val="20"/>
                <w:szCs w:val="20"/>
              </w:rPr>
              <w:t>2023</w:t>
            </w:r>
          </w:p>
        </w:tc>
      </w:tr>
      <w:tr w:rsidR="00DC2556" w:rsidRPr="00D551C4" w14:paraId="20932EBE" w14:textId="77777777" w:rsidTr="00B122B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117" w:type="dxa"/>
            <w:noWrap/>
            <w:hideMark/>
          </w:tcPr>
          <w:p w14:paraId="11FC5BA9"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1. Bruto parāds</w:t>
            </w:r>
          </w:p>
        </w:tc>
        <w:tc>
          <w:tcPr>
            <w:tcW w:w="1134" w:type="dxa"/>
            <w:noWrap/>
            <w:hideMark/>
          </w:tcPr>
          <w:p w14:paraId="19551A72" w14:textId="77777777" w:rsidR="00DC2556" w:rsidRPr="00DC2556" w:rsidRDefault="00DC2556" w:rsidP="00DC2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 </w:t>
            </w:r>
          </w:p>
        </w:tc>
        <w:tc>
          <w:tcPr>
            <w:tcW w:w="851" w:type="dxa"/>
            <w:noWrap/>
            <w:vAlign w:val="center"/>
          </w:tcPr>
          <w:p w14:paraId="70E435CB" w14:textId="63D8F8B3"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36,9</w:t>
            </w:r>
          </w:p>
        </w:tc>
        <w:tc>
          <w:tcPr>
            <w:tcW w:w="850" w:type="dxa"/>
            <w:noWrap/>
            <w:vAlign w:val="center"/>
          </w:tcPr>
          <w:p w14:paraId="7DF0974A" w14:textId="1070AC5E"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51,7</w:t>
            </w:r>
          </w:p>
        </w:tc>
        <w:tc>
          <w:tcPr>
            <w:tcW w:w="851" w:type="dxa"/>
            <w:noWrap/>
            <w:vAlign w:val="center"/>
          </w:tcPr>
          <w:p w14:paraId="11E8FD7A" w14:textId="59BB908F"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52,2</w:t>
            </w:r>
          </w:p>
        </w:tc>
        <w:tc>
          <w:tcPr>
            <w:tcW w:w="850" w:type="dxa"/>
            <w:noWrap/>
            <w:vAlign w:val="center"/>
          </w:tcPr>
          <w:p w14:paraId="3250F415" w14:textId="1AFA53E1"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53,3</w:t>
            </w:r>
          </w:p>
        </w:tc>
        <w:tc>
          <w:tcPr>
            <w:tcW w:w="987" w:type="dxa"/>
            <w:noWrap/>
            <w:vAlign w:val="center"/>
          </w:tcPr>
          <w:p w14:paraId="66B09D66" w14:textId="412250A4"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53,1</w:t>
            </w:r>
          </w:p>
        </w:tc>
      </w:tr>
      <w:tr w:rsidR="00DC2556" w:rsidRPr="00D551C4" w14:paraId="3309B3EA" w14:textId="77777777" w:rsidTr="00B122BE">
        <w:trPr>
          <w:trHeight w:val="288"/>
        </w:trPr>
        <w:tc>
          <w:tcPr>
            <w:cnfStyle w:val="001000000000" w:firstRow="0" w:lastRow="0" w:firstColumn="1" w:lastColumn="0" w:oddVBand="0" w:evenVBand="0" w:oddHBand="0" w:evenHBand="0" w:firstRowFirstColumn="0" w:firstRowLastColumn="0" w:lastRowFirstColumn="0" w:lastRowLastColumn="0"/>
            <w:tcW w:w="4117" w:type="dxa"/>
            <w:noWrap/>
            <w:hideMark/>
          </w:tcPr>
          <w:p w14:paraId="4974FCF3"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2. Bruto parāda izmaiņas</w:t>
            </w:r>
          </w:p>
        </w:tc>
        <w:tc>
          <w:tcPr>
            <w:tcW w:w="1134" w:type="dxa"/>
            <w:noWrap/>
            <w:hideMark/>
          </w:tcPr>
          <w:p w14:paraId="2818CC86" w14:textId="77777777" w:rsidR="00DC2556" w:rsidRPr="00DC2556" w:rsidRDefault="00DC2556" w:rsidP="00DC25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 </w:t>
            </w:r>
          </w:p>
        </w:tc>
        <w:tc>
          <w:tcPr>
            <w:tcW w:w="851" w:type="dxa"/>
            <w:noWrap/>
            <w:vAlign w:val="center"/>
          </w:tcPr>
          <w:p w14:paraId="5A6AE6C7" w14:textId="67B2F456"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1,4</w:t>
            </w:r>
          </w:p>
        </w:tc>
        <w:tc>
          <w:tcPr>
            <w:tcW w:w="850" w:type="dxa"/>
            <w:noWrap/>
            <w:vAlign w:val="center"/>
          </w:tcPr>
          <w:p w14:paraId="52243FAD" w14:textId="2A152347"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11,6</w:t>
            </w:r>
          </w:p>
        </w:tc>
        <w:tc>
          <w:tcPr>
            <w:tcW w:w="851" w:type="dxa"/>
            <w:noWrap/>
            <w:vAlign w:val="center"/>
          </w:tcPr>
          <w:p w14:paraId="53ABB274" w14:textId="43D94637"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1,7</w:t>
            </w:r>
          </w:p>
        </w:tc>
        <w:tc>
          <w:tcPr>
            <w:tcW w:w="850" w:type="dxa"/>
            <w:noWrap/>
            <w:vAlign w:val="center"/>
          </w:tcPr>
          <w:p w14:paraId="7CE9E77A" w14:textId="6010FC2F"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3,9</w:t>
            </w:r>
          </w:p>
        </w:tc>
        <w:tc>
          <w:tcPr>
            <w:tcW w:w="987" w:type="dxa"/>
            <w:noWrap/>
            <w:vAlign w:val="center"/>
          </w:tcPr>
          <w:p w14:paraId="34621D45" w14:textId="03B37138"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2,0</w:t>
            </w:r>
          </w:p>
        </w:tc>
      </w:tr>
      <w:tr w:rsidR="00956211" w:rsidRPr="00D551C4" w14:paraId="00FA0CEA" w14:textId="77777777" w:rsidTr="00B122B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653" w:type="dxa"/>
            <w:gridSpan w:val="6"/>
            <w:hideMark/>
          </w:tcPr>
          <w:p w14:paraId="1647D54D" w14:textId="77777777" w:rsidR="00956211" w:rsidRPr="00DC2556" w:rsidRDefault="00956211" w:rsidP="00DC2556">
            <w:pPr>
              <w:jc w:val="center"/>
              <w:rPr>
                <w:rFonts w:ascii="Times New Roman" w:eastAsia="Times New Roman" w:hAnsi="Times New Roman" w:cs="Times New Roman"/>
                <w:bCs w:val="0"/>
                <w:color w:val="000000" w:themeColor="text1"/>
                <w:sz w:val="20"/>
                <w:szCs w:val="20"/>
              </w:rPr>
            </w:pPr>
            <w:r w:rsidRPr="00DC2556">
              <w:rPr>
                <w:rFonts w:ascii="Times New Roman" w:eastAsia="Times New Roman" w:hAnsi="Times New Roman" w:cs="Times New Roman"/>
                <w:bCs w:val="0"/>
                <w:color w:val="000000" w:themeColor="text1"/>
                <w:sz w:val="20"/>
                <w:szCs w:val="20"/>
              </w:rPr>
              <w:t>Kopējā parāda izmaiņas ietekmējošie faktori</w:t>
            </w:r>
          </w:p>
        </w:tc>
        <w:tc>
          <w:tcPr>
            <w:tcW w:w="987" w:type="dxa"/>
            <w:hideMark/>
          </w:tcPr>
          <w:p w14:paraId="5CCEB4C7" w14:textId="77777777" w:rsidR="00956211" w:rsidRPr="00DC2556" w:rsidRDefault="00956211"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p>
        </w:tc>
      </w:tr>
      <w:tr w:rsidR="00DC2556" w:rsidRPr="00D551C4" w14:paraId="17CA4A11" w14:textId="77777777" w:rsidTr="00B122BE">
        <w:trPr>
          <w:trHeight w:val="267"/>
        </w:trPr>
        <w:tc>
          <w:tcPr>
            <w:cnfStyle w:val="001000000000" w:firstRow="0" w:lastRow="0" w:firstColumn="1" w:lastColumn="0" w:oddVBand="0" w:evenVBand="0" w:oddHBand="0" w:evenHBand="0" w:firstRowFirstColumn="0" w:firstRowLastColumn="0" w:lastRowFirstColumn="0" w:lastRowLastColumn="0"/>
            <w:tcW w:w="4117" w:type="dxa"/>
            <w:noWrap/>
            <w:hideMark/>
          </w:tcPr>
          <w:p w14:paraId="13CE1F96"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3. Primārā bilance</w:t>
            </w:r>
          </w:p>
        </w:tc>
        <w:tc>
          <w:tcPr>
            <w:tcW w:w="1134" w:type="dxa"/>
            <w:noWrap/>
            <w:hideMark/>
          </w:tcPr>
          <w:p w14:paraId="659E8845" w14:textId="77777777" w:rsidR="00DC2556" w:rsidRPr="00DC2556" w:rsidRDefault="00DC2556" w:rsidP="00DC25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 </w:t>
            </w:r>
          </w:p>
        </w:tc>
        <w:tc>
          <w:tcPr>
            <w:tcW w:w="851" w:type="dxa"/>
            <w:noWrap/>
            <w:vAlign w:val="center"/>
          </w:tcPr>
          <w:p w14:paraId="0DDEAF0D" w14:textId="7C981856"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0,5</w:t>
            </w:r>
          </w:p>
        </w:tc>
        <w:tc>
          <w:tcPr>
            <w:tcW w:w="850" w:type="dxa"/>
            <w:noWrap/>
            <w:vAlign w:val="center"/>
          </w:tcPr>
          <w:p w14:paraId="32EE37C7" w14:textId="19C7E54A"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-8,5</w:t>
            </w:r>
          </w:p>
        </w:tc>
        <w:tc>
          <w:tcPr>
            <w:tcW w:w="851" w:type="dxa"/>
            <w:noWrap/>
            <w:vAlign w:val="center"/>
          </w:tcPr>
          <w:p w14:paraId="77DE8DA7" w14:textId="44CD06A1"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-4,1</w:t>
            </w:r>
          </w:p>
        </w:tc>
        <w:tc>
          <w:tcPr>
            <w:tcW w:w="850" w:type="dxa"/>
            <w:noWrap/>
            <w:vAlign w:val="center"/>
          </w:tcPr>
          <w:p w14:paraId="2FED40FF" w14:textId="3DAB95A4"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-3,0</w:t>
            </w:r>
          </w:p>
        </w:tc>
        <w:tc>
          <w:tcPr>
            <w:tcW w:w="987" w:type="dxa"/>
            <w:noWrap/>
            <w:vAlign w:val="center"/>
          </w:tcPr>
          <w:p w14:paraId="3BE33DE5" w14:textId="4F8B9A88"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-1,7</w:t>
            </w:r>
          </w:p>
        </w:tc>
      </w:tr>
      <w:tr w:rsidR="00DC2556" w:rsidRPr="00D551C4" w14:paraId="2855E8B8" w14:textId="77777777" w:rsidTr="00B122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117" w:type="dxa"/>
            <w:noWrap/>
            <w:hideMark/>
          </w:tcPr>
          <w:p w14:paraId="468839C7"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4. Procentu maksājumi</w:t>
            </w:r>
          </w:p>
        </w:tc>
        <w:tc>
          <w:tcPr>
            <w:tcW w:w="1134" w:type="dxa"/>
            <w:hideMark/>
          </w:tcPr>
          <w:p w14:paraId="731D6BB2" w14:textId="77777777" w:rsidR="00DC2556" w:rsidRPr="00DC2556" w:rsidRDefault="00DC2556" w:rsidP="00DC2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EDP D.41</w:t>
            </w:r>
          </w:p>
        </w:tc>
        <w:tc>
          <w:tcPr>
            <w:tcW w:w="851" w:type="dxa"/>
            <w:noWrap/>
            <w:vAlign w:val="center"/>
          </w:tcPr>
          <w:p w14:paraId="4AB974CA" w14:textId="505B8B28"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0,7</w:t>
            </w:r>
          </w:p>
        </w:tc>
        <w:tc>
          <w:tcPr>
            <w:tcW w:w="850" w:type="dxa"/>
            <w:noWrap/>
            <w:vAlign w:val="center"/>
          </w:tcPr>
          <w:p w14:paraId="47C23D3A" w14:textId="34FE461A"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0,9</w:t>
            </w:r>
          </w:p>
        </w:tc>
        <w:tc>
          <w:tcPr>
            <w:tcW w:w="851" w:type="dxa"/>
            <w:noWrap/>
            <w:vAlign w:val="center"/>
          </w:tcPr>
          <w:p w14:paraId="01B3BDBB" w14:textId="113275A5"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0,9</w:t>
            </w:r>
          </w:p>
        </w:tc>
        <w:tc>
          <w:tcPr>
            <w:tcW w:w="850" w:type="dxa"/>
            <w:noWrap/>
            <w:vAlign w:val="center"/>
          </w:tcPr>
          <w:p w14:paraId="6782525F" w14:textId="1E44BB97"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0,9</w:t>
            </w:r>
          </w:p>
        </w:tc>
        <w:tc>
          <w:tcPr>
            <w:tcW w:w="987" w:type="dxa"/>
            <w:noWrap/>
            <w:vAlign w:val="center"/>
          </w:tcPr>
          <w:p w14:paraId="0D9F037F" w14:textId="47012B2D"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0,9</w:t>
            </w:r>
          </w:p>
        </w:tc>
      </w:tr>
      <w:tr w:rsidR="00DC2556" w:rsidRPr="00D551C4" w14:paraId="7A891614" w14:textId="77777777" w:rsidTr="00B122BE">
        <w:trPr>
          <w:trHeight w:val="261"/>
        </w:trPr>
        <w:tc>
          <w:tcPr>
            <w:cnfStyle w:val="001000000000" w:firstRow="0" w:lastRow="0" w:firstColumn="1" w:lastColumn="0" w:oddVBand="0" w:evenVBand="0" w:oddHBand="0" w:evenHBand="0" w:firstRowFirstColumn="0" w:firstRowLastColumn="0" w:lastRowFirstColumn="0" w:lastRowLastColumn="0"/>
            <w:tcW w:w="4117" w:type="dxa"/>
            <w:noWrap/>
            <w:hideMark/>
          </w:tcPr>
          <w:p w14:paraId="02CD9C8F"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5. Krājumu izmaiņas, t.sk.</w:t>
            </w:r>
          </w:p>
        </w:tc>
        <w:tc>
          <w:tcPr>
            <w:tcW w:w="1134" w:type="dxa"/>
            <w:hideMark/>
          </w:tcPr>
          <w:p w14:paraId="24FBD8E4" w14:textId="77777777" w:rsidR="00DC2556" w:rsidRPr="00DC2556" w:rsidRDefault="00DC2556" w:rsidP="00DC25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 </w:t>
            </w:r>
          </w:p>
        </w:tc>
        <w:tc>
          <w:tcPr>
            <w:tcW w:w="851" w:type="dxa"/>
            <w:noWrap/>
            <w:vAlign w:val="center"/>
          </w:tcPr>
          <w:p w14:paraId="6CBC6C7C" w14:textId="4ED5C81F"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1,2</w:t>
            </w:r>
          </w:p>
        </w:tc>
        <w:tc>
          <w:tcPr>
            <w:tcW w:w="850" w:type="dxa"/>
            <w:noWrap/>
            <w:vAlign w:val="center"/>
          </w:tcPr>
          <w:p w14:paraId="139AB0BC" w14:textId="1ABCFEB9"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2,2</w:t>
            </w:r>
          </w:p>
        </w:tc>
        <w:tc>
          <w:tcPr>
            <w:tcW w:w="851" w:type="dxa"/>
            <w:noWrap/>
            <w:vAlign w:val="center"/>
          </w:tcPr>
          <w:p w14:paraId="307ACE20" w14:textId="62A3A253"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-3,3</w:t>
            </w:r>
          </w:p>
        </w:tc>
        <w:tc>
          <w:tcPr>
            <w:tcW w:w="850" w:type="dxa"/>
            <w:noWrap/>
            <w:vAlign w:val="center"/>
          </w:tcPr>
          <w:p w14:paraId="72427372" w14:textId="53C08695"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0,0</w:t>
            </w:r>
          </w:p>
        </w:tc>
        <w:tc>
          <w:tcPr>
            <w:tcW w:w="987" w:type="dxa"/>
            <w:noWrap/>
            <w:vAlign w:val="center"/>
          </w:tcPr>
          <w:p w14:paraId="7A53C3BD" w14:textId="3AF8191E"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-0,7</w:t>
            </w:r>
          </w:p>
        </w:tc>
      </w:tr>
      <w:tr w:rsidR="00DC2556" w:rsidRPr="00D551C4" w14:paraId="793345C4" w14:textId="77777777" w:rsidTr="00B122B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117" w:type="dxa"/>
            <w:hideMark/>
          </w:tcPr>
          <w:p w14:paraId="7820F72C" w14:textId="77777777" w:rsidR="00DC2556" w:rsidRPr="00DC2556" w:rsidRDefault="00DC2556" w:rsidP="00DC2556">
            <w:pPr>
              <w:rPr>
                <w:rFonts w:ascii="Times New Roman" w:eastAsia="Times New Roman" w:hAnsi="Times New Roman" w:cs="Times New Roman"/>
                <w:b w:val="0"/>
                <w:bCs w:val="0"/>
                <w:color w:val="auto"/>
                <w:sz w:val="20"/>
                <w:szCs w:val="20"/>
                <w:lang w:eastAsia="lv-LV"/>
              </w:rPr>
            </w:pPr>
            <w:r w:rsidRPr="00DC2556">
              <w:rPr>
                <w:rFonts w:ascii="Times New Roman" w:eastAsia="Times New Roman" w:hAnsi="Times New Roman" w:cs="Times New Roman"/>
                <w:b w:val="0"/>
                <w:color w:val="auto"/>
                <w:sz w:val="20"/>
                <w:szCs w:val="20"/>
                <w:lang w:eastAsia="lv-LV"/>
              </w:rPr>
              <w:t>Valsts parāda netiešā procentu likme</w:t>
            </w:r>
          </w:p>
        </w:tc>
        <w:tc>
          <w:tcPr>
            <w:tcW w:w="1134" w:type="dxa"/>
            <w:noWrap/>
            <w:hideMark/>
          </w:tcPr>
          <w:p w14:paraId="23B74135" w14:textId="77777777" w:rsidR="00DC2556" w:rsidRPr="00DC2556" w:rsidRDefault="00DC2556" w:rsidP="00DC2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C2556">
              <w:rPr>
                <w:rFonts w:ascii="Times New Roman" w:eastAsia="Times New Roman" w:hAnsi="Times New Roman" w:cs="Times New Roman"/>
                <w:bCs/>
                <w:color w:val="auto"/>
                <w:sz w:val="20"/>
                <w:szCs w:val="20"/>
                <w:lang w:eastAsia="lv-LV"/>
              </w:rPr>
              <w:t> </w:t>
            </w:r>
          </w:p>
        </w:tc>
        <w:tc>
          <w:tcPr>
            <w:tcW w:w="851" w:type="dxa"/>
            <w:noWrap/>
            <w:vAlign w:val="center"/>
          </w:tcPr>
          <w:p w14:paraId="484D4939" w14:textId="794B91BE"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1,9</w:t>
            </w:r>
          </w:p>
        </w:tc>
        <w:tc>
          <w:tcPr>
            <w:tcW w:w="850" w:type="dxa"/>
            <w:noWrap/>
            <w:vAlign w:val="center"/>
          </w:tcPr>
          <w:p w14:paraId="57FEE7AC" w14:textId="1C4EC94F"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2,2</w:t>
            </w:r>
          </w:p>
        </w:tc>
        <w:tc>
          <w:tcPr>
            <w:tcW w:w="851" w:type="dxa"/>
            <w:noWrap/>
            <w:vAlign w:val="center"/>
          </w:tcPr>
          <w:p w14:paraId="690A94C3" w14:textId="609CCE65"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1,8</w:t>
            </w:r>
          </w:p>
        </w:tc>
        <w:tc>
          <w:tcPr>
            <w:tcW w:w="850" w:type="dxa"/>
            <w:noWrap/>
            <w:vAlign w:val="center"/>
          </w:tcPr>
          <w:p w14:paraId="55F9F087" w14:textId="75AF07FB"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1,9</w:t>
            </w:r>
          </w:p>
        </w:tc>
        <w:tc>
          <w:tcPr>
            <w:tcW w:w="987" w:type="dxa"/>
            <w:noWrap/>
            <w:vAlign w:val="center"/>
          </w:tcPr>
          <w:p w14:paraId="708D5643" w14:textId="6AD913F1"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1,8</w:t>
            </w:r>
          </w:p>
        </w:tc>
      </w:tr>
      <w:tr w:rsidR="00956211" w:rsidRPr="00D551C4" w14:paraId="75F35A76" w14:textId="77777777" w:rsidTr="00B122BE">
        <w:trPr>
          <w:trHeight w:val="255"/>
        </w:trPr>
        <w:tc>
          <w:tcPr>
            <w:cnfStyle w:val="001000000000" w:firstRow="0" w:lastRow="0" w:firstColumn="1" w:lastColumn="0" w:oddVBand="0" w:evenVBand="0" w:oddHBand="0" w:evenHBand="0" w:firstRowFirstColumn="0" w:firstRowLastColumn="0" w:lastRowFirstColumn="0" w:lastRowLastColumn="0"/>
            <w:tcW w:w="8653" w:type="dxa"/>
            <w:gridSpan w:val="6"/>
            <w:hideMark/>
          </w:tcPr>
          <w:p w14:paraId="3F08731A" w14:textId="77777777" w:rsidR="00956211" w:rsidRPr="00DC2556" w:rsidRDefault="00956211" w:rsidP="00DC2556">
            <w:pPr>
              <w:jc w:val="center"/>
              <w:rPr>
                <w:rFonts w:ascii="Times New Roman" w:eastAsia="Times New Roman" w:hAnsi="Times New Roman" w:cs="Times New Roman"/>
                <w:bCs w:val="0"/>
                <w:color w:val="000000" w:themeColor="text1"/>
                <w:sz w:val="20"/>
                <w:szCs w:val="20"/>
              </w:rPr>
            </w:pPr>
            <w:r w:rsidRPr="00DC2556">
              <w:rPr>
                <w:rFonts w:ascii="Times New Roman" w:eastAsia="Times New Roman" w:hAnsi="Times New Roman" w:cs="Times New Roman"/>
                <w:bCs w:val="0"/>
                <w:color w:val="000000" w:themeColor="text1"/>
                <w:sz w:val="20"/>
                <w:szCs w:val="20"/>
              </w:rPr>
              <w:t>Citi mainīgie</w:t>
            </w:r>
          </w:p>
        </w:tc>
        <w:tc>
          <w:tcPr>
            <w:tcW w:w="987" w:type="dxa"/>
            <w:hideMark/>
          </w:tcPr>
          <w:p w14:paraId="423492DF" w14:textId="77777777" w:rsidR="00956211" w:rsidRPr="00DC2556" w:rsidRDefault="00956211"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0"/>
                <w:szCs w:val="20"/>
              </w:rPr>
            </w:pPr>
          </w:p>
        </w:tc>
      </w:tr>
      <w:tr w:rsidR="00DC2556" w:rsidRPr="00D551C4" w14:paraId="6347E86F" w14:textId="77777777" w:rsidTr="00B122B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117" w:type="dxa"/>
            <w:noWrap/>
            <w:hideMark/>
          </w:tcPr>
          <w:p w14:paraId="13E25ED3" w14:textId="77777777" w:rsidR="00DC2556" w:rsidRPr="00DC2556" w:rsidRDefault="00DC2556" w:rsidP="00DC2556">
            <w:pPr>
              <w:rPr>
                <w:rFonts w:ascii="Times New Roman" w:eastAsia="Times New Roman" w:hAnsi="Times New Roman" w:cs="Times New Roman"/>
                <w:b w:val="0"/>
                <w:color w:val="auto"/>
                <w:sz w:val="20"/>
                <w:szCs w:val="20"/>
                <w:lang w:eastAsia="lv-LV"/>
              </w:rPr>
            </w:pPr>
            <w:r w:rsidRPr="00DC2556">
              <w:rPr>
                <w:rFonts w:ascii="Times New Roman" w:eastAsia="Times New Roman" w:hAnsi="Times New Roman" w:cs="Times New Roman"/>
                <w:b w:val="0"/>
                <w:color w:val="auto"/>
                <w:sz w:val="20"/>
                <w:szCs w:val="20"/>
                <w:lang w:eastAsia="lv-LV"/>
              </w:rPr>
              <w:t>6. Likvīdi finanšu aktīvi</w:t>
            </w:r>
          </w:p>
        </w:tc>
        <w:tc>
          <w:tcPr>
            <w:tcW w:w="1134" w:type="dxa"/>
            <w:noWrap/>
            <w:hideMark/>
          </w:tcPr>
          <w:p w14:paraId="6E5C852A" w14:textId="77777777" w:rsidR="00DC2556" w:rsidRPr="00DC2556" w:rsidRDefault="00DC2556" w:rsidP="00DC2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 </w:t>
            </w:r>
          </w:p>
        </w:tc>
        <w:tc>
          <w:tcPr>
            <w:tcW w:w="851" w:type="dxa"/>
            <w:noWrap/>
            <w:vAlign w:val="center"/>
          </w:tcPr>
          <w:p w14:paraId="6E6D8528" w14:textId="656F653A"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8,1</w:t>
            </w:r>
          </w:p>
        </w:tc>
        <w:tc>
          <w:tcPr>
            <w:tcW w:w="850" w:type="dxa"/>
            <w:noWrap/>
            <w:vAlign w:val="center"/>
          </w:tcPr>
          <w:p w14:paraId="7A9A34C2" w14:textId="159C149C"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851" w:type="dxa"/>
            <w:noWrap/>
            <w:vAlign w:val="center"/>
          </w:tcPr>
          <w:p w14:paraId="08E6DF9B" w14:textId="734CBAC1"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850" w:type="dxa"/>
            <w:noWrap/>
            <w:vAlign w:val="center"/>
          </w:tcPr>
          <w:p w14:paraId="1C1CEACB" w14:textId="23D4E7CB"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987" w:type="dxa"/>
            <w:noWrap/>
            <w:vAlign w:val="center"/>
          </w:tcPr>
          <w:p w14:paraId="1C682B0A" w14:textId="0E7D6B4C"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r>
      <w:tr w:rsidR="00DC2556" w:rsidRPr="00D551C4" w14:paraId="509EB686" w14:textId="77777777" w:rsidTr="00B122BE">
        <w:trPr>
          <w:trHeight w:val="252"/>
        </w:trPr>
        <w:tc>
          <w:tcPr>
            <w:cnfStyle w:val="001000000000" w:firstRow="0" w:lastRow="0" w:firstColumn="1" w:lastColumn="0" w:oddVBand="0" w:evenVBand="0" w:oddHBand="0" w:evenHBand="0" w:firstRowFirstColumn="0" w:firstRowLastColumn="0" w:lastRowFirstColumn="0" w:lastRowLastColumn="0"/>
            <w:tcW w:w="4117" w:type="dxa"/>
            <w:noWrap/>
            <w:hideMark/>
          </w:tcPr>
          <w:p w14:paraId="58ACE74E" w14:textId="77777777" w:rsidR="00DC2556" w:rsidRPr="00DC2556" w:rsidRDefault="00DC2556" w:rsidP="00DC2556">
            <w:pPr>
              <w:rPr>
                <w:rFonts w:ascii="Times New Roman" w:eastAsia="Times New Roman" w:hAnsi="Times New Roman" w:cs="Times New Roman"/>
                <w:b w:val="0"/>
                <w:color w:val="auto"/>
                <w:sz w:val="20"/>
                <w:szCs w:val="20"/>
                <w:lang w:eastAsia="lv-LV"/>
              </w:rPr>
            </w:pPr>
            <w:r w:rsidRPr="00DC2556">
              <w:rPr>
                <w:rFonts w:ascii="Times New Roman" w:eastAsia="Times New Roman" w:hAnsi="Times New Roman" w:cs="Times New Roman"/>
                <w:b w:val="0"/>
                <w:color w:val="auto"/>
                <w:sz w:val="20"/>
                <w:szCs w:val="20"/>
                <w:lang w:eastAsia="lv-LV"/>
              </w:rPr>
              <w:t>7. Neto finansiālais parāds (7=1-6)</w:t>
            </w:r>
          </w:p>
        </w:tc>
        <w:tc>
          <w:tcPr>
            <w:tcW w:w="1134" w:type="dxa"/>
            <w:noWrap/>
            <w:hideMark/>
          </w:tcPr>
          <w:p w14:paraId="7C327446" w14:textId="77777777" w:rsidR="00DC2556" w:rsidRPr="00DC2556" w:rsidRDefault="00DC2556" w:rsidP="00DC25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 </w:t>
            </w:r>
          </w:p>
        </w:tc>
        <w:tc>
          <w:tcPr>
            <w:tcW w:w="851" w:type="dxa"/>
            <w:noWrap/>
            <w:vAlign w:val="center"/>
          </w:tcPr>
          <w:p w14:paraId="36A39293" w14:textId="0013C546"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28,8</w:t>
            </w:r>
          </w:p>
        </w:tc>
        <w:tc>
          <w:tcPr>
            <w:tcW w:w="850" w:type="dxa"/>
            <w:noWrap/>
            <w:vAlign w:val="center"/>
          </w:tcPr>
          <w:p w14:paraId="3C3ACFAB" w14:textId="153A63B1"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C2556">
              <w:rPr>
                <w:rFonts w:ascii="Times New Roman" w:eastAsia="Times New Roman" w:hAnsi="Times New Roman" w:cs="Times New Roman"/>
                <w:b/>
                <w:color w:val="000000" w:themeColor="text1"/>
                <w:sz w:val="20"/>
                <w:szCs w:val="20"/>
              </w:rPr>
              <w:t> </w:t>
            </w:r>
          </w:p>
        </w:tc>
        <w:tc>
          <w:tcPr>
            <w:tcW w:w="851" w:type="dxa"/>
            <w:noWrap/>
            <w:vAlign w:val="center"/>
          </w:tcPr>
          <w:p w14:paraId="373DAACA" w14:textId="6FE5BBE8"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C2556">
              <w:rPr>
                <w:rFonts w:ascii="Times New Roman" w:eastAsia="Times New Roman" w:hAnsi="Times New Roman" w:cs="Times New Roman"/>
                <w:b/>
                <w:color w:val="000000" w:themeColor="text1"/>
                <w:sz w:val="20"/>
                <w:szCs w:val="20"/>
              </w:rPr>
              <w:t> </w:t>
            </w:r>
          </w:p>
        </w:tc>
        <w:tc>
          <w:tcPr>
            <w:tcW w:w="850" w:type="dxa"/>
            <w:noWrap/>
            <w:vAlign w:val="center"/>
          </w:tcPr>
          <w:p w14:paraId="53CDCECA" w14:textId="0E0BED48"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C2556">
              <w:rPr>
                <w:rFonts w:ascii="Times New Roman" w:eastAsia="Times New Roman" w:hAnsi="Times New Roman" w:cs="Times New Roman"/>
                <w:b/>
                <w:color w:val="000000" w:themeColor="text1"/>
                <w:sz w:val="20"/>
                <w:szCs w:val="20"/>
              </w:rPr>
              <w:t> </w:t>
            </w:r>
          </w:p>
        </w:tc>
        <w:tc>
          <w:tcPr>
            <w:tcW w:w="987" w:type="dxa"/>
            <w:noWrap/>
            <w:vAlign w:val="center"/>
          </w:tcPr>
          <w:p w14:paraId="1982F932" w14:textId="161347BA"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C2556">
              <w:rPr>
                <w:rFonts w:ascii="Times New Roman" w:eastAsia="Times New Roman" w:hAnsi="Times New Roman" w:cs="Times New Roman"/>
                <w:b/>
                <w:color w:val="000000" w:themeColor="text1"/>
                <w:sz w:val="20"/>
                <w:szCs w:val="20"/>
              </w:rPr>
              <w:t> </w:t>
            </w:r>
          </w:p>
        </w:tc>
      </w:tr>
      <w:tr w:rsidR="00DC2556" w:rsidRPr="00D551C4" w14:paraId="3EC4819D" w14:textId="77777777" w:rsidTr="00B122B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117" w:type="dxa"/>
            <w:hideMark/>
          </w:tcPr>
          <w:p w14:paraId="73CD17D4" w14:textId="77777777" w:rsidR="00DC2556" w:rsidRPr="00DC2556" w:rsidRDefault="00DC2556" w:rsidP="00DC2556">
            <w:pPr>
              <w:rPr>
                <w:rFonts w:ascii="Times New Roman" w:eastAsia="Times New Roman" w:hAnsi="Times New Roman" w:cs="Times New Roman"/>
                <w:b w:val="0"/>
                <w:color w:val="auto"/>
                <w:sz w:val="20"/>
                <w:szCs w:val="20"/>
                <w:lang w:eastAsia="lv-LV"/>
              </w:rPr>
            </w:pPr>
            <w:r w:rsidRPr="00DC2556">
              <w:rPr>
                <w:rFonts w:ascii="Times New Roman" w:eastAsia="Times New Roman" w:hAnsi="Times New Roman" w:cs="Times New Roman"/>
                <w:b w:val="0"/>
                <w:color w:val="auto"/>
                <w:sz w:val="20"/>
                <w:szCs w:val="20"/>
                <w:lang w:eastAsia="lv-LV"/>
              </w:rPr>
              <w:t>8. Parāda amortizācija</w:t>
            </w:r>
          </w:p>
        </w:tc>
        <w:tc>
          <w:tcPr>
            <w:tcW w:w="1134" w:type="dxa"/>
            <w:noWrap/>
            <w:hideMark/>
          </w:tcPr>
          <w:p w14:paraId="1E182876" w14:textId="77777777" w:rsidR="00DC2556" w:rsidRPr="00DC2556" w:rsidRDefault="00DC2556" w:rsidP="00DC25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 </w:t>
            </w:r>
          </w:p>
        </w:tc>
        <w:tc>
          <w:tcPr>
            <w:tcW w:w="851" w:type="dxa"/>
            <w:noWrap/>
            <w:vAlign w:val="center"/>
          </w:tcPr>
          <w:p w14:paraId="1FD507DE" w14:textId="1620851D"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1,2</w:t>
            </w:r>
          </w:p>
        </w:tc>
        <w:tc>
          <w:tcPr>
            <w:tcW w:w="850" w:type="dxa"/>
            <w:noWrap/>
            <w:vAlign w:val="center"/>
          </w:tcPr>
          <w:p w14:paraId="4A9B90B0" w14:textId="528911A8"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4,2</w:t>
            </w:r>
          </w:p>
        </w:tc>
        <w:tc>
          <w:tcPr>
            <w:tcW w:w="851" w:type="dxa"/>
            <w:noWrap/>
            <w:vAlign w:val="center"/>
          </w:tcPr>
          <w:p w14:paraId="4D0A7CE3" w14:textId="3494CCD1"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5,0</w:t>
            </w:r>
          </w:p>
        </w:tc>
        <w:tc>
          <w:tcPr>
            <w:tcW w:w="850" w:type="dxa"/>
            <w:noWrap/>
            <w:vAlign w:val="center"/>
          </w:tcPr>
          <w:p w14:paraId="2665FF36" w14:textId="36B6E056"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0,7</w:t>
            </w:r>
          </w:p>
        </w:tc>
        <w:tc>
          <w:tcPr>
            <w:tcW w:w="987" w:type="dxa"/>
            <w:noWrap/>
            <w:vAlign w:val="center"/>
          </w:tcPr>
          <w:p w14:paraId="31FC7FED" w14:textId="1623187B"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1,6</w:t>
            </w:r>
          </w:p>
        </w:tc>
      </w:tr>
      <w:tr w:rsidR="00DC2556" w:rsidRPr="00D551C4" w14:paraId="79BF470F" w14:textId="77777777" w:rsidTr="00B122BE">
        <w:trPr>
          <w:trHeight w:val="415"/>
        </w:trPr>
        <w:tc>
          <w:tcPr>
            <w:cnfStyle w:val="001000000000" w:firstRow="0" w:lastRow="0" w:firstColumn="1" w:lastColumn="0" w:oddVBand="0" w:evenVBand="0" w:oddHBand="0" w:evenHBand="0" w:firstRowFirstColumn="0" w:firstRowLastColumn="0" w:lastRowFirstColumn="0" w:lastRowLastColumn="0"/>
            <w:tcW w:w="4117" w:type="dxa"/>
            <w:hideMark/>
          </w:tcPr>
          <w:p w14:paraId="13AD27B3" w14:textId="77777777" w:rsidR="00DC2556" w:rsidRPr="00DC2556" w:rsidRDefault="00DC2556" w:rsidP="00DC2556">
            <w:pPr>
              <w:rPr>
                <w:rFonts w:ascii="Times New Roman" w:eastAsia="Times New Roman" w:hAnsi="Times New Roman" w:cs="Times New Roman"/>
                <w:b w:val="0"/>
                <w:color w:val="auto"/>
                <w:sz w:val="20"/>
                <w:szCs w:val="20"/>
                <w:lang w:eastAsia="lv-LV"/>
              </w:rPr>
            </w:pPr>
            <w:r w:rsidRPr="00DC2556">
              <w:rPr>
                <w:rFonts w:ascii="Times New Roman" w:eastAsia="Times New Roman" w:hAnsi="Times New Roman" w:cs="Times New Roman"/>
                <w:b w:val="0"/>
                <w:color w:val="auto"/>
                <w:sz w:val="20"/>
                <w:szCs w:val="20"/>
                <w:lang w:eastAsia="lv-LV"/>
              </w:rPr>
              <w:t>9. Ārvalstu valūtā denominētā parāda īpatsvars</w:t>
            </w:r>
          </w:p>
        </w:tc>
        <w:tc>
          <w:tcPr>
            <w:tcW w:w="1134" w:type="dxa"/>
            <w:noWrap/>
            <w:hideMark/>
          </w:tcPr>
          <w:p w14:paraId="74D8B253" w14:textId="77777777" w:rsidR="00DC2556" w:rsidRPr="00DC2556" w:rsidRDefault="00DC2556" w:rsidP="00DC25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 </w:t>
            </w:r>
          </w:p>
        </w:tc>
        <w:tc>
          <w:tcPr>
            <w:tcW w:w="851" w:type="dxa"/>
            <w:noWrap/>
            <w:vAlign w:val="center"/>
          </w:tcPr>
          <w:p w14:paraId="383E121D" w14:textId="52ED1E0F"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10,0</w:t>
            </w:r>
          </w:p>
        </w:tc>
        <w:tc>
          <w:tcPr>
            <w:tcW w:w="850" w:type="dxa"/>
            <w:noWrap/>
            <w:vAlign w:val="center"/>
          </w:tcPr>
          <w:p w14:paraId="4049B508" w14:textId="1F3B96DD"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1,1</w:t>
            </w:r>
          </w:p>
        </w:tc>
        <w:tc>
          <w:tcPr>
            <w:tcW w:w="851" w:type="dxa"/>
            <w:noWrap/>
            <w:vAlign w:val="center"/>
          </w:tcPr>
          <w:p w14:paraId="66B2CD38" w14:textId="1B3CD943"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1,0</w:t>
            </w:r>
          </w:p>
        </w:tc>
        <w:tc>
          <w:tcPr>
            <w:tcW w:w="850" w:type="dxa"/>
            <w:noWrap/>
            <w:vAlign w:val="center"/>
          </w:tcPr>
          <w:p w14:paraId="7477CAF6" w14:textId="685A5F40"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1,0</w:t>
            </w:r>
          </w:p>
        </w:tc>
        <w:tc>
          <w:tcPr>
            <w:tcW w:w="987" w:type="dxa"/>
            <w:noWrap/>
            <w:vAlign w:val="center"/>
          </w:tcPr>
          <w:p w14:paraId="32B2359B" w14:textId="010A34F2" w:rsidR="00DC2556" w:rsidRPr="00DC2556" w:rsidRDefault="00DC2556" w:rsidP="00DC25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DC2556">
              <w:rPr>
                <w:rFonts w:ascii="Times New Roman" w:eastAsia="Times New Roman" w:hAnsi="Times New Roman" w:cs="Times New Roman"/>
                <w:color w:val="000000" w:themeColor="text1"/>
                <w:sz w:val="20"/>
                <w:szCs w:val="20"/>
              </w:rPr>
              <w:t>0,9</w:t>
            </w:r>
          </w:p>
        </w:tc>
      </w:tr>
      <w:tr w:rsidR="00DC2556" w:rsidRPr="00D551C4" w14:paraId="42A2AE40" w14:textId="77777777" w:rsidTr="00B122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17" w:type="dxa"/>
            <w:noWrap/>
            <w:hideMark/>
          </w:tcPr>
          <w:p w14:paraId="3A15FCCA" w14:textId="77777777" w:rsidR="00DC2556" w:rsidRPr="00DC2556" w:rsidRDefault="00DC2556" w:rsidP="00DC2556">
            <w:pPr>
              <w:rPr>
                <w:rFonts w:ascii="Times New Roman" w:eastAsia="Times New Roman" w:hAnsi="Times New Roman" w:cs="Times New Roman"/>
                <w:b w:val="0"/>
                <w:color w:val="auto"/>
                <w:sz w:val="20"/>
                <w:szCs w:val="20"/>
                <w:lang w:eastAsia="lv-LV"/>
              </w:rPr>
            </w:pPr>
            <w:r w:rsidRPr="00DC2556">
              <w:rPr>
                <w:rFonts w:ascii="Times New Roman" w:eastAsia="Times New Roman" w:hAnsi="Times New Roman" w:cs="Times New Roman"/>
                <w:b w:val="0"/>
                <w:color w:val="auto"/>
                <w:sz w:val="20"/>
                <w:szCs w:val="20"/>
                <w:lang w:eastAsia="lv-LV"/>
              </w:rPr>
              <w:t>10. Vidējā dzēšana</w:t>
            </w:r>
          </w:p>
        </w:tc>
        <w:tc>
          <w:tcPr>
            <w:tcW w:w="1134" w:type="dxa"/>
            <w:noWrap/>
            <w:hideMark/>
          </w:tcPr>
          <w:p w14:paraId="788FB269" w14:textId="77777777" w:rsidR="00DC2556" w:rsidRPr="00DC2556" w:rsidRDefault="00DC2556" w:rsidP="00DC2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C2556">
              <w:rPr>
                <w:rFonts w:ascii="Times New Roman" w:eastAsia="Times New Roman" w:hAnsi="Times New Roman" w:cs="Times New Roman"/>
                <w:color w:val="auto"/>
                <w:sz w:val="20"/>
                <w:szCs w:val="20"/>
                <w:lang w:eastAsia="lv-LV"/>
              </w:rPr>
              <w:t> </w:t>
            </w:r>
          </w:p>
        </w:tc>
        <w:tc>
          <w:tcPr>
            <w:tcW w:w="851" w:type="dxa"/>
            <w:noWrap/>
            <w:vAlign w:val="center"/>
          </w:tcPr>
          <w:p w14:paraId="3BBC6EF7" w14:textId="4755C889"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9,03 gadi</w:t>
            </w:r>
          </w:p>
        </w:tc>
        <w:tc>
          <w:tcPr>
            <w:tcW w:w="850" w:type="dxa"/>
            <w:noWrap/>
            <w:vAlign w:val="center"/>
          </w:tcPr>
          <w:p w14:paraId="46F9C748" w14:textId="7B72A2E8"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851" w:type="dxa"/>
            <w:noWrap/>
            <w:vAlign w:val="center"/>
          </w:tcPr>
          <w:p w14:paraId="775EEEEB" w14:textId="7F43CBC1"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850" w:type="dxa"/>
            <w:noWrap/>
            <w:vAlign w:val="center"/>
          </w:tcPr>
          <w:p w14:paraId="10009E71" w14:textId="2240FF7C"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c>
          <w:tcPr>
            <w:tcW w:w="987" w:type="dxa"/>
            <w:noWrap/>
            <w:vAlign w:val="center"/>
          </w:tcPr>
          <w:p w14:paraId="02CB0C47" w14:textId="3C5F6684" w:rsidR="00DC2556" w:rsidRPr="00DC2556" w:rsidRDefault="00DC2556" w:rsidP="00DC25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rPr>
            </w:pPr>
            <w:r w:rsidRPr="00DC2556">
              <w:rPr>
                <w:rFonts w:ascii="Times New Roman" w:eastAsia="Times New Roman" w:hAnsi="Times New Roman" w:cs="Times New Roman"/>
                <w:bCs/>
                <w:color w:val="000000" w:themeColor="text1"/>
                <w:sz w:val="20"/>
                <w:szCs w:val="20"/>
              </w:rPr>
              <w:t> </w:t>
            </w:r>
          </w:p>
        </w:tc>
      </w:tr>
    </w:tbl>
    <w:p w14:paraId="0F7D7173" w14:textId="3D4BB5D7" w:rsidR="00DB2F30" w:rsidRDefault="00892692" w:rsidP="00892692">
      <w:pPr>
        <w:tabs>
          <w:tab w:val="left" w:pos="3905"/>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441CDF87" w14:textId="5C71A96C" w:rsidR="00284BE8" w:rsidRPr="00284BE8" w:rsidRDefault="00284BE8" w:rsidP="00284BE8">
      <w:pPr>
        <w:keepNext/>
        <w:spacing w:after="0" w:line="240" w:lineRule="auto"/>
        <w:jc w:val="both"/>
        <w:rPr>
          <w:rFonts w:ascii="Times New Roman" w:eastAsia="Times New Roman" w:hAnsi="Times New Roman" w:cs="Times New Roman"/>
          <w:b/>
          <w:color w:val="000000"/>
          <w:sz w:val="24"/>
          <w:szCs w:val="24"/>
        </w:rPr>
      </w:pPr>
      <w:r w:rsidRPr="00284BE8">
        <w:rPr>
          <w:rFonts w:ascii="Times New Roman" w:eastAsia="Times New Roman" w:hAnsi="Times New Roman" w:cs="Times New Roman"/>
          <w:b/>
          <w:color w:val="000000"/>
          <w:sz w:val="24"/>
          <w:szCs w:val="24"/>
        </w:rPr>
        <w:t>5.tabula. Cikliskā attīstība</w:t>
      </w:r>
    </w:p>
    <w:tbl>
      <w:tblPr>
        <w:tblStyle w:val="GridTable6Colorful-Accent117"/>
        <w:tblW w:w="9646" w:type="dxa"/>
        <w:jc w:val="center"/>
        <w:tblLook w:val="04A0" w:firstRow="1" w:lastRow="0" w:firstColumn="1" w:lastColumn="0" w:noHBand="0" w:noVBand="1"/>
      </w:tblPr>
      <w:tblGrid>
        <w:gridCol w:w="3975"/>
        <w:gridCol w:w="840"/>
        <w:gridCol w:w="803"/>
        <w:gridCol w:w="1007"/>
        <w:gridCol w:w="1007"/>
        <w:gridCol w:w="1007"/>
        <w:gridCol w:w="1007"/>
      </w:tblGrid>
      <w:tr w:rsidR="00284BE8" w:rsidRPr="00284BE8" w14:paraId="4C24E2CA" w14:textId="77777777" w:rsidTr="00AC2541">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975" w:type="dxa"/>
            <w:shd w:val="clear" w:color="auto" w:fill="DEEAF6"/>
            <w:noWrap/>
            <w:vAlign w:val="center"/>
            <w:hideMark/>
          </w:tcPr>
          <w:p w14:paraId="22B8151D" w14:textId="77777777" w:rsidR="00284BE8" w:rsidRPr="00284BE8" w:rsidRDefault="00284BE8" w:rsidP="00284BE8">
            <w:pPr>
              <w:jc w:val="center"/>
              <w:rPr>
                <w:rFonts w:ascii="Times New Roman" w:hAnsi="Times New Roman" w:cs="Times New Roman"/>
                <w:color w:val="000000"/>
                <w:sz w:val="20"/>
                <w:szCs w:val="20"/>
              </w:rPr>
            </w:pPr>
            <w:r w:rsidRPr="00284BE8">
              <w:rPr>
                <w:rFonts w:ascii="Times New Roman" w:hAnsi="Times New Roman" w:cs="Times New Roman"/>
                <w:color w:val="000000"/>
                <w:sz w:val="20"/>
                <w:szCs w:val="20"/>
              </w:rPr>
              <w:t xml:space="preserve">% no IKP </w:t>
            </w:r>
          </w:p>
        </w:tc>
        <w:tc>
          <w:tcPr>
            <w:tcW w:w="840" w:type="dxa"/>
            <w:shd w:val="clear" w:color="auto" w:fill="DEEAF6"/>
            <w:vAlign w:val="center"/>
            <w:hideMark/>
          </w:tcPr>
          <w:p w14:paraId="0B0EAF90"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EKS Kods</w:t>
            </w:r>
          </w:p>
        </w:tc>
        <w:tc>
          <w:tcPr>
            <w:tcW w:w="803" w:type="dxa"/>
            <w:shd w:val="clear" w:color="auto" w:fill="DEEAF6"/>
            <w:noWrap/>
            <w:vAlign w:val="center"/>
            <w:hideMark/>
          </w:tcPr>
          <w:p w14:paraId="4D71D95D"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284BE8">
              <w:rPr>
                <w:rFonts w:ascii="Times New Roman" w:hAnsi="Times New Roman" w:cs="Times New Roman"/>
                <w:bCs w:val="0"/>
                <w:color w:val="000000"/>
                <w:sz w:val="20"/>
                <w:szCs w:val="20"/>
              </w:rPr>
              <w:t>2019</w:t>
            </w:r>
          </w:p>
        </w:tc>
        <w:tc>
          <w:tcPr>
            <w:tcW w:w="1007" w:type="dxa"/>
            <w:shd w:val="clear" w:color="auto" w:fill="DEEAF6"/>
            <w:noWrap/>
            <w:vAlign w:val="center"/>
            <w:hideMark/>
          </w:tcPr>
          <w:p w14:paraId="23ACAB84"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284BE8">
              <w:rPr>
                <w:rFonts w:ascii="Times New Roman" w:hAnsi="Times New Roman" w:cs="Times New Roman"/>
                <w:bCs w:val="0"/>
                <w:color w:val="000000"/>
                <w:sz w:val="20"/>
                <w:szCs w:val="20"/>
              </w:rPr>
              <w:t>2020</w:t>
            </w:r>
          </w:p>
        </w:tc>
        <w:tc>
          <w:tcPr>
            <w:tcW w:w="1007" w:type="dxa"/>
            <w:shd w:val="clear" w:color="auto" w:fill="DEEAF6"/>
            <w:noWrap/>
            <w:vAlign w:val="center"/>
            <w:hideMark/>
          </w:tcPr>
          <w:p w14:paraId="323C9B8E"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284BE8">
              <w:rPr>
                <w:rFonts w:ascii="Times New Roman" w:hAnsi="Times New Roman" w:cs="Times New Roman"/>
                <w:bCs w:val="0"/>
                <w:color w:val="000000"/>
                <w:sz w:val="20"/>
                <w:szCs w:val="20"/>
              </w:rPr>
              <w:t>2021</w:t>
            </w:r>
          </w:p>
        </w:tc>
        <w:tc>
          <w:tcPr>
            <w:tcW w:w="1007" w:type="dxa"/>
            <w:shd w:val="clear" w:color="auto" w:fill="DEEAF6"/>
            <w:noWrap/>
            <w:vAlign w:val="center"/>
            <w:hideMark/>
          </w:tcPr>
          <w:p w14:paraId="5A285DB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284BE8">
              <w:rPr>
                <w:rFonts w:ascii="Times New Roman" w:hAnsi="Times New Roman" w:cs="Times New Roman"/>
                <w:bCs w:val="0"/>
                <w:color w:val="000000"/>
                <w:sz w:val="20"/>
                <w:szCs w:val="20"/>
              </w:rPr>
              <w:t>2022</w:t>
            </w:r>
          </w:p>
        </w:tc>
        <w:tc>
          <w:tcPr>
            <w:tcW w:w="1007" w:type="dxa"/>
            <w:shd w:val="clear" w:color="auto" w:fill="DEEAF6"/>
            <w:noWrap/>
            <w:vAlign w:val="center"/>
            <w:hideMark/>
          </w:tcPr>
          <w:p w14:paraId="599F379A"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284BE8">
              <w:rPr>
                <w:rFonts w:ascii="Times New Roman" w:hAnsi="Times New Roman" w:cs="Times New Roman"/>
                <w:bCs w:val="0"/>
                <w:color w:val="000000"/>
                <w:sz w:val="20"/>
                <w:szCs w:val="20"/>
              </w:rPr>
              <w:t>2023</w:t>
            </w:r>
          </w:p>
        </w:tc>
      </w:tr>
    </w:tbl>
    <w:tbl>
      <w:tblPr>
        <w:tblStyle w:val="GridTable6Colorful-Accent118"/>
        <w:tblW w:w="9641" w:type="dxa"/>
        <w:jc w:val="center"/>
        <w:tblLook w:val="04A0" w:firstRow="1" w:lastRow="0" w:firstColumn="1" w:lastColumn="0" w:noHBand="0" w:noVBand="1"/>
      </w:tblPr>
      <w:tblGrid>
        <w:gridCol w:w="3970"/>
        <w:gridCol w:w="840"/>
        <w:gridCol w:w="803"/>
        <w:gridCol w:w="1007"/>
        <w:gridCol w:w="1007"/>
        <w:gridCol w:w="1007"/>
        <w:gridCol w:w="1007"/>
      </w:tblGrid>
      <w:tr w:rsidR="00284BE8" w:rsidRPr="00284BE8" w14:paraId="1D83F303" w14:textId="77777777" w:rsidTr="00AC2541">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3E1D430A"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1. IKP pieaugums salīdzināmās cenās (%)</w:t>
            </w:r>
          </w:p>
        </w:tc>
        <w:tc>
          <w:tcPr>
            <w:tcW w:w="840" w:type="dxa"/>
            <w:noWrap/>
            <w:vAlign w:val="center"/>
            <w:hideMark/>
          </w:tcPr>
          <w:p w14:paraId="03A1A07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B1g</w:t>
            </w:r>
          </w:p>
        </w:tc>
        <w:tc>
          <w:tcPr>
            <w:tcW w:w="803" w:type="dxa"/>
            <w:noWrap/>
            <w:vAlign w:val="bottom"/>
          </w:tcPr>
          <w:p w14:paraId="6A94BF4D"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themeColor="text1"/>
                <w:sz w:val="20"/>
                <w:szCs w:val="20"/>
              </w:rPr>
              <w:t>2,2</w:t>
            </w:r>
          </w:p>
        </w:tc>
        <w:tc>
          <w:tcPr>
            <w:tcW w:w="1007" w:type="dxa"/>
            <w:noWrap/>
            <w:vAlign w:val="bottom"/>
          </w:tcPr>
          <w:p w14:paraId="677BEC46"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-7,0</w:t>
            </w:r>
          </w:p>
        </w:tc>
        <w:tc>
          <w:tcPr>
            <w:tcW w:w="1007" w:type="dxa"/>
            <w:noWrap/>
            <w:vAlign w:val="bottom"/>
          </w:tcPr>
          <w:p w14:paraId="18242A93"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1,0</w:t>
            </w:r>
          </w:p>
        </w:tc>
        <w:tc>
          <w:tcPr>
            <w:tcW w:w="1007" w:type="dxa"/>
            <w:noWrap/>
            <w:vAlign w:val="bottom"/>
          </w:tcPr>
          <w:p w14:paraId="3E820785"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3,5</w:t>
            </w:r>
          </w:p>
        </w:tc>
        <w:tc>
          <w:tcPr>
            <w:tcW w:w="1007" w:type="dxa"/>
            <w:noWrap/>
            <w:vAlign w:val="bottom"/>
          </w:tcPr>
          <w:p w14:paraId="1D67430C"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2,4</w:t>
            </w:r>
          </w:p>
        </w:tc>
      </w:tr>
      <w:tr w:rsidR="00284BE8" w:rsidRPr="00284BE8" w14:paraId="1E10F4FF"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6A0E70C9"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2. Faktiskā budžeta bilance</w:t>
            </w:r>
          </w:p>
        </w:tc>
        <w:tc>
          <w:tcPr>
            <w:tcW w:w="840" w:type="dxa"/>
            <w:noWrap/>
            <w:vAlign w:val="center"/>
            <w:hideMark/>
          </w:tcPr>
          <w:p w14:paraId="4709BFC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B.9</w:t>
            </w:r>
          </w:p>
        </w:tc>
        <w:tc>
          <w:tcPr>
            <w:tcW w:w="803" w:type="dxa"/>
            <w:noWrap/>
            <w:vAlign w:val="bottom"/>
          </w:tcPr>
          <w:p w14:paraId="5C0F6A0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-0,2</w:t>
            </w:r>
          </w:p>
        </w:tc>
        <w:tc>
          <w:tcPr>
            <w:tcW w:w="1007" w:type="dxa"/>
            <w:noWrap/>
            <w:vAlign w:val="bottom"/>
          </w:tcPr>
          <w:p w14:paraId="5663202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-9,4</w:t>
            </w:r>
          </w:p>
        </w:tc>
        <w:tc>
          <w:tcPr>
            <w:tcW w:w="1007" w:type="dxa"/>
            <w:noWrap/>
            <w:vAlign w:val="bottom"/>
          </w:tcPr>
          <w:p w14:paraId="33D545F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-5,0</w:t>
            </w:r>
          </w:p>
        </w:tc>
        <w:tc>
          <w:tcPr>
            <w:tcW w:w="1007" w:type="dxa"/>
            <w:noWrap/>
            <w:vAlign w:val="bottom"/>
          </w:tcPr>
          <w:p w14:paraId="17E91D3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-3,9</w:t>
            </w:r>
          </w:p>
        </w:tc>
        <w:tc>
          <w:tcPr>
            <w:tcW w:w="1007" w:type="dxa"/>
            <w:noWrap/>
            <w:vAlign w:val="bottom"/>
          </w:tcPr>
          <w:p w14:paraId="6512D20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-2,7</w:t>
            </w:r>
          </w:p>
        </w:tc>
      </w:tr>
      <w:tr w:rsidR="00284BE8" w:rsidRPr="00284BE8" w14:paraId="67542F6E"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0B939DED"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3. Procentu izdevumi</w:t>
            </w:r>
          </w:p>
        </w:tc>
        <w:tc>
          <w:tcPr>
            <w:tcW w:w="840" w:type="dxa"/>
            <w:noWrap/>
            <w:vAlign w:val="center"/>
            <w:hideMark/>
          </w:tcPr>
          <w:p w14:paraId="391E44E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D.41</w:t>
            </w:r>
          </w:p>
        </w:tc>
        <w:tc>
          <w:tcPr>
            <w:tcW w:w="803" w:type="dxa"/>
            <w:noWrap/>
            <w:vAlign w:val="bottom"/>
          </w:tcPr>
          <w:p w14:paraId="5946D19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0,7</w:t>
            </w:r>
          </w:p>
        </w:tc>
        <w:tc>
          <w:tcPr>
            <w:tcW w:w="1007" w:type="dxa"/>
            <w:noWrap/>
            <w:vAlign w:val="bottom"/>
          </w:tcPr>
          <w:p w14:paraId="0CE2C4F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0,9</w:t>
            </w:r>
          </w:p>
        </w:tc>
        <w:tc>
          <w:tcPr>
            <w:tcW w:w="1007" w:type="dxa"/>
            <w:noWrap/>
            <w:vAlign w:val="bottom"/>
          </w:tcPr>
          <w:p w14:paraId="72AA823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0,9</w:t>
            </w:r>
          </w:p>
        </w:tc>
        <w:tc>
          <w:tcPr>
            <w:tcW w:w="1007" w:type="dxa"/>
            <w:noWrap/>
            <w:vAlign w:val="bottom"/>
          </w:tcPr>
          <w:p w14:paraId="1252F71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0,9</w:t>
            </w:r>
          </w:p>
        </w:tc>
        <w:tc>
          <w:tcPr>
            <w:tcW w:w="1007" w:type="dxa"/>
            <w:noWrap/>
            <w:vAlign w:val="bottom"/>
          </w:tcPr>
          <w:p w14:paraId="13DED9B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0,9</w:t>
            </w:r>
          </w:p>
        </w:tc>
      </w:tr>
      <w:tr w:rsidR="00284BE8" w:rsidRPr="00284BE8" w14:paraId="2715F7FF"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23AC6DE6"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4. Vienreizēji un citi īslaicīgi pasākumi</w:t>
            </w:r>
            <w:r w:rsidRPr="00284BE8">
              <w:rPr>
                <w:rFonts w:ascii="Garamond" w:hAnsi="Garamond" w:cs="Times New Roman"/>
                <w:b w:val="0"/>
                <w:color w:val="000000"/>
                <w:sz w:val="20"/>
                <w:szCs w:val="20"/>
                <w:vertAlign w:val="superscript"/>
              </w:rPr>
              <w:footnoteReference w:id="37"/>
            </w:r>
          </w:p>
        </w:tc>
        <w:tc>
          <w:tcPr>
            <w:tcW w:w="840" w:type="dxa"/>
            <w:noWrap/>
            <w:vAlign w:val="center"/>
            <w:hideMark/>
          </w:tcPr>
          <w:p w14:paraId="2900C95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1E394F6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0,2</w:t>
            </w:r>
          </w:p>
        </w:tc>
        <w:tc>
          <w:tcPr>
            <w:tcW w:w="1007" w:type="dxa"/>
            <w:noWrap/>
            <w:vAlign w:val="bottom"/>
          </w:tcPr>
          <w:p w14:paraId="17A7BD6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19198E2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046F4C6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3CD3DEC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284BE8" w:rsidRPr="00284BE8" w14:paraId="07A73D06"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10D7AF9B"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5. Potenciālā IKP pieaugums (%)</w:t>
            </w:r>
          </w:p>
        </w:tc>
        <w:tc>
          <w:tcPr>
            <w:tcW w:w="840" w:type="dxa"/>
            <w:noWrap/>
            <w:vAlign w:val="center"/>
            <w:hideMark/>
          </w:tcPr>
          <w:p w14:paraId="3D78891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5430825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3,0</w:t>
            </w:r>
          </w:p>
        </w:tc>
        <w:tc>
          <w:tcPr>
            <w:tcW w:w="1007" w:type="dxa"/>
            <w:noWrap/>
            <w:vAlign w:val="bottom"/>
          </w:tcPr>
          <w:p w14:paraId="6404F98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2,9</w:t>
            </w:r>
          </w:p>
        </w:tc>
        <w:tc>
          <w:tcPr>
            <w:tcW w:w="1007" w:type="dxa"/>
            <w:noWrap/>
            <w:vAlign w:val="bottom"/>
          </w:tcPr>
          <w:p w14:paraId="2DE68E0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2,9</w:t>
            </w:r>
          </w:p>
        </w:tc>
        <w:tc>
          <w:tcPr>
            <w:tcW w:w="1007" w:type="dxa"/>
            <w:noWrap/>
            <w:vAlign w:val="bottom"/>
          </w:tcPr>
          <w:p w14:paraId="00E3B3C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2,8</w:t>
            </w:r>
          </w:p>
        </w:tc>
        <w:tc>
          <w:tcPr>
            <w:tcW w:w="1007" w:type="dxa"/>
            <w:noWrap/>
            <w:vAlign w:val="bottom"/>
          </w:tcPr>
          <w:p w14:paraId="3A73CDB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2,9</w:t>
            </w:r>
          </w:p>
        </w:tc>
      </w:tr>
      <w:tr w:rsidR="00284BE8" w:rsidRPr="00284BE8" w14:paraId="240C4C8C"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35DCCAD3" w14:textId="77777777" w:rsidR="00284BE8" w:rsidRPr="00284BE8" w:rsidRDefault="00284BE8" w:rsidP="00284BE8">
            <w:pPr>
              <w:ind w:firstLineChars="100" w:firstLine="20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ieguldījums:</w:t>
            </w:r>
          </w:p>
        </w:tc>
        <w:tc>
          <w:tcPr>
            <w:tcW w:w="840" w:type="dxa"/>
            <w:noWrap/>
            <w:vAlign w:val="center"/>
            <w:hideMark/>
          </w:tcPr>
          <w:p w14:paraId="725DCA9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133280D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13866F2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 </w:t>
            </w:r>
          </w:p>
        </w:tc>
        <w:tc>
          <w:tcPr>
            <w:tcW w:w="1007" w:type="dxa"/>
            <w:noWrap/>
            <w:vAlign w:val="bottom"/>
          </w:tcPr>
          <w:p w14:paraId="276244D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7FF6DB1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7" w:type="dxa"/>
            <w:noWrap/>
            <w:vAlign w:val="bottom"/>
          </w:tcPr>
          <w:p w14:paraId="3C40FBE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284BE8" w:rsidRPr="00284BE8" w14:paraId="2C88E00D"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06E14DDC" w14:textId="77777777" w:rsidR="00284BE8" w:rsidRPr="00284BE8" w:rsidRDefault="00284BE8" w:rsidP="00284BE8">
            <w:pPr>
              <w:ind w:firstLineChars="200" w:firstLine="40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 xml:space="preserve"> - nodarbinātības</w:t>
            </w:r>
          </w:p>
        </w:tc>
        <w:tc>
          <w:tcPr>
            <w:tcW w:w="840" w:type="dxa"/>
            <w:noWrap/>
            <w:vAlign w:val="center"/>
            <w:hideMark/>
          </w:tcPr>
          <w:p w14:paraId="0C74B0D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73B0D94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0,1</w:t>
            </w:r>
          </w:p>
        </w:tc>
        <w:tc>
          <w:tcPr>
            <w:tcW w:w="1007" w:type="dxa"/>
            <w:noWrap/>
            <w:vAlign w:val="bottom"/>
          </w:tcPr>
          <w:p w14:paraId="628B98C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0,0</w:t>
            </w:r>
          </w:p>
        </w:tc>
        <w:tc>
          <w:tcPr>
            <w:tcW w:w="1007" w:type="dxa"/>
            <w:noWrap/>
            <w:vAlign w:val="bottom"/>
          </w:tcPr>
          <w:p w14:paraId="2072235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c>
          <w:tcPr>
            <w:tcW w:w="1007" w:type="dxa"/>
            <w:noWrap/>
            <w:vAlign w:val="bottom"/>
          </w:tcPr>
          <w:p w14:paraId="55C2171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c>
          <w:tcPr>
            <w:tcW w:w="1007" w:type="dxa"/>
            <w:noWrap/>
            <w:vAlign w:val="bottom"/>
          </w:tcPr>
          <w:p w14:paraId="11FCDBC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r>
      <w:tr w:rsidR="00284BE8" w:rsidRPr="00284BE8" w14:paraId="736BA796"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1A081C61" w14:textId="77777777" w:rsidR="00284BE8" w:rsidRPr="00284BE8" w:rsidRDefault="00284BE8" w:rsidP="00284BE8">
            <w:pPr>
              <w:ind w:firstLineChars="200" w:firstLine="40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 xml:space="preserve"> - kapitāla</w:t>
            </w:r>
          </w:p>
        </w:tc>
        <w:tc>
          <w:tcPr>
            <w:tcW w:w="840" w:type="dxa"/>
            <w:noWrap/>
            <w:vAlign w:val="center"/>
            <w:hideMark/>
          </w:tcPr>
          <w:p w14:paraId="44357DE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532C818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0,9</w:t>
            </w:r>
          </w:p>
        </w:tc>
        <w:tc>
          <w:tcPr>
            <w:tcW w:w="1007" w:type="dxa"/>
            <w:noWrap/>
            <w:vAlign w:val="bottom"/>
          </w:tcPr>
          <w:p w14:paraId="6D72EE9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1007" w:type="dxa"/>
            <w:noWrap/>
            <w:vAlign w:val="bottom"/>
          </w:tcPr>
          <w:p w14:paraId="6D38E88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1007" w:type="dxa"/>
            <w:noWrap/>
            <w:vAlign w:val="bottom"/>
          </w:tcPr>
          <w:p w14:paraId="3B3E829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1,1</w:t>
            </w:r>
          </w:p>
        </w:tc>
        <w:tc>
          <w:tcPr>
            <w:tcW w:w="1007" w:type="dxa"/>
            <w:noWrap/>
            <w:vAlign w:val="bottom"/>
          </w:tcPr>
          <w:p w14:paraId="682520E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1,1</w:t>
            </w:r>
          </w:p>
        </w:tc>
      </w:tr>
      <w:tr w:rsidR="00284BE8" w:rsidRPr="00284BE8" w14:paraId="00A8AE85"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040920C1" w14:textId="77777777" w:rsidR="00284BE8" w:rsidRPr="00284BE8" w:rsidRDefault="00284BE8" w:rsidP="00284BE8">
            <w:pPr>
              <w:ind w:firstLineChars="200" w:firstLine="400"/>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 xml:space="preserve"> - kopējās ražošanas faktoru produktivitātes</w:t>
            </w:r>
          </w:p>
        </w:tc>
        <w:tc>
          <w:tcPr>
            <w:tcW w:w="840" w:type="dxa"/>
            <w:noWrap/>
            <w:vAlign w:val="center"/>
            <w:hideMark/>
          </w:tcPr>
          <w:p w14:paraId="6D3A37F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6D8122B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2,0</w:t>
            </w:r>
          </w:p>
        </w:tc>
        <w:tc>
          <w:tcPr>
            <w:tcW w:w="1007" w:type="dxa"/>
            <w:noWrap/>
            <w:vAlign w:val="bottom"/>
          </w:tcPr>
          <w:p w14:paraId="0E1DC49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c>
          <w:tcPr>
            <w:tcW w:w="1007" w:type="dxa"/>
            <w:noWrap/>
            <w:vAlign w:val="bottom"/>
          </w:tcPr>
          <w:p w14:paraId="270B7CF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1,9</w:t>
            </w:r>
          </w:p>
        </w:tc>
        <w:tc>
          <w:tcPr>
            <w:tcW w:w="1007" w:type="dxa"/>
            <w:noWrap/>
            <w:vAlign w:val="bottom"/>
          </w:tcPr>
          <w:p w14:paraId="7EC50A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1,8</w:t>
            </w:r>
          </w:p>
        </w:tc>
        <w:tc>
          <w:tcPr>
            <w:tcW w:w="1007" w:type="dxa"/>
            <w:noWrap/>
            <w:vAlign w:val="bottom"/>
          </w:tcPr>
          <w:p w14:paraId="6825793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1,8</w:t>
            </w:r>
          </w:p>
        </w:tc>
      </w:tr>
      <w:tr w:rsidR="00284BE8" w:rsidRPr="00284BE8" w14:paraId="29C520E5"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vAlign w:val="bottom"/>
            <w:hideMark/>
          </w:tcPr>
          <w:p w14:paraId="623BCEE0"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 xml:space="preserve">6. Starpība starp faktisko un potenciālo IKP </w:t>
            </w:r>
            <w:r w:rsidRPr="00284BE8">
              <w:rPr>
                <w:rFonts w:ascii="Times New Roman" w:hAnsi="Times New Roman" w:cs="Times New Roman"/>
                <w:b w:val="0"/>
                <w:color w:val="000000"/>
                <w:sz w:val="20"/>
                <w:szCs w:val="20"/>
              </w:rPr>
              <w:br/>
              <w:t>(% no potenciālā IKP)</w:t>
            </w:r>
          </w:p>
        </w:tc>
        <w:tc>
          <w:tcPr>
            <w:tcW w:w="840" w:type="dxa"/>
            <w:noWrap/>
            <w:vAlign w:val="center"/>
            <w:hideMark/>
          </w:tcPr>
          <w:p w14:paraId="2B7C47C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59DBACB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0,9</w:t>
            </w:r>
          </w:p>
        </w:tc>
        <w:tc>
          <w:tcPr>
            <w:tcW w:w="1007" w:type="dxa"/>
            <w:noWrap/>
            <w:vAlign w:val="bottom"/>
          </w:tcPr>
          <w:p w14:paraId="5B7E8EA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-8,8</w:t>
            </w:r>
          </w:p>
        </w:tc>
        <w:tc>
          <w:tcPr>
            <w:tcW w:w="1007" w:type="dxa"/>
            <w:noWrap/>
            <w:vAlign w:val="bottom"/>
          </w:tcPr>
          <w:p w14:paraId="213354C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-10,4</w:t>
            </w:r>
          </w:p>
        </w:tc>
        <w:tc>
          <w:tcPr>
            <w:tcW w:w="1007" w:type="dxa"/>
            <w:noWrap/>
            <w:vAlign w:val="bottom"/>
          </w:tcPr>
          <w:p w14:paraId="4948A51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-9,8</w:t>
            </w:r>
          </w:p>
        </w:tc>
        <w:tc>
          <w:tcPr>
            <w:tcW w:w="1007" w:type="dxa"/>
            <w:noWrap/>
            <w:vAlign w:val="bottom"/>
          </w:tcPr>
          <w:p w14:paraId="02F2702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-10,2</w:t>
            </w:r>
          </w:p>
        </w:tc>
      </w:tr>
      <w:tr w:rsidR="00284BE8" w:rsidRPr="00284BE8" w14:paraId="751B78C9"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0A8BC8CA"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7. Budžeta bilances cikliskā komponente</w:t>
            </w:r>
          </w:p>
        </w:tc>
        <w:tc>
          <w:tcPr>
            <w:tcW w:w="840" w:type="dxa"/>
            <w:noWrap/>
            <w:vAlign w:val="center"/>
            <w:hideMark/>
          </w:tcPr>
          <w:p w14:paraId="2FA29E7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tcPr>
          <w:p w14:paraId="0CA5EDB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0,3</w:t>
            </w:r>
          </w:p>
        </w:tc>
        <w:tc>
          <w:tcPr>
            <w:tcW w:w="1007" w:type="dxa"/>
            <w:noWrap/>
            <w:vAlign w:val="bottom"/>
          </w:tcPr>
          <w:p w14:paraId="549E091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-3,3</w:t>
            </w:r>
          </w:p>
        </w:tc>
        <w:tc>
          <w:tcPr>
            <w:tcW w:w="1007" w:type="dxa"/>
            <w:noWrap/>
            <w:vAlign w:val="bottom"/>
          </w:tcPr>
          <w:p w14:paraId="4DD0396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-3,9</w:t>
            </w:r>
          </w:p>
        </w:tc>
        <w:tc>
          <w:tcPr>
            <w:tcW w:w="1007" w:type="dxa"/>
            <w:noWrap/>
            <w:vAlign w:val="bottom"/>
          </w:tcPr>
          <w:p w14:paraId="48373A8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-3,7</w:t>
            </w:r>
          </w:p>
        </w:tc>
        <w:tc>
          <w:tcPr>
            <w:tcW w:w="1007" w:type="dxa"/>
            <w:noWrap/>
            <w:vAlign w:val="bottom"/>
          </w:tcPr>
          <w:p w14:paraId="09CC13A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-3,8</w:t>
            </w:r>
          </w:p>
        </w:tc>
      </w:tr>
      <w:tr w:rsidR="00284BE8" w:rsidRPr="00284BE8" w14:paraId="70FDC2D8"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39F5A5EA"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8. Cikliski koriģētā bilance (2–7)</w:t>
            </w:r>
          </w:p>
        </w:tc>
        <w:tc>
          <w:tcPr>
            <w:tcW w:w="840" w:type="dxa"/>
            <w:noWrap/>
            <w:vAlign w:val="center"/>
            <w:hideMark/>
          </w:tcPr>
          <w:p w14:paraId="1FEAD54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0F03F0E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-0,6</w:t>
            </w:r>
          </w:p>
        </w:tc>
        <w:tc>
          <w:tcPr>
            <w:tcW w:w="1007" w:type="dxa"/>
            <w:noWrap/>
            <w:vAlign w:val="bottom"/>
          </w:tcPr>
          <w:p w14:paraId="253CF8E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-6,1</w:t>
            </w:r>
          </w:p>
        </w:tc>
        <w:tc>
          <w:tcPr>
            <w:tcW w:w="1007" w:type="dxa"/>
            <w:noWrap/>
            <w:vAlign w:val="bottom"/>
          </w:tcPr>
          <w:p w14:paraId="2F247CF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1007" w:type="dxa"/>
            <w:noWrap/>
            <w:vAlign w:val="bottom"/>
          </w:tcPr>
          <w:p w14:paraId="25DC116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-0,2</w:t>
            </w:r>
          </w:p>
        </w:tc>
        <w:tc>
          <w:tcPr>
            <w:tcW w:w="1007" w:type="dxa"/>
            <w:noWrap/>
            <w:vAlign w:val="bottom"/>
          </w:tcPr>
          <w:p w14:paraId="0693D92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1,2</w:t>
            </w:r>
          </w:p>
        </w:tc>
      </w:tr>
      <w:tr w:rsidR="00284BE8" w:rsidRPr="00284BE8" w14:paraId="54F500B4" w14:textId="77777777" w:rsidTr="00AC2541">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5228BBF9"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9. Cikliski koriģētā primārā bilance (8+3)</w:t>
            </w:r>
          </w:p>
        </w:tc>
        <w:tc>
          <w:tcPr>
            <w:tcW w:w="840" w:type="dxa"/>
            <w:noWrap/>
            <w:vAlign w:val="center"/>
            <w:hideMark/>
          </w:tcPr>
          <w:p w14:paraId="7FC021A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08D93BC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0,1</w:t>
            </w:r>
          </w:p>
        </w:tc>
        <w:tc>
          <w:tcPr>
            <w:tcW w:w="1007" w:type="dxa"/>
            <w:noWrap/>
            <w:vAlign w:val="bottom"/>
          </w:tcPr>
          <w:p w14:paraId="10D7D97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-5,2</w:t>
            </w:r>
          </w:p>
        </w:tc>
        <w:tc>
          <w:tcPr>
            <w:tcW w:w="1007" w:type="dxa"/>
            <w:noWrap/>
            <w:vAlign w:val="bottom"/>
          </w:tcPr>
          <w:p w14:paraId="43BDF08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-0,1</w:t>
            </w:r>
          </w:p>
        </w:tc>
        <w:tc>
          <w:tcPr>
            <w:tcW w:w="1007" w:type="dxa"/>
            <w:noWrap/>
            <w:vAlign w:val="bottom"/>
          </w:tcPr>
          <w:p w14:paraId="68C196D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0,7</w:t>
            </w:r>
          </w:p>
        </w:tc>
        <w:tc>
          <w:tcPr>
            <w:tcW w:w="1007" w:type="dxa"/>
            <w:noWrap/>
            <w:vAlign w:val="bottom"/>
          </w:tcPr>
          <w:p w14:paraId="65C5164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2,1</w:t>
            </w:r>
          </w:p>
        </w:tc>
      </w:tr>
      <w:tr w:rsidR="00284BE8" w:rsidRPr="00284BE8" w14:paraId="41EC4E1F" w14:textId="77777777" w:rsidTr="00AC254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14:paraId="5628E1D7" w14:textId="77777777" w:rsidR="00284BE8" w:rsidRPr="00284BE8" w:rsidRDefault="00284BE8" w:rsidP="00284BE8">
            <w:pPr>
              <w:rPr>
                <w:rFonts w:ascii="Times New Roman" w:hAnsi="Times New Roman" w:cs="Times New Roman"/>
                <w:b w:val="0"/>
                <w:color w:val="000000"/>
                <w:sz w:val="20"/>
                <w:szCs w:val="20"/>
              </w:rPr>
            </w:pPr>
            <w:r w:rsidRPr="00284BE8">
              <w:rPr>
                <w:rFonts w:ascii="Times New Roman" w:hAnsi="Times New Roman" w:cs="Times New Roman"/>
                <w:b w:val="0"/>
                <w:color w:val="000000"/>
                <w:sz w:val="20"/>
                <w:szCs w:val="20"/>
              </w:rPr>
              <w:t>10. Strukturālā bilance (8–4)</w:t>
            </w:r>
          </w:p>
        </w:tc>
        <w:tc>
          <w:tcPr>
            <w:tcW w:w="840" w:type="dxa"/>
            <w:noWrap/>
            <w:vAlign w:val="center"/>
            <w:hideMark/>
          </w:tcPr>
          <w:p w14:paraId="796CD6E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03" w:type="dxa"/>
            <w:noWrap/>
            <w:vAlign w:val="bottom"/>
          </w:tcPr>
          <w:p w14:paraId="5F7C9DE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themeColor="text1"/>
                <w:sz w:val="20"/>
                <w:szCs w:val="20"/>
              </w:rPr>
              <w:t>-0,7</w:t>
            </w:r>
          </w:p>
        </w:tc>
        <w:tc>
          <w:tcPr>
            <w:tcW w:w="1007" w:type="dxa"/>
            <w:noWrap/>
            <w:vAlign w:val="bottom"/>
          </w:tcPr>
          <w:p w14:paraId="4AC18B4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-6,1</w:t>
            </w:r>
          </w:p>
        </w:tc>
        <w:tc>
          <w:tcPr>
            <w:tcW w:w="1007" w:type="dxa"/>
            <w:noWrap/>
            <w:vAlign w:val="bottom"/>
          </w:tcPr>
          <w:p w14:paraId="7E098BD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-1,0</w:t>
            </w:r>
          </w:p>
        </w:tc>
        <w:tc>
          <w:tcPr>
            <w:tcW w:w="1007" w:type="dxa"/>
            <w:noWrap/>
            <w:vAlign w:val="bottom"/>
          </w:tcPr>
          <w:p w14:paraId="4F45CD6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-0,2</w:t>
            </w:r>
          </w:p>
        </w:tc>
        <w:tc>
          <w:tcPr>
            <w:tcW w:w="1007" w:type="dxa"/>
            <w:noWrap/>
            <w:vAlign w:val="bottom"/>
          </w:tcPr>
          <w:p w14:paraId="43E4F73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84BE8">
              <w:rPr>
                <w:rFonts w:ascii="Times New Roman" w:hAnsi="Times New Roman" w:cs="Times New Roman"/>
                <w:color w:val="000000"/>
                <w:sz w:val="20"/>
                <w:szCs w:val="20"/>
              </w:rPr>
              <w:t>1,2</w:t>
            </w:r>
          </w:p>
        </w:tc>
      </w:tr>
    </w:tbl>
    <w:p w14:paraId="217DD900" w14:textId="77777777" w:rsidR="00284BE8" w:rsidRPr="00284BE8" w:rsidRDefault="00284BE8" w:rsidP="00284BE8">
      <w:pPr>
        <w:keepNext/>
        <w:spacing w:after="0" w:line="240" w:lineRule="auto"/>
        <w:rPr>
          <w:rFonts w:ascii="Times New Roman" w:eastAsia="Times New Roman" w:hAnsi="Times New Roman" w:cs="Times New Roman"/>
          <w:b/>
          <w:sz w:val="24"/>
          <w:szCs w:val="24"/>
        </w:rPr>
      </w:pPr>
    </w:p>
    <w:p w14:paraId="73FA9164" w14:textId="77777777" w:rsidR="00284BE8" w:rsidRPr="00284BE8" w:rsidRDefault="00284BE8" w:rsidP="00284BE8">
      <w:pPr>
        <w:keepNext/>
        <w:spacing w:after="0" w:line="240" w:lineRule="auto"/>
        <w:jc w:val="both"/>
        <w:rPr>
          <w:rFonts w:ascii="Times New Roman" w:eastAsia="Times New Roman" w:hAnsi="Times New Roman" w:cs="Times New Roman"/>
          <w:b/>
          <w:sz w:val="24"/>
          <w:szCs w:val="20"/>
        </w:rPr>
      </w:pPr>
    </w:p>
    <w:p w14:paraId="6EA8929A" w14:textId="77777777" w:rsidR="00284BE8" w:rsidRPr="00284BE8" w:rsidRDefault="00284BE8" w:rsidP="00284BE8">
      <w:pPr>
        <w:rPr>
          <w:rFonts w:ascii="Times New Roman" w:eastAsia="Times New Roman" w:hAnsi="Times New Roman" w:cs="Times New Roman"/>
          <w:b/>
          <w:sz w:val="24"/>
          <w:szCs w:val="20"/>
        </w:rPr>
      </w:pPr>
      <w:r w:rsidRPr="00284BE8">
        <w:rPr>
          <w:rFonts w:ascii="Times New Roman" w:hAnsi="Times New Roman"/>
        </w:rPr>
        <w:br w:type="page"/>
      </w:r>
    </w:p>
    <w:p w14:paraId="540CFFBA" w14:textId="77777777" w:rsidR="00284BE8" w:rsidRPr="00284BE8" w:rsidRDefault="00284BE8" w:rsidP="00284BE8">
      <w:pPr>
        <w:keepNext/>
        <w:spacing w:after="0" w:line="240" w:lineRule="auto"/>
        <w:jc w:val="both"/>
        <w:rPr>
          <w:rFonts w:ascii="Times New Roman" w:eastAsia="Times New Roman" w:hAnsi="Times New Roman" w:cs="Times New Roman"/>
          <w:b/>
          <w:sz w:val="24"/>
          <w:szCs w:val="20"/>
        </w:rPr>
        <w:sectPr w:rsidR="00284BE8" w:rsidRPr="00284BE8" w:rsidSect="00D253B5">
          <w:footerReference w:type="default" r:id="rId28"/>
          <w:pgSz w:w="11906" w:h="16838"/>
          <w:pgMar w:top="1418" w:right="1134" w:bottom="568" w:left="1701" w:header="1417" w:footer="1134" w:gutter="0"/>
          <w:cols w:space="708"/>
          <w:titlePg/>
          <w:docGrid w:linePitch="360"/>
        </w:sectPr>
      </w:pPr>
    </w:p>
    <w:p w14:paraId="11BB5E10" w14:textId="77777777" w:rsidR="00284BE8" w:rsidRPr="00284BE8" w:rsidRDefault="00284BE8" w:rsidP="00284BE8">
      <w:pPr>
        <w:keepNext/>
        <w:spacing w:after="0" w:line="240" w:lineRule="auto"/>
        <w:jc w:val="both"/>
        <w:rPr>
          <w:rFonts w:ascii="Times New Roman" w:eastAsia="Times New Roman" w:hAnsi="Times New Roman" w:cs="Times New Roman"/>
          <w:b/>
          <w:sz w:val="24"/>
          <w:szCs w:val="20"/>
        </w:rPr>
      </w:pPr>
      <w:r w:rsidRPr="00284BE8">
        <w:rPr>
          <w:rFonts w:ascii="Times New Roman" w:eastAsia="Times New Roman" w:hAnsi="Times New Roman" w:cs="Times New Roman"/>
          <w:b/>
          <w:sz w:val="24"/>
          <w:szCs w:val="20"/>
        </w:rPr>
        <w:t>6.tabula. Tautsaimniecības atbalsta pasākumi Covid-19 pārvarēšanai un to ietekme uz vispārējās valdības budžeta bilanci (uz 17.04.2020), izmaiņas pret iepriekšējo gadu</w:t>
      </w:r>
    </w:p>
    <w:tbl>
      <w:tblPr>
        <w:tblStyle w:val="GridTable6Colorful-Accent112"/>
        <w:tblW w:w="14602" w:type="dxa"/>
        <w:jc w:val="center"/>
        <w:tblLayout w:type="fixed"/>
        <w:tblLook w:val="04A0" w:firstRow="1" w:lastRow="0" w:firstColumn="1" w:lastColumn="0" w:noHBand="0" w:noVBand="1"/>
      </w:tblPr>
      <w:tblGrid>
        <w:gridCol w:w="1696"/>
        <w:gridCol w:w="4967"/>
        <w:gridCol w:w="850"/>
        <w:gridCol w:w="1276"/>
        <w:gridCol w:w="850"/>
        <w:gridCol w:w="709"/>
        <w:gridCol w:w="709"/>
        <w:gridCol w:w="709"/>
        <w:gridCol w:w="709"/>
        <w:gridCol w:w="709"/>
        <w:gridCol w:w="709"/>
        <w:gridCol w:w="709"/>
      </w:tblGrid>
      <w:tr w:rsidR="00284BE8" w:rsidRPr="00284BE8" w14:paraId="42599338" w14:textId="77777777" w:rsidTr="00881DE6">
        <w:trPr>
          <w:cnfStyle w:val="100000000000" w:firstRow="1" w:lastRow="0" w:firstColumn="0" w:lastColumn="0" w:oddVBand="0" w:evenVBand="0" w:oddHBand="0"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C1436F8" w14:textId="77777777" w:rsidR="00284BE8" w:rsidRPr="00284BE8" w:rsidRDefault="00284BE8" w:rsidP="00284BE8">
            <w:pPr>
              <w:jc w:val="center"/>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 no IKP</w:t>
            </w:r>
          </w:p>
        </w:tc>
        <w:tc>
          <w:tcPr>
            <w:tcW w:w="4967" w:type="dxa"/>
            <w:vAlign w:val="center"/>
          </w:tcPr>
          <w:p w14:paraId="0E8DB9EA"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84BE8">
              <w:rPr>
                <w:rFonts w:ascii="Times New Roman" w:eastAsia="Calibri" w:hAnsi="Times New Roman" w:cs="Times New Roman"/>
                <w:color w:val="auto"/>
                <w:sz w:val="20"/>
                <w:szCs w:val="20"/>
              </w:rPr>
              <w:t>Pasākuma apraksts</w:t>
            </w:r>
          </w:p>
        </w:tc>
        <w:tc>
          <w:tcPr>
            <w:tcW w:w="850" w:type="dxa"/>
            <w:vAlign w:val="center"/>
            <w:hideMark/>
          </w:tcPr>
          <w:p w14:paraId="6E21F61C"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EKS kods</w:t>
            </w:r>
          </w:p>
        </w:tc>
        <w:tc>
          <w:tcPr>
            <w:tcW w:w="1276" w:type="dxa"/>
            <w:vAlign w:val="center"/>
          </w:tcPr>
          <w:p w14:paraId="27EB818A"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84BE8">
              <w:rPr>
                <w:rFonts w:ascii="Times New Roman" w:hAnsi="Times New Roman" w:cs="Times New Roman"/>
                <w:color w:val="auto"/>
                <w:sz w:val="20"/>
                <w:szCs w:val="20"/>
              </w:rPr>
              <w:t>Statuss</w:t>
            </w:r>
          </w:p>
        </w:tc>
        <w:tc>
          <w:tcPr>
            <w:tcW w:w="850" w:type="dxa"/>
            <w:vAlign w:val="center"/>
            <w:hideMark/>
          </w:tcPr>
          <w:p w14:paraId="10D55E3B"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2020</w:t>
            </w:r>
          </w:p>
        </w:tc>
        <w:tc>
          <w:tcPr>
            <w:tcW w:w="709" w:type="dxa"/>
            <w:vAlign w:val="center"/>
            <w:hideMark/>
          </w:tcPr>
          <w:p w14:paraId="648CC1C4"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2021</w:t>
            </w:r>
          </w:p>
        </w:tc>
        <w:tc>
          <w:tcPr>
            <w:tcW w:w="709" w:type="dxa"/>
            <w:vAlign w:val="center"/>
            <w:hideMark/>
          </w:tcPr>
          <w:p w14:paraId="06F26F3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2022</w:t>
            </w:r>
          </w:p>
        </w:tc>
        <w:tc>
          <w:tcPr>
            <w:tcW w:w="709" w:type="dxa"/>
            <w:tcBorders>
              <w:right w:val="single" w:sz="12" w:space="0" w:color="9CC2E5" w:themeColor="accent1" w:themeTint="99"/>
            </w:tcBorders>
            <w:vAlign w:val="center"/>
            <w:hideMark/>
          </w:tcPr>
          <w:p w14:paraId="1DA18A38"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284BE8">
              <w:rPr>
                <w:rFonts w:ascii="Times New Roman" w:hAnsi="Times New Roman" w:cs="Times New Roman"/>
                <w:bCs w:val="0"/>
                <w:color w:val="auto"/>
                <w:sz w:val="20"/>
                <w:szCs w:val="20"/>
              </w:rPr>
              <w:t>2023</w:t>
            </w:r>
          </w:p>
        </w:tc>
        <w:tc>
          <w:tcPr>
            <w:tcW w:w="709" w:type="dxa"/>
            <w:tcBorders>
              <w:left w:val="single" w:sz="12" w:space="0" w:color="9CC2E5" w:themeColor="accent1" w:themeTint="99"/>
            </w:tcBorders>
            <w:vAlign w:val="center"/>
          </w:tcPr>
          <w:p w14:paraId="594035C6"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4BE8">
              <w:rPr>
                <w:rFonts w:ascii="Times New Roman" w:hAnsi="Times New Roman" w:cs="Times New Roman"/>
                <w:bCs w:val="0"/>
                <w:color w:val="auto"/>
                <w:sz w:val="20"/>
                <w:szCs w:val="20"/>
              </w:rPr>
              <w:t>2020</w:t>
            </w:r>
          </w:p>
        </w:tc>
        <w:tc>
          <w:tcPr>
            <w:tcW w:w="709" w:type="dxa"/>
            <w:vAlign w:val="center"/>
          </w:tcPr>
          <w:p w14:paraId="0F5BC5F3"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4BE8">
              <w:rPr>
                <w:rFonts w:ascii="Times New Roman" w:hAnsi="Times New Roman" w:cs="Times New Roman"/>
                <w:bCs w:val="0"/>
                <w:color w:val="auto"/>
                <w:sz w:val="20"/>
                <w:szCs w:val="20"/>
              </w:rPr>
              <w:t>2021</w:t>
            </w:r>
          </w:p>
        </w:tc>
        <w:tc>
          <w:tcPr>
            <w:tcW w:w="709" w:type="dxa"/>
            <w:vAlign w:val="center"/>
          </w:tcPr>
          <w:p w14:paraId="4EC5A6A9"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4BE8">
              <w:rPr>
                <w:rFonts w:ascii="Times New Roman" w:hAnsi="Times New Roman" w:cs="Times New Roman"/>
                <w:bCs w:val="0"/>
                <w:color w:val="auto"/>
                <w:sz w:val="20"/>
                <w:szCs w:val="20"/>
              </w:rPr>
              <w:t>2022</w:t>
            </w:r>
          </w:p>
        </w:tc>
        <w:tc>
          <w:tcPr>
            <w:tcW w:w="709" w:type="dxa"/>
            <w:vAlign w:val="center"/>
          </w:tcPr>
          <w:p w14:paraId="0F9781C1" w14:textId="77777777" w:rsidR="00284BE8" w:rsidRPr="00284BE8" w:rsidRDefault="00284BE8" w:rsidP="00284B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4BE8">
              <w:rPr>
                <w:rFonts w:ascii="Times New Roman" w:hAnsi="Times New Roman" w:cs="Times New Roman"/>
                <w:bCs w:val="0"/>
                <w:color w:val="auto"/>
                <w:sz w:val="20"/>
                <w:szCs w:val="20"/>
              </w:rPr>
              <w:t>2023</w:t>
            </w:r>
          </w:p>
        </w:tc>
      </w:tr>
      <w:tr w:rsidR="00284BE8" w:rsidRPr="00284BE8" w14:paraId="6BA03CDE" w14:textId="77777777" w:rsidTr="00881DE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171977A" w14:textId="77777777" w:rsidR="00284BE8" w:rsidRPr="00284BE8" w:rsidRDefault="00284BE8" w:rsidP="00284BE8">
            <w:pPr>
              <w:rPr>
                <w:rFonts w:ascii="Times New Roman" w:eastAsia="Calibri" w:hAnsi="Times New Roman" w:cs="Times New Roman"/>
                <w:b w:val="0"/>
                <w:color w:val="auto"/>
                <w:sz w:val="20"/>
                <w:szCs w:val="20"/>
              </w:rPr>
            </w:pPr>
          </w:p>
        </w:tc>
        <w:tc>
          <w:tcPr>
            <w:tcW w:w="4967" w:type="dxa"/>
            <w:vAlign w:val="center"/>
          </w:tcPr>
          <w:p w14:paraId="7DCCC56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vAlign w:val="center"/>
          </w:tcPr>
          <w:p w14:paraId="33BE3FC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1276" w:type="dxa"/>
            <w:vAlign w:val="center"/>
          </w:tcPr>
          <w:p w14:paraId="24A1E3F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2977" w:type="dxa"/>
            <w:gridSpan w:val="4"/>
            <w:tcBorders>
              <w:right w:val="single" w:sz="12" w:space="0" w:color="9CC2E5" w:themeColor="accent1" w:themeTint="99"/>
            </w:tcBorders>
            <w:vAlign w:val="center"/>
          </w:tcPr>
          <w:p w14:paraId="71B2CAA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284BE8">
              <w:rPr>
                <w:rFonts w:ascii="Times New Roman" w:hAnsi="Times New Roman" w:cs="Times New Roman"/>
                <w:b/>
                <w:color w:val="auto"/>
                <w:sz w:val="20"/>
                <w:szCs w:val="20"/>
              </w:rPr>
              <w:t xml:space="preserve">milj. </w:t>
            </w:r>
            <w:r w:rsidRPr="00284BE8">
              <w:rPr>
                <w:rFonts w:ascii="Times New Roman" w:hAnsi="Times New Roman" w:cs="Times New Roman"/>
                <w:b/>
                <w:i/>
                <w:color w:val="auto"/>
                <w:sz w:val="20"/>
                <w:szCs w:val="20"/>
              </w:rPr>
              <w:t>euro</w:t>
            </w:r>
          </w:p>
        </w:tc>
        <w:tc>
          <w:tcPr>
            <w:tcW w:w="2836" w:type="dxa"/>
            <w:gridSpan w:val="4"/>
            <w:tcBorders>
              <w:left w:val="single" w:sz="12" w:space="0" w:color="9CC2E5" w:themeColor="accent1" w:themeTint="99"/>
            </w:tcBorders>
          </w:tcPr>
          <w:p w14:paraId="731444C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84BE8">
              <w:rPr>
                <w:rFonts w:ascii="Times New Roman" w:hAnsi="Times New Roman" w:cs="Times New Roman"/>
                <w:b/>
                <w:color w:val="auto"/>
                <w:sz w:val="20"/>
                <w:szCs w:val="20"/>
              </w:rPr>
              <w:t>% no IKP</w:t>
            </w:r>
          </w:p>
        </w:tc>
      </w:tr>
      <w:tr w:rsidR="00F51974" w:rsidRPr="00284BE8" w14:paraId="223C0109" w14:textId="77777777" w:rsidTr="00881DE6">
        <w:trPr>
          <w:trHeight w:val="210"/>
          <w:jc w:val="center"/>
        </w:trPr>
        <w:tc>
          <w:tcPr>
            <w:cnfStyle w:val="001000000000" w:firstRow="0" w:lastRow="0" w:firstColumn="1" w:lastColumn="0" w:oddVBand="0" w:evenVBand="0" w:oddHBand="0" w:evenHBand="0" w:firstRowFirstColumn="0" w:firstRowLastColumn="0" w:lastRowFirstColumn="0" w:lastRowLastColumn="0"/>
            <w:tcW w:w="6663" w:type="dxa"/>
            <w:gridSpan w:val="2"/>
            <w:vAlign w:val="center"/>
          </w:tcPr>
          <w:p w14:paraId="699F9368" w14:textId="0ECF3FA4" w:rsidR="00F51974" w:rsidRPr="00284BE8" w:rsidRDefault="00F51974" w:rsidP="00F51974">
            <w:pPr>
              <w:rPr>
                <w:rFonts w:ascii="Times New Roman" w:eastAsia="Calibri" w:hAnsi="Times New Roman" w:cs="Times New Roman"/>
                <w:sz w:val="20"/>
                <w:szCs w:val="20"/>
              </w:rPr>
            </w:pPr>
            <w:r w:rsidRPr="00284BE8">
              <w:rPr>
                <w:rFonts w:ascii="Times New Roman" w:eastAsia="Calibri" w:hAnsi="Times New Roman" w:cs="Times New Roman"/>
                <w:snapToGrid w:val="0"/>
                <w:color w:val="auto"/>
                <w:sz w:val="20"/>
                <w:szCs w:val="20"/>
              </w:rPr>
              <w:t>1. Atbalsts nodokļu jomā</w:t>
            </w:r>
          </w:p>
        </w:tc>
        <w:tc>
          <w:tcPr>
            <w:tcW w:w="850" w:type="dxa"/>
            <w:vAlign w:val="center"/>
          </w:tcPr>
          <w:p w14:paraId="29E6EB74"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vAlign w:val="center"/>
          </w:tcPr>
          <w:p w14:paraId="1AE37F7C"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0" w:type="dxa"/>
            <w:vAlign w:val="center"/>
          </w:tcPr>
          <w:p w14:paraId="249E7052"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vAlign w:val="center"/>
          </w:tcPr>
          <w:p w14:paraId="6D47BD12"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vAlign w:val="center"/>
          </w:tcPr>
          <w:p w14:paraId="742D6016"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Borders>
              <w:right w:val="single" w:sz="12" w:space="0" w:color="9CC2E5" w:themeColor="accent1" w:themeTint="99"/>
            </w:tcBorders>
            <w:vAlign w:val="center"/>
          </w:tcPr>
          <w:p w14:paraId="0BCC1246"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Borders>
              <w:left w:val="single" w:sz="12" w:space="0" w:color="9CC2E5" w:themeColor="accent1" w:themeTint="99"/>
            </w:tcBorders>
          </w:tcPr>
          <w:p w14:paraId="2EE5B8A9"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Pr>
          <w:p w14:paraId="3DE9EBD5"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Pr>
          <w:p w14:paraId="52092C4F"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9" w:type="dxa"/>
          </w:tcPr>
          <w:p w14:paraId="44F5BC0C" w14:textId="77777777" w:rsidR="00F51974" w:rsidRPr="00284BE8" w:rsidRDefault="00F51974"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84BE8" w:rsidRPr="00284BE8" w14:paraId="1B185E0B" w14:textId="77777777" w:rsidTr="00881DE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3008697"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Nodokļu samaksas termiņa pagarinājumi</w:t>
            </w:r>
          </w:p>
        </w:tc>
        <w:tc>
          <w:tcPr>
            <w:tcW w:w="4967" w:type="dxa"/>
            <w:vAlign w:val="center"/>
          </w:tcPr>
          <w:p w14:paraId="76384444"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84BE8">
              <w:rPr>
                <w:rFonts w:ascii="Times New Roman" w:eastAsia="Calibri" w:hAnsi="Times New Roman" w:cs="Times New Roman"/>
                <w:color w:val="auto"/>
                <w:sz w:val="20"/>
                <w:szCs w:val="20"/>
              </w:rPr>
              <w:t>Krīzes skartie uzņēmēji var lūgt sadalīt vai atlikt nodokļu maksājumus uz laiku līdz 3 gadiem, kā arī piešķirt termiņa pagarinājumu tiem nokavētajiem nodokļu maksājumiem, kuru samaksas termiņš jau ir pagarināts saskaņā ar likumu “Par nodokļiem un nodevām”, ja termiņa kavējums radies Covid-19 rezultātā.</w:t>
            </w:r>
          </w:p>
        </w:tc>
        <w:tc>
          <w:tcPr>
            <w:tcW w:w="850" w:type="dxa"/>
            <w:vAlign w:val="center"/>
          </w:tcPr>
          <w:p w14:paraId="679FD6D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D.2, D.5, D.61</w:t>
            </w:r>
          </w:p>
        </w:tc>
        <w:tc>
          <w:tcPr>
            <w:tcW w:w="1276" w:type="dxa"/>
            <w:vAlign w:val="center"/>
          </w:tcPr>
          <w:p w14:paraId="7A01025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13C3AB7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20.03.2020.</w:t>
            </w:r>
          </w:p>
        </w:tc>
        <w:tc>
          <w:tcPr>
            <w:tcW w:w="850" w:type="dxa"/>
            <w:vAlign w:val="center"/>
          </w:tcPr>
          <w:p w14:paraId="5495780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-236.0</w:t>
            </w:r>
          </w:p>
        </w:tc>
        <w:tc>
          <w:tcPr>
            <w:tcW w:w="709" w:type="dxa"/>
            <w:vAlign w:val="center"/>
          </w:tcPr>
          <w:p w14:paraId="052B6EA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259.7</w:t>
            </w:r>
          </w:p>
        </w:tc>
        <w:tc>
          <w:tcPr>
            <w:tcW w:w="709" w:type="dxa"/>
            <w:vAlign w:val="center"/>
          </w:tcPr>
          <w:p w14:paraId="6E41C88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23.6</w:t>
            </w:r>
          </w:p>
        </w:tc>
        <w:tc>
          <w:tcPr>
            <w:tcW w:w="709" w:type="dxa"/>
            <w:tcBorders>
              <w:right w:val="single" w:sz="12" w:space="0" w:color="9CC2E5" w:themeColor="accent1" w:themeTint="99"/>
            </w:tcBorders>
            <w:vAlign w:val="center"/>
          </w:tcPr>
          <w:p w14:paraId="6CB6A92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47.3</w:t>
            </w:r>
          </w:p>
        </w:tc>
        <w:tc>
          <w:tcPr>
            <w:tcW w:w="709" w:type="dxa"/>
            <w:tcBorders>
              <w:left w:val="single" w:sz="12" w:space="0" w:color="9CC2E5" w:themeColor="accent1" w:themeTint="99"/>
            </w:tcBorders>
            <w:vAlign w:val="center"/>
          </w:tcPr>
          <w:p w14:paraId="3684FDC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-0.8</w:t>
            </w:r>
          </w:p>
        </w:tc>
        <w:tc>
          <w:tcPr>
            <w:tcW w:w="709" w:type="dxa"/>
            <w:vAlign w:val="center"/>
          </w:tcPr>
          <w:p w14:paraId="2708EB2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0.9</w:t>
            </w:r>
          </w:p>
        </w:tc>
        <w:tc>
          <w:tcPr>
            <w:tcW w:w="709" w:type="dxa"/>
            <w:vAlign w:val="center"/>
          </w:tcPr>
          <w:p w14:paraId="1C31F68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0.1</w:t>
            </w:r>
          </w:p>
        </w:tc>
        <w:tc>
          <w:tcPr>
            <w:tcW w:w="709" w:type="dxa"/>
            <w:vAlign w:val="center"/>
          </w:tcPr>
          <w:p w14:paraId="43CC990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0.1</w:t>
            </w:r>
          </w:p>
        </w:tc>
      </w:tr>
      <w:tr w:rsidR="00284BE8" w:rsidRPr="00284BE8" w14:paraId="1DDCC65F" w14:textId="77777777" w:rsidTr="00881DE6">
        <w:trPr>
          <w:trHeight w:val="265"/>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0DC8911"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IIN avansa maksājumu atcelšana</w:t>
            </w:r>
          </w:p>
        </w:tc>
        <w:tc>
          <w:tcPr>
            <w:tcW w:w="4967" w:type="dxa"/>
            <w:vAlign w:val="center"/>
          </w:tcPr>
          <w:p w14:paraId="77830612" w14:textId="11E681D2"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IIN maksātājs par 2020. taksācijas gadu neveic IIN avansa maksājumus no saimnieciskās darbības ienākuma. Nosacījums attiecināms uz avansa maksājumiem</w:t>
            </w:r>
            <w:r w:rsidR="00C15562">
              <w:rPr>
                <w:rFonts w:ascii="Times New Roman" w:eastAsia="Calibri" w:hAnsi="Times New Roman" w:cs="Times New Roman"/>
                <w:color w:val="auto"/>
                <w:sz w:val="20"/>
                <w:szCs w:val="20"/>
              </w:rPr>
              <w:t>, sākot ar 2020.gada 1.</w:t>
            </w:r>
            <w:r w:rsidRPr="00284BE8">
              <w:rPr>
                <w:rFonts w:ascii="Times New Roman" w:eastAsia="Calibri" w:hAnsi="Times New Roman" w:cs="Times New Roman"/>
                <w:color w:val="auto"/>
                <w:sz w:val="20"/>
                <w:szCs w:val="20"/>
              </w:rPr>
              <w:t>janvāri. IIN avansa maksājumus par 2020. taksācijas gadu var veikt labprātīgi.</w:t>
            </w:r>
          </w:p>
        </w:tc>
        <w:tc>
          <w:tcPr>
            <w:tcW w:w="850" w:type="dxa"/>
            <w:vAlign w:val="center"/>
          </w:tcPr>
          <w:p w14:paraId="788CE9E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D.5</w:t>
            </w:r>
          </w:p>
        </w:tc>
        <w:tc>
          <w:tcPr>
            <w:tcW w:w="1276" w:type="dxa"/>
            <w:vAlign w:val="center"/>
          </w:tcPr>
          <w:p w14:paraId="50F55AF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6FB09EA8" w14:textId="77777777" w:rsidR="00284BE8" w:rsidRPr="00284BE8" w:rsidRDefault="00284BE8" w:rsidP="00284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84BE8">
              <w:rPr>
                <w:rFonts w:ascii="Times New Roman" w:hAnsi="Times New Roman" w:cs="Times New Roman"/>
                <w:color w:val="auto"/>
                <w:sz w:val="20"/>
                <w:szCs w:val="20"/>
              </w:rPr>
              <w:t>20.03.2020.</w:t>
            </w:r>
          </w:p>
        </w:tc>
        <w:tc>
          <w:tcPr>
            <w:tcW w:w="850" w:type="dxa"/>
            <w:vAlign w:val="center"/>
          </w:tcPr>
          <w:p w14:paraId="65C391C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-35.0</w:t>
            </w:r>
          </w:p>
        </w:tc>
        <w:tc>
          <w:tcPr>
            <w:tcW w:w="709" w:type="dxa"/>
            <w:vAlign w:val="center"/>
          </w:tcPr>
          <w:p w14:paraId="1ABD98E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70.0</w:t>
            </w:r>
          </w:p>
        </w:tc>
        <w:tc>
          <w:tcPr>
            <w:tcW w:w="709" w:type="dxa"/>
            <w:vAlign w:val="center"/>
          </w:tcPr>
          <w:p w14:paraId="76A0970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-35.0</w:t>
            </w:r>
          </w:p>
        </w:tc>
        <w:tc>
          <w:tcPr>
            <w:tcW w:w="709" w:type="dxa"/>
            <w:tcBorders>
              <w:right w:val="single" w:sz="12" w:space="0" w:color="9CC2E5" w:themeColor="accent1" w:themeTint="99"/>
            </w:tcBorders>
            <w:vAlign w:val="center"/>
          </w:tcPr>
          <w:p w14:paraId="09D007E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0CCCAAC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-0.1</w:t>
            </w:r>
          </w:p>
        </w:tc>
        <w:tc>
          <w:tcPr>
            <w:tcW w:w="709" w:type="dxa"/>
            <w:vAlign w:val="center"/>
          </w:tcPr>
          <w:p w14:paraId="22BF3C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0.2</w:t>
            </w:r>
          </w:p>
        </w:tc>
        <w:tc>
          <w:tcPr>
            <w:tcW w:w="709" w:type="dxa"/>
            <w:vAlign w:val="center"/>
          </w:tcPr>
          <w:p w14:paraId="1D75501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-0.1</w:t>
            </w:r>
          </w:p>
        </w:tc>
        <w:tc>
          <w:tcPr>
            <w:tcW w:w="709" w:type="dxa"/>
            <w:vAlign w:val="center"/>
          </w:tcPr>
          <w:p w14:paraId="388D3FF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r>
      <w:tr w:rsidR="00284BE8" w:rsidRPr="00284BE8" w14:paraId="393A866A" w14:textId="77777777" w:rsidTr="00881DE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9B2EED9"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Pārmaksātā PVN atmaksa 30 dienu laikā</w:t>
            </w:r>
          </w:p>
        </w:tc>
        <w:tc>
          <w:tcPr>
            <w:tcW w:w="4967" w:type="dxa"/>
            <w:vAlign w:val="center"/>
          </w:tcPr>
          <w:p w14:paraId="2081C77C"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PVN pārmaksas tiek izskatītas un atmaksātas visiem nodokļu maksātajiem 30 dienu laikā, tās neuzkrājot līdz taksācijas gada beigām; normas spēkā stāšanās - 2020.gada 1.aprīlis.</w:t>
            </w:r>
          </w:p>
        </w:tc>
        <w:tc>
          <w:tcPr>
            <w:tcW w:w="850" w:type="dxa"/>
            <w:vAlign w:val="center"/>
          </w:tcPr>
          <w:p w14:paraId="2DCEB2E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D.2</w:t>
            </w:r>
          </w:p>
        </w:tc>
        <w:tc>
          <w:tcPr>
            <w:tcW w:w="1276" w:type="dxa"/>
            <w:vAlign w:val="center"/>
          </w:tcPr>
          <w:p w14:paraId="6DB2B72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7C299F4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20.03.2020.</w:t>
            </w:r>
          </w:p>
        </w:tc>
        <w:tc>
          <w:tcPr>
            <w:tcW w:w="850" w:type="dxa"/>
            <w:vAlign w:val="center"/>
          </w:tcPr>
          <w:p w14:paraId="63D0122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-60.0</w:t>
            </w:r>
          </w:p>
        </w:tc>
        <w:tc>
          <w:tcPr>
            <w:tcW w:w="709" w:type="dxa"/>
            <w:vAlign w:val="center"/>
          </w:tcPr>
          <w:p w14:paraId="405628C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60.0</w:t>
            </w:r>
          </w:p>
        </w:tc>
        <w:tc>
          <w:tcPr>
            <w:tcW w:w="709" w:type="dxa"/>
            <w:vAlign w:val="center"/>
          </w:tcPr>
          <w:p w14:paraId="446751B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4AB73AF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725CF86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-0.2</w:t>
            </w:r>
          </w:p>
        </w:tc>
        <w:tc>
          <w:tcPr>
            <w:tcW w:w="709" w:type="dxa"/>
            <w:vAlign w:val="center"/>
          </w:tcPr>
          <w:p w14:paraId="73B1905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0.2</w:t>
            </w:r>
          </w:p>
        </w:tc>
        <w:tc>
          <w:tcPr>
            <w:tcW w:w="709" w:type="dxa"/>
            <w:vAlign w:val="center"/>
          </w:tcPr>
          <w:p w14:paraId="7DFBDB4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c>
          <w:tcPr>
            <w:tcW w:w="709" w:type="dxa"/>
            <w:vAlign w:val="center"/>
          </w:tcPr>
          <w:p w14:paraId="42184C7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rPr>
              <w:t>0.0</w:t>
            </w:r>
          </w:p>
        </w:tc>
      </w:tr>
      <w:tr w:rsidR="00284BE8" w:rsidRPr="00284BE8" w14:paraId="0B60855E" w14:textId="77777777" w:rsidTr="00881DE6">
        <w:trPr>
          <w:trHeight w:val="255"/>
          <w:jc w:val="center"/>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5435CCA"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NĪN samaksas termiņu pagarināšana</w:t>
            </w:r>
          </w:p>
        </w:tc>
        <w:tc>
          <w:tcPr>
            <w:tcW w:w="4967" w:type="dxa"/>
            <w:vAlign w:val="center"/>
          </w:tcPr>
          <w:p w14:paraId="544B6169"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Pašvaldībām ir tiesības noteikt no likuma “Par nekustamā īpašumu nodokli” atšķirīgus nodokļa nomaksas termiņus, tos pārceļot uz vēlāku laiku.</w:t>
            </w:r>
          </w:p>
        </w:tc>
        <w:tc>
          <w:tcPr>
            <w:tcW w:w="850" w:type="dxa"/>
            <w:vAlign w:val="center"/>
          </w:tcPr>
          <w:p w14:paraId="6AE4E38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D.5</w:t>
            </w:r>
          </w:p>
        </w:tc>
        <w:tc>
          <w:tcPr>
            <w:tcW w:w="1276" w:type="dxa"/>
            <w:vAlign w:val="center"/>
          </w:tcPr>
          <w:p w14:paraId="69FA22A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3C0FAAA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20.03.2020.</w:t>
            </w:r>
          </w:p>
        </w:tc>
        <w:tc>
          <w:tcPr>
            <w:tcW w:w="850" w:type="dxa"/>
            <w:vAlign w:val="center"/>
          </w:tcPr>
          <w:p w14:paraId="401257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1AA848E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45006AD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3C0F1C5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2ABFCAF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1ADB366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66C22BB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4213C45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r>
      <w:tr w:rsidR="00F51974" w:rsidRPr="00284BE8" w14:paraId="51151984" w14:textId="77777777" w:rsidTr="00881DE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63" w:type="dxa"/>
            <w:gridSpan w:val="2"/>
            <w:vAlign w:val="center"/>
            <w:hideMark/>
          </w:tcPr>
          <w:p w14:paraId="5B24ECFC" w14:textId="01F09445" w:rsidR="00F51974" w:rsidRPr="00284BE8" w:rsidRDefault="00F51974" w:rsidP="00F51974">
            <w:pPr>
              <w:rPr>
                <w:rFonts w:ascii="Times New Roman" w:eastAsia="Calibri" w:hAnsi="Times New Roman" w:cs="Times New Roman"/>
                <w:sz w:val="20"/>
                <w:szCs w:val="20"/>
              </w:rPr>
            </w:pPr>
            <w:r w:rsidRPr="00F51974">
              <w:rPr>
                <w:rFonts w:ascii="Times New Roman" w:eastAsia="Calibri" w:hAnsi="Times New Roman" w:cs="Times New Roman"/>
                <w:snapToGrid w:val="0"/>
                <w:color w:val="auto"/>
                <w:sz w:val="20"/>
                <w:szCs w:val="20"/>
              </w:rPr>
              <w:t>2. Atbalsts pabalstu jomā</w:t>
            </w:r>
          </w:p>
        </w:tc>
        <w:tc>
          <w:tcPr>
            <w:tcW w:w="850" w:type="dxa"/>
            <w:vAlign w:val="center"/>
          </w:tcPr>
          <w:p w14:paraId="32A45A49"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1276" w:type="dxa"/>
            <w:vAlign w:val="center"/>
          </w:tcPr>
          <w:p w14:paraId="66287B15"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0" w:type="dxa"/>
            <w:vAlign w:val="center"/>
          </w:tcPr>
          <w:p w14:paraId="3A06C94B"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09" w:type="dxa"/>
            <w:vAlign w:val="center"/>
          </w:tcPr>
          <w:p w14:paraId="316514F8"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09" w:type="dxa"/>
            <w:vAlign w:val="center"/>
          </w:tcPr>
          <w:p w14:paraId="0DE235F4"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09" w:type="dxa"/>
            <w:tcBorders>
              <w:right w:val="single" w:sz="12" w:space="0" w:color="9CC2E5" w:themeColor="accent1" w:themeTint="99"/>
            </w:tcBorders>
            <w:vAlign w:val="center"/>
          </w:tcPr>
          <w:p w14:paraId="3A3C8C89"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09" w:type="dxa"/>
            <w:tcBorders>
              <w:left w:val="single" w:sz="12" w:space="0" w:color="9CC2E5" w:themeColor="accent1" w:themeTint="99"/>
            </w:tcBorders>
          </w:tcPr>
          <w:p w14:paraId="3FE834C4"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9" w:type="dxa"/>
          </w:tcPr>
          <w:p w14:paraId="4A3D2A9B"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9" w:type="dxa"/>
          </w:tcPr>
          <w:p w14:paraId="27984943"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9" w:type="dxa"/>
          </w:tcPr>
          <w:p w14:paraId="183F57B9"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84BE8" w:rsidRPr="00284BE8" w14:paraId="408D2413" w14:textId="77777777" w:rsidTr="00881DE6">
        <w:trPr>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180B778"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Pabalsts ģimenēm (personai) krīzes situācijā</w:t>
            </w:r>
          </w:p>
        </w:tc>
        <w:tc>
          <w:tcPr>
            <w:tcW w:w="4967" w:type="dxa"/>
            <w:vAlign w:val="center"/>
          </w:tcPr>
          <w:p w14:paraId="320B3A41"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Valsts budžeta mērķdotācijas pašvaldībām. Pašvaldība piešķirs ģimenei (personai) pabalstu krīzes situācijā, pamatojoties uz ārkārtējo situāciju, ja ģimenei (personai) nav ienākumu, ir radušies papildus izdevumi, ko tā pati nespēj segt, atrodoties pašizolācijā vai ir atradusies karantīnā un tai nav iztikas līdzekļu (50 procentu apmērā no ģimenei (personai) izmaksātā pabalsta krīzes situācijā, bet ne vairāk kā 40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xml:space="preserve"> mēnesī vienai personai triju mēnešu periodā).</w:t>
            </w:r>
          </w:p>
        </w:tc>
        <w:tc>
          <w:tcPr>
            <w:tcW w:w="850" w:type="dxa"/>
            <w:vAlign w:val="center"/>
          </w:tcPr>
          <w:p w14:paraId="73C6AA4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277F376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567CC9D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20.03.2020.</w:t>
            </w:r>
          </w:p>
          <w:p w14:paraId="0C577CF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16.04.2020.</w:t>
            </w:r>
          </w:p>
        </w:tc>
        <w:tc>
          <w:tcPr>
            <w:tcW w:w="850" w:type="dxa"/>
            <w:vAlign w:val="center"/>
          </w:tcPr>
          <w:p w14:paraId="1361FD5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09" w:type="dxa"/>
            <w:vAlign w:val="center"/>
          </w:tcPr>
          <w:p w14:paraId="3141359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09" w:type="dxa"/>
            <w:vAlign w:val="center"/>
          </w:tcPr>
          <w:p w14:paraId="2DB0EDA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779990F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595BD64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3339688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3C6C802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297D21F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04E3247A" w14:textId="77777777" w:rsidTr="00881DE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1ADC5D9"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Piemaksa pabalstam par apgādībā esošu bērnu</w:t>
            </w:r>
          </w:p>
        </w:tc>
        <w:tc>
          <w:tcPr>
            <w:tcW w:w="4967" w:type="dxa"/>
            <w:vAlign w:val="center"/>
          </w:tcPr>
          <w:p w14:paraId="028BBA40"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Valsts budžeta mērķdotācijas pašvaldībām. Pašvaldība piešķirs pabalstu ārkārtējās situācijas laikā, un vienu kalendāra mēnesi pēc ārkārtējās situācijas beigām, ko valsts kompensēs pašvaldībām 100 procentu apmērā (par piemaksu pabalstam krīzes situācijā par apgādībā esošu bērnu 50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xml:space="preserve"> apmērā).</w:t>
            </w:r>
          </w:p>
        </w:tc>
        <w:tc>
          <w:tcPr>
            <w:tcW w:w="850" w:type="dxa"/>
            <w:vAlign w:val="center"/>
          </w:tcPr>
          <w:p w14:paraId="4574E75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30DCE1E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24D233A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16.04.2020.</w:t>
            </w:r>
          </w:p>
        </w:tc>
        <w:tc>
          <w:tcPr>
            <w:tcW w:w="850" w:type="dxa"/>
            <w:vAlign w:val="center"/>
          </w:tcPr>
          <w:p w14:paraId="2F1563D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-1.4</w:t>
            </w:r>
          </w:p>
        </w:tc>
        <w:tc>
          <w:tcPr>
            <w:tcW w:w="709" w:type="dxa"/>
            <w:vAlign w:val="center"/>
          </w:tcPr>
          <w:p w14:paraId="62A5045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1.4</w:t>
            </w:r>
          </w:p>
        </w:tc>
        <w:tc>
          <w:tcPr>
            <w:tcW w:w="709" w:type="dxa"/>
            <w:vAlign w:val="center"/>
          </w:tcPr>
          <w:p w14:paraId="6FA3EBB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7E95FC0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5AF3909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4CFF7D5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0077AC0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0A0F37F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43ABBCD7" w14:textId="77777777" w:rsidTr="00881DE6">
        <w:trPr>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8FB1335"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Slimības pabalsta apmaksa no valsts budžeta no 2.dienas</w:t>
            </w:r>
          </w:p>
        </w:tc>
        <w:tc>
          <w:tcPr>
            <w:tcW w:w="4967" w:type="dxa"/>
            <w:vAlign w:val="center"/>
          </w:tcPr>
          <w:p w14:paraId="731CA0E5" w14:textId="02CDCF6E"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Personai, kurai tiek izsniegta darbnespējas lapa par Covid-19 vai atrašanos karantīnā no </w:t>
            </w:r>
            <w:r w:rsidR="00C15562">
              <w:rPr>
                <w:rFonts w:ascii="Times New Roman" w:eastAsia="Calibri" w:hAnsi="Times New Roman" w:cs="Times New Roman"/>
                <w:snapToGrid w:val="0"/>
                <w:color w:val="auto"/>
                <w:sz w:val="20"/>
                <w:szCs w:val="20"/>
              </w:rPr>
              <w:t>2020.gada 22.marta līdz 2020.gada 30.</w:t>
            </w:r>
            <w:r w:rsidRPr="00284BE8">
              <w:rPr>
                <w:rFonts w:ascii="Times New Roman" w:eastAsia="Calibri" w:hAnsi="Times New Roman" w:cs="Times New Roman"/>
                <w:snapToGrid w:val="0"/>
                <w:color w:val="auto"/>
                <w:sz w:val="20"/>
                <w:szCs w:val="20"/>
              </w:rPr>
              <w:t>jūnijam, slimības pabalstu piešķir un izmaksā par laiku no darbnespējas otrās dienas  (80% apmērā no vidējās apdrošināšanas iemaksu algas).</w:t>
            </w:r>
          </w:p>
        </w:tc>
        <w:tc>
          <w:tcPr>
            <w:tcW w:w="850" w:type="dxa"/>
            <w:vAlign w:val="center"/>
          </w:tcPr>
          <w:p w14:paraId="2C55621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D.632, D.62</w:t>
            </w:r>
          </w:p>
        </w:tc>
        <w:tc>
          <w:tcPr>
            <w:tcW w:w="1276" w:type="dxa"/>
            <w:vAlign w:val="center"/>
          </w:tcPr>
          <w:p w14:paraId="62A02BE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35C1DF5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20.03.2020.</w:t>
            </w:r>
          </w:p>
        </w:tc>
        <w:tc>
          <w:tcPr>
            <w:tcW w:w="850" w:type="dxa"/>
            <w:vAlign w:val="center"/>
          </w:tcPr>
          <w:p w14:paraId="69A1E7F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-86.3</w:t>
            </w:r>
          </w:p>
        </w:tc>
        <w:tc>
          <w:tcPr>
            <w:tcW w:w="709" w:type="dxa"/>
            <w:vAlign w:val="center"/>
          </w:tcPr>
          <w:p w14:paraId="034BF28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86.3</w:t>
            </w:r>
          </w:p>
        </w:tc>
        <w:tc>
          <w:tcPr>
            <w:tcW w:w="709" w:type="dxa"/>
            <w:vAlign w:val="center"/>
          </w:tcPr>
          <w:p w14:paraId="13A2EC3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6C4C0FE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3D0A3A2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709" w:type="dxa"/>
            <w:vAlign w:val="center"/>
          </w:tcPr>
          <w:p w14:paraId="4C65B71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w:t>
            </w:r>
          </w:p>
        </w:tc>
        <w:tc>
          <w:tcPr>
            <w:tcW w:w="709" w:type="dxa"/>
            <w:vAlign w:val="center"/>
          </w:tcPr>
          <w:p w14:paraId="752EE8A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239FC74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0BDA2141" w14:textId="77777777" w:rsidTr="00881DE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E784EBC"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Dīkstāves pabalsti</w:t>
            </w:r>
          </w:p>
        </w:tc>
        <w:tc>
          <w:tcPr>
            <w:tcW w:w="4967" w:type="dxa"/>
            <w:vAlign w:val="center"/>
          </w:tcPr>
          <w:p w14:paraId="587158D6"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Darbinieka atlīdzība dīkstāves gadījumā tiek kompensēta no valsts budžeta 75% apmērā no darbinieka sešu mēnešu vidējās atlīdzības (līdz 700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xml:space="preserve">). Atbalsts pašnodarbinātām personām (75%, līdz 700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vai autoratlīdzības saņēmējiem vai mikrouzņēmumu nodokļa maksātājiem (50%, līdz 700</w:t>
            </w:r>
            <w:r w:rsidRPr="00C15562">
              <w:rPr>
                <w:rFonts w:ascii="Times New Roman" w:eastAsia="Calibri" w:hAnsi="Times New Roman" w:cs="Times New Roman"/>
                <w:i/>
                <w:snapToGrid w:val="0"/>
                <w:color w:val="auto"/>
                <w:sz w:val="20"/>
                <w:szCs w:val="20"/>
              </w:rPr>
              <w:t xml:space="preserve"> euro</w:t>
            </w:r>
            <w:r w:rsidRPr="00284BE8">
              <w:rPr>
                <w:rFonts w:ascii="Times New Roman" w:eastAsia="Calibri" w:hAnsi="Times New Roman" w:cs="Times New Roman"/>
                <w:snapToGrid w:val="0"/>
                <w:color w:val="auto"/>
                <w:sz w:val="20"/>
                <w:szCs w:val="20"/>
              </w:rPr>
              <w:t>), kuri dīkstāves periodā nav guvušas ienākumus no saimnieciskās darbības.</w:t>
            </w:r>
          </w:p>
        </w:tc>
        <w:tc>
          <w:tcPr>
            <w:tcW w:w="850" w:type="dxa"/>
            <w:vAlign w:val="center"/>
          </w:tcPr>
          <w:p w14:paraId="0F6A021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70DE882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241A975D"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26.03.2020.</w:t>
            </w:r>
          </w:p>
          <w:p w14:paraId="2B2D980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31.03.2020.</w:t>
            </w:r>
          </w:p>
          <w:p w14:paraId="0F2E758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02.04.2020.</w:t>
            </w:r>
          </w:p>
          <w:p w14:paraId="045F70D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09.04.2020.</w:t>
            </w:r>
          </w:p>
        </w:tc>
        <w:tc>
          <w:tcPr>
            <w:tcW w:w="850" w:type="dxa"/>
            <w:vAlign w:val="center"/>
          </w:tcPr>
          <w:p w14:paraId="5C79D0A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-30.0</w:t>
            </w:r>
          </w:p>
        </w:tc>
        <w:tc>
          <w:tcPr>
            <w:tcW w:w="709" w:type="dxa"/>
            <w:vAlign w:val="center"/>
          </w:tcPr>
          <w:p w14:paraId="4846BF5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30.0</w:t>
            </w:r>
          </w:p>
        </w:tc>
        <w:tc>
          <w:tcPr>
            <w:tcW w:w="709" w:type="dxa"/>
            <w:vAlign w:val="center"/>
          </w:tcPr>
          <w:p w14:paraId="5D26F4D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3A8C01E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2832937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-0.1</w:t>
            </w:r>
          </w:p>
        </w:tc>
        <w:tc>
          <w:tcPr>
            <w:tcW w:w="709" w:type="dxa"/>
            <w:vAlign w:val="center"/>
          </w:tcPr>
          <w:p w14:paraId="374F7F0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0.1</w:t>
            </w:r>
          </w:p>
        </w:tc>
        <w:tc>
          <w:tcPr>
            <w:tcW w:w="709" w:type="dxa"/>
            <w:vAlign w:val="center"/>
          </w:tcPr>
          <w:p w14:paraId="7FC886E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4AED476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20067F93" w14:textId="77777777" w:rsidTr="00881DE6">
        <w:trPr>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3A695E"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Darbiniekiem piemaksa pie dīkstāves pabalsta par bērniem</w:t>
            </w:r>
          </w:p>
        </w:tc>
        <w:tc>
          <w:tcPr>
            <w:tcW w:w="4967" w:type="dxa"/>
            <w:vAlign w:val="center"/>
          </w:tcPr>
          <w:p w14:paraId="3DE9222D"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 xml:space="preserve">Darbiniekam, kurš saņem dīkstāves pabalstu, piemaksa 50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xml:space="preserve"> apmērā par katru apgādībā esošu bērnu vecumā līdz 24 gadiem, par kuru darbiniekam uz dīkstāves pabalsta piešķiršanas dienu tiek piemērots IIN atvieglojums.</w:t>
            </w:r>
          </w:p>
        </w:tc>
        <w:tc>
          <w:tcPr>
            <w:tcW w:w="850" w:type="dxa"/>
            <w:vAlign w:val="center"/>
          </w:tcPr>
          <w:p w14:paraId="33D0E8D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70809D4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111E703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16.04.2020.</w:t>
            </w:r>
          </w:p>
        </w:tc>
        <w:tc>
          <w:tcPr>
            <w:tcW w:w="850" w:type="dxa"/>
            <w:vAlign w:val="center"/>
          </w:tcPr>
          <w:p w14:paraId="57C44D3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09" w:type="dxa"/>
            <w:vAlign w:val="center"/>
          </w:tcPr>
          <w:p w14:paraId="20D22EC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2.9</w:t>
            </w:r>
          </w:p>
        </w:tc>
        <w:tc>
          <w:tcPr>
            <w:tcW w:w="709" w:type="dxa"/>
            <w:vAlign w:val="center"/>
          </w:tcPr>
          <w:p w14:paraId="3A58C02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79CFDB9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36296BF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6E1F5FF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44B11E8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59EE24C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23902E3F" w14:textId="77777777" w:rsidTr="00881DE6">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458FF99"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Tiesības uz bezdarbnieka statusu patentmaksas un mikrouzņēmuma nodokļa maksātājiem</w:t>
            </w:r>
          </w:p>
        </w:tc>
        <w:tc>
          <w:tcPr>
            <w:tcW w:w="4967" w:type="dxa"/>
            <w:vAlign w:val="center"/>
          </w:tcPr>
          <w:p w14:paraId="55525836" w14:textId="4724EADF" w:rsidR="00284BE8" w:rsidRPr="00284BE8" w:rsidRDefault="00284BE8" w:rsidP="00291A3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Līdz 2020.gada 31.decembrim tiesības uz bezdarbnieka statusu, ir arī personai, kura zaudējusi darba ņēmēja statusu un uz darba ņēmēja statusa zaudēšanas dienu ir reģistrēta kā patentmaksas maksātājs, mikrouzņēmuma darbinieks, kas ir mikrouzņēmuma  īpašnieks vai pašnodarbinātais, kurš ir izvēlējies mikrouzņēmuma nodokļa nomaksu, un kuras ienākumi mēnesī šajā darbības jomā nesasniedz M</w:t>
            </w:r>
            <w:r w:rsidR="00291A3B">
              <w:rPr>
                <w:rFonts w:ascii="Times New Roman" w:eastAsia="Calibri" w:hAnsi="Times New Roman" w:cs="Times New Roman"/>
                <w:snapToGrid w:val="0"/>
                <w:color w:val="auto"/>
                <w:sz w:val="20"/>
                <w:szCs w:val="20"/>
              </w:rPr>
              <w:t xml:space="preserve">K </w:t>
            </w:r>
            <w:r w:rsidRPr="00284BE8">
              <w:rPr>
                <w:rFonts w:ascii="Times New Roman" w:eastAsia="Calibri" w:hAnsi="Times New Roman" w:cs="Times New Roman"/>
                <w:snapToGrid w:val="0"/>
                <w:color w:val="auto"/>
                <w:sz w:val="20"/>
                <w:szCs w:val="20"/>
              </w:rPr>
              <w:t xml:space="preserve">noteiktās minimālās mēneša darba alga apmēru.  </w:t>
            </w:r>
          </w:p>
        </w:tc>
        <w:tc>
          <w:tcPr>
            <w:tcW w:w="850" w:type="dxa"/>
            <w:vAlign w:val="center"/>
          </w:tcPr>
          <w:p w14:paraId="530F025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D.632, D.62</w:t>
            </w:r>
          </w:p>
        </w:tc>
        <w:tc>
          <w:tcPr>
            <w:tcW w:w="1276" w:type="dxa"/>
            <w:vAlign w:val="center"/>
          </w:tcPr>
          <w:p w14:paraId="01D9543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09818E7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09.04.2020.</w:t>
            </w:r>
          </w:p>
        </w:tc>
        <w:tc>
          <w:tcPr>
            <w:tcW w:w="850" w:type="dxa"/>
            <w:vAlign w:val="center"/>
          </w:tcPr>
          <w:p w14:paraId="4A42363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-1.4</w:t>
            </w:r>
          </w:p>
        </w:tc>
        <w:tc>
          <w:tcPr>
            <w:tcW w:w="709" w:type="dxa"/>
            <w:vAlign w:val="center"/>
          </w:tcPr>
          <w:p w14:paraId="69265FB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1.4</w:t>
            </w:r>
          </w:p>
        </w:tc>
        <w:tc>
          <w:tcPr>
            <w:tcW w:w="709" w:type="dxa"/>
            <w:vAlign w:val="center"/>
          </w:tcPr>
          <w:p w14:paraId="0032E38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3B50333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0EC8EDF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4D5EEF8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4E1902F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3093722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284BE8" w:rsidRPr="00284BE8" w14:paraId="6E4F9E53" w14:textId="77777777" w:rsidTr="00881DE6">
        <w:trPr>
          <w:trHeight w:val="273"/>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D4AF110"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Pagarināts vecāku pabalstu saņemšanas termiņš</w:t>
            </w:r>
          </w:p>
        </w:tc>
        <w:tc>
          <w:tcPr>
            <w:tcW w:w="4967" w:type="dxa"/>
            <w:vAlign w:val="center"/>
          </w:tcPr>
          <w:p w14:paraId="6F0EEC45" w14:textId="020806B9"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Personai, kurai piešķirtā pabalsta periods beidzas laikā, kad izsludināta ārkārtējā situācija, un kura nevar atgriezties darbā, var pieprasīt piešķirtā pabalsta turpinājuma izmaksu pēc tam, kad bērns sasniedz viena gada vai pusotra gada vecumu. P</w:t>
            </w:r>
            <w:r w:rsidR="00C15562">
              <w:rPr>
                <w:rFonts w:ascii="Times New Roman" w:eastAsia="Calibri" w:hAnsi="Times New Roman" w:cs="Times New Roman"/>
                <w:snapToGrid w:val="0"/>
                <w:color w:val="auto"/>
                <w:sz w:val="20"/>
                <w:szCs w:val="20"/>
              </w:rPr>
              <w:t>ar periodu no 2020.gada 12.</w:t>
            </w:r>
            <w:r w:rsidRPr="00284BE8">
              <w:rPr>
                <w:rFonts w:ascii="Times New Roman" w:eastAsia="Calibri" w:hAnsi="Times New Roman" w:cs="Times New Roman"/>
                <w:snapToGrid w:val="0"/>
                <w:color w:val="auto"/>
                <w:sz w:val="20"/>
                <w:szCs w:val="20"/>
              </w:rPr>
              <w:t xml:space="preserve">marta līdz dienai, kad persona sāk gūt ienākumus kā darba ņēmējs vai pašnodarbinātais, bet ne ilgāk kā līdz sakarā ar Covid-19 izsludinātās ārkārtējās situācijas beigām (līdz 700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w:t>
            </w:r>
          </w:p>
        </w:tc>
        <w:tc>
          <w:tcPr>
            <w:tcW w:w="850" w:type="dxa"/>
            <w:vAlign w:val="center"/>
          </w:tcPr>
          <w:p w14:paraId="2A8AFDD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3138F4CD"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7114323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09.04.2020.</w:t>
            </w:r>
          </w:p>
        </w:tc>
        <w:tc>
          <w:tcPr>
            <w:tcW w:w="850" w:type="dxa"/>
            <w:vAlign w:val="center"/>
          </w:tcPr>
          <w:p w14:paraId="2ED653D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-6.3</w:t>
            </w:r>
          </w:p>
        </w:tc>
        <w:tc>
          <w:tcPr>
            <w:tcW w:w="709" w:type="dxa"/>
            <w:vAlign w:val="center"/>
          </w:tcPr>
          <w:p w14:paraId="6F5B81C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6.3</w:t>
            </w:r>
          </w:p>
        </w:tc>
        <w:tc>
          <w:tcPr>
            <w:tcW w:w="709" w:type="dxa"/>
            <w:vAlign w:val="center"/>
          </w:tcPr>
          <w:p w14:paraId="248E6FE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0766FAC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14AEAD2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0C35B8B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03FC0E83"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c>
          <w:tcPr>
            <w:tcW w:w="709" w:type="dxa"/>
            <w:vAlign w:val="center"/>
          </w:tcPr>
          <w:p w14:paraId="77C57CB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0.0</w:t>
            </w:r>
          </w:p>
        </w:tc>
      </w:tr>
      <w:tr w:rsidR="00F51974" w:rsidRPr="00284BE8" w14:paraId="06F60602" w14:textId="77777777" w:rsidTr="00881DE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663" w:type="dxa"/>
            <w:gridSpan w:val="2"/>
            <w:vAlign w:val="center"/>
            <w:hideMark/>
          </w:tcPr>
          <w:p w14:paraId="7E104A99" w14:textId="4852392B" w:rsidR="00F51974" w:rsidRPr="00284BE8" w:rsidRDefault="00F51974" w:rsidP="00F51974">
            <w:pPr>
              <w:rPr>
                <w:rFonts w:ascii="Times New Roman" w:eastAsia="Calibri" w:hAnsi="Times New Roman" w:cs="Times New Roman"/>
                <w:sz w:val="20"/>
                <w:szCs w:val="20"/>
              </w:rPr>
            </w:pPr>
            <w:r w:rsidRPr="00F51974">
              <w:rPr>
                <w:rFonts w:ascii="Times New Roman" w:eastAsia="Calibri" w:hAnsi="Times New Roman" w:cs="Times New Roman"/>
                <w:snapToGrid w:val="0"/>
                <w:color w:val="auto"/>
                <w:sz w:val="20"/>
                <w:szCs w:val="20"/>
              </w:rPr>
              <w:t>3. Atbalsts aizdevumu un garantiju jomā</w:t>
            </w:r>
          </w:p>
        </w:tc>
        <w:tc>
          <w:tcPr>
            <w:tcW w:w="850" w:type="dxa"/>
            <w:vAlign w:val="center"/>
          </w:tcPr>
          <w:p w14:paraId="520ACD63"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1276" w:type="dxa"/>
            <w:vAlign w:val="center"/>
          </w:tcPr>
          <w:p w14:paraId="037627E9"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850" w:type="dxa"/>
            <w:vAlign w:val="center"/>
          </w:tcPr>
          <w:p w14:paraId="66E5BA0F"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709" w:type="dxa"/>
            <w:vAlign w:val="center"/>
          </w:tcPr>
          <w:p w14:paraId="161FB5EE"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709" w:type="dxa"/>
            <w:vAlign w:val="center"/>
          </w:tcPr>
          <w:p w14:paraId="59933530"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709" w:type="dxa"/>
            <w:tcBorders>
              <w:right w:val="single" w:sz="12" w:space="0" w:color="9CC2E5" w:themeColor="accent1" w:themeTint="99"/>
            </w:tcBorders>
            <w:vAlign w:val="center"/>
          </w:tcPr>
          <w:p w14:paraId="7F6C6872"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p>
        </w:tc>
        <w:tc>
          <w:tcPr>
            <w:tcW w:w="709" w:type="dxa"/>
            <w:tcBorders>
              <w:left w:val="single" w:sz="12" w:space="0" w:color="9CC2E5" w:themeColor="accent1" w:themeTint="99"/>
            </w:tcBorders>
          </w:tcPr>
          <w:p w14:paraId="7CEFE0D6"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709" w:type="dxa"/>
          </w:tcPr>
          <w:p w14:paraId="199162A9"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709" w:type="dxa"/>
          </w:tcPr>
          <w:p w14:paraId="7982BD0A"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709" w:type="dxa"/>
          </w:tcPr>
          <w:p w14:paraId="279B2C0F"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284BE8" w:rsidRPr="00284BE8" w14:paraId="260214BE" w14:textId="77777777" w:rsidTr="00881DE6">
        <w:trPr>
          <w:trHeight w:val="27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75123F0"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Aizdevumi apgrozāmiem līdzekļiem </w:t>
            </w:r>
          </w:p>
        </w:tc>
        <w:tc>
          <w:tcPr>
            <w:tcW w:w="4967" w:type="dxa"/>
            <w:vAlign w:val="center"/>
          </w:tcPr>
          <w:p w14:paraId="6EDC8447"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Apgrozāmo līdzekļu aizdevums:</w:t>
            </w:r>
          </w:p>
          <w:p w14:paraId="1CCB8CAF"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 komersantiem, lauksaimniekiem un zivsaimniekiem, kuru darbību ietekmējusi Covid-19;</w:t>
            </w:r>
          </w:p>
          <w:p w14:paraId="47E0D6D6"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 līdz 1 milj.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xml:space="preserve"> ar termiņu līdz 3 gadiem.</w:t>
            </w:r>
          </w:p>
        </w:tc>
        <w:tc>
          <w:tcPr>
            <w:tcW w:w="850" w:type="dxa"/>
            <w:vAlign w:val="center"/>
          </w:tcPr>
          <w:p w14:paraId="179EB19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3E101CF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0B33F62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24.03.2020.</w:t>
            </w:r>
          </w:p>
        </w:tc>
        <w:tc>
          <w:tcPr>
            <w:tcW w:w="850" w:type="dxa"/>
            <w:vAlign w:val="center"/>
          </w:tcPr>
          <w:p w14:paraId="6377793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-50.8</w:t>
            </w:r>
          </w:p>
        </w:tc>
        <w:tc>
          <w:tcPr>
            <w:tcW w:w="709" w:type="dxa"/>
            <w:vAlign w:val="center"/>
          </w:tcPr>
          <w:p w14:paraId="7971B8D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54.0</w:t>
            </w:r>
          </w:p>
        </w:tc>
        <w:tc>
          <w:tcPr>
            <w:tcW w:w="709" w:type="dxa"/>
            <w:vAlign w:val="center"/>
          </w:tcPr>
          <w:p w14:paraId="1ACC56F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-0.7</w:t>
            </w:r>
          </w:p>
        </w:tc>
        <w:tc>
          <w:tcPr>
            <w:tcW w:w="709" w:type="dxa"/>
            <w:tcBorders>
              <w:right w:val="single" w:sz="12" w:space="0" w:color="9CC2E5" w:themeColor="accent1" w:themeTint="99"/>
            </w:tcBorders>
            <w:vAlign w:val="center"/>
          </w:tcPr>
          <w:p w14:paraId="2C2FF86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-1.7</w:t>
            </w:r>
          </w:p>
        </w:tc>
        <w:tc>
          <w:tcPr>
            <w:tcW w:w="709" w:type="dxa"/>
            <w:tcBorders>
              <w:left w:val="single" w:sz="12" w:space="0" w:color="9CC2E5" w:themeColor="accent1" w:themeTint="99"/>
            </w:tcBorders>
            <w:vAlign w:val="center"/>
          </w:tcPr>
          <w:p w14:paraId="4759384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-0.2</w:t>
            </w:r>
          </w:p>
        </w:tc>
        <w:tc>
          <w:tcPr>
            <w:tcW w:w="709" w:type="dxa"/>
            <w:vAlign w:val="center"/>
          </w:tcPr>
          <w:p w14:paraId="44D0996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0.2</w:t>
            </w:r>
          </w:p>
        </w:tc>
        <w:tc>
          <w:tcPr>
            <w:tcW w:w="709" w:type="dxa"/>
            <w:vAlign w:val="center"/>
          </w:tcPr>
          <w:p w14:paraId="11996181"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vAlign w:val="center"/>
          </w:tcPr>
          <w:p w14:paraId="443E52F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r>
      <w:tr w:rsidR="00284BE8" w:rsidRPr="00284BE8" w14:paraId="6A296C8F" w14:textId="77777777" w:rsidTr="00881DE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8E28149"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Kredītu garantijas</w:t>
            </w:r>
          </w:p>
        </w:tc>
        <w:tc>
          <w:tcPr>
            <w:tcW w:w="4967" w:type="dxa"/>
            <w:vAlign w:val="center"/>
          </w:tcPr>
          <w:p w14:paraId="64869333"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Kredīta brīvdienu garantija:</w:t>
            </w:r>
          </w:p>
          <w:p w14:paraId="19CA08E3"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 MVU un lielajiem uzņēmumiem, kuriem Covid-19 izplatības dēļ radušās objektīvas grūtības veikt aizdevumu maksājumus bankās, pieejama kredīta garantiju, kas ļaus bankai atlikt pamatsummas maksājumu;</w:t>
            </w:r>
          </w:p>
          <w:p w14:paraId="76C39B84"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pieejama saimnieciskās darbības veicējiem, lauksaimniekiem un zivsaimniecības un akvakultūras nozarei.</w:t>
            </w:r>
          </w:p>
        </w:tc>
        <w:tc>
          <w:tcPr>
            <w:tcW w:w="850" w:type="dxa"/>
            <w:vAlign w:val="center"/>
          </w:tcPr>
          <w:p w14:paraId="493219D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2216A6A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5A03073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24.03.2020.</w:t>
            </w:r>
          </w:p>
        </w:tc>
        <w:tc>
          <w:tcPr>
            <w:tcW w:w="850" w:type="dxa"/>
            <w:vAlign w:val="center"/>
          </w:tcPr>
          <w:p w14:paraId="4138A09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-25.0</w:t>
            </w:r>
          </w:p>
        </w:tc>
        <w:tc>
          <w:tcPr>
            <w:tcW w:w="709" w:type="dxa"/>
            <w:vAlign w:val="center"/>
          </w:tcPr>
          <w:p w14:paraId="3474E7D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25.0</w:t>
            </w:r>
          </w:p>
        </w:tc>
        <w:tc>
          <w:tcPr>
            <w:tcW w:w="709" w:type="dxa"/>
            <w:vAlign w:val="center"/>
          </w:tcPr>
          <w:p w14:paraId="03EF050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03A1139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557A7D1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-0.1</w:t>
            </w:r>
          </w:p>
        </w:tc>
        <w:tc>
          <w:tcPr>
            <w:tcW w:w="709" w:type="dxa"/>
            <w:vAlign w:val="center"/>
          </w:tcPr>
          <w:p w14:paraId="571D123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0.1</w:t>
            </w:r>
          </w:p>
        </w:tc>
        <w:tc>
          <w:tcPr>
            <w:tcW w:w="709" w:type="dxa"/>
            <w:vAlign w:val="center"/>
          </w:tcPr>
          <w:p w14:paraId="11510A1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vAlign w:val="center"/>
          </w:tcPr>
          <w:p w14:paraId="6CFE12F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r>
      <w:tr w:rsidR="00284BE8" w:rsidRPr="00284BE8" w14:paraId="151B1405" w14:textId="77777777" w:rsidTr="00881DE6">
        <w:trPr>
          <w:trHeight w:val="276"/>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2368F07"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Portfeļgarantijas </w:t>
            </w:r>
          </w:p>
        </w:tc>
        <w:tc>
          <w:tcPr>
            <w:tcW w:w="4967" w:type="dxa"/>
            <w:vAlign w:val="center"/>
          </w:tcPr>
          <w:p w14:paraId="1219DAA9"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sz w:val="20"/>
                <w:szCs w:val="20"/>
              </w:rPr>
            </w:pPr>
            <w:r w:rsidRPr="00284BE8">
              <w:rPr>
                <w:rFonts w:ascii="Times New Roman" w:eastAsia="Calibri" w:hAnsi="Times New Roman" w:cs="Times New Roman"/>
                <w:snapToGrid w:val="0"/>
                <w:color w:val="auto"/>
                <w:sz w:val="20"/>
                <w:szCs w:val="20"/>
              </w:rPr>
              <w:t xml:space="preserve">Krīzes portfeļgarantiju mērķis ir veicināt finansējuma pieejamību uzņēmējiem finanšu pakalpojumiem līdz 0,5 milj. </w:t>
            </w:r>
            <w:r w:rsidRPr="00C15562">
              <w:rPr>
                <w:rFonts w:ascii="Times New Roman" w:eastAsia="Calibri" w:hAnsi="Times New Roman" w:cs="Times New Roman"/>
                <w:i/>
                <w:snapToGrid w:val="0"/>
                <w:color w:val="auto"/>
                <w:sz w:val="20"/>
                <w:szCs w:val="20"/>
              </w:rPr>
              <w:t>euro</w:t>
            </w:r>
            <w:r w:rsidRPr="00284BE8">
              <w:rPr>
                <w:rFonts w:ascii="Times New Roman" w:eastAsia="Calibri" w:hAnsi="Times New Roman" w:cs="Times New Roman"/>
                <w:snapToGrid w:val="0"/>
                <w:color w:val="auto"/>
                <w:sz w:val="20"/>
                <w:szCs w:val="20"/>
              </w:rPr>
              <w:t>. Garantija tiks sniegta par jauniem vai esošiem apgrozāmo līdzekļu aizdevumiem, ja kredītiestāde atliks pamatsummas maksājumus vismaz par 3 mēnešiem vai pagarinās līgumu darbības termiņu vismaz par 3 mēnešiem. Tāpat garantija tiks sniegta par esošiem investīciju aizdevumiem un finanšu līzingu.</w:t>
            </w:r>
          </w:p>
        </w:tc>
        <w:tc>
          <w:tcPr>
            <w:tcW w:w="850" w:type="dxa"/>
            <w:vAlign w:val="center"/>
          </w:tcPr>
          <w:p w14:paraId="04E6341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napToGrid w:val="0"/>
                <w:color w:val="auto"/>
                <w:sz w:val="20"/>
                <w:szCs w:val="20"/>
              </w:rPr>
            </w:pPr>
            <w:r w:rsidRPr="00284BE8">
              <w:rPr>
                <w:rFonts w:ascii="Times New Roman" w:eastAsia="Calibri" w:hAnsi="Times New Roman" w:cs="Times New Roman"/>
                <w:snapToGrid w:val="0"/>
                <w:color w:val="auto"/>
                <w:sz w:val="20"/>
                <w:szCs w:val="20"/>
              </w:rPr>
              <w:t>D.7</w:t>
            </w:r>
          </w:p>
        </w:tc>
        <w:tc>
          <w:tcPr>
            <w:tcW w:w="1276" w:type="dxa"/>
            <w:vAlign w:val="center"/>
          </w:tcPr>
          <w:p w14:paraId="0E689CF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5E5A5DF6"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24.03.2020.</w:t>
            </w:r>
          </w:p>
        </w:tc>
        <w:tc>
          <w:tcPr>
            <w:tcW w:w="850" w:type="dxa"/>
            <w:vAlign w:val="center"/>
          </w:tcPr>
          <w:p w14:paraId="4BD382F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-25.0</w:t>
            </w:r>
          </w:p>
        </w:tc>
        <w:tc>
          <w:tcPr>
            <w:tcW w:w="709" w:type="dxa"/>
            <w:vAlign w:val="center"/>
          </w:tcPr>
          <w:p w14:paraId="0C549E2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25.0</w:t>
            </w:r>
          </w:p>
        </w:tc>
        <w:tc>
          <w:tcPr>
            <w:tcW w:w="709" w:type="dxa"/>
            <w:vAlign w:val="center"/>
          </w:tcPr>
          <w:p w14:paraId="2543A57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tcBorders>
              <w:right w:val="single" w:sz="12" w:space="0" w:color="9CC2E5" w:themeColor="accent1" w:themeTint="99"/>
            </w:tcBorders>
            <w:vAlign w:val="center"/>
          </w:tcPr>
          <w:p w14:paraId="2F2EBC2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tcBorders>
              <w:left w:val="single" w:sz="12" w:space="0" w:color="9CC2E5" w:themeColor="accent1" w:themeTint="99"/>
            </w:tcBorders>
            <w:vAlign w:val="center"/>
          </w:tcPr>
          <w:p w14:paraId="2EF46D9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-0.1</w:t>
            </w:r>
          </w:p>
        </w:tc>
        <w:tc>
          <w:tcPr>
            <w:tcW w:w="709" w:type="dxa"/>
            <w:vAlign w:val="center"/>
          </w:tcPr>
          <w:p w14:paraId="721E3D9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0.1</w:t>
            </w:r>
          </w:p>
        </w:tc>
        <w:tc>
          <w:tcPr>
            <w:tcW w:w="709" w:type="dxa"/>
            <w:vAlign w:val="center"/>
          </w:tcPr>
          <w:p w14:paraId="0D2E632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c>
          <w:tcPr>
            <w:tcW w:w="709" w:type="dxa"/>
            <w:vAlign w:val="center"/>
          </w:tcPr>
          <w:p w14:paraId="479E0B0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szCs w:val="20"/>
              </w:rPr>
              <w:t>0.0</w:t>
            </w:r>
          </w:p>
        </w:tc>
      </w:tr>
      <w:tr w:rsidR="00F51974" w:rsidRPr="00284BE8" w14:paraId="48A8F5C1" w14:textId="77777777" w:rsidTr="00881D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6663" w:type="dxa"/>
            <w:gridSpan w:val="2"/>
            <w:vAlign w:val="center"/>
            <w:hideMark/>
          </w:tcPr>
          <w:p w14:paraId="6C91AD35" w14:textId="425E6AED" w:rsidR="00F51974" w:rsidRPr="00F51974" w:rsidRDefault="00F51974" w:rsidP="00F51974">
            <w:pPr>
              <w:rPr>
                <w:rFonts w:ascii="Times New Roman" w:eastAsia="Calibri" w:hAnsi="Times New Roman" w:cs="Times New Roman"/>
                <w:sz w:val="20"/>
                <w:szCs w:val="20"/>
              </w:rPr>
            </w:pPr>
            <w:r w:rsidRPr="00F51974">
              <w:rPr>
                <w:rFonts w:ascii="Times New Roman" w:eastAsia="Calibri" w:hAnsi="Times New Roman" w:cs="Times New Roman"/>
                <w:snapToGrid w:val="0"/>
                <w:color w:val="auto"/>
                <w:sz w:val="20"/>
                <w:szCs w:val="20"/>
              </w:rPr>
              <w:t>4. Atbalsts nozarēm</w:t>
            </w:r>
          </w:p>
        </w:tc>
        <w:tc>
          <w:tcPr>
            <w:tcW w:w="850" w:type="dxa"/>
            <w:vAlign w:val="center"/>
            <w:hideMark/>
          </w:tcPr>
          <w:p w14:paraId="2BAEA97D"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1276" w:type="dxa"/>
            <w:vAlign w:val="center"/>
          </w:tcPr>
          <w:p w14:paraId="66A8F527"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p>
        </w:tc>
        <w:tc>
          <w:tcPr>
            <w:tcW w:w="850" w:type="dxa"/>
            <w:vAlign w:val="center"/>
          </w:tcPr>
          <w:p w14:paraId="7AD1C3B6"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p>
        </w:tc>
        <w:tc>
          <w:tcPr>
            <w:tcW w:w="709" w:type="dxa"/>
            <w:vAlign w:val="center"/>
          </w:tcPr>
          <w:p w14:paraId="5C4E288F"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p>
        </w:tc>
        <w:tc>
          <w:tcPr>
            <w:tcW w:w="709" w:type="dxa"/>
            <w:vAlign w:val="center"/>
          </w:tcPr>
          <w:p w14:paraId="3D76D123"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p>
        </w:tc>
        <w:tc>
          <w:tcPr>
            <w:tcW w:w="709" w:type="dxa"/>
            <w:tcBorders>
              <w:right w:val="single" w:sz="12" w:space="0" w:color="9CC2E5" w:themeColor="accent1" w:themeTint="99"/>
            </w:tcBorders>
            <w:vAlign w:val="center"/>
          </w:tcPr>
          <w:p w14:paraId="124207BB"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p>
        </w:tc>
        <w:tc>
          <w:tcPr>
            <w:tcW w:w="709" w:type="dxa"/>
            <w:tcBorders>
              <w:left w:val="single" w:sz="12" w:space="0" w:color="9CC2E5" w:themeColor="accent1" w:themeTint="99"/>
            </w:tcBorders>
          </w:tcPr>
          <w:p w14:paraId="0A2F4683"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709" w:type="dxa"/>
          </w:tcPr>
          <w:p w14:paraId="52B0BE32"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709" w:type="dxa"/>
          </w:tcPr>
          <w:p w14:paraId="617D5D41"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709" w:type="dxa"/>
          </w:tcPr>
          <w:p w14:paraId="216F5F55" w14:textId="77777777" w:rsidR="00F51974" w:rsidRPr="00284BE8" w:rsidRDefault="00F51974"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r>
      <w:tr w:rsidR="00284BE8" w:rsidRPr="00284BE8" w14:paraId="207323DE" w14:textId="77777777" w:rsidTr="00881DE6">
        <w:trPr>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E8B798"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Atbalsts aviopārvadājumu nozarei</w:t>
            </w:r>
          </w:p>
        </w:tc>
        <w:tc>
          <w:tcPr>
            <w:tcW w:w="4967" w:type="dxa"/>
            <w:vAlign w:val="center"/>
          </w:tcPr>
          <w:p w14:paraId="3ED80AD3"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Aviosatiksmes nozares sabiedrību pamatkapitāla palielināšana.</w:t>
            </w:r>
          </w:p>
        </w:tc>
        <w:tc>
          <w:tcPr>
            <w:tcW w:w="850" w:type="dxa"/>
            <w:vAlign w:val="center"/>
          </w:tcPr>
          <w:p w14:paraId="01241AD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D.9</w:t>
            </w:r>
          </w:p>
        </w:tc>
        <w:tc>
          <w:tcPr>
            <w:tcW w:w="1276" w:type="dxa"/>
            <w:vAlign w:val="center"/>
          </w:tcPr>
          <w:p w14:paraId="612784C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iCs/>
                <w:color w:val="auto"/>
                <w:sz w:val="20"/>
                <w:szCs w:val="20"/>
              </w:rPr>
              <w:t>Apstiprināts/ konceptuāli</w:t>
            </w:r>
          </w:p>
          <w:p w14:paraId="441E714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iCs/>
                <w:color w:val="auto"/>
                <w:sz w:val="20"/>
                <w:szCs w:val="20"/>
              </w:rPr>
              <w:t>24.03.2020.</w:t>
            </w:r>
          </w:p>
          <w:p w14:paraId="5EEBCC8A"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iCs/>
                <w:color w:val="auto"/>
                <w:sz w:val="20"/>
                <w:szCs w:val="20"/>
              </w:rPr>
              <w:t>25.03.2020.</w:t>
            </w:r>
          </w:p>
        </w:tc>
        <w:tc>
          <w:tcPr>
            <w:tcW w:w="850" w:type="dxa"/>
            <w:vAlign w:val="center"/>
          </w:tcPr>
          <w:p w14:paraId="1712A2A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-156.0</w:t>
            </w:r>
          </w:p>
        </w:tc>
        <w:tc>
          <w:tcPr>
            <w:tcW w:w="709" w:type="dxa"/>
            <w:vAlign w:val="center"/>
          </w:tcPr>
          <w:p w14:paraId="40F59B7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156.0</w:t>
            </w:r>
          </w:p>
        </w:tc>
        <w:tc>
          <w:tcPr>
            <w:tcW w:w="709" w:type="dxa"/>
            <w:vAlign w:val="center"/>
          </w:tcPr>
          <w:p w14:paraId="2959AE5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708253D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52D6375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-0.6</w:t>
            </w:r>
          </w:p>
        </w:tc>
        <w:tc>
          <w:tcPr>
            <w:tcW w:w="709" w:type="dxa"/>
            <w:vAlign w:val="center"/>
          </w:tcPr>
          <w:p w14:paraId="7F15EA4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0.5</w:t>
            </w:r>
          </w:p>
        </w:tc>
        <w:tc>
          <w:tcPr>
            <w:tcW w:w="709" w:type="dxa"/>
            <w:vAlign w:val="center"/>
          </w:tcPr>
          <w:p w14:paraId="06C9B8A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03BDB91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r>
      <w:tr w:rsidR="00284BE8" w:rsidRPr="00284BE8" w14:paraId="0C6D3D6A" w14:textId="77777777" w:rsidTr="00881D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33B411"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Ar veselības aprūpi saistīts atbalsts</w:t>
            </w:r>
          </w:p>
        </w:tc>
        <w:tc>
          <w:tcPr>
            <w:tcW w:w="4967" w:type="dxa"/>
            <w:vAlign w:val="center"/>
          </w:tcPr>
          <w:p w14:paraId="668FE7C2"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Aizsarglīdzekļu, medikamentu  u.c. medicīniskā aprīkojuma iegāde. Piemaksas ārstniecības personām un nodarbinātajiem par darbu paaugstināta riska un slodzes apstākļos.</w:t>
            </w:r>
          </w:p>
        </w:tc>
        <w:tc>
          <w:tcPr>
            <w:tcW w:w="850" w:type="dxa"/>
            <w:vAlign w:val="center"/>
          </w:tcPr>
          <w:p w14:paraId="39BAF9C9"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P.2, D.1</w:t>
            </w:r>
          </w:p>
        </w:tc>
        <w:tc>
          <w:tcPr>
            <w:tcW w:w="1276" w:type="dxa"/>
            <w:vAlign w:val="center"/>
          </w:tcPr>
          <w:p w14:paraId="550D549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7B73AE2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Plānots</w:t>
            </w:r>
          </w:p>
          <w:p w14:paraId="1FEDD57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03.03.2020.</w:t>
            </w:r>
          </w:p>
          <w:p w14:paraId="0222AC92"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20.03.2020.</w:t>
            </w:r>
          </w:p>
          <w:p w14:paraId="0742FFF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27.03.2020.</w:t>
            </w:r>
          </w:p>
          <w:p w14:paraId="3062263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szCs w:val="20"/>
              </w:rPr>
              <w:t>09.04.2020.</w:t>
            </w:r>
          </w:p>
        </w:tc>
        <w:tc>
          <w:tcPr>
            <w:tcW w:w="850" w:type="dxa"/>
            <w:vAlign w:val="center"/>
          </w:tcPr>
          <w:p w14:paraId="4060A5A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-80.9</w:t>
            </w:r>
          </w:p>
        </w:tc>
        <w:tc>
          <w:tcPr>
            <w:tcW w:w="709" w:type="dxa"/>
            <w:vAlign w:val="center"/>
          </w:tcPr>
          <w:p w14:paraId="56C08DB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80.9</w:t>
            </w:r>
          </w:p>
        </w:tc>
        <w:tc>
          <w:tcPr>
            <w:tcW w:w="709" w:type="dxa"/>
            <w:vAlign w:val="center"/>
          </w:tcPr>
          <w:p w14:paraId="3408852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45E84E4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7C0FED5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-0.3</w:t>
            </w:r>
          </w:p>
        </w:tc>
        <w:tc>
          <w:tcPr>
            <w:tcW w:w="709" w:type="dxa"/>
            <w:vAlign w:val="center"/>
          </w:tcPr>
          <w:p w14:paraId="0A10B32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0.3</w:t>
            </w:r>
          </w:p>
        </w:tc>
        <w:tc>
          <w:tcPr>
            <w:tcW w:w="709" w:type="dxa"/>
            <w:vAlign w:val="center"/>
          </w:tcPr>
          <w:p w14:paraId="3DB631A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c>
          <w:tcPr>
            <w:tcW w:w="709" w:type="dxa"/>
            <w:vAlign w:val="center"/>
          </w:tcPr>
          <w:p w14:paraId="119B433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284BE8">
              <w:rPr>
                <w:rFonts w:ascii="Times New Roman" w:hAnsi="Times New Roman" w:cs="Times New Roman"/>
                <w:color w:val="auto"/>
                <w:sz w:val="20"/>
              </w:rPr>
              <w:t>0.0</w:t>
            </w:r>
          </w:p>
        </w:tc>
      </w:tr>
      <w:tr w:rsidR="00284BE8" w:rsidRPr="00284BE8" w14:paraId="1D75D289" w14:textId="77777777" w:rsidTr="00881DE6">
        <w:trPr>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5D9CF18"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Atbalsts attālinātajam mācību procesam</w:t>
            </w:r>
          </w:p>
        </w:tc>
        <w:tc>
          <w:tcPr>
            <w:tcW w:w="4967" w:type="dxa"/>
            <w:vAlign w:val="center"/>
          </w:tcPr>
          <w:p w14:paraId="1FEA9F6A"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Līdzekļi attālinātam mācību procesam paredzētā audiovizuālā satura radīšanai un izplatīšanai. Attālinātajam mācību procesam nepieciešamo viedtālruņu un planšetu iegādei.</w:t>
            </w:r>
          </w:p>
        </w:tc>
        <w:tc>
          <w:tcPr>
            <w:tcW w:w="850" w:type="dxa"/>
            <w:vAlign w:val="center"/>
          </w:tcPr>
          <w:p w14:paraId="06F27B3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P.2</w:t>
            </w:r>
          </w:p>
        </w:tc>
        <w:tc>
          <w:tcPr>
            <w:tcW w:w="1276" w:type="dxa"/>
            <w:vAlign w:val="center"/>
          </w:tcPr>
          <w:p w14:paraId="1F6E321E"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61857EC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12.03.2020.</w:t>
            </w:r>
          </w:p>
          <w:p w14:paraId="595D052F"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19.03.2020.</w:t>
            </w:r>
          </w:p>
          <w:p w14:paraId="609CD01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szCs w:val="20"/>
              </w:rPr>
              <w:t>24.03.2020.</w:t>
            </w:r>
          </w:p>
        </w:tc>
        <w:tc>
          <w:tcPr>
            <w:tcW w:w="850" w:type="dxa"/>
            <w:vAlign w:val="center"/>
          </w:tcPr>
          <w:p w14:paraId="7AE6D68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-0.6</w:t>
            </w:r>
          </w:p>
        </w:tc>
        <w:tc>
          <w:tcPr>
            <w:tcW w:w="709" w:type="dxa"/>
            <w:vAlign w:val="center"/>
          </w:tcPr>
          <w:p w14:paraId="04C17F7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0.6</w:t>
            </w:r>
          </w:p>
        </w:tc>
        <w:tc>
          <w:tcPr>
            <w:tcW w:w="709" w:type="dxa"/>
            <w:vAlign w:val="center"/>
          </w:tcPr>
          <w:p w14:paraId="0E42F01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3901544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030A40C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3B63826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738EBC8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45E280D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r>
      <w:tr w:rsidR="00284BE8" w:rsidRPr="00284BE8" w14:paraId="3EBBD5E5" w14:textId="77777777" w:rsidTr="00881D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C1A931B"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Atbalsts medijiem un sabiedrības informēšanai</w:t>
            </w:r>
          </w:p>
        </w:tc>
        <w:tc>
          <w:tcPr>
            <w:tcW w:w="4967" w:type="dxa"/>
            <w:vAlign w:val="center"/>
          </w:tcPr>
          <w:p w14:paraId="328A5BA2" w14:textId="4C385963"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SIA "Tet" izmaksām, kas saistītas ar saziņas nodrošināšanu un tīmekļa vietnes izveidi krīzes koordinācijai. „Latvijas Radio”,  „Latvijas Televīzija” un komerciālajiem plašsaziņas līdzekļiem, lai nodrošinātu iespējami plašu Latvijas iedzīvotāju apziņošanu un efektīvu sabiedrības informēšanu un izglītošanu par aktualitātēm saistībā ar Covid-19. Sabiedrības integrācijas fondam, lai nodrošinātu Mediju atbalsta fonda darbību un iespēju sabiedrībai saņemt daudzpusīgu informāciju un viedokļus par Covid-19 krīzes pārvarēšanu, kā arī nodrošinātu valsts informatīvās telpas drošību drukātajā presē un komerciālajos interneta ziņu portālos, sniegtu atbalstu saistībā ar abonēto preses izdevumu piegādes izmaksām (valsts akciju sabiedrībai "Latvijas Pasts") un elektronisko plašsaziņas līdzekļu programmu apraides izmaksām. Nacionālajai elektronisko plašsaziņas līdzekļu padomei, lai nodrošinātu sabiedrībai iespēju saņemt daudzpusīgu informāciju un viedokļus par Covid-19 krīzes pārvarēšanu, kā arī nodrošinātu valsts informatīvās telpas</w:t>
            </w:r>
            <w:r w:rsidR="0060028D">
              <w:rPr>
                <w:rFonts w:ascii="Times New Roman" w:eastAsia="Calibri" w:hAnsi="Times New Roman" w:cs="Times New Roman"/>
                <w:color w:val="auto"/>
                <w:sz w:val="20"/>
                <w:szCs w:val="20"/>
              </w:rPr>
              <w:t xml:space="preserve"> </w:t>
            </w:r>
            <w:r w:rsidRPr="00284BE8">
              <w:rPr>
                <w:rFonts w:ascii="Times New Roman" w:eastAsia="Calibri" w:hAnsi="Times New Roman" w:cs="Times New Roman"/>
                <w:color w:val="auto"/>
                <w:sz w:val="20"/>
                <w:szCs w:val="20"/>
              </w:rPr>
              <w:t>drošību komerciālajos elektroniskajos plašsaziņas līdzekļos.</w:t>
            </w:r>
          </w:p>
        </w:tc>
        <w:tc>
          <w:tcPr>
            <w:tcW w:w="850" w:type="dxa"/>
            <w:vAlign w:val="center"/>
          </w:tcPr>
          <w:p w14:paraId="00EA341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P.2, D.7</w:t>
            </w:r>
          </w:p>
        </w:tc>
        <w:tc>
          <w:tcPr>
            <w:tcW w:w="1276" w:type="dxa"/>
            <w:vAlign w:val="center"/>
          </w:tcPr>
          <w:p w14:paraId="33DE035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6733136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19.03.2020.</w:t>
            </w:r>
          </w:p>
          <w:p w14:paraId="2D7BF986"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07.04.2020.</w:t>
            </w:r>
          </w:p>
          <w:p w14:paraId="0820542A"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szCs w:val="20"/>
              </w:rPr>
              <w:t>17.04.2020.</w:t>
            </w:r>
          </w:p>
        </w:tc>
        <w:tc>
          <w:tcPr>
            <w:tcW w:w="850" w:type="dxa"/>
            <w:vAlign w:val="center"/>
          </w:tcPr>
          <w:p w14:paraId="5B49718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-2.4</w:t>
            </w:r>
          </w:p>
        </w:tc>
        <w:tc>
          <w:tcPr>
            <w:tcW w:w="709" w:type="dxa"/>
            <w:vAlign w:val="center"/>
          </w:tcPr>
          <w:p w14:paraId="2B9415B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2.4</w:t>
            </w:r>
          </w:p>
        </w:tc>
        <w:tc>
          <w:tcPr>
            <w:tcW w:w="709" w:type="dxa"/>
            <w:vAlign w:val="center"/>
          </w:tcPr>
          <w:p w14:paraId="6B11DBA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27239AA3"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1BF02F7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6859B04F"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53CDBCD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16D32EE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r>
      <w:tr w:rsidR="00284BE8" w:rsidRPr="00284BE8" w14:paraId="67C973A1" w14:textId="77777777" w:rsidTr="00881DE6">
        <w:trPr>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7099AF1" w14:textId="77777777" w:rsidR="00284BE8" w:rsidRPr="00284BE8" w:rsidRDefault="00284BE8" w:rsidP="006F1D8F">
            <w:pPr>
              <w:rPr>
                <w:rFonts w:ascii="Times New Roman" w:eastAsia="Calibri" w:hAnsi="Times New Roman" w:cs="Times New Roman"/>
                <w:b w:val="0"/>
                <w:color w:val="auto"/>
                <w:sz w:val="20"/>
                <w:szCs w:val="20"/>
              </w:rPr>
            </w:pPr>
            <w:r w:rsidRPr="00284BE8">
              <w:rPr>
                <w:rFonts w:ascii="Times New Roman" w:eastAsia="Calibri" w:hAnsi="Times New Roman" w:cs="Times New Roman"/>
                <w:b w:val="0"/>
                <w:snapToGrid w:val="0"/>
                <w:color w:val="auto"/>
                <w:sz w:val="20"/>
                <w:szCs w:val="20"/>
              </w:rPr>
              <w:t>- Finansiālo grūtību mazināšanai lauksaimniecības, mežsaimniecības, zivsaimniecības un pārtikas ražošanas nozarēm</w:t>
            </w:r>
          </w:p>
        </w:tc>
        <w:tc>
          <w:tcPr>
            <w:tcW w:w="4967" w:type="dxa"/>
            <w:vAlign w:val="center"/>
          </w:tcPr>
          <w:p w14:paraId="5689E6D7" w14:textId="77777777" w:rsidR="00284BE8" w:rsidRPr="00284BE8" w:rsidRDefault="00284BE8" w:rsidP="00284B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Atbalsts primārajiem lauksaimniecības ražotājiem, lauksaimniecības un pārtikas pārstrādes uzņēmumiem, kā arī uzņēmumiem un iestādēm, kas sniedz ēdināšanas pakalpojumus izglītības iestādēs.  Atbalsts paredzēts Covid-19 ietekmē radušos finansiālo grūtību mazināšanai, atbalstot apgrozāmo līdzekļu pieejamību, daļēji sedzot ienākumu samazinājumu, gatavo preču krājumu uzglabāšanas izmaksas, apgrozījuma samazinājumu, kā arī kompensējot to iznīcināto vai ziedoto produktu vērtību, kurus ārkārtas situācijas laikā nebija iespējams izlietot ēdināšanas pakalpojuma sniegšanā izglītības iestādēs.</w:t>
            </w:r>
          </w:p>
        </w:tc>
        <w:tc>
          <w:tcPr>
            <w:tcW w:w="850" w:type="dxa"/>
            <w:vAlign w:val="center"/>
          </w:tcPr>
          <w:p w14:paraId="0369B76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D.3</w:t>
            </w:r>
          </w:p>
        </w:tc>
        <w:tc>
          <w:tcPr>
            <w:tcW w:w="1276" w:type="dxa"/>
            <w:vAlign w:val="center"/>
          </w:tcPr>
          <w:p w14:paraId="09AD901C"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627E43A8"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szCs w:val="20"/>
              </w:rPr>
              <w:t>17.04.2020.</w:t>
            </w:r>
          </w:p>
        </w:tc>
        <w:tc>
          <w:tcPr>
            <w:tcW w:w="850" w:type="dxa"/>
            <w:vAlign w:val="center"/>
          </w:tcPr>
          <w:p w14:paraId="20F67ACB"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-45.5</w:t>
            </w:r>
          </w:p>
        </w:tc>
        <w:tc>
          <w:tcPr>
            <w:tcW w:w="709" w:type="dxa"/>
            <w:vAlign w:val="center"/>
          </w:tcPr>
          <w:p w14:paraId="2AD193C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45.5</w:t>
            </w:r>
          </w:p>
        </w:tc>
        <w:tc>
          <w:tcPr>
            <w:tcW w:w="709" w:type="dxa"/>
            <w:vAlign w:val="center"/>
          </w:tcPr>
          <w:p w14:paraId="451E8DC2"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40313739"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3B206730"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-0.2</w:t>
            </w:r>
          </w:p>
        </w:tc>
        <w:tc>
          <w:tcPr>
            <w:tcW w:w="709" w:type="dxa"/>
            <w:vAlign w:val="center"/>
          </w:tcPr>
          <w:p w14:paraId="65238257"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0.2</w:t>
            </w:r>
          </w:p>
        </w:tc>
        <w:tc>
          <w:tcPr>
            <w:tcW w:w="709" w:type="dxa"/>
            <w:vAlign w:val="center"/>
          </w:tcPr>
          <w:p w14:paraId="1E4C1EA5"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69406E04" w14:textId="77777777" w:rsidR="00284BE8" w:rsidRPr="00284BE8" w:rsidRDefault="00284BE8" w:rsidP="00284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r>
      <w:tr w:rsidR="00284BE8" w:rsidRPr="00284BE8" w14:paraId="22760F21" w14:textId="77777777" w:rsidTr="00881D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65E212" w14:textId="77777777" w:rsidR="00284BE8" w:rsidRPr="00284BE8" w:rsidRDefault="00284BE8" w:rsidP="006F1D8F">
            <w:pPr>
              <w:rPr>
                <w:rFonts w:ascii="Times New Roman" w:eastAsia="Calibri" w:hAnsi="Times New Roman" w:cs="Times New Roman"/>
                <w:snapToGrid w:val="0"/>
                <w:sz w:val="20"/>
                <w:szCs w:val="20"/>
              </w:rPr>
            </w:pPr>
            <w:r w:rsidRPr="00284BE8">
              <w:rPr>
                <w:rFonts w:ascii="Times New Roman" w:eastAsia="Calibri" w:hAnsi="Times New Roman" w:cs="Times New Roman"/>
                <w:b w:val="0"/>
                <w:snapToGrid w:val="0"/>
                <w:color w:val="auto"/>
                <w:sz w:val="20"/>
                <w:szCs w:val="20"/>
              </w:rPr>
              <w:t>- Pārējie</w:t>
            </w:r>
          </w:p>
        </w:tc>
        <w:tc>
          <w:tcPr>
            <w:tcW w:w="4967" w:type="dxa"/>
            <w:vAlign w:val="center"/>
          </w:tcPr>
          <w:p w14:paraId="7D9EACAB" w14:textId="77777777" w:rsidR="00284BE8" w:rsidRPr="00284BE8" w:rsidRDefault="00284BE8" w:rsidP="00284BE8">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Piemaksas Iekšlietu ministrijas padotības iestāžu amatpersonām par darbu (no 12.marta līdz 31.maijam). Arī atbrīvojums no telpu nomas maksas vai tās samazinājums. Valsts un pašvaldību iestādes, kā arī atvasinātas publiskas personas un publiskas personas kontrolētas kapitālsabiedrības, brīvostas un speciālās ekonomiskās zonas uz krīzes  laiku atbrīvo krīzes skarto nozaru komersantus no publiskas personas mantas un publiskas personas kontrolētas kapitālsabiedrības mantas nomas maksas vai lemj par nomas maksas samazinājumu un par publiskas personas mantas izmantošanu, kā arī nepiemēro kavējuma procentus un līgumsodus samaksas kavējuma gadījumā.</w:t>
            </w:r>
          </w:p>
        </w:tc>
        <w:tc>
          <w:tcPr>
            <w:tcW w:w="850" w:type="dxa"/>
            <w:vAlign w:val="center"/>
          </w:tcPr>
          <w:p w14:paraId="4B531E0C"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284BE8">
              <w:rPr>
                <w:rFonts w:ascii="Times New Roman" w:eastAsia="Calibri" w:hAnsi="Times New Roman" w:cs="Times New Roman"/>
                <w:color w:val="auto"/>
                <w:sz w:val="20"/>
                <w:szCs w:val="20"/>
              </w:rPr>
              <w:t>D.1, D.7</w:t>
            </w:r>
          </w:p>
        </w:tc>
        <w:tc>
          <w:tcPr>
            <w:tcW w:w="1276" w:type="dxa"/>
            <w:vAlign w:val="center"/>
          </w:tcPr>
          <w:p w14:paraId="4EB48B0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Apstiprināts</w:t>
            </w:r>
          </w:p>
          <w:p w14:paraId="7F455444"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284BE8">
              <w:rPr>
                <w:rFonts w:ascii="Times New Roman" w:hAnsi="Times New Roman" w:cs="Times New Roman"/>
                <w:color w:val="auto"/>
                <w:sz w:val="20"/>
                <w:szCs w:val="20"/>
              </w:rPr>
              <w:t>12.04.2020.</w:t>
            </w:r>
          </w:p>
          <w:p w14:paraId="21BEA9A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szCs w:val="20"/>
              </w:rPr>
              <w:t>16.04.2020.</w:t>
            </w:r>
          </w:p>
        </w:tc>
        <w:tc>
          <w:tcPr>
            <w:tcW w:w="850" w:type="dxa"/>
            <w:vAlign w:val="center"/>
          </w:tcPr>
          <w:p w14:paraId="2A7FCD6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-2.6</w:t>
            </w:r>
          </w:p>
        </w:tc>
        <w:tc>
          <w:tcPr>
            <w:tcW w:w="709" w:type="dxa"/>
            <w:vAlign w:val="center"/>
          </w:tcPr>
          <w:p w14:paraId="03F8B34E"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2.6</w:t>
            </w:r>
          </w:p>
        </w:tc>
        <w:tc>
          <w:tcPr>
            <w:tcW w:w="709" w:type="dxa"/>
            <w:vAlign w:val="center"/>
          </w:tcPr>
          <w:p w14:paraId="77036F9B"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right w:val="single" w:sz="12" w:space="0" w:color="9CC2E5" w:themeColor="accent1" w:themeTint="99"/>
            </w:tcBorders>
            <w:vAlign w:val="center"/>
          </w:tcPr>
          <w:p w14:paraId="59DD76F5"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tcBorders>
              <w:left w:val="single" w:sz="12" w:space="0" w:color="9CC2E5" w:themeColor="accent1" w:themeTint="99"/>
            </w:tcBorders>
            <w:vAlign w:val="center"/>
          </w:tcPr>
          <w:p w14:paraId="20297357"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713A9E61"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70DADDE8"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c>
          <w:tcPr>
            <w:tcW w:w="709" w:type="dxa"/>
            <w:vAlign w:val="center"/>
          </w:tcPr>
          <w:p w14:paraId="177FF210" w14:textId="77777777" w:rsidR="00284BE8" w:rsidRPr="00284BE8" w:rsidRDefault="00284BE8" w:rsidP="00284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284BE8">
              <w:rPr>
                <w:rFonts w:ascii="Times New Roman" w:hAnsi="Times New Roman" w:cs="Times New Roman"/>
                <w:color w:val="auto"/>
                <w:sz w:val="20"/>
              </w:rPr>
              <w:t>0.0</w:t>
            </w:r>
          </w:p>
        </w:tc>
      </w:tr>
    </w:tbl>
    <w:p w14:paraId="262F2B20" w14:textId="5DB90B67" w:rsidR="00284BE8" w:rsidRDefault="00284BE8" w:rsidP="00284BE8">
      <w:pPr>
        <w:tabs>
          <w:tab w:val="left" w:pos="988"/>
        </w:tabs>
        <w:rPr>
          <w:rFonts w:ascii="Times New Roman" w:hAnsi="Times New Roman" w:cs="Times New Roman"/>
          <w:sz w:val="20"/>
        </w:rPr>
      </w:pPr>
    </w:p>
    <w:p w14:paraId="2BEAD911" w14:textId="2ACD3C1B" w:rsidR="002470C5" w:rsidRDefault="002470C5" w:rsidP="00AD2545">
      <w:pPr>
        <w:spacing w:after="0" w:line="240" w:lineRule="auto"/>
        <w:ind w:firstLine="709"/>
        <w:jc w:val="both"/>
        <w:rPr>
          <w:rFonts w:ascii="Times New Roman" w:hAnsi="Times New Roman"/>
          <w:sz w:val="28"/>
          <w:szCs w:val="28"/>
          <w:highlight w:val="yellow"/>
        </w:rPr>
      </w:pPr>
    </w:p>
    <w:p w14:paraId="1E879B19" w14:textId="77777777" w:rsidR="00881DE6" w:rsidRPr="00D551C4" w:rsidRDefault="00881DE6" w:rsidP="00AD2545">
      <w:pPr>
        <w:spacing w:after="0" w:line="240" w:lineRule="auto"/>
        <w:ind w:firstLine="709"/>
        <w:jc w:val="both"/>
        <w:rPr>
          <w:rFonts w:ascii="Times New Roman" w:hAnsi="Times New Roman"/>
          <w:sz w:val="28"/>
          <w:szCs w:val="28"/>
          <w:highlight w:val="yellow"/>
        </w:rPr>
      </w:pPr>
    </w:p>
    <w:p w14:paraId="200FACA8" w14:textId="1345374A" w:rsidR="00AD2545" w:rsidRPr="00284BE8" w:rsidRDefault="00284BE8" w:rsidP="00F51974">
      <w:pPr>
        <w:tabs>
          <w:tab w:val="left" w:pos="851"/>
          <w:tab w:val="left" w:pos="6663"/>
        </w:tabs>
        <w:spacing w:after="0" w:line="240" w:lineRule="auto"/>
        <w:rPr>
          <w:rFonts w:ascii="Times New Roman" w:hAnsi="Times New Roman"/>
          <w:sz w:val="24"/>
          <w:szCs w:val="24"/>
        </w:rPr>
      </w:pPr>
      <w:r w:rsidRPr="00284BE8">
        <w:rPr>
          <w:rFonts w:ascii="Times New Roman" w:hAnsi="Times New Roman"/>
          <w:sz w:val="24"/>
          <w:szCs w:val="24"/>
        </w:rPr>
        <w:t>Finanšu ministrs</w:t>
      </w:r>
      <w:r w:rsidR="00AD2545" w:rsidRPr="00284BE8">
        <w:rPr>
          <w:rFonts w:ascii="Times New Roman" w:hAnsi="Times New Roman"/>
          <w:sz w:val="24"/>
          <w:szCs w:val="24"/>
        </w:rPr>
        <w:tab/>
      </w:r>
      <w:r w:rsidR="00AD2545" w:rsidRPr="00284BE8">
        <w:rPr>
          <w:rFonts w:ascii="Times New Roman" w:hAnsi="Times New Roman"/>
          <w:sz w:val="24"/>
          <w:szCs w:val="24"/>
        </w:rPr>
        <w:tab/>
      </w:r>
      <w:r w:rsidR="00AD2545" w:rsidRPr="00284BE8">
        <w:rPr>
          <w:rFonts w:ascii="Times New Roman" w:hAnsi="Times New Roman"/>
          <w:sz w:val="24"/>
          <w:szCs w:val="24"/>
        </w:rPr>
        <w:tab/>
        <w:t xml:space="preserve">    </w:t>
      </w:r>
      <w:r w:rsidR="00F51974">
        <w:rPr>
          <w:rFonts w:ascii="Times New Roman" w:hAnsi="Times New Roman"/>
          <w:sz w:val="24"/>
          <w:szCs w:val="24"/>
        </w:rPr>
        <w:tab/>
      </w:r>
      <w:r w:rsidR="00F51974">
        <w:rPr>
          <w:rFonts w:ascii="Times New Roman" w:hAnsi="Times New Roman"/>
          <w:sz w:val="24"/>
          <w:szCs w:val="24"/>
        </w:rPr>
        <w:tab/>
      </w:r>
      <w:r w:rsidR="00F51974">
        <w:rPr>
          <w:rFonts w:ascii="Times New Roman" w:hAnsi="Times New Roman"/>
          <w:sz w:val="24"/>
          <w:szCs w:val="24"/>
        </w:rPr>
        <w:tab/>
      </w:r>
      <w:r w:rsidR="00F51974">
        <w:rPr>
          <w:rFonts w:ascii="Times New Roman" w:hAnsi="Times New Roman"/>
          <w:sz w:val="24"/>
          <w:szCs w:val="24"/>
        </w:rPr>
        <w:tab/>
      </w:r>
      <w:r w:rsidR="00AD2545" w:rsidRPr="00284BE8">
        <w:rPr>
          <w:rFonts w:ascii="Times New Roman" w:hAnsi="Times New Roman"/>
          <w:sz w:val="24"/>
          <w:szCs w:val="24"/>
        </w:rPr>
        <w:t xml:space="preserve"> </w:t>
      </w:r>
      <w:r w:rsidR="00BF0E1A">
        <w:rPr>
          <w:rFonts w:ascii="Times New Roman" w:hAnsi="Times New Roman"/>
          <w:sz w:val="24"/>
          <w:szCs w:val="24"/>
        </w:rPr>
        <w:tab/>
      </w:r>
      <w:r w:rsidR="00BF0E1A">
        <w:rPr>
          <w:rFonts w:ascii="Times New Roman" w:hAnsi="Times New Roman"/>
          <w:sz w:val="24"/>
          <w:szCs w:val="24"/>
        </w:rPr>
        <w:tab/>
      </w:r>
      <w:r w:rsidR="00BF0E1A">
        <w:rPr>
          <w:rFonts w:ascii="Times New Roman" w:hAnsi="Times New Roman"/>
          <w:sz w:val="24"/>
          <w:szCs w:val="24"/>
        </w:rPr>
        <w:tab/>
      </w:r>
      <w:r w:rsidR="00BF0E1A">
        <w:rPr>
          <w:rFonts w:ascii="Times New Roman" w:hAnsi="Times New Roman"/>
          <w:sz w:val="24"/>
          <w:szCs w:val="24"/>
        </w:rPr>
        <w:tab/>
      </w:r>
      <w:r w:rsidR="00AD2545" w:rsidRPr="00284BE8">
        <w:rPr>
          <w:rFonts w:ascii="Times New Roman" w:hAnsi="Times New Roman"/>
          <w:sz w:val="24"/>
          <w:szCs w:val="24"/>
        </w:rPr>
        <w:t xml:space="preserve">  J. </w:t>
      </w:r>
      <w:r w:rsidRPr="00284BE8">
        <w:rPr>
          <w:rFonts w:ascii="Times New Roman" w:hAnsi="Times New Roman"/>
          <w:sz w:val="24"/>
          <w:szCs w:val="24"/>
        </w:rPr>
        <w:t>Reirs</w:t>
      </w:r>
    </w:p>
    <w:p w14:paraId="0A7475D1" w14:textId="77777777" w:rsidR="00F51974" w:rsidRDefault="00F51974" w:rsidP="0024257A">
      <w:pPr>
        <w:tabs>
          <w:tab w:val="left" w:pos="988"/>
        </w:tabs>
        <w:spacing w:after="0" w:line="240" w:lineRule="auto"/>
        <w:rPr>
          <w:rFonts w:ascii="Times New Roman" w:hAnsi="Times New Roman" w:cs="Times New Roman"/>
          <w:sz w:val="20"/>
        </w:rPr>
      </w:pPr>
    </w:p>
    <w:p w14:paraId="45D0DF4E" w14:textId="77777777" w:rsidR="0024257A" w:rsidRPr="00F51974" w:rsidRDefault="00FD5100" w:rsidP="0024257A">
      <w:pPr>
        <w:tabs>
          <w:tab w:val="left" w:pos="988"/>
        </w:tabs>
        <w:spacing w:after="0" w:line="240" w:lineRule="auto"/>
        <w:rPr>
          <w:rFonts w:ascii="Times New Roman" w:hAnsi="Times New Roman" w:cs="Times New Roman"/>
          <w:sz w:val="16"/>
          <w:szCs w:val="16"/>
        </w:rPr>
      </w:pPr>
      <w:r w:rsidRPr="00F51974">
        <w:rPr>
          <w:rFonts w:ascii="Times New Roman" w:hAnsi="Times New Roman" w:cs="Times New Roman"/>
          <w:sz w:val="16"/>
          <w:szCs w:val="16"/>
        </w:rPr>
        <w:t>Gusāre</w:t>
      </w:r>
      <w:r w:rsidR="00CC4C28" w:rsidRPr="00F51974">
        <w:rPr>
          <w:rFonts w:ascii="Times New Roman" w:hAnsi="Times New Roman" w:cs="Times New Roman"/>
          <w:sz w:val="16"/>
          <w:szCs w:val="16"/>
        </w:rPr>
        <w:t xml:space="preserve"> 670</w:t>
      </w:r>
      <w:r w:rsidR="002525FA" w:rsidRPr="00F51974">
        <w:rPr>
          <w:rFonts w:ascii="Times New Roman" w:hAnsi="Times New Roman" w:cs="Times New Roman"/>
          <w:sz w:val="16"/>
          <w:szCs w:val="16"/>
        </w:rPr>
        <w:t>839</w:t>
      </w:r>
      <w:r w:rsidR="00CC4C28" w:rsidRPr="00F51974">
        <w:rPr>
          <w:rFonts w:ascii="Times New Roman" w:hAnsi="Times New Roman" w:cs="Times New Roman"/>
          <w:sz w:val="16"/>
          <w:szCs w:val="16"/>
        </w:rPr>
        <w:t>11</w:t>
      </w:r>
    </w:p>
    <w:p w14:paraId="791393C4" w14:textId="77777777" w:rsidR="0024257A" w:rsidRPr="0024257A" w:rsidRDefault="002937DA" w:rsidP="0024257A">
      <w:pPr>
        <w:tabs>
          <w:tab w:val="left" w:pos="988"/>
        </w:tabs>
        <w:spacing w:after="0" w:line="240" w:lineRule="auto"/>
        <w:rPr>
          <w:rFonts w:ascii="Times New Roman" w:hAnsi="Times New Roman" w:cs="Times New Roman"/>
          <w:sz w:val="20"/>
        </w:rPr>
      </w:pPr>
      <w:hyperlink r:id="rId29" w:history="1">
        <w:r w:rsidR="00254666" w:rsidRPr="00F51974">
          <w:rPr>
            <w:rStyle w:val="Hyperlink"/>
            <w:rFonts w:ascii="Times New Roman" w:hAnsi="Times New Roman" w:cs="Times New Roman"/>
            <w:sz w:val="16"/>
            <w:szCs w:val="16"/>
          </w:rPr>
          <w:t>elina.gusare@fm.gov.lv</w:t>
        </w:r>
      </w:hyperlink>
    </w:p>
    <w:sectPr w:rsidR="0024257A" w:rsidRPr="0024257A" w:rsidSect="00F51974">
      <w:footerReference w:type="default" r:id="rId30"/>
      <w:pgSz w:w="16838" w:h="11906" w:orient="landscape"/>
      <w:pgMar w:top="1701" w:right="1418" w:bottom="1134" w:left="709" w:header="141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C1B0F" w14:textId="77777777" w:rsidR="0067167C" w:rsidRDefault="0067167C" w:rsidP="00623757">
      <w:pPr>
        <w:spacing w:after="0" w:line="240" w:lineRule="auto"/>
      </w:pPr>
      <w:r>
        <w:separator/>
      </w:r>
    </w:p>
  </w:endnote>
  <w:endnote w:type="continuationSeparator" w:id="0">
    <w:p w14:paraId="5E48A4DD" w14:textId="77777777" w:rsidR="0067167C" w:rsidRDefault="0067167C" w:rsidP="00623757">
      <w:pPr>
        <w:spacing w:after="0" w:line="240" w:lineRule="auto"/>
      </w:pPr>
      <w:r>
        <w:continuationSeparator/>
      </w:r>
    </w:p>
  </w:endnote>
  <w:endnote w:type="continuationNotice" w:id="1">
    <w:p w14:paraId="51529D90" w14:textId="77777777" w:rsidR="0067167C" w:rsidRDefault="00671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Open Sans">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Times New Roman Baltic">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018313489"/>
      <w:docPartObj>
        <w:docPartGallery w:val="Page Numbers (Bottom of Page)"/>
        <w:docPartUnique/>
      </w:docPartObj>
    </w:sdtPr>
    <w:sdtEndPr>
      <w:rPr>
        <w:noProof/>
      </w:rPr>
    </w:sdtEndPr>
    <w:sdtContent>
      <w:p w14:paraId="4EE4BC6D" w14:textId="2E5F55B8" w:rsidR="0067167C" w:rsidRDefault="0067167C" w:rsidP="00393D20">
        <w:pPr>
          <w:pStyle w:val="Footer"/>
          <w:rPr>
            <w:sz w:val="20"/>
            <w:lang w:val="fr-FR"/>
          </w:rPr>
        </w:pPr>
        <w:r w:rsidRPr="00393D20">
          <w:rPr>
            <w:rFonts w:ascii="Times New Roman" w:hAnsi="Times New Roman" w:cs="Times New Roman"/>
            <w:sz w:val="20"/>
          </w:rPr>
          <w:fldChar w:fldCharType="begin"/>
        </w:r>
        <w:r w:rsidRPr="00393D20">
          <w:rPr>
            <w:rFonts w:ascii="Times New Roman" w:hAnsi="Times New Roman" w:cs="Times New Roman"/>
            <w:sz w:val="20"/>
            <w:lang w:val="fr-FR"/>
          </w:rPr>
          <w:instrText xml:space="preserve"> FILENAME  \* MERGEFORMAT </w:instrText>
        </w:r>
        <w:r w:rsidRPr="00393D20">
          <w:rPr>
            <w:rFonts w:ascii="Times New Roman" w:hAnsi="Times New Roman" w:cs="Times New Roman"/>
            <w:sz w:val="20"/>
          </w:rPr>
          <w:fldChar w:fldCharType="separate"/>
        </w:r>
        <w:r w:rsidRPr="00393D20">
          <w:rPr>
            <w:rFonts w:ascii="Times New Roman" w:hAnsi="Times New Roman" w:cs="Times New Roman"/>
            <w:noProof/>
            <w:sz w:val="20"/>
            <w:lang w:val="fr-FR"/>
          </w:rPr>
          <w:t>FMInfo_30042020_SP.doc</w:t>
        </w:r>
        <w:r w:rsidRPr="00393D20">
          <w:rPr>
            <w:rFonts w:ascii="Times New Roman" w:hAnsi="Times New Roman" w:cs="Times New Roman"/>
            <w:noProof/>
            <w:sz w:val="20"/>
          </w:rPr>
          <w:fldChar w:fldCharType="end"/>
        </w:r>
        <w:r>
          <w:rPr>
            <w:noProof/>
            <w:sz w:val="20"/>
          </w:rPr>
          <w:t xml:space="preserve">; </w:t>
        </w:r>
      </w:p>
      <w:p w14:paraId="3CA0FE44" w14:textId="77777777" w:rsidR="0067167C" w:rsidRPr="00E829CD" w:rsidRDefault="0067167C" w:rsidP="00492A61">
        <w:pPr>
          <w:pStyle w:val="Footer"/>
          <w:spacing w:before="120"/>
          <w:rPr>
            <w:rFonts w:ascii="Times New Roman" w:hAnsi="Times New Roman" w:cs="Times New Roman"/>
            <w:noProof/>
            <w:sz w:val="20"/>
          </w:rPr>
        </w:pPr>
      </w:p>
      <w:p w14:paraId="07474562" w14:textId="13C9B2B0" w:rsidR="0067167C" w:rsidRPr="002D4AED" w:rsidRDefault="0067167C" w:rsidP="00FB1293">
        <w:pPr>
          <w:pStyle w:val="Footer"/>
          <w:tabs>
            <w:tab w:val="right" w:pos="9071"/>
          </w:tabs>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D4AED">
          <w:rPr>
            <w:rFonts w:ascii="Times New Roman" w:hAnsi="Times New Roman" w:cs="Times New Roman"/>
            <w:sz w:val="24"/>
          </w:rPr>
          <w:fldChar w:fldCharType="begin"/>
        </w:r>
        <w:r w:rsidRPr="002D4AED">
          <w:rPr>
            <w:rFonts w:ascii="Times New Roman" w:hAnsi="Times New Roman" w:cs="Times New Roman"/>
            <w:sz w:val="24"/>
          </w:rPr>
          <w:instrText xml:space="preserve"> PAGE   \* MERGEFORMAT </w:instrText>
        </w:r>
        <w:r w:rsidRPr="002D4AED">
          <w:rPr>
            <w:rFonts w:ascii="Times New Roman" w:hAnsi="Times New Roman" w:cs="Times New Roman"/>
            <w:sz w:val="24"/>
          </w:rPr>
          <w:fldChar w:fldCharType="separate"/>
        </w:r>
        <w:r w:rsidR="002937DA">
          <w:rPr>
            <w:rFonts w:ascii="Times New Roman" w:hAnsi="Times New Roman" w:cs="Times New Roman"/>
            <w:noProof/>
            <w:sz w:val="24"/>
          </w:rPr>
          <w:t>5</w:t>
        </w:r>
        <w:r w:rsidRPr="002D4AED">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46761671"/>
      <w:docPartObj>
        <w:docPartGallery w:val="Page Numbers (Bottom of Page)"/>
        <w:docPartUnique/>
      </w:docPartObj>
    </w:sdtPr>
    <w:sdtEndPr>
      <w:rPr>
        <w:noProof/>
      </w:rPr>
    </w:sdtEndPr>
    <w:sdtContent>
      <w:p w14:paraId="0065649E" w14:textId="514C36D1" w:rsidR="0067167C" w:rsidRPr="00E829CD" w:rsidRDefault="0067167C" w:rsidP="00492A61">
        <w:pPr>
          <w:pStyle w:val="Footer"/>
          <w:spacing w:before="120"/>
          <w:rPr>
            <w:rFonts w:ascii="Times New Roman" w:hAnsi="Times New Roman" w:cs="Times New Roman"/>
            <w:noProof/>
            <w:sz w:val="20"/>
          </w:rPr>
        </w:pPr>
        <w:r>
          <w:rPr>
            <w:rFonts w:ascii="Times New Roman" w:hAnsi="Times New Roman" w:cs="Times New Roman"/>
            <w:noProof/>
            <w:sz w:val="20"/>
          </w:rPr>
          <w:fldChar w:fldCharType="begin"/>
        </w:r>
        <w:r>
          <w:rPr>
            <w:rFonts w:ascii="Times New Roman" w:hAnsi="Times New Roman" w:cs="Times New Roman"/>
            <w:noProof/>
            <w:sz w:val="20"/>
          </w:rPr>
          <w:instrText xml:space="preserve"> FILENAME   \* MERGEFORMAT </w:instrText>
        </w:r>
        <w:r>
          <w:rPr>
            <w:rFonts w:ascii="Times New Roman" w:hAnsi="Times New Roman" w:cs="Times New Roman"/>
            <w:noProof/>
            <w:sz w:val="20"/>
          </w:rPr>
          <w:fldChar w:fldCharType="separate"/>
        </w:r>
        <w:r>
          <w:rPr>
            <w:rFonts w:ascii="Times New Roman" w:hAnsi="Times New Roman" w:cs="Times New Roman"/>
            <w:noProof/>
            <w:sz w:val="20"/>
          </w:rPr>
          <w:t>FMInfo_</w:t>
        </w:r>
        <w:r w:rsidRPr="002D4557">
          <w:rPr>
            <w:rFonts w:ascii="Times New Roman" w:hAnsi="Times New Roman" w:cs="Times New Roman"/>
            <w:noProof/>
            <w:sz w:val="20"/>
          </w:rPr>
          <w:t>30042020_</w:t>
        </w:r>
        <w:r>
          <w:rPr>
            <w:rFonts w:ascii="Times New Roman" w:hAnsi="Times New Roman" w:cs="Times New Roman"/>
            <w:noProof/>
            <w:sz w:val="20"/>
          </w:rPr>
          <w:t>SP.docx</w:t>
        </w:r>
        <w:r>
          <w:rPr>
            <w:rFonts w:ascii="Times New Roman" w:hAnsi="Times New Roman" w:cs="Times New Roman"/>
            <w:noProof/>
            <w:sz w:val="20"/>
          </w:rPr>
          <w:fldChar w:fldCharType="end"/>
        </w:r>
        <w:r w:rsidRPr="00B71182">
          <w:rPr>
            <w:rFonts w:ascii="Times New Roman" w:hAnsi="Times New Roman" w:cs="Times New Roman"/>
            <w:sz w:val="20"/>
          </w:rPr>
          <w:t xml:space="preserve">; </w:t>
        </w:r>
      </w:p>
      <w:p w14:paraId="4CD1AAC2" w14:textId="4F9FA640" w:rsidR="0067167C" w:rsidRPr="002D4AED" w:rsidRDefault="0067167C" w:rsidP="00FB1293">
        <w:pPr>
          <w:pStyle w:val="Footer"/>
          <w:tabs>
            <w:tab w:val="right" w:pos="9071"/>
          </w:tabs>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D4AED">
          <w:rPr>
            <w:rFonts w:ascii="Times New Roman" w:hAnsi="Times New Roman" w:cs="Times New Roman"/>
            <w:sz w:val="24"/>
          </w:rPr>
          <w:fldChar w:fldCharType="begin"/>
        </w:r>
        <w:r w:rsidRPr="002D4AED">
          <w:rPr>
            <w:rFonts w:ascii="Times New Roman" w:hAnsi="Times New Roman" w:cs="Times New Roman"/>
            <w:sz w:val="24"/>
          </w:rPr>
          <w:instrText xml:space="preserve"> PAGE   \* MERGEFORMAT </w:instrText>
        </w:r>
        <w:r w:rsidRPr="002D4AED">
          <w:rPr>
            <w:rFonts w:ascii="Times New Roman" w:hAnsi="Times New Roman" w:cs="Times New Roman"/>
            <w:sz w:val="24"/>
          </w:rPr>
          <w:fldChar w:fldCharType="separate"/>
        </w:r>
        <w:r w:rsidR="009E1135">
          <w:rPr>
            <w:rFonts w:ascii="Times New Roman" w:hAnsi="Times New Roman" w:cs="Times New Roman"/>
            <w:noProof/>
            <w:sz w:val="24"/>
          </w:rPr>
          <w:t>83</w:t>
        </w:r>
        <w:r w:rsidRPr="002D4AED">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1478C" w14:textId="77777777" w:rsidR="0067167C" w:rsidRDefault="0067167C" w:rsidP="00623757">
      <w:pPr>
        <w:spacing w:after="0" w:line="240" w:lineRule="auto"/>
      </w:pPr>
      <w:r>
        <w:separator/>
      </w:r>
    </w:p>
  </w:footnote>
  <w:footnote w:type="continuationSeparator" w:id="0">
    <w:p w14:paraId="2EB49EB4" w14:textId="77777777" w:rsidR="0067167C" w:rsidRDefault="0067167C" w:rsidP="00623757">
      <w:pPr>
        <w:spacing w:after="0" w:line="240" w:lineRule="auto"/>
      </w:pPr>
      <w:r>
        <w:continuationSeparator/>
      </w:r>
    </w:p>
  </w:footnote>
  <w:footnote w:type="continuationNotice" w:id="1">
    <w:p w14:paraId="47F6825F" w14:textId="77777777" w:rsidR="0067167C" w:rsidRDefault="0067167C">
      <w:pPr>
        <w:spacing w:after="0" w:line="240" w:lineRule="auto"/>
      </w:pPr>
    </w:p>
  </w:footnote>
  <w:footnote w:id="2">
    <w:p w14:paraId="051E5FC6" w14:textId="77777777" w:rsidR="0067167C" w:rsidRDefault="0067167C" w:rsidP="00DE30C4">
      <w:pPr>
        <w:pStyle w:val="FootnoteText"/>
      </w:pPr>
      <w:r>
        <w:rPr>
          <w:rStyle w:val="FootnoteReference"/>
          <w:rFonts w:eastAsiaTheme="majorEastAsia"/>
        </w:rPr>
        <w:footnoteRef/>
      </w:r>
      <w:r>
        <w:t xml:space="preserve"> Datu avots: Latvijas Banka </w:t>
      </w:r>
    </w:p>
  </w:footnote>
  <w:footnote w:id="3">
    <w:p w14:paraId="794CF1C3" w14:textId="77777777" w:rsidR="0067167C" w:rsidRDefault="0067167C" w:rsidP="00DE30C4">
      <w:pPr>
        <w:pStyle w:val="FootnoteText"/>
      </w:pPr>
      <w:r>
        <w:rPr>
          <w:rStyle w:val="FootnoteReference"/>
          <w:rFonts w:eastAsiaTheme="majorEastAsia"/>
        </w:rPr>
        <w:footnoteRef/>
      </w:r>
      <w:r>
        <w:t xml:space="preserve"> Datu avots: CSP, FM aprēķini </w:t>
      </w:r>
    </w:p>
  </w:footnote>
  <w:footnote w:id="4">
    <w:p w14:paraId="17E3C6F2" w14:textId="0D63268B" w:rsidR="0067167C" w:rsidRPr="0081344F" w:rsidRDefault="0067167C" w:rsidP="009A6CB6">
      <w:pPr>
        <w:pStyle w:val="FootnoteText"/>
        <w:ind w:left="0" w:hanging="56"/>
        <w:jc w:val="both"/>
      </w:pPr>
      <w:r w:rsidRPr="0081344F">
        <w:rPr>
          <w:rStyle w:val="FootnoteReference"/>
          <w:rFonts w:ascii="Times New Roman" w:eastAsiaTheme="majorEastAsia" w:hAnsi="Times New Roman"/>
        </w:rPr>
        <w:footnoteRef/>
      </w:r>
      <w:r w:rsidRPr="0081344F">
        <w:t xml:space="preserve"> Jāņem vērā, ka šajā Stabilitātes programmā tiek veidoti divi scenāriji – bāzes scenārijs, </w:t>
      </w:r>
      <w:r>
        <w:t>kas tika sagatavots š.g. februārī un paredzēja turpmāku IKP pieaugumu</w:t>
      </w:r>
      <w:r w:rsidRPr="0081344F">
        <w:t xml:space="preserve"> un C</w:t>
      </w:r>
      <w:r>
        <w:t>ovid-</w:t>
      </w:r>
      <w:r w:rsidRPr="0081344F">
        <w:t>19 scenārijs, kas ietver valdības pieņemtos lēmumus C</w:t>
      </w:r>
      <w:r>
        <w:t>ovid-</w:t>
      </w:r>
      <w:r w:rsidRPr="0081344F">
        <w:t>19 pandēmijas seku mazināšanai un tautsaimniecības atbalstam</w:t>
      </w:r>
      <w:r>
        <w:t xml:space="preserve"> kā arī paredz ekonomikas sarukumu salīdzinot ar bāzes scenāriju, bet vēl neietver valdības lēmumus nākamā gada valsts budžeta sagatavošanas kontekstā.</w:t>
      </w:r>
    </w:p>
  </w:footnote>
  <w:footnote w:id="5">
    <w:p w14:paraId="1853E432" w14:textId="4E9AEE78" w:rsidR="0067167C" w:rsidRDefault="0067167C" w:rsidP="00CC1A43">
      <w:pPr>
        <w:pStyle w:val="FootnoteText"/>
        <w:ind w:left="0" w:firstLine="0"/>
        <w:jc w:val="both"/>
      </w:pPr>
      <w:r>
        <w:rPr>
          <w:rStyle w:val="FootnoteReference"/>
        </w:rPr>
        <w:footnoteRef/>
      </w:r>
      <w:r>
        <w:t xml:space="preserve"> </w:t>
      </w:r>
      <w:r w:rsidRPr="00845D85">
        <w:t>Eiropas Parlamenta un Pado</w:t>
      </w:r>
      <w:r w:rsidRPr="00E21B58">
        <w:t>mes R</w:t>
      </w:r>
      <w:r w:rsidR="00517DED">
        <w:t>egula (ES) Nr. 1175/2011 (2011.</w:t>
      </w:r>
      <w:r w:rsidRPr="00E21B58">
        <w:t xml:space="preserve">gada </w:t>
      </w:r>
      <w:r w:rsidR="00517DED">
        <w:t>16.</w:t>
      </w:r>
      <w:r w:rsidRPr="00E21B58">
        <w:t>novembris</w:t>
      </w:r>
      <w:r w:rsidRPr="00845D85">
        <w:t>), ar ko groza Padomes Regulu (EK) Nr. 1466/97 par budžeta stāvokļa uzraudzības un ekonomikas politikas uzraudzības un koordinācijas stiprināšanu</w:t>
      </w:r>
      <w:r>
        <w:t>.</w:t>
      </w:r>
    </w:p>
  </w:footnote>
  <w:footnote w:id="6">
    <w:p w14:paraId="39E697BE" w14:textId="0EDC3F1E" w:rsidR="0067167C" w:rsidRPr="00925FDA" w:rsidRDefault="0067167C" w:rsidP="00C3305B">
      <w:pPr>
        <w:pStyle w:val="FootnoteText"/>
        <w:ind w:left="0" w:firstLine="0"/>
        <w:jc w:val="both"/>
      </w:pPr>
      <w:r>
        <w:rPr>
          <w:rStyle w:val="FootnoteReference"/>
        </w:rPr>
        <w:footnoteRef/>
      </w:r>
      <w:r>
        <w:t xml:space="preserve"> </w:t>
      </w:r>
      <w:r w:rsidRPr="00C63F8C">
        <w:t>EK 2015.gada 13.janvāra komunikācija Eiropas Parlamentam, Padomei, Eiropas Centrālai bankai, Ekonomikas un sociālo lietu komitejai, Reģionu komitejai un Eiropas Investīciju bankai par S</w:t>
      </w:r>
      <w:r>
        <w:t xml:space="preserve">IP </w:t>
      </w:r>
      <w:r w:rsidRPr="00C63F8C">
        <w:t>regulējumā esošās elastības vislabāko izmantošanu.</w:t>
      </w:r>
    </w:p>
  </w:footnote>
  <w:footnote w:id="7">
    <w:p w14:paraId="5E583189" w14:textId="77777777" w:rsidR="0067167C" w:rsidRPr="00C63F8C" w:rsidRDefault="0067167C" w:rsidP="00C3305B">
      <w:pPr>
        <w:pStyle w:val="FootnoteText"/>
        <w:rPr>
          <w:i/>
        </w:rPr>
      </w:pPr>
      <w:r w:rsidRPr="00C63F8C">
        <w:rPr>
          <w:rStyle w:val="FootnoteReference"/>
        </w:rPr>
        <w:footnoteRef/>
      </w:r>
      <w:r w:rsidRPr="00C63F8C">
        <w:t xml:space="preserve"> Datu avots: </w:t>
      </w:r>
      <w:r w:rsidRPr="00C63F8C">
        <w:rPr>
          <w:i/>
        </w:rPr>
        <w:t>Eurostat</w:t>
      </w:r>
    </w:p>
  </w:footnote>
  <w:footnote w:id="8">
    <w:p w14:paraId="78713101" w14:textId="77777777" w:rsidR="0067167C" w:rsidRPr="001E7D28" w:rsidRDefault="0067167C" w:rsidP="00C3305B">
      <w:pPr>
        <w:pStyle w:val="FootnoteText"/>
        <w:ind w:left="0" w:hanging="56"/>
        <w:jc w:val="both"/>
      </w:pPr>
      <w:r>
        <w:rPr>
          <w:rStyle w:val="FootnoteReference"/>
        </w:rPr>
        <w:footnoteRef/>
      </w:r>
      <w:r>
        <w:t xml:space="preserve"> Ar detalizētu informāciju par veselības reformas īstenošanas rezultātiem 2018.gadam iespējams iepazīties FM tīmekļa vietnē – </w:t>
      </w:r>
      <w:r w:rsidRPr="00F63457">
        <w:t>http://www.fm.gov.lv/lv/sadalas/tautsaimniecibas_analize/fiskala_politika/stab</w:t>
      </w:r>
      <w:r>
        <w:t>ilitates_konvergences_programma</w:t>
      </w:r>
    </w:p>
  </w:footnote>
  <w:footnote w:id="9">
    <w:p w14:paraId="2971E435" w14:textId="317C904F" w:rsidR="0067167C" w:rsidRPr="00F63457" w:rsidRDefault="0067167C" w:rsidP="00C3305B">
      <w:pPr>
        <w:pStyle w:val="FootnoteText"/>
        <w:ind w:left="0" w:firstLine="0"/>
      </w:pPr>
      <w:r>
        <w:rPr>
          <w:rStyle w:val="FootnoteReference"/>
        </w:rPr>
        <w:footnoteRef/>
      </w:r>
      <w:r>
        <w:t xml:space="preserve"> Ar detalizētu informāciju par veselības reformas īstenošanas rezultātiem 2019.gadā iespējams iepazīties FM tīmekļa vietnē – </w:t>
      </w:r>
      <w:r w:rsidRPr="00F63457">
        <w:t>http://www.fm.gov.lv/lv/sadalas/tautsaimniecibas_analize/fiskala_politika/stab</w:t>
      </w:r>
      <w:r>
        <w:t>ilitates_konvergences_programma</w:t>
      </w:r>
    </w:p>
  </w:footnote>
  <w:footnote w:id="10">
    <w:p w14:paraId="114C8E03" w14:textId="77777777" w:rsidR="0067167C" w:rsidRPr="009965E4" w:rsidRDefault="0067167C" w:rsidP="00C3305B">
      <w:pPr>
        <w:pStyle w:val="FootnoteText"/>
      </w:pPr>
      <w:r w:rsidRPr="00C3305B">
        <w:rPr>
          <w:rStyle w:val="FootnoteReference"/>
        </w:rPr>
        <w:footnoteRef/>
      </w:r>
      <w:r w:rsidRPr="009965E4">
        <w:t xml:space="preserve"> Björnberg, A., </w:t>
      </w:r>
      <w:r w:rsidRPr="00595AE9">
        <w:rPr>
          <w:i/>
        </w:rPr>
        <w:t>Euro</w:t>
      </w:r>
      <w:r w:rsidRPr="009965E4">
        <w:t xml:space="preserve"> Health Consumer Index 2017 Report, © Health Consumer Powerhouse Ltd., 2018.</w:t>
      </w:r>
    </w:p>
  </w:footnote>
  <w:footnote w:id="11">
    <w:p w14:paraId="40F0CAE1" w14:textId="77777777" w:rsidR="0067167C" w:rsidRPr="009965E4" w:rsidRDefault="0067167C" w:rsidP="00C3305B">
      <w:pPr>
        <w:pStyle w:val="FootnoteText"/>
      </w:pPr>
      <w:r w:rsidRPr="00C3305B">
        <w:rPr>
          <w:rStyle w:val="FootnoteReference"/>
        </w:rPr>
        <w:footnoteRef/>
      </w:r>
      <w:r w:rsidRPr="009965E4">
        <w:t xml:space="preserve"> Björnberg, A., Phang, A.Y., </w:t>
      </w:r>
      <w:r w:rsidRPr="00595AE9">
        <w:rPr>
          <w:i/>
        </w:rPr>
        <w:t>Euro</w:t>
      </w:r>
      <w:r w:rsidRPr="009965E4">
        <w:t xml:space="preserve"> Health Consumer Index 2018 Report, © Health Consumer Powerhouse Ltd., 2019.</w:t>
      </w:r>
    </w:p>
  </w:footnote>
  <w:footnote w:id="12">
    <w:p w14:paraId="70A3DFA5" w14:textId="77777777" w:rsidR="0067167C" w:rsidRDefault="0067167C" w:rsidP="00C3305B">
      <w:pPr>
        <w:pStyle w:val="FootnoteText"/>
      </w:pPr>
      <w:r w:rsidRPr="00C3305B">
        <w:rPr>
          <w:rStyle w:val="FootnoteReference"/>
        </w:rPr>
        <w:footnoteRef/>
      </w:r>
      <w:r w:rsidRPr="00E91614">
        <w:t xml:space="preserve"> World Health Organization., 2009,. WHO guide to identifying the economic consequences of disease and injury. World Health Organization, https://apps.who.int/iris/handle/10665/137037</w:t>
      </w:r>
    </w:p>
  </w:footnote>
  <w:footnote w:id="13">
    <w:p w14:paraId="59C7A8D6" w14:textId="77777777" w:rsidR="0067167C" w:rsidRPr="00C3305B" w:rsidRDefault="0067167C" w:rsidP="00C3305B">
      <w:pPr>
        <w:pStyle w:val="FootnoteText"/>
        <w:jc w:val="both"/>
      </w:pPr>
      <w:r w:rsidRPr="00C3305B">
        <w:rPr>
          <w:rStyle w:val="FootnoteReference"/>
        </w:rPr>
        <w:footnoteRef/>
      </w:r>
      <w:r w:rsidRPr="00C3305B">
        <w:t xml:space="preserve"> Diskontēts 2014.gada vērtībās; kumulatīvais efekts.</w:t>
      </w:r>
    </w:p>
  </w:footnote>
  <w:footnote w:id="14">
    <w:p w14:paraId="5BA50929" w14:textId="77777777" w:rsidR="0067167C" w:rsidRPr="00C3305B" w:rsidRDefault="0067167C" w:rsidP="00C3305B">
      <w:pPr>
        <w:pStyle w:val="FootnoteText"/>
        <w:jc w:val="both"/>
      </w:pPr>
      <w:r w:rsidRPr="00C3305B">
        <w:rPr>
          <w:rStyle w:val="FootnoteReference"/>
        </w:rPr>
        <w:footnoteRef/>
      </w:r>
      <w:r w:rsidRPr="00C3305B">
        <w:t xml:space="preserve"> X apzīmē 2013.gadu. </w:t>
      </w:r>
    </w:p>
  </w:footnote>
  <w:footnote w:id="15">
    <w:p w14:paraId="655D478E" w14:textId="77777777" w:rsidR="0067167C" w:rsidRPr="00C3305B" w:rsidRDefault="0067167C" w:rsidP="00C3305B">
      <w:pPr>
        <w:pStyle w:val="FootnoteText"/>
        <w:jc w:val="both"/>
      </w:pPr>
      <w:r w:rsidRPr="00C3305B">
        <w:rPr>
          <w:rStyle w:val="FootnoteReference"/>
        </w:rPr>
        <w:footnoteRef/>
      </w:r>
      <w:r w:rsidRPr="00C3305B">
        <w:t xml:space="preserve"> Tautsaimniecības izlaide dalīta ar 2014.gada IKP faktiskajās cenās.</w:t>
      </w:r>
    </w:p>
  </w:footnote>
  <w:footnote w:id="16">
    <w:p w14:paraId="468EEE5F" w14:textId="77777777" w:rsidR="0067167C" w:rsidRPr="00C3305B" w:rsidRDefault="0067167C" w:rsidP="00C3305B">
      <w:pPr>
        <w:pStyle w:val="FootnoteText"/>
        <w:jc w:val="both"/>
      </w:pPr>
      <w:r w:rsidRPr="00C3305B">
        <w:rPr>
          <w:rStyle w:val="FootnoteReference"/>
        </w:rPr>
        <w:footnoteRef/>
      </w:r>
      <w:r w:rsidRPr="00C3305B">
        <w:t xml:space="preserve"> Nodarbinātības pieaugums dalīts ar nodarbināto skaitu vecuma grupā 15-64 gadi (2012.gadā).</w:t>
      </w:r>
    </w:p>
  </w:footnote>
  <w:footnote w:id="17">
    <w:p w14:paraId="745B9FE7" w14:textId="77777777" w:rsidR="0067167C" w:rsidRPr="00C3305B" w:rsidRDefault="0067167C" w:rsidP="00C3305B">
      <w:pPr>
        <w:pStyle w:val="FootnoteText"/>
        <w:jc w:val="both"/>
      </w:pPr>
      <w:r w:rsidRPr="00C3305B">
        <w:rPr>
          <w:rStyle w:val="FootnoteReference"/>
        </w:rPr>
        <w:footnoteRef/>
      </w:r>
      <w:r w:rsidRPr="00C3305B">
        <w:t xml:space="preserve"> Tiešā fiskālā ietekme, kas attiecināma uz vecuma grupu – 0-64 gadi.</w:t>
      </w:r>
    </w:p>
  </w:footnote>
  <w:footnote w:id="18">
    <w:p w14:paraId="7A12689C" w14:textId="77777777" w:rsidR="0067167C" w:rsidRPr="00C3305B" w:rsidRDefault="0067167C" w:rsidP="00C3305B">
      <w:pPr>
        <w:pStyle w:val="FootnoteText"/>
        <w:jc w:val="both"/>
      </w:pPr>
      <w:r w:rsidRPr="00C3305B">
        <w:rPr>
          <w:rStyle w:val="FootnoteReference"/>
        </w:rPr>
        <w:footnoteRef/>
      </w:r>
      <w:r w:rsidRPr="00C3305B">
        <w:t xml:space="preserve"> Novērtējot netiešo ietekmi uz budžetu, tiek izmantota budžeta bilances elastība 0,43 (5 gadiem) un 0,41 (10 gadi un vairāk).</w:t>
      </w:r>
    </w:p>
  </w:footnote>
  <w:footnote w:id="19">
    <w:p w14:paraId="5FA68BC7" w14:textId="77777777" w:rsidR="0067167C" w:rsidRPr="00F01A06" w:rsidRDefault="0067167C" w:rsidP="007130E8">
      <w:pPr>
        <w:pStyle w:val="FootnoteText"/>
        <w:rPr>
          <w:sz w:val="18"/>
          <w:szCs w:val="18"/>
        </w:rPr>
      </w:pPr>
      <w:r w:rsidRPr="00F01A06">
        <w:rPr>
          <w:rStyle w:val="FootnoteCharacters"/>
          <w:sz w:val="18"/>
          <w:szCs w:val="18"/>
        </w:rPr>
        <w:footnoteRef/>
      </w:r>
      <w:r w:rsidRPr="00F01A06">
        <w:rPr>
          <w:sz w:val="18"/>
          <w:szCs w:val="18"/>
        </w:rPr>
        <w:tab/>
        <w:t>Nodokļu slogs (D.2 (iesk.ES daļu)+D.5+D.61+D91).</w:t>
      </w:r>
    </w:p>
  </w:footnote>
  <w:footnote w:id="20">
    <w:p w14:paraId="134D44E9" w14:textId="77777777" w:rsidR="0067167C" w:rsidRPr="00480CF6" w:rsidRDefault="0067167C" w:rsidP="007130E8">
      <w:pPr>
        <w:pStyle w:val="FootnoteText"/>
        <w:jc w:val="both"/>
        <w:rPr>
          <w:sz w:val="18"/>
          <w:szCs w:val="18"/>
        </w:rPr>
      </w:pPr>
      <w:r w:rsidRPr="00480CF6">
        <w:rPr>
          <w:rStyle w:val="FootnoteReference"/>
          <w:sz w:val="18"/>
          <w:szCs w:val="18"/>
        </w:rPr>
        <w:footnoteRef/>
      </w:r>
      <w:r w:rsidRPr="00480CF6">
        <w:rPr>
          <w:sz w:val="18"/>
          <w:szCs w:val="18"/>
        </w:rPr>
        <w:t xml:space="preserve"> Deklarētā summa 2019.gada pārskata periodā (2018.gada decembrī un 2019.gada 11 mēnešos). Dati 06.03.2020.  </w:t>
      </w:r>
    </w:p>
  </w:footnote>
  <w:footnote w:id="21">
    <w:p w14:paraId="34485C76" w14:textId="77777777" w:rsidR="004C1988" w:rsidRPr="00480CF6" w:rsidRDefault="004C1988" w:rsidP="004C1988">
      <w:pPr>
        <w:pStyle w:val="FootnoteText"/>
        <w:ind w:left="0" w:firstLine="0"/>
        <w:jc w:val="both"/>
        <w:rPr>
          <w:sz w:val="18"/>
          <w:szCs w:val="18"/>
        </w:rPr>
      </w:pPr>
      <w:r w:rsidRPr="00B10A6D">
        <w:rPr>
          <w:rStyle w:val="FootnoteReference"/>
          <w:sz w:val="18"/>
        </w:rPr>
        <w:footnoteRef/>
      </w:r>
      <w:r w:rsidRPr="00480CF6">
        <w:rPr>
          <w:sz w:val="18"/>
          <w:szCs w:val="18"/>
        </w:rPr>
        <w:t xml:space="preserve"> Starp CSP un Eurostat notiek diskusijas par obligātā iepirkuma sistēmas ietvaros veikto vienreizējo darījumu statistisko uzskaiti. Pretstatā pašreizējai uzskaitei, kad beznosacījumu kompensācijas daļa tiek uzskaitīta attiecīgajā darījuma gadā, Eurostat uzskata, ka šo kompensācijas daļu atbilstoši darījuma ekonomiskajai būtībai būtu jāuzskaita proporcionāli līdz atbalsta perioda beigām. Eurostat piedāvātās izmaiņas paredzētu izdevumu samazinājumu par 140 milj. </w:t>
      </w:r>
      <w:r w:rsidRPr="00480CF6">
        <w:rPr>
          <w:i/>
          <w:sz w:val="18"/>
          <w:szCs w:val="18"/>
        </w:rPr>
        <w:t xml:space="preserve">euro </w:t>
      </w:r>
      <w:r w:rsidRPr="00480CF6">
        <w:rPr>
          <w:sz w:val="18"/>
          <w:szCs w:val="18"/>
        </w:rPr>
        <w:t xml:space="preserve">2017.gadā un 38,7 milj. </w:t>
      </w:r>
      <w:r w:rsidRPr="00480CF6">
        <w:rPr>
          <w:i/>
          <w:sz w:val="18"/>
          <w:szCs w:val="18"/>
        </w:rPr>
        <w:t xml:space="preserve">euro </w:t>
      </w:r>
      <w:r w:rsidRPr="00480CF6">
        <w:rPr>
          <w:sz w:val="18"/>
          <w:szCs w:val="18"/>
        </w:rPr>
        <w:t xml:space="preserve">2018.gadā, bet izdevumu pieaugumu 18,3 milj. </w:t>
      </w:r>
      <w:r w:rsidRPr="00480CF6">
        <w:rPr>
          <w:i/>
          <w:sz w:val="18"/>
          <w:szCs w:val="18"/>
        </w:rPr>
        <w:t>euro</w:t>
      </w:r>
      <w:r w:rsidRPr="00480CF6">
        <w:rPr>
          <w:sz w:val="18"/>
          <w:szCs w:val="18"/>
        </w:rPr>
        <w:t xml:space="preserve"> apmērā no 2019.gada līdz 2027.gadam un 13,4 milj. </w:t>
      </w:r>
      <w:r w:rsidRPr="00480CF6">
        <w:rPr>
          <w:i/>
          <w:sz w:val="18"/>
          <w:szCs w:val="18"/>
        </w:rPr>
        <w:t xml:space="preserve">euro </w:t>
      </w:r>
      <w:r w:rsidRPr="00480CF6">
        <w:rPr>
          <w:sz w:val="18"/>
          <w:szCs w:val="18"/>
        </w:rPr>
        <w:t xml:space="preserve">2028.gadā. </w:t>
      </w:r>
    </w:p>
    <w:p w14:paraId="0173A84D" w14:textId="683BFC31" w:rsidR="0067167C" w:rsidRDefault="0067167C" w:rsidP="00480CF6">
      <w:pPr>
        <w:pStyle w:val="FootnoteText"/>
        <w:ind w:left="0" w:firstLine="0"/>
      </w:pPr>
    </w:p>
  </w:footnote>
  <w:footnote w:id="22">
    <w:p w14:paraId="16595C8A" w14:textId="77777777" w:rsidR="0067167C" w:rsidRPr="0070018B" w:rsidRDefault="0067167C" w:rsidP="007130E8">
      <w:pPr>
        <w:pStyle w:val="FootnoteText"/>
        <w:ind w:left="57" w:hanging="57"/>
        <w:jc w:val="both"/>
        <w:rPr>
          <w:sz w:val="18"/>
          <w:szCs w:val="18"/>
        </w:rPr>
      </w:pPr>
      <w:r w:rsidRPr="0070018B">
        <w:rPr>
          <w:rStyle w:val="FootnoteReference"/>
          <w:sz w:val="18"/>
          <w:szCs w:val="18"/>
        </w:rPr>
        <w:footnoteRef/>
      </w:r>
      <w:r w:rsidRPr="0070018B">
        <w:rPr>
          <w:sz w:val="18"/>
          <w:szCs w:val="18"/>
        </w:rPr>
        <w:t xml:space="preserve"> Valsts un pašvaldību struktūru kontrolētās un finansētās komercsabiedrības (FM izlases aptaujas rezultāts). Pilns </w:t>
      </w:r>
      <w:r w:rsidRPr="0070018B">
        <w:rPr>
          <w:noProof/>
          <w:sz w:val="18"/>
          <w:szCs w:val="18"/>
          <w:lang w:val="en-US"/>
        </w:rPr>
        <w:t xml:space="preserve">komersantu saraksts ir pieejams CSP mājas lapā </w:t>
      </w:r>
      <w:hyperlink r:id="rId1" w:history="1">
        <w:r w:rsidRPr="0070018B">
          <w:rPr>
            <w:rStyle w:val="Hyperlink"/>
            <w:noProof/>
            <w:sz w:val="18"/>
            <w:szCs w:val="18"/>
            <w:lang w:val="en-US"/>
          </w:rPr>
          <w:t>https://www.csb.gov.lv/lv/statistika/klasifikacijas/institucionalo-sektoru-klasifikacija/kodi</w:t>
        </w:r>
      </w:hyperlink>
      <w:r w:rsidRPr="0070018B">
        <w:rPr>
          <w:rStyle w:val="Hyperlink"/>
          <w:noProof/>
          <w:sz w:val="18"/>
          <w:szCs w:val="18"/>
          <w:lang w:val="en-US"/>
        </w:rPr>
        <w:t>.</w:t>
      </w:r>
    </w:p>
  </w:footnote>
  <w:footnote w:id="23">
    <w:p w14:paraId="7D3FCEF4" w14:textId="77777777" w:rsidR="0067167C" w:rsidRPr="0070018B" w:rsidRDefault="0067167C" w:rsidP="007130E8">
      <w:pPr>
        <w:pStyle w:val="FootnoteText"/>
        <w:ind w:left="57" w:hanging="57"/>
        <w:jc w:val="both"/>
        <w:rPr>
          <w:noProof/>
          <w:sz w:val="18"/>
          <w:szCs w:val="18"/>
          <w:lang w:val="en-US"/>
        </w:rPr>
      </w:pPr>
      <w:r w:rsidRPr="0070018B">
        <w:rPr>
          <w:rStyle w:val="FootnoteReference"/>
          <w:noProof/>
          <w:sz w:val="18"/>
          <w:szCs w:val="18"/>
          <w:lang w:val="en-US"/>
        </w:rPr>
        <w:footnoteRef/>
      </w:r>
      <w:r w:rsidRPr="0070018B">
        <w:rPr>
          <w:noProof/>
          <w:sz w:val="18"/>
          <w:szCs w:val="18"/>
          <w:lang w:val="en-US"/>
        </w:rPr>
        <w:t xml:space="preserve"> Budžeta bilances cikliskās komponentes aprēķinā izmantota budžeta pus-elastība 0,378 (Datu avots: G.Mourre ao. European Commission. The Semi-Elasticities Underlying the Cyclically-Adjusted Budget Balance: An Update &amp; Further Analysis. May 2019).</w:t>
      </w:r>
    </w:p>
  </w:footnote>
  <w:footnote w:id="24">
    <w:p w14:paraId="3EB89BA9" w14:textId="3814E9A7" w:rsidR="008B2147" w:rsidRDefault="0067167C" w:rsidP="00AC6646">
      <w:pPr>
        <w:pStyle w:val="FootnoteText"/>
        <w:ind w:left="0" w:firstLine="0"/>
        <w:jc w:val="both"/>
        <w:rPr>
          <w:noProof/>
          <w:color w:val="auto"/>
          <w:sz w:val="18"/>
          <w:szCs w:val="18"/>
          <w:lang w:val="en-US"/>
        </w:rPr>
      </w:pPr>
      <w:r w:rsidRPr="0070018B">
        <w:rPr>
          <w:rStyle w:val="FootnoteReference"/>
          <w:noProof/>
          <w:color w:val="auto"/>
          <w:sz w:val="18"/>
          <w:szCs w:val="18"/>
          <w:lang w:val="en-US"/>
        </w:rPr>
        <w:footnoteRef/>
      </w:r>
      <w:r w:rsidRPr="0070018B">
        <w:rPr>
          <w:noProof/>
          <w:color w:val="auto"/>
          <w:sz w:val="18"/>
          <w:szCs w:val="18"/>
          <w:lang w:val="en-US"/>
        </w:rPr>
        <w:t xml:space="preserve"> 2019.gadā </w:t>
      </w:r>
      <w:r w:rsidRPr="0070018B">
        <w:rPr>
          <w:i/>
          <w:noProof/>
          <w:color w:val="auto"/>
          <w:sz w:val="18"/>
          <w:szCs w:val="18"/>
          <w:lang w:val="en-US"/>
        </w:rPr>
        <w:t>one-off</w:t>
      </w:r>
      <w:r w:rsidRPr="0070018B">
        <w:rPr>
          <w:noProof/>
          <w:color w:val="auto"/>
          <w:sz w:val="18"/>
          <w:szCs w:val="18"/>
          <w:lang w:val="en-US"/>
        </w:rPr>
        <w:t xml:space="preserve"> pasākumā ir iekļauts vienreizējs darījums – ieņēmumi 60,7 milj. </w:t>
      </w:r>
      <w:r w:rsidRPr="00EE4325">
        <w:rPr>
          <w:i/>
          <w:noProof/>
          <w:color w:val="auto"/>
          <w:sz w:val="18"/>
          <w:szCs w:val="18"/>
          <w:lang w:val="en-US"/>
        </w:rPr>
        <w:t>euro</w:t>
      </w:r>
      <w:r w:rsidRPr="0070018B">
        <w:rPr>
          <w:noProof/>
          <w:color w:val="auto"/>
          <w:sz w:val="18"/>
          <w:szCs w:val="18"/>
          <w:lang w:val="en-US"/>
        </w:rPr>
        <w:t xml:space="preserve"> jeb 0,2% no IKP apmērā no emisijas kvotu izsolīšanas sekundārajā tirgū. </w:t>
      </w:r>
      <w:r w:rsidR="008B2147">
        <w:rPr>
          <w:noProof/>
          <w:color w:val="auto"/>
          <w:sz w:val="18"/>
          <w:szCs w:val="18"/>
          <w:lang w:val="en-US"/>
        </w:rPr>
        <w:t>Lai atvieglotu datu salīdzināmību starp Latviju un EK, struktur</w:t>
      </w:r>
      <w:r w:rsidR="002C0BCF">
        <w:rPr>
          <w:noProof/>
          <w:color w:val="auto"/>
          <w:sz w:val="18"/>
          <w:szCs w:val="18"/>
          <w:lang w:val="en-US"/>
        </w:rPr>
        <w:t>ālā bilance 2019.gadā un 2020.</w:t>
      </w:r>
      <w:r w:rsidR="008B2147">
        <w:rPr>
          <w:noProof/>
          <w:color w:val="auto"/>
          <w:sz w:val="18"/>
          <w:szCs w:val="18"/>
          <w:lang w:val="en-US"/>
        </w:rPr>
        <w:t>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w:t>
      </w:r>
      <w:r w:rsidR="004631BE">
        <w:rPr>
          <w:noProof/>
          <w:color w:val="auto"/>
          <w:sz w:val="18"/>
          <w:szCs w:val="18"/>
          <w:lang w:val="en-US"/>
        </w:rPr>
        <w:t xml:space="preserve">vumus palielinošos pasākumus EK </w:t>
      </w:r>
      <w:r w:rsidR="008B2147">
        <w:rPr>
          <w:noProof/>
          <w:color w:val="auto"/>
          <w:sz w:val="18"/>
          <w:szCs w:val="18"/>
          <w:lang w:val="en-US"/>
        </w:rPr>
        <w:t>neatzīst par vienreizējiem/ īslaicīgajiem pasākumiem.</w:t>
      </w:r>
    </w:p>
    <w:p w14:paraId="23FFC34D" w14:textId="77777777" w:rsidR="0067167C" w:rsidRPr="002A4F3D" w:rsidRDefault="0067167C" w:rsidP="007130E8">
      <w:pPr>
        <w:pStyle w:val="FootnoteText"/>
        <w:ind w:left="0" w:firstLine="0"/>
        <w:jc w:val="both"/>
        <w:rPr>
          <w:color w:val="auto"/>
          <w:sz w:val="18"/>
          <w:szCs w:val="18"/>
          <w:lang w:val="en-US"/>
        </w:rPr>
      </w:pPr>
    </w:p>
  </w:footnote>
  <w:footnote w:id="25">
    <w:p w14:paraId="472A0231" w14:textId="77777777" w:rsidR="0067167C" w:rsidRPr="0070018B" w:rsidRDefault="0067167C" w:rsidP="00956A4B">
      <w:pPr>
        <w:pStyle w:val="FootnoteText"/>
        <w:ind w:left="57" w:hanging="57"/>
        <w:jc w:val="both"/>
        <w:rPr>
          <w:noProof/>
          <w:sz w:val="18"/>
          <w:szCs w:val="18"/>
          <w:lang w:val="en-US"/>
        </w:rPr>
      </w:pPr>
      <w:r w:rsidRPr="0070018B">
        <w:rPr>
          <w:rStyle w:val="FootnoteReference"/>
          <w:noProof/>
          <w:sz w:val="18"/>
          <w:szCs w:val="18"/>
          <w:lang w:val="en-US"/>
        </w:rPr>
        <w:footnoteRef/>
      </w:r>
      <w:r w:rsidRPr="0070018B">
        <w:rPr>
          <w:noProof/>
          <w:sz w:val="18"/>
          <w:szCs w:val="18"/>
          <w:lang w:val="en-US"/>
        </w:rPr>
        <w:t xml:space="preserve"> Budžeta bilances cikliskās komponentes aprēķinā izmantota budžeta pus-elastība 0,378 (Datu avots: G.Mourre ao. European Commission. The Semi-Elasticities Underlying the Cyclically-Adjusted Budget Balance: An Update &amp; Further Analysis. May 2019).</w:t>
      </w:r>
    </w:p>
  </w:footnote>
  <w:footnote w:id="26">
    <w:p w14:paraId="3A44A45A" w14:textId="68866304" w:rsidR="0067167C" w:rsidRPr="00D4257C" w:rsidRDefault="0067167C" w:rsidP="008A47CF">
      <w:pPr>
        <w:pStyle w:val="FootnoteText"/>
        <w:ind w:left="0" w:firstLine="0"/>
        <w:jc w:val="both"/>
        <w:rPr>
          <w:noProof/>
          <w:color w:val="auto"/>
          <w:sz w:val="18"/>
          <w:szCs w:val="18"/>
        </w:rPr>
      </w:pPr>
      <w:r w:rsidRPr="0070018B">
        <w:rPr>
          <w:rStyle w:val="FootnoteReference"/>
          <w:noProof/>
          <w:color w:val="auto"/>
          <w:sz w:val="18"/>
          <w:szCs w:val="18"/>
          <w:lang w:val="en-US"/>
        </w:rPr>
        <w:footnoteRef/>
      </w:r>
      <w:r w:rsidRPr="0070018B">
        <w:rPr>
          <w:noProof/>
          <w:color w:val="auto"/>
          <w:sz w:val="18"/>
          <w:szCs w:val="18"/>
          <w:lang w:val="en-US"/>
        </w:rPr>
        <w:t xml:space="preserve"> 2019.gadā </w:t>
      </w:r>
      <w:r w:rsidRPr="0070018B">
        <w:rPr>
          <w:i/>
          <w:noProof/>
          <w:color w:val="auto"/>
          <w:sz w:val="18"/>
          <w:szCs w:val="18"/>
          <w:lang w:val="en-US"/>
        </w:rPr>
        <w:t>one-off</w:t>
      </w:r>
      <w:r w:rsidRPr="0070018B">
        <w:rPr>
          <w:noProof/>
          <w:color w:val="auto"/>
          <w:sz w:val="18"/>
          <w:szCs w:val="18"/>
          <w:lang w:val="en-US"/>
        </w:rPr>
        <w:t xml:space="preserve"> pasākumā ir iekļauts vienreizējs darījums – ieņēmumi 60,7 milj. </w:t>
      </w:r>
      <w:r w:rsidRPr="00EE4325">
        <w:rPr>
          <w:i/>
          <w:noProof/>
          <w:color w:val="auto"/>
          <w:sz w:val="18"/>
          <w:szCs w:val="18"/>
          <w:lang w:val="en-US"/>
        </w:rPr>
        <w:t>euro</w:t>
      </w:r>
      <w:r w:rsidRPr="0070018B">
        <w:rPr>
          <w:noProof/>
          <w:color w:val="auto"/>
          <w:sz w:val="18"/>
          <w:szCs w:val="18"/>
          <w:lang w:val="en-US"/>
        </w:rPr>
        <w:t xml:space="preserve"> jeb 0,2% no IKP apmērā no emisijas kvotu izsolīšanas sekundārajā tirgū. </w:t>
      </w:r>
      <w:r>
        <w:rPr>
          <w:noProof/>
          <w:color w:val="auto"/>
          <w:sz w:val="18"/>
          <w:szCs w:val="18"/>
          <w:lang w:val="en-US"/>
        </w:rPr>
        <w:t>Lai atvieglotu datu salīdzināmību starp Latviju un EK, strukturālā bilance 2019. gadā un 2020. 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izdevumus palielinošos pasākumus EK neatzīst par vienreizējiem/ īslaicīgajiem pasāku</w:t>
      </w:r>
      <w:r w:rsidR="00736645">
        <w:rPr>
          <w:noProof/>
          <w:color w:val="auto"/>
          <w:sz w:val="18"/>
          <w:szCs w:val="18"/>
          <w:lang w:val="en-US"/>
        </w:rPr>
        <w:t>miem.</w:t>
      </w:r>
      <w:r w:rsidR="008A47CF">
        <w:rPr>
          <w:noProof/>
          <w:color w:val="auto"/>
          <w:sz w:val="18"/>
          <w:szCs w:val="18"/>
          <w:lang w:val="en-US"/>
        </w:rPr>
        <w:t xml:space="preserve"> </w:t>
      </w:r>
      <w:r>
        <w:rPr>
          <w:sz w:val="18"/>
          <w:szCs w:val="18"/>
        </w:rPr>
        <w:t>Papildus jānorāda, ka Latvijas fiskālajā ietvarā valdības un Saeimas pieņemtie atbalsta pasākumi ar fiskālo ietekmi ar Covid-19 izplatību saistītās ārkārtējās situācijas ietekmes mazināšanai tiek uzskatīti par vienreizējiem pasākumiem, attiecīgi -3,0% no IKP 2020.gadā, 0,2% no IKP 2021.gadā, 0,2% no IKP 2022.gadā un 0,3% no IKP 2023.gadā, un netiek iekļauti strukturālajā bilancē. Savukārt, EK pieeja neparedz C</w:t>
      </w:r>
      <w:r w:rsidR="00F05CCB">
        <w:rPr>
          <w:sz w:val="18"/>
          <w:szCs w:val="18"/>
        </w:rPr>
        <w:t>ovid-1</w:t>
      </w:r>
      <w:r>
        <w:rPr>
          <w:sz w:val="18"/>
          <w:szCs w:val="18"/>
        </w:rPr>
        <w:t>9 atbalsta pasākumus atzīt par vienreizējiem pasākumiem, tāpēc šie pasākumi šajā tabulā ir ietverti strukturālajā bilancē.</w:t>
      </w:r>
    </w:p>
  </w:footnote>
  <w:footnote w:id="27">
    <w:p w14:paraId="7661DFBE" w14:textId="062EEF64" w:rsidR="0067167C" w:rsidRPr="0070018B" w:rsidRDefault="0067167C" w:rsidP="00956A4B">
      <w:pPr>
        <w:pStyle w:val="FootnoteText"/>
        <w:ind w:left="0" w:firstLine="0"/>
        <w:jc w:val="both"/>
        <w:rPr>
          <w:color w:val="auto"/>
          <w:sz w:val="18"/>
          <w:szCs w:val="18"/>
        </w:rPr>
      </w:pPr>
    </w:p>
  </w:footnote>
  <w:footnote w:id="28">
    <w:p w14:paraId="05333DED" w14:textId="77777777" w:rsidR="0067167C" w:rsidRPr="00A753EF" w:rsidRDefault="0067167C" w:rsidP="00A753EF">
      <w:pPr>
        <w:pStyle w:val="FootnoteText"/>
      </w:pPr>
      <w:r w:rsidRPr="00492A61">
        <w:rPr>
          <w:rStyle w:val="FootnoteReference"/>
        </w:rPr>
        <w:footnoteRef/>
      </w:r>
      <w:r w:rsidRPr="00A753EF">
        <w:t xml:space="preserve"> Šeit un turpmākajās nodokļu politikas izmaiņu ietekmes tabulās atspoguļota ieviešanas gada ietekme</w:t>
      </w:r>
    </w:p>
  </w:footnote>
  <w:footnote w:id="29">
    <w:p w14:paraId="19DB5DCE" w14:textId="77777777" w:rsidR="0067167C" w:rsidRPr="007D0EC7" w:rsidRDefault="0067167C" w:rsidP="00A753EF">
      <w:pPr>
        <w:pStyle w:val="FootnoteText"/>
      </w:pPr>
      <w:r w:rsidRPr="00492A61">
        <w:rPr>
          <w:rStyle w:val="FootnoteReference"/>
        </w:rPr>
        <w:footnoteRef/>
      </w:r>
      <w:r w:rsidRPr="00A753EF">
        <w:t xml:space="preserve"> </w:t>
      </w:r>
      <w:r w:rsidRPr="007D0EC7">
        <w:t>Neskaitot iemaksas valsts fondēto pensiju shēmā.</w:t>
      </w:r>
    </w:p>
  </w:footnote>
  <w:footnote w:id="30">
    <w:p w14:paraId="0FAA5DDD" w14:textId="2D3CFB4C" w:rsidR="0067167C" w:rsidRPr="00907B96" w:rsidRDefault="0067167C" w:rsidP="00A753EF">
      <w:pPr>
        <w:jc w:val="both"/>
        <w:rPr>
          <w:rFonts w:cs="Times New Roman"/>
          <w:sz w:val="20"/>
          <w:szCs w:val="20"/>
        </w:rPr>
      </w:pPr>
      <w:r w:rsidRPr="007D0EC7">
        <w:rPr>
          <w:rStyle w:val="FootnoteReference"/>
          <w:rFonts w:ascii="Times New Roman" w:hAnsi="Times New Roman" w:cs="Times New Roman"/>
          <w:szCs w:val="20"/>
        </w:rPr>
        <w:footnoteRef/>
      </w:r>
      <w:r w:rsidRPr="007D0EC7">
        <w:rPr>
          <w:rFonts w:ascii="Times New Roman" w:hAnsi="Times New Roman" w:cs="Times New Roman"/>
          <w:sz w:val="20"/>
          <w:szCs w:val="20"/>
        </w:rPr>
        <w:t>S</w:t>
      </w:r>
      <w:r w:rsidRPr="007D0EC7">
        <w:rPr>
          <w:rFonts w:ascii="Times New Roman" w:hAnsi="Times New Roman" w:cs="Times New Roman"/>
          <w:iCs/>
          <w:sz w:val="20"/>
          <w:szCs w:val="20"/>
        </w:rPr>
        <w:t>askaņā ar</w:t>
      </w:r>
      <w:r w:rsidRPr="007D0EC7">
        <w:rPr>
          <w:rFonts w:ascii="Times New Roman" w:hAnsi="Times New Roman" w:cs="Times New Roman"/>
          <w:sz w:val="20"/>
          <w:szCs w:val="20"/>
        </w:rPr>
        <w:t xml:space="preserve"> EKS </w:t>
      </w:r>
      <w:r>
        <w:rPr>
          <w:rFonts w:ascii="Times New Roman" w:hAnsi="Times New Roman" w:cs="Times New Roman"/>
          <w:sz w:val="20"/>
          <w:szCs w:val="20"/>
        </w:rPr>
        <w:t>2010</w:t>
      </w:r>
      <w:r w:rsidRPr="007D0EC7">
        <w:rPr>
          <w:rFonts w:ascii="Times New Roman" w:hAnsi="Times New Roman" w:cs="Times New Roman"/>
          <w:sz w:val="20"/>
          <w:szCs w:val="20"/>
        </w:rPr>
        <w:t xml:space="preserve"> sociālās apdrošināšanas iemaksas, kas tiek novirzītas valsts fondēto pensiju shēmā, netiek uzskaitītas kā vispārējās valdības budžeta ieņēmumi.</w:t>
      </w:r>
    </w:p>
  </w:footnote>
  <w:footnote w:id="31">
    <w:p w14:paraId="15DF9957" w14:textId="77777777" w:rsidR="0067167C" w:rsidRPr="00A753EF" w:rsidRDefault="0067167C" w:rsidP="00A753EF">
      <w:pPr>
        <w:pStyle w:val="FootnoteText"/>
      </w:pPr>
      <w:r w:rsidRPr="00492A61">
        <w:rPr>
          <w:rStyle w:val="FootnoteReference"/>
        </w:rPr>
        <w:footnoteRef/>
      </w:r>
      <w:r w:rsidRPr="00A753EF">
        <w:t xml:space="preserve"> Neskaitot iemaksas valsts fondēto pensiju shēmā un maksājumu pamatbudžetā veselības aprūpes finansēšanai</w:t>
      </w:r>
    </w:p>
  </w:footnote>
  <w:footnote w:id="32">
    <w:p w14:paraId="3E0A5EF8" w14:textId="77777777" w:rsidR="0067167C" w:rsidRPr="00A753EF" w:rsidRDefault="0067167C" w:rsidP="00A753EF">
      <w:pPr>
        <w:pStyle w:val="FootnoteText"/>
      </w:pPr>
      <w:r w:rsidRPr="00492A61">
        <w:rPr>
          <w:rStyle w:val="FootnoteReference"/>
        </w:rPr>
        <w:footnoteRef/>
      </w:r>
      <w:r w:rsidRPr="00A753EF">
        <w:t xml:space="preserve"> Neskaitot iemaksas valsts fondēto pensiju shēmā.</w:t>
      </w:r>
    </w:p>
  </w:footnote>
  <w:footnote w:id="33">
    <w:p w14:paraId="2EEA2B0F" w14:textId="77777777" w:rsidR="0067167C" w:rsidRPr="00A753EF" w:rsidRDefault="0067167C" w:rsidP="00A753EF">
      <w:pPr>
        <w:pStyle w:val="FootnoteText"/>
      </w:pPr>
      <w:r w:rsidRPr="00492A61">
        <w:rPr>
          <w:rStyle w:val="FootnoteReference"/>
        </w:rPr>
        <w:footnoteRef/>
      </w:r>
      <w:r w:rsidRPr="00A753EF">
        <w:t xml:space="preserve"> Neskaitot iemaksas valsts fondēto pensiju shēmā un maksājumu pamatbudžetā veselības aprūpes finansēšanai</w:t>
      </w:r>
    </w:p>
  </w:footnote>
  <w:footnote w:id="34">
    <w:p w14:paraId="2BB9EEEE" w14:textId="77777777" w:rsidR="0067167C" w:rsidRPr="00D21908" w:rsidRDefault="0067167C" w:rsidP="00284BE8">
      <w:pPr>
        <w:pStyle w:val="FootnoteText"/>
        <w:rPr>
          <w:sz w:val="18"/>
          <w:szCs w:val="18"/>
        </w:rPr>
      </w:pPr>
      <w:r w:rsidRPr="00D21908">
        <w:rPr>
          <w:rStyle w:val="FootnoteReference"/>
          <w:rFonts w:ascii="Times New Roman" w:hAnsi="Times New Roman"/>
          <w:sz w:val="18"/>
          <w:szCs w:val="18"/>
        </w:rPr>
        <w:footnoteRef/>
      </w:r>
      <w:r w:rsidRPr="00D21908">
        <w:rPr>
          <w:sz w:val="18"/>
          <w:szCs w:val="18"/>
        </w:rPr>
        <w:t xml:space="preserve"> </w:t>
      </w:r>
      <w:r>
        <w:rPr>
          <w:sz w:val="18"/>
          <w:szCs w:val="18"/>
        </w:rPr>
        <w:t>Ieskaitot ES budžetā iekasēto nodokļu daļu.</w:t>
      </w:r>
    </w:p>
  </w:footnote>
  <w:footnote w:id="35">
    <w:p w14:paraId="32EEEBA1" w14:textId="70063689" w:rsidR="0067167C" w:rsidRPr="009F3B68" w:rsidRDefault="0067167C" w:rsidP="009F3B68">
      <w:pPr>
        <w:pStyle w:val="FootnoteText"/>
        <w:ind w:left="0" w:hanging="56"/>
        <w:jc w:val="both"/>
        <w:rPr>
          <w:sz w:val="18"/>
        </w:rPr>
      </w:pPr>
      <w:r>
        <w:rPr>
          <w:rStyle w:val="FootnoteReference"/>
        </w:rPr>
        <w:footnoteRef/>
      </w:r>
      <w:r>
        <w:t xml:space="preserve"> </w:t>
      </w:r>
      <w:r w:rsidRPr="004264C0">
        <w:rPr>
          <w:sz w:val="18"/>
        </w:rPr>
        <w:t xml:space="preserve">Ieņēmumu daļa 60,7 milj. </w:t>
      </w:r>
      <w:r w:rsidRPr="004264C0">
        <w:rPr>
          <w:i/>
          <w:sz w:val="18"/>
        </w:rPr>
        <w:t>euro</w:t>
      </w:r>
      <w:r w:rsidRPr="004264C0">
        <w:rPr>
          <w:sz w:val="18"/>
        </w:rPr>
        <w:t xml:space="preserve"> apmērā no Latvijai piešķirto emisijas kvotu izsolīšanas seku</w:t>
      </w:r>
      <w:r>
        <w:rPr>
          <w:sz w:val="18"/>
        </w:rPr>
        <w:t xml:space="preserve">ndārajā tirgū, kas notika 2018. </w:t>
      </w:r>
      <w:r w:rsidRPr="004264C0">
        <w:rPr>
          <w:sz w:val="18"/>
        </w:rPr>
        <w:t>gada novembrī.</w:t>
      </w:r>
      <w:r w:rsidRPr="00284BE8">
        <w:rPr>
          <w:noProof/>
          <w:color w:val="auto"/>
          <w:sz w:val="18"/>
          <w:szCs w:val="18"/>
        </w:rPr>
        <w:t>Lai atvieglotu datu salīdzināmību starp Latviju un EK, strukturālā bilance 2019. gadā un 2020. 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izdevumus palielinošos pasākumus EK neatzīst par vienreizējiem/ īslaicīgajiem pasākumiem.</w:t>
      </w:r>
    </w:p>
    <w:p w14:paraId="12D24147" w14:textId="77777777" w:rsidR="0067167C" w:rsidRDefault="0067167C" w:rsidP="00284BE8">
      <w:pPr>
        <w:pStyle w:val="FootnoteText"/>
      </w:pPr>
    </w:p>
  </w:footnote>
  <w:footnote w:id="36">
    <w:p w14:paraId="10C2CF93" w14:textId="77777777" w:rsidR="0067167C" w:rsidRPr="00D21908" w:rsidRDefault="0067167C" w:rsidP="00284BE8">
      <w:pPr>
        <w:pStyle w:val="FootnoteText"/>
        <w:rPr>
          <w:sz w:val="18"/>
          <w:szCs w:val="18"/>
        </w:rPr>
      </w:pPr>
      <w:r w:rsidRPr="00D21908">
        <w:rPr>
          <w:rStyle w:val="FootnoteReference"/>
          <w:rFonts w:ascii="Times New Roman" w:hAnsi="Times New Roman"/>
          <w:sz w:val="18"/>
          <w:szCs w:val="18"/>
        </w:rPr>
        <w:footnoteRef/>
      </w:r>
      <w:r w:rsidRPr="00D21908">
        <w:rPr>
          <w:sz w:val="18"/>
          <w:szCs w:val="18"/>
        </w:rPr>
        <w:t xml:space="preserve"> </w:t>
      </w:r>
      <w:r>
        <w:rPr>
          <w:sz w:val="18"/>
          <w:szCs w:val="18"/>
        </w:rPr>
        <w:t>Ieskaitot ES budžetā iekasēto nodokļu daļu.</w:t>
      </w:r>
    </w:p>
  </w:footnote>
  <w:footnote w:id="37">
    <w:p w14:paraId="55CDB28B" w14:textId="5AFB12BA" w:rsidR="0067167C" w:rsidRPr="00914C8B" w:rsidRDefault="0067167C" w:rsidP="00914C8B">
      <w:pPr>
        <w:pStyle w:val="FootnoteText"/>
        <w:ind w:left="0" w:firstLine="0"/>
        <w:jc w:val="both"/>
        <w:rPr>
          <w:sz w:val="18"/>
        </w:rPr>
      </w:pPr>
      <w:r>
        <w:rPr>
          <w:rStyle w:val="FootnoteReference"/>
        </w:rPr>
        <w:footnoteRef/>
      </w:r>
      <w:r>
        <w:t xml:space="preserve"> </w:t>
      </w:r>
      <w:r w:rsidRPr="004264C0">
        <w:rPr>
          <w:sz w:val="18"/>
        </w:rPr>
        <w:t xml:space="preserve">Ieņēmumu daļa 60,7 milj. </w:t>
      </w:r>
      <w:r w:rsidRPr="004264C0">
        <w:rPr>
          <w:i/>
          <w:sz w:val="18"/>
        </w:rPr>
        <w:t>euro</w:t>
      </w:r>
      <w:r w:rsidRPr="004264C0">
        <w:rPr>
          <w:sz w:val="18"/>
        </w:rPr>
        <w:t xml:space="preserve"> apmērā no Latvijai piešķirto emisijas kvotu izsolīšanas sekundārajā tirgū, kas notika 2018. gada novembrī.</w:t>
      </w:r>
      <w:r w:rsidR="00914C8B">
        <w:rPr>
          <w:sz w:val="18"/>
        </w:rPr>
        <w:t xml:space="preserve"> </w:t>
      </w:r>
      <w:r w:rsidRPr="00284BE8">
        <w:rPr>
          <w:noProof/>
          <w:color w:val="auto"/>
          <w:sz w:val="18"/>
          <w:szCs w:val="18"/>
        </w:rPr>
        <w:t>Lai atvieglotu datu salīdzināmību starp Latviju un EK, strukturālā bilance 2019. gadā un 2020. gadā ir parādīta kopā ar nodokļu reformas neto ieņēmumu samazinājumu attiecīgi 0,5% no IKP un 0,3% no IKP, kas ir īslaicīgs un Latvijas fiskālajā ietvarā tiek atzīts par vienreizējo pasākumu, bet EK šo efektu ietver strukturālajā bilancē, jo ieņēmumus samazinošos/ izdevumus palielinošos pasākumus EK kā likums neatzīst par vienreizējiem/ īslaicīgajiem pasākumiem.</w:t>
      </w:r>
    </w:p>
    <w:p w14:paraId="7F56C9F0" w14:textId="0199FD86" w:rsidR="0067167C" w:rsidRDefault="0067167C" w:rsidP="00BA0D19">
      <w:pPr>
        <w:pStyle w:val="FootnoteText"/>
        <w:ind w:left="0" w:firstLine="0"/>
        <w:jc w:val="both"/>
      </w:pPr>
      <w:r>
        <w:rPr>
          <w:sz w:val="18"/>
          <w:szCs w:val="18"/>
        </w:rPr>
        <w:t>Papildus jānorāda, ka Latvijas fiskālajā ietvarā valdības un Saeimas pieņemtie atbalsta pasākumi ar fiskālo ietekmi ar Covid-19 izplatību saistītās ārkārtējās situācijas ietekmes mazināšanai tiek uzskatīti par vienreizējiem pasākumiem, attiecīgi -3,0% no IKP 2020.gadā, 0,2% no IKP 2021. gadā, 0,2% no IKP 2022.gadā un 0,3% no IKP 2023.gadā, un netiek iekļauti strukturālajā bilancē. Savukārt, EK pieeja neparedz Covid-19 atbalsta pasākumus atzīt par vienreizējiem pasākumiem, tāpēc šie pasākumi šajā tabulā ir ietverti strukturālajā bilancē.</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C91"/>
    <w:multiLevelType w:val="hybridMultilevel"/>
    <w:tmpl w:val="279C01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225EFC"/>
    <w:multiLevelType w:val="hybridMultilevel"/>
    <w:tmpl w:val="8C341A4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15:restartNumberingAfterBreak="0">
    <w:nsid w:val="0A813916"/>
    <w:multiLevelType w:val="hybridMultilevel"/>
    <w:tmpl w:val="697E8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305630"/>
    <w:multiLevelType w:val="hybridMultilevel"/>
    <w:tmpl w:val="586A5AFE"/>
    <w:lvl w:ilvl="0" w:tplc="35E61B94">
      <w:start w:val="1"/>
      <w:numFmt w:val="bullet"/>
      <w:lvlText w:val=""/>
      <w:lvlJc w:val="left"/>
      <w:pPr>
        <w:ind w:left="72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82775B"/>
    <w:multiLevelType w:val="multilevel"/>
    <w:tmpl w:val="61E4D4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584AE8"/>
    <w:multiLevelType w:val="multilevel"/>
    <w:tmpl w:val="F44CB90C"/>
    <w:lvl w:ilvl="0">
      <w:start w:val="3"/>
      <w:numFmt w:val="decimal"/>
      <w:lvlText w:val="%1."/>
      <w:lvlJc w:val="left"/>
      <w:pPr>
        <w:ind w:left="360" w:hanging="360"/>
      </w:pPr>
      <w:rPr>
        <w:rFonts w:ascii="Times New Roman" w:eastAsia="Calibri" w:hAnsi="Times New Roman" w:hint="default"/>
      </w:rPr>
    </w:lvl>
    <w:lvl w:ilvl="1">
      <w:start w:val="4"/>
      <w:numFmt w:val="decimal"/>
      <w:lvlText w:val="%1.%2."/>
      <w:lvlJc w:val="left"/>
      <w:pPr>
        <w:ind w:left="2717" w:hanging="720"/>
      </w:pPr>
      <w:rPr>
        <w:rFonts w:ascii="Times New Roman" w:eastAsia="Calibri" w:hAnsi="Times New Roman" w:hint="default"/>
      </w:rPr>
    </w:lvl>
    <w:lvl w:ilvl="2">
      <w:start w:val="1"/>
      <w:numFmt w:val="decimal"/>
      <w:lvlText w:val="%1.%2.%3."/>
      <w:lvlJc w:val="left"/>
      <w:pPr>
        <w:ind w:left="4714" w:hanging="720"/>
      </w:pPr>
      <w:rPr>
        <w:rFonts w:ascii="Times New Roman" w:eastAsia="Calibri" w:hAnsi="Times New Roman" w:hint="default"/>
      </w:rPr>
    </w:lvl>
    <w:lvl w:ilvl="3">
      <w:start w:val="1"/>
      <w:numFmt w:val="decimal"/>
      <w:lvlText w:val="%1.%2.%3.%4."/>
      <w:lvlJc w:val="left"/>
      <w:pPr>
        <w:ind w:left="7071" w:hanging="1080"/>
      </w:pPr>
      <w:rPr>
        <w:rFonts w:ascii="Times New Roman" w:eastAsia="Calibri" w:hAnsi="Times New Roman" w:hint="default"/>
      </w:rPr>
    </w:lvl>
    <w:lvl w:ilvl="4">
      <w:start w:val="1"/>
      <w:numFmt w:val="decimal"/>
      <w:lvlText w:val="%1.%2.%3.%4.%5."/>
      <w:lvlJc w:val="left"/>
      <w:pPr>
        <w:ind w:left="9428" w:hanging="1440"/>
      </w:pPr>
      <w:rPr>
        <w:rFonts w:ascii="Times New Roman" w:eastAsia="Calibri" w:hAnsi="Times New Roman" w:hint="default"/>
      </w:rPr>
    </w:lvl>
    <w:lvl w:ilvl="5">
      <w:start w:val="1"/>
      <w:numFmt w:val="decimal"/>
      <w:lvlText w:val="%1.%2.%3.%4.%5.%6."/>
      <w:lvlJc w:val="left"/>
      <w:pPr>
        <w:ind w:left="11425" w:hanging="1440"/>
      </w:pPr>
      <w:rPr>
        <w:rFonts w:ascii="Times New Roman" w:eastAsia="Calibri" w:hAnsi="Times New Roman" w:hint="default"/>
      </w:rPr>
    </w:lvl>
    <w:lvl w:ilvl="6">
      <w:start w:val="1"/>
      <w:numFmt w:val="decimal"/>
      <w:lvlText w:val="%1.%2.%3.%4.%5.%6.%7."/>
      <w:lvlJc w:val="left"/>
      <w:pPr>
        <w:ind w:left="13782" w:hanging="1800"/>
      </w:pPr>
      <w:rPr>
        <w:rFonts w:ascii="Times New Roman" w:eastAsia="Calibri" w:hAnsi="Times New Roman" w:hint="default"/>
      </w:rPr>
    </w:lvl>
    <w:lvl w:ilvl="7">
      <w:start w:val="1"/>
      <w:numFmt w:val="decimal"/>
      <w:lvlText w:val="%1.%2.%3.%4.%5.%6.%7.%8."/>
      <w:lvlJc w:val="left"/>
      <w:pPr>
        <w:ind w:left="15779" w:hanging="1800"/>
      </w:pPr>
      <w:rPr>
        <w:rFonts w:ascii="Times New Roman" w:eastAsia="Calibri" w:hAnsi="Times New Roman" w:hint="default"/>
      </w:rPr>
    </w:lvl>
    <w:lvl w:ilvl="8">
      <w:start w:val="1"/>
      <w:numFmt w:val="decimal"/>
      <w:lvlText w:val="%1.%2.%3.%4.%5.%6.%7.%8.%9."/>
      <w:lvlJc w:val="left"/>
      <w:pPr>
        <w:ind w:left="18136" w:hanging="2160"/>
      </w:pPr>
      <w:rPr>
        <w:rFonts w:ascii="Times New Roman" w:eastAsia="Calibri" w:hAnsi="Times New Roman" w:hint="default"/>
      </w:rPr>
    </w:lvl>
  </w:abstractNum>
  <w:abstractNum w:abstractNumId="7" w15:restartNumberingAfterBreak="0">
    <w:nsid w:val="17CE7097"/>
    <w:multiLevelType w:val="hybridMultilevel"/>
    <w:tmpl w:val="D2B86E3E"/>
    <w:lvl w:ilvl="0" w:tplc="04260001">
      <w:start w:val="1"/>
      <w:numFmt w:val="bullet"/>
      <w:lvlText w:val=""/>
      <w:lvlJc w:val="left"/>
      <w:pPr>
        <w:ind w:left="1500"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8" w15:restartNumberingAfterBreak="0">
    <w:nsid w:val="189A7314"/>
    <w:multiLevelType w:val="hybridMultilevel"/>
    <w:tmpl w:val="27925288"/>
    <w:lvl w:ilvl="0" w:tplc="604EFE4E">
      <w:numFmt w:val="bullet"/>
      <w:lvlText w:val="-"/>
      <w:lvlJc w:val="left"/>
      <w:pPr>
        <w:ind w:left="2160" w:hanging="360"/>
      </w:pPr>
      <w:rPr>
        <w:rFonts w:ascii="Times New Roman" w:eastAsia="Times New Roman"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9" w15:restartNumberingAfterBreak="0">
    <w:nsid w:val="1BFD7CD0"/>
    <w:multiLevelType w:val="hybridMultilevel"/>
    <w:tmpl w:val="F09650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1CB76165"/>
    <w:multiLevelType w:val="hybridMultilevel"/>
    <w:tmpl w:val="6ED6753A"/>
    <w:lvl w:ilvl="0" w:tplc="0426000F">
      <w:start w:val="1"/>
      <w:numFmt w:val="decimal"/>
      <w:lvlText w:val="%1."/>
      <w:lvlJc w:val="left"/>
      <w:pPr>
        <w:ind w:left="720" w:hanging="360"/>
      </w:pPr>
    </w:lvl>
    <w:lvl w:ilvl="1" w:tplc="E4B4502C">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E3652A"/>
    <w:multiLevelType w:val="multilevel"/>
    <w:tmpl w:val="B3DCB02A"/>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2" w15:restartNumberingAfterBreak="0">
    <w:nsid w:val="25526407"/>
    <w:multiLevelType w:val="hybridMultilevel"/>
    <w:tmpl w:val="63120F4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2C125877"/>
    <w:multiLevelType w:val="hybridMultilevel"/>
    <w:tmpl w:val="209C47C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307648FD"/>
    <w:multiLevelType w:val="multilevel"/>
    <w:tmpl w:val="9774ED1C"/>
    <w:lvl w:ilvl="0">
      <w:start w:val="4"/>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8014017"/>
    <w:multiLevelType w:val="hybridMultilevel"/>
    <w:tmpl w:val="558087F0"/>
    <w:lvl w:ilvl="0" w:tplc="0426000F">
      <w:start w:val="1"/>
      <w:numFmt w:val="decimal"/>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38207461"/>
    <w:multiLevelType w:val="hybridMultilevel"/>
    <w:tmpl w:val="FA24CD6A"/>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7" w15:restartNumberingAfterBreak="0">
    <w:nsid w:val="41117A0E"/>
    <w:multiLevelType w:val="multilevel"/>
    <w:tmpl w:val="5694BCC8"/>
    <w:lvl w:ilvl="0">
      <w:start w:val="4"/>
      <w:numFmt w:val="decimal"/>
      <w:lvlText w:val="%1."/>
      <w:lvlJc w:val="left"/>
      <w:pPr>
        <w:ind w:left="360" w:hanging="360"/>
      </w:pPr>
      <w:rPr>
        <w:rFonts w:hint="default"/>
      </w:rPr>
    </w:lvl>
    <w:lvl w:ilvl="1">
      <w:start w:val="2"/>
      <w:numFmt w:val="decimal"/>
      <w:lvlText w:val="%1.%2."/>
      <w:lvlJc w:val="left"/>
      <w:pPr>
        <w:ind w:left="2357" w:hanging="360"/>
      </w:pPr>
      <w:rPr>
        <w:rFonts w:hint="default"/>
      </w:rPr>
    </w:lvl>
    <w:lvl w:ilvl="2">
      <w:start w:val="1"/>
      <w:numFmt w:val="upperLetter"/>
      <w:lvlText w:val="%1.%2.%3."/>
      <w:lvlJc w:val="left"/>
      <w:pPr>
        <w:ind w:left="1997"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18" w15:restartNumberingAfterBreak="0">
    <w:nsid w:val="464A3A3D"/>
    <w:multiLevelType w:val="multilevel"/>
    <w:tmpl w:val="F7F8867E"/>
    <w:lvl w:ilvl="0">
      <w:start w:val="4"/>
      <w:numFmt w:val="decimal"/>
      <w:lvlText w:val="%1."/>
      <w:lvlJc w:val="left"/>
      <w:pPr>
        <w:ind w:left="540" w:hanging="540"/>
      </w:pPr>
      <w:rPr>
        <w:rFonts w:ascii="Times New Roman" w:hAnsi="Times New Roman" w:cs="Times New Roman" w:hint="default"/>
        <w:sz w:val="24"/>
      </w:rPr>
    </w:lvl>
    <w:lvl w:ilvl="1">
      <w:start w:val="2"/>
      <w:numFmt w:val="decimal"/>
      <w:lvlText w:val="%1.%2."/>
      <w:lvlJc w:val="left"/>
      <w:pPr>
        <w:ind w:left="1008" w:hanging="720"/>
      </w:pPr>
      <w:rPr>
        <w:rFonts w:ascii="Times New Roman" w:hAnsi="Times New Roman" w:cs="Times New Roman" w:hint="default"/>
        <w:sz w:val="24"/>
      </w:rPr>
    </w:lvl>
    <w:lvl w:ilvl="2">
      <w:start w:val="1"/>
      <w:numFmt w:val="decimal"/>
      <w:lvlText w:val="%1.%2.%3."/>
      <w:lvlJc w:val="left"/>
      <w:pPr>
        <w:ind w:left="1296" w:hanging="720"/>
      </w:pPr>
      <w:rPr>
        <w:rFonts w:ascii="Times New Roman" w:hAnsi="Times New Roman" w:cs="Times New Roman" w:hint="default"/>
        <w:sz w:val="24"/>
      </w:rPr>
    </w:lvl>
    <w:lvl w:ilvl="3">
      <w:start w:val="1"/>
      <w:numFmt w:val="decimal"/>
      <w:lvlText w:val="%1.%2.%3.%4."/>
      <w:lvlJc w:val="left"/>
      <w:pPr>
        <w:ind w:left="1944" w:hanging="1080"/>
      </w:pPr>
      <w:rPr>
        <w:rFonts w:ascii="Times New Roman" w:hAnsi="Times New Roman" w:cs="Times New Roman" w:hint="default"/>
        <w:sz w:val="24"/>
      </w:rPr>
    </w:lvl>
    <w:lvl w:ilvl="4">
      <w:start w:val="1"/>
      <w:numFmt w:val="decimal"/>
      <w:lvlText w:val="%1.%2.%3.%4.%5."/>
      <w:lvlJc w:val="left"/>
      <w:pPr>
        <w:ind w:left="2232" w:hanging="1080"/>
      </w:pPr>
      <w:rPr>
        <w:rFonts w:ascii="Times New Roman" w:hAnsi="Times New Roman" w:cs="Times New Roman" w:hint="default"/>
        <w:sz w:val="24"/>
      </w:rPr>
    </w:lvl>
    <w:lvl w:ilvl="5">
      <w:start w:val="1"/>
      <w:numFmt w:val="decimal"/>
      <w:lvlText w:val="%1.%2.%3.%4.%5.%6."/>
      <w:lvlJc w:val="left"/>
      <w:pPr>
        <w:ind w:left="2880" w:hanging="1440"/>
      </w:pPr>
      <w:rPr>
        <w:rFonts w:ascii="Times New Roman" w:hAnsi="Times New Roman" w:cs="Times New Roman" w:hint="default"/>
        <w:sz w:val="24"/>
      </w:rPr>
    </w:lvl>
    <w:lvl w:ilvl="6">
      <w:start w:val="1"/>
      <w:numFmt w:val="decimal"/>
      <w:lvlText w:val="%1.%2.%3.%4.%5.%6.%7."/>
      <w:lvlJc w:val="left"/>
      <w:pPr>
        <w:ind w:left="3168" w:hanging="1440"/>
      </w:pPr>
      <w:rPr>
        <w:rFonts w:ascii="Times New Roman" w:hAnsi="Times New Roman" w:cs="Times New Roman" w:hint="default"/>
        <w:sz w:val="24"/>
      </w:rPr>
    </w:lvl>
    <w:lvl w:ilvl="7">
      <w:start w:val="1"/>
      <w:numFmt w:val="decimal"/>
      <w:lvlText w:val="%1.%2.%3.%4.%5.%6.%7.%8."/>
      <w:lvlJc w:val="left"/>
      <w:pPr>
        <w:ind w:left="3816" w:hanging="1800"/>
      </w:pPr>
      <w:rPr>
        <w:rFonts w:ascii="Times New Roman" w:hAnsi="Times New Roman" w:cs="Times New Roman" w:hint="default"/>
        <w:sz w:val="24"/>
      </w:rPr>
    </w:lvl>
    <w:lvl w:ilvl="8">
      <w:start w:val="1"/>
      <w:numFmt w:val="decimal"/>
      <w:lvlText w:val="%1.%2.%3.%4.%5.%6.%7.%8.%9."/>
      <w:lvlJc w:val="left"/>
      <w:pPr>
        <w:ind w:left="4464" w:hanging="2160"/>
      </w:pPr>
      <w:rPr>
        <w:rFonts w:ascii="Times New Roman" w:hAnsi="Times New Roman" w:cs="Times New Roman" w:hint="default"/>
        <w:sz w:val="24"/>
      </w:rPr>
    </w:lvl>
  </w:abstractNum>
  <w:abstractNum w:abstractNumId="19" w15:restartNumberingAfterBreak="0">
    <w:nsid w:val="4B1A7480"/>
    <w:multiLevelType w:val="hybridMultilevel"/>
    <w:tmpl w:val="275427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B3567C6"/>
    <w:multiLevelType w:val="multilevel"/>
    <w:tmpl w:val="C4A207E0"/>
    <w:lvl w:ilvl="0">
      <w:start w:val="1"/>
      <w:numFmt w:val="decimal"/>
      <w:lvlText w:val="%1."/>
      <w:lvlJc w:val="left"/>
      <w:pPr>
        <w:ind w:left="720" w:hanging="360"/>
      </w:pPr>
    </w:lvl>
    <w:lvl w:ilvl="1">
      <w:start w:val="2"/>
      <w:numFmt w:val="decimal"/>
      <w:isLgl/>
      <w:lvlText w:val="%1.%2."/>
      <w:lvlJc w:val="left"/>
      <w:pPr>
        <w:ind w:left="2350" w:hanging="540"/>
      </w:pPr>
      <w:rPr>
        <w:rFonts w:hint="default"/>
      </w:rPr>
    </w:lvl>
    <w:lvl w:ilvl="2">
      <w:start w:val="3"/>
      <w:numFmt w:val="decimal"/>
      <w:isLgl/>
      <w:lvlText w:val="%1.%2.%3."/>
      <w:lvlJc w:val="left"/>
      <w:pPr>
        <w:ind w:left="3980" w:hanging="720"/>
      </w:pPr>
      <w:rPr>
        <w:rFonts w:hint="default"/>
      </w:rPr>
    </w:lvl>
    <w:lvl w:ilvl="3">
      <w:start w:val="1"/>
      <w:numFmt w:val="decimal"/>
      <w:isLgl/>
      <w:lvlText w:val="%1.%2.%3.%4."/>
      <w:lvlJc w:val="left"/>
      <w:pPr>
        <w:ind w:left="5430" w:hanging="720"/>
      </w:pPr>
      <w:rPr>
        <w:rFonts w:hint="default"/>
      </w:rPr>
    </w:lvl>
    <w:lvl w:ilvl="4">
      <w:start w:val="1"/>
      <w:numFmt w:val="decimal"/>
      <w:isLgl/>
      <w:lvlText w:val="%1.%2.%3.%4.%5."/>
      <w:lvlJc w:val="left"/>
      <w:pPr>
        <w:ind w:left="7240" w:hanging="1080"/>
      </w:pPr>
      <w:rPr>
        <w:rFonts w:hint="default"/>
      </w:rPr>
    </w:lvl>
    <w:lvl w:ilvl="5">
      <w:start w:val="1"/>
      <w:numFmt w:val="decimal"/>
      <w:isLgl/>
      <w:lvlText w:val="%1.%2.%3.%4.%5.%6."/>
      <w:lvlJc w:val="left"/>
      <w:pPr>
        <w:ind w:left="8690" w:hanging="1080"/>
      </w:pPr>
      <w:rPr>
        <w:rFonts w:hint="default"/>
      </w:rPr>
    </w:lvl>
    <w:lvl w:ilvl="6">
      <w:start w:val="1"/>
      <w:numFmt w:val="decimal"/>
      <w:isLgl/>
      <w:lvlText w:val="%1.%2.%3.%4.%5.%6.%7."/>
      <w:lvlJc w:val="left"/>
      <w:pPr>
        <w:ind w:left="10500" w:hanging="1440"/>
      </w:pPr>
      <w:rPr>
        <w:rFonts w:hint="default"/>
      </w:rPr>
    </w:lvl>
    <w:lvl w:ilvl="7">
      <w:start w:val="1"/>
      <w:numFmt w:val="decimal"/>
      <w:isLgl/>
      <w:lvlText w:val="%1.%2.%3.%4.%5.%6.%7.%8."/>
      <w:lvlJc w:val="left"/>
      <w:pPr>
        <w:ind w:left="11950" w:hanging="1440"/>
      </w:pPr>
      <w:rPr>
        <w:rFonts w:hint="default"/>
      </w:rPr>
    </w:lvl>
    <w:lvl w:ilvl="8">
      <w:start w:val="1"/>
      <w:numFmt w:val="decimal"/>
      <w:isLgl/>
      <w:lvlText w:val="%1.%2.%3.%4.%5.%6.%7.%8.%9."/>
      <w:lvlJc w:val="left"/>
      <w:pPr>
        <w:ind w:left="13760" w:hanging="1800"/>
      </w:pPr>
      <w:rPr>
        <w:rFonts w:hint="default"/>
      </w:rPr>
    </w:lvl>
  </w:abstractNum>
  <w:abstractNum w:abstractNumId="21" w15:restartNumberingAfterBreak="0">
    <w:nsid w:val="4C977437"/>
    <w:multiLevelType w:val="multilevel"/>
    <w:tmpl w:val="4B9623A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D823B26"/>
    <w:multiLevelType w:val="hybridMultilevel"/>
    <w:tmpl w:val="AE928E5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3" w15:restartNumberingAfterBreak="0">
    <w:nsid w:val="55D525A2"/>
    <w:multiLevelType w:val="hybridMultilevel"/>
    <w:tmpl w:val="D21894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6BF2B4D"/>
    <w:multiLevelType w:val="multilevel"/>
    <w:tmpl w:val="D0003420"/>
    <w:lvl w:ilvl="0">
      <w:start w:val="3"/>
      <w:numFmt w:val="decimal"/>
      <w:lvlText w:val="%1."/>
      <w:lvlJc w:val="left"/>
      <w:pPr>
        <w:ind w:left="360" w:hanging="360"/>
      </w:pPr>
      <w:rPr>
        <w:rFonts w:hint="default"/>
      </w:rPr>
    </w:lvl>
    <w:lvl w:ilvl="1">
      <w:start w:val="2"/>
      <w:numFmt w:val="decimal"/>
      <w:lvlText w:val="%1.%2."/>
      <w:lvlJc w:val="left"/>
      <w:pPr>
        <w:ind w:left="3338"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5" w15:restartNumberingAfterBreak="1">
    <w:nsid w:val="5D7B6F95"/>
    <w:multiLevelType w:val="multilevel"/>
    <w:tmpl w:val="738635FA"/>
    <w:lvl w:ilvl="0">
      <w:start w:val="1"/>
      <w:numFmt w:val="decimal"/>
      <w:lvlText w:val="%1."/>
      <w:lvlJc w:val="left"/>
      <w:pPr>
        <w:ind w:left="1129" w:hanging="360"/>
      </w:pPr>
      <w:rPr>
        <w:rFonts w:hint="default"/>
        <w:color w:val="000000"/>
      </w:rPr>
    </w:lvl>
    <w:lvl w:ilvl="1">
      <w:start w:val="1"/>
      <w:numFmt w:val="decimal"/>
      <w:isLgl/>
      <w:lvlText w:val="%1.%2."/>
      <w:lvlJc w:val="left"/>
      <w:pPr>
        <w:ind w:left="1489" w:hanging="360"/>
      </w:pPr>
      <w:rPr>
        <w:rFonts w:hint="default"/>
      </w:rPr>
    </w:lvl>
    <w:lvl w:ilvl="2">
      <w:start w:val="1"/>
      <w:numFmt w:val="decimal"/>
      <w:isLgl/>
      <w:lvlText w:val="%1.%2.%3."/>
      <w:lvlJc w:val="left"/>
      <w:pPr>
        <w:ind w:left="2209" w:hanging="720"/>
      </w:pPr>
      <w:rPr>
        <w:rFonts w:hint="default"/>
      </w:rPr>
    </w:lvl>
    <w:lvl w:ilvl="3">
      <w:start w:val="1"/>
      <w:numFmt w:val="decimal"/>
      <w:isLgl/>
      <w:lvlText w:val="%1.%2.%3.%4."/>
      <w:lvlJc w:val="left"/>
      <w:pPr>
        <w:ind w:left="2569" w:hanging="720"/>
      </w:pPr>
      <w:rPr>
        <w:rFonts w:hint="default"/>
      </w:rPr>
    </w:lvl>
    <w:lvl w:ilvl="4">
      <w:start w:val="1"/>
      <w:numFmt w:val="decimal"/>
      <w:isLgl/>
      <w:lvlText w:val="%1.%2.%3.%4.%5."/>
      <w:lvlJc w:val="left"/>
      <w:pPr>
        <w:ind w:left="3289" w:hanging="1080"/>
      </w:pPr>
      <w:rPr>
        <w:rFonts w:hint="default"/>
      </w:rPr>
    </w:lvl>
    <w:lvl w:ilvl="5">
      <w:start w:val="1"/>
      <w:numFmt w:val="decimal"/>
      <w:isLgl/>
      <w:lvlText w:val="%1.%2.%3.%4.%5.%6."/>
      <w:lvlJc w:val="left"/>
      <w:pPr>
        <w:ind w:left="3649" w:hanging="1080"/>
      </w:pPr>
      <w:rPr>
        <w:rFonts w:hint="default"/>
      </w:rPr>
    </w:lvl>
    <w:lvl w:ilvl="6">
      <w:start w:val="1"/>
      <w:numFmt w:val="decimal"/>
      <w:isLgl/>
      <w:lvlText w:val="%1.%2.%3.%4.%5.%6.%7."/>
      <w:lvlJc w:val="left"/>
      <w:pPr>
        <w:ind w:left="4369" w:hanging="1440"/>
      </w:pPr>
      <w:rPr>
        <w:rFonts w:hint="default"/>
      </w:rPr>
    </w:lvl>
    <w:lvl w:ilvl="7">
      <w:start w:val="1"/>
      <w:numFmt w:val="decimal"/>
      <w:isLgl/>
      <w:lvlText w:val="%1.%2.%3.%4.%5.%6.%7.%8."/>
      <w:lvlJc w:val="left"/>
      <w:pPr>
        <w:ind w:left="4729" w:hanging="1440"/>
      </w:pPr>
      <w:rPr>
        <w:rFonts w:hint="default"/>
      </w:rPr>
    </w:lvl>
    <w:lvl w:ilvl="8">
      <w:start w:val="1"/>
      <w:numFmt w:val="decimal"/>
      <w:isLgl/>
      <w:lvlText w:val="%1.%2.%3.%4.%5.%6.%7.%8.%9."/>
      <w:lvlJc w:val="left"/>
      <w:pPr>
        <w:ind w:left="5449" w:hanging="1800"/>
      </w:pPr>
      <w:rPr>
        <w:rFonts w:hint="default"/>
      </w:rPr>
    </w:lvl>
  </w:abstractNum>
  <w:abstractNum w:abstractNumId="26" w15:restartNumberingAfterBreak="0">
    <w:nsid w:val="5E856CF0"/>
    <w:multiLevelType w:val="hybridMultilevel"/>
    <w:tmpl w:val="26A040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1">
    <w:nsid w:val="63B55768"/>
    <w:multiLevelType w:val="multilevel"/>
    <w:tmpl w:val="6D887B98"/>
    <w:lvl w:ilvl="0">
      <w:start w:val="1"/>
      <w:numFmt w:val="decimal"/>
      <w:lvlText w:val="%1."/>
      <w:lvlJc w:val="left"/>
      <w:pPr>
        <w:ind w:left="1129" w:hanging="360"/>
      </w:pPr>
      <w:rPr>
        <w:rFonts w:hint="default"/>
        <w:color w:val="000000"/>
      </w:rPr>
    </w:lvl>
    <w:lvl w:ilvl="1">
      <w:start w:val="1"/>
      <w:numFmt w:val="decimal"/>
      <w:isLgl/>
      <w:lvlText w:val="%1.%2."/>
      <w:lvlJc w:val="left"/>
      <w:pPr>
        <w:ind w:left="1489" w:hanging="360"/>
      </w:pPr>
      <w:rPr>
        <w:rFonts w:hint="default"/>
      </w:rPr>
    </w:lvl>
    <w:lvl w:ilvl="2">
      <w:start w:val="1"/>
      <w:numFmt w:val="decimal"/>
      <w:isLgl/>
      <w:lvlText w:val="%1.%2.%3."/>
      <w:lvlJc w:val="left"/>
      <w:pPr>
        <w:ind w:left="2209" w:hanging="720"/>
      </w:pPr>
      <w:rPr>
        <w:rFonts w:ascii="Times New Roman" w:hAnsi="Times New Roman" w:cs="Times New Roman" w:hint="default"/>
      </w:rPr>
    </w:lvl>
    <w:lvl w:ilvl="3">
      <w:start w:val="1"/>
      <w:numFmt w:val="decimal"/>
      <w:isLgl/>
      <w:lvlText w:val="%1.%2.%3.%4."/>
      <w:lvlJc w:val="left"/>
      <w:pPr>
        <w:ind w:left="2569" w:hanging="720"/>
      </w:pPr>
      <w:rPr>
        <w:rFonts w:hint="default"/>
      </w:rPr>
    </w:lvl>
    <w:lvl w:ilvl="4">
      <w:start w:val="1"/>
      <w:numFmt w:val="decimal"/>
      <w:isLgl/>
      <w:lvlText w:val="%1.%2.%3.%4.%5."/>
      <w:lvlJc w:val="left"/>
      <w:pPr>
        <w:ind w:left="3289" w:hanging="1080"/>
      </w:pPr>
      <w:rPr>
        <w:rFonts w:hint="default"/>
      </w:rPr>
    </w:lvl>
    <w:lvl w:ilvl="5">
      <w:start w:val="1"/>
      <w:numFmt w:val="decimal"/>
      <w:isLgl/>
      <w:lvlText w:val="%1.%2.%3.%4.%5.%6."/>
      <w:lvlJc w:val="left"/>
      <w:pPr>
        <w:ind w:left="3649" w:hanging="1080"/>
      </w:pPr>
      <w:rPr>
        <w:rFonts w:hint="default"/>
      </w:rPr>
    </w:lvl>
    <w:lvl w:ilvl="6">
      <w:start w:val="1"/>
      <w:numFmt w:val="decimal"/>
      <w:isLgl/>
      <w:lvlText w:val="%1.%2.%3.%4.%5.%6.%7."/>
      <w:lvlJc w:val="left"/>
      <w:pPr>
        <w:ind w:left="4369" w:hanging="1440"/>
      </w:pPr>
      <w:rPr>
        <w:rFonts w:hint="default"/>
      </w:rPr>
    </w:lvl>
    <w:lvl w:ilvl="7">
      <w:start w:val="1"/>
      <w:numFmt w:val="decimal"/>
      <w:isLgl/>
      <w:lvlText w:val="%1.%2.%3.%4.%5.%6.%7.%8."/>
      <w:lvlJc w:val="left"/>
      <w:pPr>
        <w:ind w:left="4729" w:hanging="1440"/>
      </w:pPr>
      <w:rPr>
        <w:rFonts w:hint="default"/>
      </w:rPr>
    </w:lvl>
    <w:lvl w:ilvl="8">
      <w:start w:val="1"/>
      <w:numFmt w:val="decimal"/>
      <w:isLgl/>
      <w:lvlText w:val="%1.%2.%3.%4.%5.%6.%7.%8.%9."/>
      <w:lvlJc w:val="left"/>
      <w:pPr>
        <w:ind w:left="5449" w:hanging="1800"/>
      </w:pPr>
      <w:rPr>
        <w:rFonts w:hint="default"/>
      </w:rPr>
    </w:lvl>
  </w:abstractNum>
  <w:abstractNum w:abstractNumId="28" w15:restartNumberingAfterBreak="0">
    <w:nsid w:val="640B501B"/>
    <w:multiLevelType w:val="hybridMultilevel"/>
    <w:tmpl w:val="E7DA390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9" w15:restartNumberingAfterBreak="0">
    <w:nsid w:val="6B846C2E"/>
    <w:multiLevelType w:val="multilevel"/>
    <w:tmpl w:val="0ED8C902"/>
    <w:lvl w:ilvl="0">
      <w:start w:val="4"/>
      <w:numFmt w:val="decimal"/>
      <w:lvlText w:val="%1."/>
      <w:lvlJc w:val="left"/>
      <w:pPr>
        <w:ind w:left="675" w:hanging="675"/>
      </w:pPr>
      <w:rPr>
        <w:rFonts w:ascii="Times New Roman" w:hAnsi="Times New Roman" w:hint="default"/>
      </w:rPr>
    </w:lvl>
    <w:lvl w:ilvl="1">
      <w:start w:val="2"/>
      <w:numFmt w:val="decimal"/>
      <w:lvlText w:val="%1.%2."/>
      <w:lvlJc w:val="left"/>
      <w:pPr>
        <w:ind w:left="1368" w:hanging="720"/>
      </w:pPr>
      <w:rPr>
        <w:rFonts w:ascii="Times New Roman" w:hAnsi="Times New Roman" w:hint="default"/>
      </w:rPr>
    </w:lvl>
    <w:lvl w:ilvl="2">
      <w:start w:val="1"/>
      <w:numFmt w:val="decimal"/>
      <w:lvlText w:val="%1.%2.%3."/>
      <w:lvlJc w:val="left"/>
      <w:pPr>
        <w:ind w:left="2564" w:hanging="720"/>
      </w:pPr>
      <w:rPr>
        <w:rFonts w:ascii="Times New Roman" w:hAnsi="Times New Roman" w:hint="default"/>
        <w:sz w:val="24"/>
        <w:szCs w:val="24"/>
      </w:rPr>
    </w:lvl>
    <w:lvl w:ilvl="3">
      <w:start w:val="1"/>
      <w:numFmt w:val="decimal"/>
      <w:lvlText w:val="%1.%2.%3.%4."/>
      <w:lvlJc w:val="left"/>
      <w:pPr>
        <w:ind w:left="3024" w:hanging="1080"/>
      </w:pPr>
      <w:rPr>
        <w:rFonts w:ascii="Times New Roman" w:hAnsi="Times New Roman" w:hint="default"/>
      </w:rPr>
    </w:lvl>
    <w:lvl w:ilvl="4">
      <w:start w:val="1"/>
      <w:numFmt w:val="decimal"/>
      <w:lvlText w:val="%1.%2.%3.%4.%5."/>
      <w:lvlJc w:val="left"/>
      <w:pPr>
        <w:ind w:left="3672" w:hanging="1080"/>
      </w:pPr>
      <w:rPr>
        <w:rFonts w:ascii="Times New Roman" w:hAnsi="Times New Roman" w:hint="default"/>
      </w:rPr>
    </w:lvl>
    <w:lvl w:ilvl="5">
      <w:start w:val="1"/>
      <w:numFmt w:val="decimal"/>
      <w:lvlText w:val="%1.%2.%3.%4.%5.%6."/>
      <w:lvlJc w:val="left"/>
      <w:pPr>
        <w:ind w:left="4680" w:hanging="1440"/>
      </w:pPr>
      <w:rPr>
        <w:rFonts w:ascii="Times New Roman" w:hAnsi="Times New Roman" w:hint="default"/>
      </w:rPr>
    </w:lvl>
    <w:lvl w:ilvl="6">
      <w:start w:val="1"/>
      <w:numFmt w:val="decimal"/>
      <w:lvlText w:val="%1.%2.%3.%4.%5.%6.%7."/>
      <w:lvlJc w:val="left"/>
      <w:pPr>
        <w:ind w:left="5328" w:hanging="1440"/>
      </w:pPr>
      <w:rPr>
        <w:rFonts w:ascii="Times New Roman" w:hAnsi="Times New Roman" w:hint="default"/>
      </w:rPr>
    </w:lvl>
    <w:lvl w:ilvl="7">
      <w:start w:val="1"/>
      <w:numFmt w:val="decimal"/>
      <w:lvlText w:val="%1.%2.%3.%4.%5.%6.%7.%8."/>
      <w:lvlJc w:val="left"/>
      <w:pPr>
        <w:ind w:left="6336" w:hanging="1800"/>
      </w:pPr>
      <w:rPr>
        <w:rFonts w:ascii="Times New Roman" w:hAnsi="Times New Roman" w:hint="default"/>
      </w:rPr>
    </w:lvl>
    <w:lvl w:ilvl="8">
      <w:start w:val="1"/>
      <w:numFmt w:val="decimal"/>
      <w:lvlText w:val="%1.%2.%3.%4.%5.%6.%7.%8.%9."/>
      <w:lvlJc w:val="left"/>
      <w:pPr>
        <w:ind w:left="7344" w:hanging="2160"/>
      </w:pPr>
      <w:rPr>
        <w:rFonts w:ascii="Times New Roman" w:hAnsi="Times New Roman" w:hint="default"/>
      </w:rPr>
    </w:lvl>
  </w:abstractNum>
  <w:abstractNum w:abstractNumId="30" w15:restartNumberingAfterBreak="0">
    <w:nsid w:val="6C511C7A"/>
    <w:multiLevelType w:val="multilevel"/>
    <w:tmpl w:val="6BE8FB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CEB39D9"/>
    <w:multiLevelType w:val="hybridMultilevel"/>
    <w:tmpl w:val="E752E5A2"/>
    <w:lvl w:ilvl="0" w:tplc="04260001">
      <w:start w:val="1"/>
      <w:numFmt w:val="bullet"/>
      <w:lvlText w:val=""/>
      <w:lvlJc w:val="left"/>
      <w:pPr>
        <w:ind w:left="3076" w:hanging="360"/>
      </w:pPr>
      <w:rPr>
        <w:rFonts w:ascii="Symbol" w:hAnsi="Symbol" w:hint="default"/>
      </w:rPr>
    </w:lvl>
    <w:lvl w:ilvl="1" w:tplc="04260003">
      <w:start w:val="1"/>
      <w:numFmt w:val="bullet"/>
      <w:lvlText w:val="o"/>
      <w:lvlJc w:val="left"/>
      <w:pPr>
        <w:ind w:left="3796" w:hanging="360"/>
      </w:pPr>
      <w:rPr>
        <w:rFonts w:ascii="Courier New" w:hAnsi="Courier New" w:cs="Courier New" w:hint="default"/>
      </w:rPr>
    </w:lvl>
    <w:lvl w:ilvl="2" w:tplc="04260005">
      <w:start w:val="1"/>
      <w:numFmt w:val="bullet"/>
      <w:lvlText w:val=""/>
      <w:lvlJc w:val="left"/>
      <w:pPr>
        <w:ind w:left="4516" w:hanging="360"/>
      </w:pPr>
      <w:rPr>
        <w:rFonts w:ascii="Wingdings" w:hAnsi="Wingdings" w:hint="default"/>
      </w:rPr>
    </w:lvl>
    <w:lvl w:ilvl="3" w:tplc="04260001" w:tentative="1">
      <w:start w:val="1"/>
      <w:numFmt w:val="bullet"/>
      <w:lvlText w:val=""/>
      <w:lvlJc w:val="left"/>
      <w:pPr>
        <w:ind w:left="5236" w:hanging="360"/>
      </w:pPr>
      <w:rPr>
        <w:rFonts w:ascii="Symbol" w:hAnsi="Symbol" w:hint="default"/>
      </w:rPr>
    </w:lvl>
    <w:lvl w:ilvl="4" w:tplc="04260003" w:tentative="1">
      <w:start w:val="1"/>
      <w:numFmt w:val="bullet"/>
      <w:lvlText w:val="o"/>
      <w:lvlJc w:val="left"/>
      <w:pPr>
        <w:ind w:left="5956" w:hanging="360"/>
      </w:pPr>
      <w:rPr>
        <w:rFonts w:ascii="Courier New" w:hAnsi="Courier New" w:cs="Courier New" w:hint="default"/>
      </w:rPr>
    </w:lvl>
    <w:lvl w:ilvl="5" w:tplc="04260005" w:tentative="1">
      <w:start w:val="1"/>
      <w:numFmt w:val="bullet"/>
      <w:lvlText w:val=""/>
      <w:lvlJc w:val="left"/>
      <w:pPr>
        <w:ind w:left="6676" w:hanging="360"/>
      </w:pPr>
      <w:rPr>
        <w:rFonts w:ascii="Wingdings" w:hAnsi="Wingdings" w:hint="default"/>
      </w:rPr>
    </w:lvl>
    <w:lvl w:ilvl="6" w:tplc="04260001" w:tentative="1">
      <w:start w:val="1"/>
      <w:numFmt w:val="bullet"/>
      <w:lvlText w:val=""/>
      <w:lvlJc w:val="left"/>
      <w:pPr>
        <w:ind w:left="7396" w:hanging="360"/>
      </w:pPr>
      <w:rPr>
        <w:rFonts w:ascii="Symbol" w:hAnsi="Symbol" w:hint="default"/>
      </w:rPr>
    </w:lvl>
    <w:lvl w:ilvl="7" w:tplc="04260003" w:tentative="1">
      <w:start w:val="1"/>
      <w:numFmt w:val="bullet"/>
      <w:lvlText w:val="o"/>
      <w:lvlJc w:val="left"/>
      <w:pPr>
        <w:ind w:left="8116" w:hanging="360"/>
      </w:pPr>
      <w:rPr>
        <w:rFonts w:ascii="Courier New" w:hAnsi="Courier New" w:cs="Courier New" w:hint="default"/>
      </w:rPr>
    </w:lvl>
    <w:lvl w:ilvl="8" w:tplc="04260005" w:tentative="1">
      <w:start w:val="1"/>
      <w:numFmt w:val="bullet"/>
      <w:lvlText w:val=""/>
      <w:lvlJc w:val="left"/>
      <w:pPr>
        <w:ind w:left="8836" w:hanging="360"/>
      </w:pPr>
      <w:rPr>
        <w:rFonts w:ascii="Wingdings" w:hAnsi="Wingdings" w:hint="default"/>
      </w:rPr>
    </w:lvl>
  </w:abstractNum>
  <w:abstractNum w:abstractNumId="32" w15:restartNumberingAfterBreak="0">
    <w:nsid w:val="6F124485"/>
    <w:multiLevelType w:val="hybridMultilevel"/>
    <w:tmpl w:val="AF84DB8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70012FB7"/>
    <w:multiLevelType w:val="hybridMultilevel"/>
    <w:tmpl w:val="93AE1A3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722E2241"/>
    <w:multiLevelType w:val="hybridMultilevel"/>
    <w:tmpl w:val="7F72D2C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3E6081F"/>
    <w:multiLevelType w:val="hybridMultilevel"/>
    <w:tmpl w:val="71F418D4"/>
    <w:lvl w:ilvl="0" w:tplc="04260001">
      <w:start w:val="1"/>
      <w:numFmt w:val="bullet"/>
      <w:lvlText w:val=""/>
      <w:lvlJc w:val="left"/>
      <w:pPr>
        <w:ind w:left="1440" w:hanging="360"/>
      </w:pPr>
      <w:rPr>
        <w:rFonts w:ascii="Symbol" w:hAnsi="Symbol" w:hint="default"/>
      </w:rPr>
    </w:lvl>
    <w:lvl w:ilvl="1" w:tplc="F7889D16">
      <w:numFmt w:val="bullet"/>
      <w:lvlText w:val="-"/>
      <w:lvlJc w:val="left"/>
      <w:pPr>
        <w:ind w:left="2160" w:hanging="360"/>
      </w:pPr>
      <w:rPr>
        <w:rFonts w:ascii="Times New Roman" w:eastAsiaTheme="minorEastAsia" w:hAnsi="Times New Roman" w:cs="Times New Roman"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7791595E"/>
    <w:multiLevelType w:val="hybridMultilevel"/>
    <w:tmpl w:val="B96268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8D146FC"/>
    <w:multiLevelType w:val="hybridMultilevel"/>
    <w:tmpl w:val="CE74D1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7ACC2972"/>
    <w:multiLevelType w:val="hybridMultilevel"/>
    <w:tmpl w:val="8BB05A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7B511985"/>
    <w:multiLevelType w:val="multilevel"/>
    <w:tmpl w:val="FCFC10EC"/>
    <w:lvl w:ilvl="0">
      <w:start w:val="1"/>
      <w:numFmt w:val="decimal"/>
      <w:lvlText w:val="%1."/>
      <w:lvlJc w:val="left"/>
      <w:pPr>
        <w:ind w:left="9432" w:hanging="360"/>
      </w:pPr>
      <w:rPr>
        <w:rFonts w:hint="default"/>
        <w:sz w:val="32"/>
      </w:rPr>
    </w:lvl>
    <w:lvl w:ilvl="1">
      <w:start w:val="1"/>
      <w:numFmt w:val="decimal"/>
      <w:isLgl/>
      <w:lvlText w:val="%1.%2."/>
      <w:lvlJc w:val="left"/>
      <w:pPr>
        <w:ind w:left="1997" w:hanging="720"/>
      </w:pPr>
      <w:rPr>
        <w:rFonts w:ascii="Times New Roman" w:hAnsi="Times New Roman" w:cs="Times New Roman" w:hint="default"/>
        <w:sz w:val="24"/>
      </w:rPr>
    </w:lvl>
    <w:lvl w:ilvl="2">
      <w:start w:val="1"/>
      <w:numFmt w:val="decimal"/>
      <w:isLgl/>
      <w:lvlText w:val="%1.%2.%3."/>
      <w:lvlJc w:val="left"/>
      <w:pPr>
        <w:ind w:left="3981" w:hanging="720"/>
      </w:pPr>
      <w:rPr>
        <w:rFonts w:hint="default"/>
        <w:b/>
      </w:rPr>
    </w:lvl>
    <w:lvl w:ilvl="3">
      <w:start w:val="1"/>
      <w:numFmt w:val="decimal"/>
      <w:isLgl/>
      <w:lvlText w:val="%1.%2.%3.%4."/>
      <w:lvlJc w:val="left"/>
      <w:pPr>
        <w:ind w:left="2088" w:hanging="1080"/>
      </w:pPr>
      <w:rPr>
        <w:rFonts w:hint="default"/>
        <w:b/>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40" w15:restartNumberingAfterBreak="0">
    <w:nsid w:val="7BB05D1E"/>
    <w:multiLevelType w:val="hybridMultilevel"/>
    <w:tmpl w:val="92100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DEB6A0E"/>
    <w:multiLevelType w:val="hybridMultilevel"/>
    <w:tmpl w:val="926EECD4"/>
    <w:lvl w:ilvl="0" w:tplc="35E61B94">
      <w:start w:val="1"/>
      <w:numFmt w:val="bullet"/>
      <w:lvlText w:val=""/>
      <w:lvlJc w:val="left"/>
      <w:pPr>
        <w:ind w:left="36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C46675"/>
    <w:multiLevelType w:val="hybridMultilevel"/>
    <w:tmpl w:val="1A44E604"/>
    <w:lvl w:ilvl="0" w:tplc="2B269E8E">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9"/>
  </w:num>
  <w:num w:numId="2">
    <w:abstractNumId w:val="5"/>
  </w:num>
  <w:num w:numId="3">
    <w:abstractNumId w:val="4"/>
  </w:num>
  <w:num w:numId="4">
    <w:abstractNumId w:val="11"/>
  </w:num>
  <w:num w:numId="5">
    <w:abstractNumId w:val="22"/>
  </w:num>
  <w:num w:numId="6">
    <w:abstractNumId w:val="7"/>
  </w:num>
  <w:num w:numId="7">
    <w:abstractNumId w:val="1"/>
  </w:num>
  <w:num w:numId="8">
    <w:abstractNumId w:val="20"/>
  </w:num>
  <w:num w:numId="9">
    <w:abstractNumId w:val="25"/>
  </w:num>
  <w:num w:numId="10">
    <w:abstractNumId w:val="6"/>
  </w:num>
  <w:num w:numId="11">
    <w:abstractNumId w:val="17"/>
  </w:num>
  <w:num w:numId="12">
    <w:abstractNumId w:val="30"/>
  </w:num>
  <w:num w:numId="13">
    <w:abstractNumId w:val="24"/>
  </w:num>
  <w:num w:numId="14">
    <w:abstractNumId w:val="32"/>
  </w:num>
  <w:num w:numId="15">
    <w:abstractNumId w:val="9"/>
  </w:num>
  <w:num w:numId="16">
    <w:abstractNumId w:val="33"/>
  </w:num>
  <w:num w:numId="17">
    <w:abstractNumId w:val="16"/>
  </w:num>
  <w:num w:numId="18">
    <w:abstractNumId w:val="35"/>
  </w:num>
  <w:num w:numId="19">
    <w:abstractNumId w:val="37"/>
  </w:num>
  <w:num w:numId="20">
    <w:abstractNumId w:val="10"/>
  </w:num>
  <w:num w:numId="21">
    <w:abstractNumId w:val="26"/>
  </w:num>
  <w:num w:numId="22">
    <w:abstractNumId w:val="23"/>
  </w:num>
  <w:num w:numId="23">
    <w:abstractNumId w:val="0"/>
  </w:num>
  <w:num w:numId="24">
    <w:abstractNumId w:val="13"/>
  </w:num>
  <w:num w:numId="25">
    <w:abstractNumId w:val="31"/>
  </w:num>
  <w:num w:numId="26">
    <w:abstractNumId w:val="40"/>
  </w:num>
  <w:num w:numId="27">
    <w:abstractNumId w:val="8"/>
  </w:num>
  <w:num w:numId="28">
    <w:abstractNumId w:val="18"/>
  </w:num>
  <w:num w:numId="29">
    <w:abstractNumId w:val="29"/>
  </w:num>
  <w:num w:numId="30">
    <w:abstractNumId w:val="41"/>
  </w:num>
  <w:num w:numId="31">
    <w:abstractNumId w:val="36"/>
  </w:num>
  <w:num w:numId="32">
    <w:abstractNumId w:val="3"/>
  </w:num>
  <w:num w:numId="33">
    <w:abstractNumId w:val="38"/>
  </w:num>
  <w:num w:numId="34">
    <w:abstractNumId w:val="2"/>
  </w:num>
  <w:num w:numId="35">
    <w:abstractNumId w:val="14"/>
  </w:num>
  <w:num w:numId="36">
    <w:abstractNumId w:val="27"/>
  </w:num>
  <w:num w:numId="37">
    <w:abstractNumId w:val="28"/>
  </w:num>
  <w:num w:numId="38">
    <w:abstractNumId w:val="21"/>
  </w:num>
  <w:num w:numId="39">
    <w:abstractNumId w:val="19"/>
  </w:num>
  <w:num w:numId="40">
    <w:abstractNumId w:val="42"/>
  </w:num>
  <w:num w:numId="41">
    <w:abstractNumId w:val="15"/>
  </w:num>
  <w:num w:numId="42">
    <w:abstractNumId w:val="34"/>
  </w:num>
  <w:num w:numId="43">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76"/>
  <w:hideSpellingErrors/>
  <w:hideGrammaticalErrors/>
  <w:revisionView w:markup="0"/>
  <w:defaultTabStop w:val="720"/>
  <w:doNotShadeFormData/>
  <w:characterSpacingControl w:val="doNotCompress"/>
  <w:hdrShapeDefaults>
    <o:shapedefaults v:ext="edit" spidmax="716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11"/>
    <w:rsid w:val="00000D68"/>
    <w:rsid w:val="00002EF2"/>
    <w:rsid w:val="00003729"/>
    <w:rsid w:val="00003899"/>
    <w:rsid w:val="000039CF"/>
    <w:rsid w:val="000047C9"/>
    <w:rsid w:val="00004DDA"/>
    <w:rsid w:val="0001142F"/>
    <w:rsid w:val="00013566"/>
    <w:rsid w:val="00013692"/>
    <w:rsid w:val="000136BF"/>
    <w:rsid w:val="000144E7"/>
    <w:rsid w:val="00015238"/>
    <w:rsid w:val="00016A6C"/>
    <w:rsid w:val="00020572"/>
    <w:rsid w:val="00022118"/>
    <w:rsid w:val="000258AF"/>
    <w:rsid w:val="00025AC5"/>
    <w:rsid w:val="00026CD7"/>
    <w:rsid w:val="000274EE"/>
    <w:rsid w:val="00031110"/>
    <w:rsid w:val="000314D9"/>
    <w:rsid w:val="0003162E"/>
    <w:rsid w:val="00032403"/>
    <w:rsid w:val="00032492"/>
    <w:rsid w:val="00034117"/>
    <w:rsid w:val="0003523D"/>
    <w:rsid w:val="00036B03"/>
    <w:rsid w:val="00037763"/>
    <w:rsid w:val="00041806"/>
    <w:rsid w:val="00042C35"/>
    <w:rsid w:val="00044011"/>
    <w:rsid w:val="00044053"/>
    <w:rsid w:val="00044653"/>
    <w:rsid w:val="00044EB5"/>
    <w:rsid w:val="000465FF"/>
    <w:rsid w:val="00046BA4"/>
    <w:rsid w:val="00046D47"/>
    <w:rsid w:val="00051F48"/>
    <w:rsid w:val="00052A03"/>
    <w:rsid w:val="00054667"/>
    <w:rsid w:val="00055FBA"/>
    <w:rsid w:val="00057716"/>
    <w:rsid w:val="00057E3E"/>
    <w:rsid w:val="00062B19"/>
    <w:rsid w:val="00063589"/>
    <w:rsid w:val="0006534D"/>
    <w:rsid w:val="000662BF"/>
    <w:rsid w:val="0007049D"/>
    <w:rsid w:val="00072378"/>
    <w:rsid w:val="00072903"/>
    <w:rsid w:val="00075AE8"/>
    <w:rsid w:val="00075DEB"/>
    <w:rsid w:val="000774C9"/>
    <w:rsid w:val="00077549"/>
    <w:rsid w:val="00077771"/>
    <w:rsid w:val="00081752"/>
    <w:rsid w:val="00083997"/>
    <w:rsid w:val="00092AC2"/>
    <w:rsid w:val="00094C88"/>
    <w:rsid w:val="00095171"/>
    <w:rsid w:val="000958F5"/>
    <w:rsid w:val="0009609E"/>
    <w:rsid w:val="000A1CB2"/>
    <w:rsid w:val="000A334F"/>
    <w:rsid w:val="000B207A"/>
    <w:rsid w:val="000B2D85"/>
    <w:rsid w:val="000B2F72"/>
    <w:rsid w:val="000B5694"/>
    <w:rsid w:val="000B76F4"/>
    <w:rsid w:val="000B788C"/>
    <w:rsid w:val="000C3005"/>
    <w:rsid w:val="000C4685"/>
    <w:rsid w:val="000C4FA8"/>
    <w:rsid w:val="000C5841"/>
    <w:rsid w:val="000C5D4A"/>
    <w:rsid w:val="000C79BD"/>
    <w:rsid w:val="000C7DFF"/>
    <w:rsid w:val="000D0F7B"/>
    <w:rsid w:val="000D2789"/>
    <w:rsid w:val="000D2F49"/>
    <w:rsid w:val="000D3317"/>
    <w:rsid w:val="000D3EB3"/>
    <w:rsid w:val="000D55E0"/>
    <w:rsid w:val="000E03C6"/>
    <w:rsid w:val="000E162A"/>
    <w:rsid w:val="000E4352"/>
    <w:rsid w:val="000E4791"/>
    <w:rsid w:val="000E69BD"/>
    <w:rsid w:val="000E6E50"/>
    <w:rsid w:val="000F0BAA"/>
    <w:rsid w:val="000F77B8"/>
    <w:rsid w:val="00103DD2"/>
    <w:rsid w:val="00104BB9"/>
    <w:rsid w:val="00105474"/>
    <w:rsid w:val="001058C2"/>
    <w:rsid w:val="001106C6"/>
    <w:rsid w:val="00112D9A"/>
    <w:rsid w:val="00112DB6"/>
    <w:rsid w:val="0011360C"/>
    <w:rsid w:val="00113670"/>
    <w:rsid w:val="00116EF0"/>
    <w:rsid w:val="00117EEF"/>
    <w:rsid w:val="00120ED6"/>
    <w:rsid w:val="001210E9"/>
    <w:rsid w:val="00122059"/>
    <w:rsid w:val="0012337B"/>
    <w:rsid w:val="00123CEF"/>
    <w:rsid w:val="001240B6"/>
    <w:rsid w:val="00124554"/>
    <w:rsid w:val="00125819"/>
    <w:rsid w:val="00127D10"/>
    <w:rsid w:val="00130455"/>
    <w:rsid w:val="00130585"/>
    <w:rsid w:val="001305F6"/>
    <w:rsid w:val="0013151B"/>
    <w:rsid w:val="00131B61"/>
    <w:rsid w:val="00131FC0"/>
    <w:rsid w:val="0013333A"/>
    <w:rsid w:val="00133521"/>
    <w:rsid w:val="001361E8"/>
    <w:rsid w:val="0013638B"/>
    <w:rsid w:val="00136AB2"/>
    <w:rsid w:val="001423A2"/>
    <w:rsid w:val="00142441"/>
    <w:rsid w:val="0014272A"/>
    <w:rsid w:val="00142794"/>
    <w:rsid w:val="00142A2C"/>
    <w:rsid w:val="00143084"/>
    <w:rsid w:val="00143321"/>
    <w:rsid w:val="0014795E"/>
    <w:rsid w:val="00147F39"/>
    <w:rsid w:val="00150677"/>
    <w:rsid w:val="001509AF"/>
    <w:rsid w:val="001522D7"/>
    <w:rsid w:val="001537FA"/>
    <w:rsid w:val="00154249"/>
    <w:rsid w:val="001556DD"/>
    <w:rsid w:val="0016171F"/>
    <w:rsid w:val="00161B07"/>
    <w:rsid w:val="00163C55"/>
    <w:rsid w:val="00164B03"/>
    <w:rsid w:val="00165BF6"/>
    <w:rsid w:val="00165F8C"/>
    <w:rsid w:val="00173E64"/>
    <w:rsid w:val="00173F57"/>
    <w:rsid w:val="00174158"/>
    <w:rsid w:val="0017491B"/>
    <w:rsid w:val="001762B5"/>
    <w:rsid w:val="00181ABF"/>
    <w:rsid w:val="00183CE1"/>
    <w:rsid w:val="00184092"/>
    <w:rsid w:val="001877F8"/>
    <w:rsid w:val="0019182A"/>
    <w:rsid w:val="001940D5"/>
    <w:rsid w:val="00194D03"/>
    <w:rsid w:val="001968FB"/>
    <w:rsid w:val="00196BDA"/>
    <w:rsid w:val="00197051"/>
    <w:rsid w:val="001977C0"/>
    <w:rsid w:val="00197E00"/>
    <w:rsid w:val="001A0D9C"/>
    <w:rsid w:val="001A4E85"/>
    <w:rsid w:val="001A5E50"/>
    <w:rsid w:val="001A63E8"/>
    <w:rsid w:val="001A6D71"/>
    <w:rsid w:val="001A7DF4"/>
    <w:rsid w:val="001B37E9"/>
    <w:rsid w:val="001B484A"/>
    <w:rsid w:val="001B606F"/>
    <w:rsid w:val="001C0691"/>
    <w:rsid w:val="001C18C6"/>
    <w:rsid w:val="001C2D6F"/>
    <w:rsid w:val="001C4856"/>
    <w:rsid w:val="001C4ED3"/>
    <w:rsid w:val="001C5123"/>
    <w:rsid w:val="001C5709"/>
    <w:rsid w:val="001C6BF2"/>
    <w:rsid w:val="001C6CF4"/>
    <w:rsid w:val="001C7FA4"/>
    <w:rsid w:val="001D07D9"/>
    <w:rsid w:val="001D6752"/>
    <w:rsid w:val="001D6D6D"/>
    <w:rsid w:val="001D7770"/>
    <w:rsid w:val="001E0507"/>
    <w:rsid w:val="001E1858"/>
    <w:rsid w:val="001E2C89"/>
    <w:rsid w:val="001E2E7A"/>
    <w:rsid w:val="001E4063"/>
    <w:rsid w:val="001E5D9F"/>
    <w:rsid w:val="001E621F"/>
    <w:rsid w:val="001E6B2D"/>
    <w:rsid w:val="001F013A"/>
    <w:rsid w:val="001F01DA"/>
    <w:rsid w:val="001F12BE"/>
    <w:rsid w:val="001F5A0D"/>
    <w:rsid w:val="001F62B6"/>
    <w:rsid w:val="001F65E2"/>
    <w:rsid w:val="0020028D"/>
    <w:rsid w:val="002010CB"/>
    <w:rsid w:val="0020131C"/>
    <w:rsid w:val="0020442A"/>
    <w:rsid w:val="002046C8"/>
    <w:rsid w:val="00204EAE"/>
    <w:rsid w:val="0020740D"/>
    <w:rsid w:val="00207D71"/>
    <w:rsid w:val="00210300"/>
    <w:rsid w:val="002121E4"/>
    <w:rsid w:val="0021380B"/>
    <w:rsid w:val="002149A7"/>
    <w:rsid w:val="00215965"/>
    <w:rsid w:val="002230F0"/>
    <w:rsid w:val="002255A2"/>
    <w:rsid w:val="00227E3E"/>
    <w:rsid w:val="00230CFF"/>
    <w:rsid w:val="00231E44"/>
    <w:rsid w:val="00232B17"/>
    <w:rsid w:val="00232EE3"/>
    <w:rsid w:val="00234A68"/>
    <w:rsid w:val="00235071"/>
    <w:rsid w:val="002370DF"/>
    <w:rsid w:val="00241713"/>
    <w:rsid w:val="002422EE"/>
    <w:rsid w:val="00242556"/>
    <w:rsid w:val="0024257A"/>
    <w:rsid w:val="002441F0"/>
    <w:rsid w:val="00245529"/>
    <w:rsid w:val="00245C37"/>
    <w:rsid w:val="002470C5"/>
    <w:rsid w:val="00247115"/>
    <w:rsid w:val="0025180F"/>
    <w:rsid w:val="00251A5E"/>
    <w:rsid w:val="002525FA"/>
    <w:rsid w:val="00252E16"/>
    <w:rsid w:val="00254666"/>
    <w:rsid w:val="00254A69"/>
    <w:rsid w:val="00257089"/>
    <w:rsid w:val="002605DD"/>
    <w:rsid w:val="00262343"/>
    <w:rsid w:val="0026238C"/>
    <w:rsid w:val="00262B9F"/>
    <w:rsid w:val="0026347F"/>
    <w:rsid w:val="00263BB5"/>
    <w:rsid w:val="0026564C"/>
    <w:rsid w:val="002664DE"/>
    <w:rsid w:val="002666BE"/>
    <w:rsid w:val="00270363"/>
    <w:rsid w:val="00273334"/>
    <w:rsid w:val="0027369F"/>
    <w:rsid w:val="0027647D"/>
    <w:rsid w:val="0027783C"/>
    <w:rsid w:val="0028110F"/>
    <w:rsid w:val="00281D1F"/>
    <w:rsid w:val="002827F8"/>
    <w:rsid w:val="00284480"/>
    <w:rsid w:val="00284643"/>
    <w:rsid w:val="00284BE8"/>
    <w:rsid w:val="00285A7F"/>
    <w:rsid w:val="002861A8"/>
    <w:rsid w:val="00291A3B"/>
    <w:rsid w:val="002937C1"/>
    <w:rsid w:val="002937DA"/>
    <w:rsid w:val="002941BE"/>
    <w:rsid w:val="00294DCB"/>
    <w:rsid w:val="00296A93"/>
    <w:rsid w:val="0029761E"/>
    <w:rsid w:val="002A157E"/>
    <w:rsid w:val="002A4216"/>
    <w:rsid w:val="002A4617"/>
    <w:rsid w:val="002A4B03"/>
    <w:rsid w:val="002A4F3D"/>
    <w:rsid w:val="002A7675"/>
    <w:rsid w:val="002B179B"/>
    <w:rsid w:val="002B1A2C"/>
    <w:rsid w:val="002B4304"/>
    <w:rsid w:val="002B7AB6"/>
    <w:rsid w:val="002C0BCF"/>
    <w:rsid w:val="002C10FB"/>
    <w:rsid w:val="002C2384"/>
    <w:rsid w:val="002C566B"/>
    <w:rsid w:val="002C7C43"/>
    <w:rsid w:val="002D1B3E"/>
    <w:rsid w:val="002D4062"/>
    <w:rsid w:val="002D4066"/>
    <w:rsid w:val="002D4557"/>
    <w:rsid w:val="002D4880"/>
    <w:rsid w:val="002D4AED"/>
    <w:rsid w:val="002D6792"/>
    <w:rsid w:val="002E4ECC"/>
    <w:rsid w:val="002E5EA2"/>
    <w:rsid w:val="002E7E06"/>
    <w:rsid w:val="002F2293"/>
    <w:rsid w:val="002F2779"/>
    <w:rsid w:val="002F2C9A"/>
    <w:rsid w:val="002F33F9"/>
    <w:rsid w:val="002F4FBB"/>
    <w:rsid w:val="002F508C"/>
    <w:rsid w:val="002F52B4"/>
    <w:rsid w:val="002F5810"/>
    <w:rsid w:val="002F5A5D"/>
    <w:rsid w:val="002F6598"/>
    <w:rsid w:val="002F6C54"/>
    <w:rsid w:val="002F7CDB"/>
    <w:rsid w:val="00300D22"/>
    <w:rsid w:val="003028D0"/>
    <w:rsid w:val="0030407B"/>
    <w:rsid w:val="00304153"/>
    <w:rsid w:val="00304B94"/>
    <w:rsid w:val="0030596A"/>
    <w:rsid w:val="00305D82"/>
    <w:rsid w:val="00312522"/>
    <w:rsid w:val="00312D0D"/>
    <w:rsid w:val="00312EA3"/>
    <w:rsid w:val="00313EDD"/>
    <w:rsid w:val="003155C3"/>
    <w:rsid w:val="00315FBF"/>
    <w:rsid w:val="0031650E"/>
    <w:rsid w:val="00316BFC"/>
    <w:rsid w:val="0032263D"/>
    <w:rsid w:val="00325295"/>
    <w:rsid w:val="00325DF2"/>
    <w:rsid w:val="00330252"/>
    <w:rsid w:val="0033543A"/>
    <w:rsid w:val="003360AF"/>
    <w:rsid w:val="00337570"/>
    <w:rsid w:val="00341704"/>
    <w:rsid w:val="00342AA7"/>
    <w:rsid w:val="00343B42"/>
    <w:rsid w:val="00345E20"/>
    <w:rsid w:val="003463F3"/>
    <w:rsid w:val="00347278"/>
    <w:rsid w:val="0035052E"/>
    <w:rsid w:val="00351DF7"/>
    <w:rsid w:val="00352D89"/>
    <w:rsid w:val="003538A2"/>
    <w:rsid w:val="00353DF1"/>
    <w:rsid w:val="00353DFF"/>
    <w:rsid w:val="0035708E"/>
    <w:rsid w:val="003603D3"/>
    <w:rsid w:val="00360952"/>
    <w:rsid w:val="00362815"/>
    <w:rsid w:val="00362ACC"/>
    <w:rsid w:val="00362E0A"/>
    <w:rsid w:val="00364674"/>
    <w:rsid w:val="00365242"/>
    <w:rsid w:val="003666E9"/>
    <w:rsid w:val="00367553"/>
    <w:rsid w:val="003707B4"/>
    <w:rsid w:val="003714DA"/>
    <w:rsid w:val="0037345C"/>
    <w:rsid w:val="00374BEB"/>
    <w:rsid w:val="00376D13"/>
    <w:rsid w:val="00377651"/>
    <w:rsid w:val="00382870"/>
    <w:rsid w:val="00382EED"/>
    <w:rsid w:val="00382FDF"/>
    <w:rsid w:val="00383D09"/>
    <w:rsid w:val="003840B0"/>
    <w:rsid w:val="00385B59"/>
    <w:rsid w:val="00387656"/>
    <w:rsid w:val="0039162F"/>
    <w:rsid w:val="00392C26"/>
    <w:rsid w:val="00393D20"/>
    <w:rsid w:val="00393D5A"/>
    <w:rsid w:val="00394438"/>
    <w:rsid w:val="00394618"/>
    <w:rsid w:val="00395314"/>
    <w:rsid w:val="00395636"/>
    <w:rsid w:val="0039780F"/>
    <w:rsid w:val="00397960"/>
    <w:rsid w:val="003A4105"/>
    <w:rsid w:val="003A4BF5"/>
    <w:rsid w:val="003A534C"/>
    <w:rsid w:val="003A7750"/>
    <w:rsid w:val="003A79E2"/>
    <w:rsid w:val="003B29DB"/>
    <w:rsid w:val="003B4685"/>
    <w:rsid w:val="003C1BF7"/>
    <w:rsid w:val="003C2897"/>
    <w:rsid w:val="003C7327"/>
    <w:rsid w:val="003D1496"/>
    <w:rsid w:val="003D2C99"/>
    <w:rsid w:val="003D2CE1"/>
    <w:rsid w:val="003D38BE"/>
    <w:rsid w:val="003D4419"/>
    <w:rsid w:val="003D448B"/>
    <w:rsid w:val="003D5412"/>
    <w:rsid w:val="003D59FB"/>
    <w:rsid w:val="003E2559"/>
    <w:rsid w:val="003E2FE0"/>
    <w:rsid w:val="003E3615"/>
    <w:rsid w:val="003E3951"/>
    <w:rsid w:val="003E3CB4"/>
    <w:rsid w:val="003E52A2"/>
    <w:rsid w:val="003E69FF"/>
    <w:rsid w:val="003F0437"/>
    <w:rsid w:val="003F0A9C"/>
    <w:rsid w:val="003F11CE"/>
    <w:rsid w:val="003F288A"/>
    <w:rsid w:val="003F3595"/>
    <w:rsid w:val="003F78CC"/>
    <w:rsid w:val="003F7B43"/>
    <w:rsid w:val="00400D0D"/>
    <w:rsid w:val="0040143C"/>
    <w:rsid w:val="00401EE1"/>
    <w:rsid w:val="00403201"/>
    <w:rsid w:val="00403B71"/>
    <w:rsid w:val="004044DA"/>
    <w:rsid w:val="0040629E"/>
    <w:rsid w:val="00407782"/>
    <w:rsid w:val="00411073"/>
    <w:rsid w:val="00412FEC"/>
    <w:rsid w:val="00413B47"/>
    <w:rsid w:val="00413C64"/>
    <w:rsid w:val="00414267"/>
    <w:rsid w:val="004154C2"/>
    <w:rsid w:val="00415C08"/>
    <w:rsid w:val="00416B51"/>
    <w:rsid w:val="00417CF3"/>
    <w:rsid w:val="00421D0B"/>
    <w:rsid w:val="004220BF"/>
    <w:rsid w:val="00422981"/>
    <w:rsid w:val="00423058"/>
    <w:rsid w:val="00424181"/>
    <w:rsid w:val="004245CC"/>
    <w:rsid w:val="0042488E"/>
    <w:rsid w:val="00430107"/>
    <w:rsid w:val="0043013C"/>
    <w:rsid w:val="004301DE"/>
    <w:rsid w:val="0043197A"/>
    <w:rsid w:val="00435773"/>
    <w:rsid w:val="00436C53"/>
    <w:rsid w:val="00436E98"/>
    <w:rsid w:val="004375A0"/>
    <w:rsid w:val="0044219A"/>
    <w:rsid w:val="00444581"/>
    <w:rsid w:val="0044525D"/>
    <w:rsid w:val="00452390"/>
    <w:rsid w:val="00452BCF"/>
    <w:rsid w:val="00454AA3"/>
    <w:rsid w:val="00455171"/>
    <w:rsid w:val="00457572"/>
    <w:rsid w:val="00457767"/>
    <w:rsid w:val="00461360"/>
    <w:rsid w:val="00462047"/>
    <w:rsid w:val="00463011"/>
    <w:rsid w:val="004631BE"/>
    <w:rsid w:val="00463232"/>
    <w:rsid w:val="004660CE"/>
    <w:rsid w:val="00470B9B"/>
    <w:rsid w:val="00470E71"/>
    <w:rsid w:val="00472D17"/>
    <w:rsid w:val="00475C4D"/>
    <w:rsid w:val="004773CC"/>
    <w:rsid w:val="004777EB"/>
    <w:rsid w:val="00480CF6"/>
    <w:rsid w:val="00480DA3"/>
    <w:rsid w:val="00480EF7"/>
    <w:rsid w:val="00483774"/>
    <w:rsid w:val="00486064"/>
    <w:rsid w:val="00486494"/>
    <w:rsid w:val="00486AE7"/>
    <w:rsid w:val="00486B49"/>
    <w:rsid w:val="00486BB4"/>
    <w:rsid w:val="00486E1F"/>
    <w:rsid w:val="00487842"/>
    <w:rsid w:val="004901A0"/>
    <w:rsid w:val="0049031F"/>
    <w:rsid w:val="004903E4"/>
    <w:rsid w:val="0049289D"/>
    <w:rsid w:val="00492A61"/>
    <w:rsid w:val="00493490"/>
    <w:rsid w:val="00494769"/>
    <w:rsid w:val="00495C47"/>
    <w:rsid w:val="00497408"/>
    <w:rsid w:val="004A09BB"/>
    <w:rsid w:val="004A192E"/>
    <w:rsid w:val="004A21CC"/>
    <w:rsid w:val="004A3791"/>
    <w:rsid w:val="004A4D9B"/>
    <w:rsid w:val="004A5C26"/>
    <w:rsid w:val="004A62E3"/>
    <w:rsid w:val="004A6B47"/>
    <w:rsid w:val="004B1067"/>
    <w:rsid w:val="004B1C2A"/>
    <w:rsid w:val="004B41E5"/>
    <w:rsid w:val="004B569B"/>
    <w:rsid w:val="004B6362"/>
    <w:rsid w:val="004B7B5A"/>
    <w:rsid w:val="004C01D6"/>
    <w:rsid w:val="004C1988"/>
    <w:rsid w:val="004C2EDB"/>
    <w:rsid w:val="004C338D"/>
    <w:rsid w:val="004C44BC"/>
    <w:rsid w:val="004C4921"/>
    <w:rsid w:val="004C62F9"/>
    <w:rsid w:val="004C6CC5"/>
    <w:rsid w:val="004C78CD"/>
    <w:rsid w:val="004C7E0F"/>
    <w:rsid w:val="004D20AE"/>
    <w:rsid w:val="004D29CF"/>
    <w:rsid w:val="004D308F"/>
    <w:rsid w:val="004D3BBE"/>
    <w:rsid w:val="004D47C3"/>
    <w:rsid w:val="004D5182"/>
    <w:rsid w:val="004D5E99"/>
    <w:rsid w:val="004E0916"/>
    <w:rsid w:val="004E0A34"/>
    <w:rsid w:val="004E0D45"/>
    <w:rsid w:val="004E0F3F"/>
    <w:rsid w:val="004E10BA"/>
    <w:rsid w:val="004E36DB"/>
    <w:rsid w:val="004E3BE5"/>
    <w:rsid w:val="004E3C70"/>
    <w:rsid w:val="004E3EB2"/>
    <w:rsid w:val="004E4756"/>
    <w:rsid w:val="004E6720"/>
    <w:rsid w:val="004E71AB"/>
    <w:rsid w:val="004E73E1"/>
    <w:rsid w:val="004F1374"/>
    <w:rsid w:val="004F1479"/>
    <w:rsid w:val="004F1E5E"/>
    <w:rsid w:val="004F3E72"/>
    <w:rsid w:val="004F50CF"/>
    <w:rsid w:val="004F5D37"/>
    <w:rsid w:val="004F7910"/>
    <w:rsid w:val="00500D99"/>
    <w:rsid w:val="00502866"/>
    <w:rsid w:val="00502AB5"/>
    <w:rsid w:val="00503163"/>
    <w:rsid w:val="0050445F"/>
    <w:rsid w:val="005048C8"/>
    <w:rsid w:val="005056D1"/>
    <w:rsid w:val="005059C2"/>
    <w:rsid w:val="00506FBF"/>
    <w:rsid w:val="00512D77"/>
    <w:rsid w:val="005134D7"/>
    <w:rsid w:val="005152BF"/>
    <w:rsid w:val="00516657"/>
    <w:rsid w:val="00516B30"/>
    <w:rsid w:val="0051767F"/>
    <w:rsid w:val="00517DED"/>
    <w:rsid w:val="00520F1A"/>
    <w:rsid w:val="00521480"/>
    <w:rsid w:val="00525EFF"/>
    <w:rsid w:val="005265A2"/>
    <w:rsid w:val="00527227"/>
    <w:rsid w:val="00530C46"/>
    <w:rsid w:val="00530D80"/>
    <w:rsid w:val="00531797"/>
    <w:rsid w:val="00531951"/>
    <w:rsid w:val="0053259F"/>
    <w:rsid w:val="00533787"/>
    <w:rsid w:val="00534E11"/>
    <w:rsid w:val="005352E9"/>
    <w:rsid w:val="00536198"/>
    <w:rsid w:val="0053772A"/>
    <w:rsid w:val="005379D9"/>
    <w:rsid w:val="00540C35"/>
    <w:rsid w:val="00540C4E"/>
    <w:rsid w:val="0054118E"/>
    <w:rsid w:val="005414FE"/>
    <w:rsid w:val="00542318"/>
    <w:rsid w:val="0054285A"/>
    <w:rsid w:val="00542988"/>
    <w:rsid w:val="005468AB"/>
    <w:rsid w:val="00546F18"/>
    <w:rsid w:val="0055057B"/>
    <w:rsid w:val="00551458"/>
    <w:rsid w:val="00552831"/>
    <w:rsid w:val="005536A9"/>
    <w:rsid w:val="00560614"/>
    <w:rsid w:val="00560DBE"/>
    <w:rsid w:val="00560DC2"/>
    <w:rsid w:val="005648C6"/>
    <w:rsid w:val="00566BC8"/>
    <w:rsid w:val="005720C6"/>
    <w:rsid w:val="0057255A"/>
    <w:rsid w:val="00572EB1"/>
    <w:rsid w:val="00572F72"/>
    <w:rsid w:val="0057432D"/>
    <w:rsid w:val="00574406"/>
    <w:rsid w:val="0057735F"/>
    <w:rsid w:val="0057754A"/>
    <w:rsid w:val="00577E25"/>
    <w:rsid w:val="005811A2"/>
    <w:rsid w:val="005812B4"/>
    <w:rsid w:val="005828F9"/>
    <w:rsid w:val="005865B9"/>
    <w:rsid w:val="00587CBA"/>
    <w:rsid w:val="00590B28"/>
    <w:rsid w:val="005938B5"/>
    <w:rsid w:val="00593917"/>
    <w:rsid w:val="0059499C"/>
    <w:rsid w:val="00594D63"/>
    <w:rsid w:val="00595A9A"/>
    <w:rsid w:val="00595C54"/>
    <w:rsid w:val="00596F16"/>
    <w:rsid w:val="00596F7E"/>
    <w:rsid w:val="005979A4"/>
    <w:rsid w:val="005A288B"/>
    <w:rsid w:val="005A4190"/>
    <w:rsid w:val="005A443D"/>
    <w:rsid w:val="005A4E8B"/>
    <w:rsid w:val="005A6C2C"/>
    <w:rsid w:val="005A7265"/>
    <w:rsid w:val="005B370F"/>
    <w:rsid w:val="005B38F7"/>
    <w:rsid w:val="005B4791"/>
    <w:rsid w:val="005B6F28"/>
    <w:rsid w:val="005C03DF"/>
    <w:rsid w:val="005C17A3"/>
    <w:rsid w:val="005C368F"/>
    <w:rsid w:val="005C3D64"/>
    <w:rsid w:val="005C432D"/>
    <w:rsid w:val="005C4806"/>
    <w:rsid w:val="005C4F32"/>
    <w:rsid w:val="005C55BA"/>
    <w:rsid w:val="005C7F03"/>
    <w:rsid w:val="005D03EB"/>
    <w:rsid w:val="005D20A1"/>
    <w:rsid w:val="005D2553"/>
    <w:rsid w:val="005D26FE"/>
    <w:rsid w:val="005D43B1"/>
    <w:rsid w:val="005D75BD"/>
    <w:rsid w:val="005E0259"/>
    <w:rsid w:val="005E0704"/>
    <w:rsid w:val="005E0BE9"/>
    <w:rsid w:val="005E1888"/>
    <w:rsid w:val="005E30D9"/>
    <w:rsid w:val="005E344C"/>
    <w:rsid w:val="005E474C"/>
    <w:rsid w:val="005E699F"/>
    <w:rsid w:val="005E6CBA"/>
    <w:rsid w:val="005E7359"/>
    <w:rsid w:val="005E7808"/>
    <w:rsid w:val="005F2833"/>
    <w:rsid w:val="005F4A5A"/>
    <w:rsid w:val="005F4C67"/>
    <w:rsid w:val="005F5E31"/>
    <w:rsid w:val="005F6768"/>
    <w:rsid w:val="005F6B02"/>
    <w:rsid w:val="005F6C02"/>
    <w:rsid w:val="005F6E8B"/>
    <w:rsid w:val="005F72E5"/>
    <w:rsid w:val="005F7408"/>
    <w:rsid w:val="00600168"/>
    <w:rsid w:val="0060028D"/>
    <w:rsid w:val="00602382"/>
    <w:rsid w:val="006035A7"/>
    <w:rsid w:val="006042AA"/>
    <w:rsid w:val="0060517D"/>
    <w:rsid w:val="00605F2B"/>
    <w:rsid w:val="006063A7"/>
    <w:rsid w:val="0061132A"/>
    <w:rsid w:val="006118DF"/>
    <w:rsid w:val="00611E3A"/>
    <w:rsid w:val="00612F17"/>
    <w:rsid w:val="0061493E"/>
    <w:rsid w:val="006163D6"/>
    <w:rsid w:val="006168F0"/>
    <w:rsid w:val="00616BA1"/>
    <w:rsid w:val="00617CEA"/>
    <w:rsid w:val="00620C43"/>
    <w:rsid w:val="00620D83"/>
    <w:rsid w:val="00621ADA"/>
    <w:rsid w:val="00623757"/>
    <w:rsid w:val="00623C3B"/>
    <w:rsid w:val="00624882"/>
    <w:rsid w:val="00627E0A"/>
    <w:rsid w:val="00630CBF"/>
    <w:rsid w:val="00633484"/>
    <w:rsid w:val="00635A94"/>
    <w:rsid w:val="00636713"/>
    <w:rsid w:val="00636869"/>
    <w:rsid w:val="00636FEC"/>
    <w:rsid w:val="00637E49"/>
    <w:rsid w:val="006416AD"/>
    <w:rsid w:val="00644CDC"/>
    <w:rsid w:val="006453E6"/>
    <w:rsid w:val="006462D5"/>
    <w:rsid w:val="00652E0F"/>
    <w:rsid w:val="006534DE"/>
    <w:rsid w:val="00656A6E"/>
    <w:rsid w:val="00656D26"/>
    <w:rsid w:val="00656E6E"/>
    <w:rsid w:val="006570BD"/>
    <w:rsid w:val="006573ED"/>
    <w:rsid w:val="0066059C"/>
    <w:rsid w:val="00660B76"/>
    <w:rsid w:val="00662191"/>
    <w:rsid w:val="006621B4"/>
    <w:rsid w:val="00664FE5"/>
    <w:rsid w:val="00665E69"/>
    <w:rsid w:val="00666A04"/>
    <w:rsid w:val="00666EDE"/>
    <w:rsid w:val="006670D5"/>
    <w:rsid w:val="0067167C"/>
    <w:rsid w:val="00671E97"/>
    <w:rsid w:val="00673749"/>
    <w:rsid w:val="006753E1"/>
    <w:rsid w:val="00675BF7"/>
    <w:rsid w:val="00676723"/>
    <w:rsid w:val="00676AF7"/>
    <w:rsid w:val="00677DFE"/>
    <w:rsid w:val="00680464"/>
    <w:rsid w:val="00680C75"/>
    <w:rsid w:val="00682DC6"/>
    <w:rsid w:val="00682F6A"/>
    <w:rsid w:val="00682FA4"/>
    <w:rsid w:val="00684209"/>
    <w:rsid w:val="006854CF"/>
    <w:rsid w:val="00685E75"/>
    <w:rsid w:val="00691C52"/>
    <w:rsid w:val="006968E9"/>
    <w:rsid w:val="00697FC6"/>
    <w:rsid w:val="006A28D4"/>
    <w:rsid w:val="006A42EE"/>
    <w:rsid w:val="006A4D1B"/>
    <w:rsid w:val="006A570D"/>
    <w:rsid w:val="006A5EC3"/>
    <w:rsid w:val="006A669A"/>
    <w:rsid w:val="006B0EBB"/>
    <w:rsid w:val="006B2F8D"/>
    <w:rsid w:val="006B309F"/>
    <w:rsid w:val="006B5CC5"/>
    <w:rsid w:val="006B6037"/>
    <w:rsid w:val="006B6F5A"/>
    <w:rsid w:val="006C007F"/>
    <w:rsid w:val="006C4530"/>
    <w:rsid w:val="006C52BB"/>
    <w:rsid w:val="006C67E6"/>
    <w:rsid w:val="006C6F1C"/>
    <w:rsid w:val="006C76AB"/>
    <w:rsid w:val="006D0D2F"/>
    <w:rsid w:val="006D1A8A"/>
    <w:rsid w:val="006D2820"/>
    <w:rsid w:val="006D2EA2"/>
    <w:rsid w:val="006D382A"/>
    <w:rsid w:val="006D5FB6"/>
    <w:rsid w:val="006D6A17"/>
    <w:rsid w:val="006E3A48"/>
    <w:rsid w:val="006E5765"/>
    <w:rsid w:val="006E67FD"/>
    <w:rsid w:val="006E71BF"/>
    <w:rsid w:val="006E71E5"/>
    <w:rsid w:val="006E76C9"/>
    <w:rsid w:val="006F03FE"/>
    <w:rsid w:val="006F0EBF"/>
    <w:rsid w:val="006F112D"/>
    <w:rsid w:val="006F1D8F"/>
    <w:rsid w:val="006F38BE"/>
    <w:rsid w:val="006F5741"/>
    <w:rsid w:val="006F6C78"/>
    <w:rsid w:val="006F6CA1"/>
    <w:rsid w:val="006F7522"/>
    <w:rsid w:val="007006EC"/>
    <w:rsid w:val="00701F90"/>
    <w:rsid w:val="007022BB"/>
    <w:rsid w:val="007067C3"/>
    <w:rsid w:val="007115C1"/>
    <w:rsid w:val="00711AE1"/>
    <w:rsid w:val="00711F13"/>
    <w:rsid w:val="007127D8"/>
    <w:rsid w:val="00712C58"/>
    <w:rsid w:val="007130E8"/>
    <w:rsid w:val="0071330B"/>
    <w:rsid w:val="007140C9"/>
    <w:rsid w:val="00716665"/>
    <w:rsid w:val="00717B67"/>
    <w:rsid w:val="00723877"/>
    <w:rsid w:val="0072464F"/>
    <w:rsid w:val="00726917"/>
    <w:rsid w:val="007278C7"/>
    <w:rsid w:val="00727FDB"/>
    <w:rsid w:val="00730690"/>
    <w:rsid w:val="00730FA8"/>
    <w:rsid w:val="0073213D"/>
    <w:rsid w:val="007322C9"/>
    <w:rsid w:val="00732FA6"/>
    <w:rsid w:val="007338A8"/>
    <w:rsid w:val="00735212"/>
    <w:rsid w:val="00735CD2"/>
    <w:rsid w:val="00736241"/>
    <w:rsid w:val="00736645"/>
    <w:rsid w:val="007366FB"/>
    <w:rsid w:val="00741A3B"/>
    <w:rsid w:val="00742300"/>
    <w:rsid w:val="00747DC7"/>
    <w:rsid w:val="007515BC"/>
    <w:rsid w:val="0075185A"/>
    <w:rsid w:val="007524E5"/>
    <w:rsid w:val="007537BE"/>
    <w:rsid w:val="00753CEA"/>
    <w:rsid w:val="0075482C"/>
    <w:rsid w:val="00755490"/>
    <w:rsid w:val="007556DA"/>
    <w:rsid w:val="00764013"/>
    <w:rsid w:val="00765E4F"/>
    <w:rsid w:val="00765EA4"/>
    <w:rsid w:val="00766D30"/>
    <w:rsid w:val="0076779E"/>
    <w:rsid w:val="007679E8"/>
    <w:rsid w:val="007714C8"/>
    <w:rsid w:val="0077183B"/>
    <w:rsid w:val="007752B0"/>
    <w:rsid w:val="007765D8"/>
    <w:rsid w:val="00780B40"/>
    <w:rsid w:val="00781A6B"/>
    <w:rsid w:val="007822CC"/>
    <w:rsid w:val="00782778"/>
    <w:rsid w:val="007877CD"/>
    <w:rsid w:val="007901FA"/>
    <w:rsid w:val="00790DCD"/>
    <w:rsid w:val="00792B66"/>
    <w:rsid w:val="00792B82"/>
    <w:rsid w:val="00793734"/>
    <w:rsid w:val="00793FB7"/>
    <w:rsid w:val="00795349"/>
    <w:rsid w:val="007A0191"/>
    <w:rsid w:val="007A09A8"/>
    <w:rsid w:val="007A117B"/>
    <w:rsid w:val="007A160A"/>
    <w:rsid w:val="007A22ED"/>
    <w:rsid w:val="007A24F9"/>
    <w:rsid w:val="007A4624"/>
    <w:rsid w:val="007B1AAB"/>
    <w:rsid w:val="007B4B84"/>
    <w:rsid w:val="007B6362"/>
    <w:rsid w:val="007B6377"/>
    <w:rsid w:val="007B6AFC"/>
    <w:rsid w:val="007B70FA"/>
    <w:rsid w:val="007B7965"/>
    <w:rsid w:val="007C132C"/>
    <w:rsid w:val="007C2410"/>
    <w:rsid w:val="007C66F2"/>
    <w:rsid w:val="007C7D31"/>
    <w:rsid w:val="007D06BB"/>
    <w:rsid w:val="007D0A57"/>
    <w:rsid w:val="007D0EC7"/>
    <w:rsid w:val="007D1AA5"/>
    <w:rsid w:val="007D1C4A"/>
    <w:rsid w:val="007D2978"/>
    <w:rsid w:val="007D361F"/>
    <w:rsid w:val="007D4AE9"/>
    <w:rsid w:val="007E0178"/>
    <w:rsid w:val="007E1678"/>
    <w:rsid w:val="007E26F6"/>
    <w:rsid w:val="007E28A8"/>
    <w:rsid w:val="007E5182"/>
    <w:rsid w:val="007E51A4"/>
    <w:rsid w:val="007E74E2"/>
    <w:rsid w:val="007F2B15"/>
    <w:rsid w:val="007F6EE6"/>
    <w:rsid w:val="00800E14"/>
    <w:rsid w:val="008012ED"/>
    <w:rsid w:val="00803C34"/>
    <w:rsid w:val="008055B0"/>
    <w:rsid w:val="00811620"/>
    <w:rsid w:val="008116D6"/>
    <w:rsid w:val="00812B51"/>
    <w:rsid w:val="00812BD5"/>
    <w:rsid w:val="00813193"/>
    <w:rsid w:val="008142D8"/>
    <w:rsid w:val="00814E4C"/>
    <w:rsid w:val="00814F98"/>
    <w:rsid w:val="00815587"/>
    <w:rsid w:val="00815B9D"/>
    <w:rsid w:val="0081651E"/>
    <w:rsid w:val="00816E95"/>
    <w:rsid w:val="00816F19"/>
    <w:rsid w:val="0082142E"/>
    <w:rsid w:val="008214DD"/>
    <w:rsid w:val="0082214D"/>
    <w:rsid w:val="008223F4"/>
    <w:rsid w:val="00822761"/>
    <w:rsid w:val="00822A46"/>
    <w:rsid w:val="008238F4"/>
    <w:rsid w:val="008246E4"/>
    <w:rsid w:val="00824FFC"/>
    <w:rsid w:val="0082569C"/>
    <w:rsid w:val="008265B1"/>
    <w:rsid w:val="008270E0"/>
    <w:rsid w:val="008275AC"/>
    <w:rsid w:val="0083220E"/>
    <w:rsid w:val="008325B9"/>
    <w:rsid w:val="00832C2A"/>
    <w:rsid w:val="00833F9B"/>
    <w:rsid w:val="00836881"/>
    <w:rsid w:val="00836D6A"/>
    <w:rsid w:val="0084128F"/>
    <w:rsid w:val="00845AD9"/>
    <w:rsid w:val="00846B1F"/>
    <w:rsid w:val="00847835"/>
    <w:rsid w:val="00850C9D"/>
    <w:rsid w:val="008510DF"/>
    <w:rsid w:val="0085114A"/>
    <w:rsid w:val="00852D80"/>
    <w:rsid w:val="00852DC0"/>
    <w:rsid w:val="00853B58"/>
    <w:rsid w:val="00854B31"/>
    <w:rsid w:val="0085760F"/>
    <w:rsid w:val="00857D2B"/>
    <w:rsid w:val="0086294A"/>
    <w:rsid w:val="008644D5"/>
    <w:rsid w:val="0086655B"/>
    <w:rsid w:val="00870EF7"/>
    <w:rsid w:val="00871531"/>
    <w:rsid w:val="00871941"/>
    <w:rsid w:val="00872CED"/>
    <w:rsid w:val="0087329C"/>
    <w:rsid w:val="00873615"/>
    <w:rsid w:val="008746A1"/>
    <w:rsid w:val="00874D93"/>
    <w:rsid w:val="00876303"/>
    <w:rsid w:val="0087695D"/>
    <w:rsid w:val="0087700E"/>
    <w:rsid w:val="008813BE"/>
    <w:rsid w:val="00881DE6"/>
    <w:rsid w:val="00882754"/>
    <w:rsid w:val="008839A4"/>
    <w:rsid w:val="00883A9E"/>
    <w:rsid w:val="00884A92"/>
    <w:rsid w:val="00884AE0"/>
    <w:rsid w:val="00886FBF"/>
    <w:rsid w:val="00890071"/>
    <w:rsid w:val="00890A27"/>
    <w:rsid w:val="008920E5"/>
    <w:rsid w:val="00892692"/>
    <w:rsid w:val="0089342E"/>
    <w:rsid w:val="008946E4"/>
    <w:rsid w:val="00895757"/>
    <w:rsid w:val="008A053E"/>
    <w:rsid w:val="008A0719"/>
    <w:rsid w:val="008A1455"/>
    <w:rsid w:val="008A1D93"/>
    <w:rsid w:val="008A45D0"/>
    <w:rsid w:val="008A47CF"/>
    <w:rsid w:val="008B2147"/>
    <w:rsid w:val="008B2FEA"/>
    <w:rsid w:val="008B4E28"/>
    <w:rsid w:val="008B6A68"/>
    <w:rsid w:val="008B7372"/>
    <w:rsid w:val="008C102F"/>
    <w:rsid w:val="008C58A9"/>
    <w:rsid w:val="008D274A"/>
    <w:rsid w:val="008D2801"/>
    <w:rsid w:val="008D2CD3"/>
    <w:rsid w:val="008D3062"/>
    <w:rsid w:val="008D3AE6"/>
    <w:rsid w:val="008D454E"/>
    <w:rsid w:val="008D4698"/>
    <w:rsid w:val="008D681C"/>
    <w:rsid w:val="008D7AE2"/>
    <w:rsid w:val="008E07EF"/>
    <w:rsid w:val="008E0B7C"/>
    <w:rsid w:val="008E3ED4"/>
    <w:rsid w:val="008E57FF"/>
    <w:rsid w:val="008E6EDF"/>
    <w:rsid w:val="008E7B67"/>
    <w:rsid w:val="008F15A4"/>
    <w:rsid w:val="008F19FF"/>
    <w:rsid w:val="008F2A83"/>
    <w:rsid w:val="008F38D4"/>
    <w:rsid w:val="008F4519"/>
    <w:rsid w:val="008F7460"/>
    <w:rsid w:val="008F7F0D"/>
    <w:rsid w:val="009009E5"/>
    <w:rsid w:val="00900BE0"/>
    <w:rsid w:val="009023BA"/>
    <w:rsid w:val="00903220"/>
    <w:rsid w:val="00904A27"/>
    <w:rsid w:val="00904AE5"/>
    <w:rsid w:val="00906268"/>
    <w:rsid w:val="00906D6B"/>
    <w:rsid w:val="00907B96"/>
    <w:rsid w:val="009110EE"/>
    <w:rsid w:val="00912108"/>
    <w:rsid w:val="00912C6D"/>
    <w:rsid w:val="0091356D"/>
    <w:rsid w:val="009136E1"/>
    <w:rsid w:val="00914C8B"/>
    <w:rsid w:val="00916F9A"/>
    <w:rsid w:val="00917436"/>
    <w:rsid w:val="009214B7"/>
    <w:rsid w:val="00921E2D"/>
    <w:rsid w:val="0092425C"/>
    <w:rsid w:val="00924BAD"/>
    <w:rsid w:val="009267FC"/>
    <w:rsid w:val="0092781F"/>
    <w:rsid w:val="0093108F"/>
    <w:rsid w:val="0093176F"/>
    <w:rsid w:val="00931837"/>
    <w:rsid w:val="009338DB"/>
    <w:rsid w:val="00935B82"/>
    <w:rsid w:val="00935C8F"/>
    <w:rsid w:val="00936BFF"/>
    <w:rsid w:val="009408B2"/>
    <w:rsid w:val="009408C2"/>
    <w:rsid w:val="00946603"/>
    <w:rsid w:val="00950097"/>
    <w:rsid w:val="0095481A"/>
    <w:rsid w:val="00955BEE"/>
    <w:rsid w:val="00956211"/>
    <w:rsid w:val="00956A4B"/>
    <w:rsid w:val="00957163"/>
    <w:rsid w:val="009606F9"/>
    <w:rsid w:val="00962DEF"/>
    <w:rsid w:val="00963696"/>
    <w:rsid w:val="009649F1"/>
    <w:rsid w:val="00964C2D"/>
    <w:rsid w:val="00966E08"/>
    <w:rsid w:val="009720A1"/>
    <w:rsid w:val="0097399B"/>
    <w:rsid w:val="009751C9"/>
    <w:rsid w:val="009764DD"/>
    <w:rsid w:val="00977D11"/>
    <w:rsid w:val="00982146"/>
    <w:rsid w:val="00982F1F"/>
    <w:rsid w:val="00986F3F"/>
    <w:rsid w:val="00990AC9"/>
    <w:rsid w:val="0099193B"/>
    <w:rsid w:val="00992102"/>
    <w:rsid w:val="009943C3"/>
    <w:rsid w:val="009944F6"/>
    <w:rsid w:val="00996613"/>
    <w:rsid w:val="00997D64"/>
    <w:rsid w:val="009A1351"/>
    <w:rsid w:val="009A4B0A"/>
    <w:rsid w:val="009A650F"/>
    <w:rsid w:val="009A6CAC"/>
    <w:rsid w:val="009A6CB6"/>
    <w:rsid w:val="009B0620"/>
    <w:rsid w:val="009B0F5F"/>
    <w:rsid w:val="009B4404"/>
    <w:rsid w:val="009B498D"/>
    <w:rsid w:val="009B6D03"/>
    <w:rsid w:val="009B6DBA"/>
    <w:rsid w:val="009C3C09"/>
    <w:rsid w:val="009C44D7"/>
    <w:rsid w:val="009C53A6"/>
    <w:rsid w:val="009C5694"/>
    <w:rsid w:val="009C5C07"/>
    <w:rsid w:val="009C70FA"/>
    <w:rsid w:val="009C776B"/>
    <w:rsid w:val="009C7832"/>
    <w:rsid w:val="009C7F18"/>
    <w:rsid w:val="009D0D0E"/>
    <w:rsid w:val="009D199B"/>
    <w:rsid w:val="009D2D01"/>
    <w:rsid w:val="009D3185"/>
    <w:rsid w:val="009D6690"/>
    <w:rsid w:val="009D7C7E"/>
    <w:rsid w:val="009E1135"/>
    <w:rsid w:val="009E2788"/>
    <w:rsid w:val="009E368C"/>
    <w:rsid w:val="009E3A15"/>
    <w:rsid w:val="009E3CB9"/>
    <w:rsid w:val="009E7596"/>
    <w:rsid w:val="009F2A3D"/>
    <w:rsid w:val="009F3B68"/>
    <w:rsid w:val="009F4CAE"/>
    <w:rsid w:val="009F4FDB"/>
    <w:rsid w:val="009F516D"/>
    <w:rsid w:val="009F56D9"/>
    <w:rsid w:val="009F5A79"/>
    <w:rsid w:val="009F71D0"/>
    <w:rsid w:val="00A0122B"/>
    <w:rsid w:val="00A01FD4"/>
    <w:rsid w:val="00A02B90"/>
    <w:rsid w:val="00A02E4F"/>
    <w:rsid w:val="00A04B76"/>
    <w:rsid w:val="00A04FC6"/>
    <w:rsid w:val="00A056F8"/>
    <w:rsid w:val="00A07882"/>
    <w:rsid w:val="00A118B2"/>
    <w:rsid w:val="00A1425B"/>
    <w:rsid w:val="00A142DE"/>
    <w:rsid w:val="00A1520A"/>
    <w:rsid w:val="00A156DB"/>
    <w:rsid w:val="00A24A4C"/>
    <w:rsid w:val="00A24F61"/>
    <w:rsid w:val="00A26279"/>
    <w:rsid w:val="00A26FA5"/>
    <w:rsid w:val="00A27DC0"/>
    <w:rsid w:val="00A27DC1"/>
    <w:rsid w:val="00A307A3"/>
    <w:rsid w:val="00A30BF7"/>
    <w:rsid w:val="00A30C48"/>
    <w:rsid w:val="00A32ACF"/>
    <w:rsid w:val="00A332B4"/>
    <w:rsid w:val="00A34463"/>
    <w:rsid w:val="00A35E0B"/>
    <w:rsid w:val="00A36AE5"/>
    <w:rsid w:val="00A37149"/>
    <w:rsid w:val="00A402FA"/>
    <w:rsid w:val="00A4120C"/>
    <w:rsid w:val="00A41559"/>
    <w:rsid w:val="00A46C6A"/>
    <w:rsid w:val="00A47006"/>
    <w:rsid w:val="00A507C8"/>
    <w:rsid w:val="00A509FC"/>
    <w:rsid w:val="00A526C8"/>
    <w:rsid w:val="00A534DA"/>
    <w:rsid w:val="00A53FB4"/>
    <w:rsid w:val="00A54765"/>
    <w:rsid w:val="00A54960"/>
    <w:rsid w:val="00A5655D"/>
    <w:rsid w:val="00A62844"/>
    <w:rsid w:val="00A63667"/>
    <w:rsid w:val="00A673F7"/>
    <w:rsid w:val="00A723FE"/>
    <w:rsid w:val="00A72599"/>
    <w:rsid w:val="00A73178"/>
    <w:rsid w:val="00A73871"/>
    <w:rsid w:val="00A753EF"/>
    <w:rsid w:val="00A77F81"/>
    <w:rsid w:val="00A8142A"/>
    <w:rsid w:val="00A81504"/>
    <w:rsid w:val="00A82997"/>
    <w:rsid w:val="00A82ADD"/>
    <w:rsid w:val="00A8311B"/>
    <w:rsid w:val="00A837E7"/>
    <w:rsid w:val="00A86B30"/>
    <w:rsid w:val="00A93989"/>
    <w:rsid w:val="00A94EE8"/>
    <w:rsid w:val="00A95296"/>
    <w:rsid w:val="00A95879"/>
    <w:rsid w:val="00A96310"/>
    <w:rsid w:val="00A96D71"/>
    <w:rsid w:val="00A96F32"/>
    <w:rsid w:val="00A96FE2"/>
    <w:rsid w:val="00A97BBE"/>
    <w:rsid w:val="00AA1CA0"/>
    <w:rsid w:val="00AA5923"/>
    <w:rsid w:val="00AB01C8"/>
    <w:rsid w:val="00AB2C05"/>
    <w:rsid w:val="00AB4877"/>
    <w:rsid w:val="00AB72DF"/>
    <w:rsid w:val="00AC0BD0"/>
    <w:rsid w:val="00AC0EDD"/>
    <w:rsid w:val="00AC1747"/>
    <w:rsid w:val="00AC2541"/>
    <w:rsid w:val="00AC2F8B"/>
    <w:rsid w:val="00AC3987"/>
    <w:rsid w:val="00AC4752"/>
    <w:rsid w:val="00AC5B23"/>
    <w:rsid w:val="00AC62C2"/>
    <w:rsid w:val="00AC646D"/>
    <w:rsid w:val="00AC6646"/>
    <w:rsid w:val="00AC67D2"/>
    <w:rsid w:val="00AC764B"/>
    <w:rsid w:val="00AC7CAB"/>
    <w:rsid w:val="00AD2545"/>
    <w:rsid w:val="00AD5ADD"/>
    <w:rsid w:val="00AD7089"/>
    <w:rsid w:val="00AD738C"/>
    <w:rsid w:val="00AE0A47"/>
    <w:rsid w:val="00AE3E6D"/>
    <w:rsid w:val="00AE4549"/>
    <w:rsid w:val="00AE4A09"/>
    <w:rsid w:val="00AE4E31"/>
    <w:rsid w:val="00AE4FE1"/>
    <w:rsid w:val="00AE601E"/>
    <w:rsid w:val="00AE6F57"/>
    <w:rsid w:val="00AF0417"/>
    <w:rsid w:val="00AF0874"/>
    <w:rsid w:val="00AF2AA1"/>
    <w:rsid w:val="00AF6513"/>
    <w:rsid w:val="00AF71D1"/>
    <w:rsid w:val="00AF77DB"/>
    <w:rsid w:val="00AF7D1C"/>
    <w:rsid w:val="00B014EB"/>
    <w:rsid w:val="00B0388A"/>
    <w:rsid w:val="00B1197A"/>
    <w:rsid w:val="00B11ACB"/>
    <w:rsid w:val="00B122BE"/>
    <w:rsid w:val="00B1740B"/>
    <w:rsid w:val="00B20076"/>
    <w:rsid w:val="00B22254"/>
    <w:rsid w:val="00B229E3"/>
    <w:rsid w:val="00B2482A"/>
    <w:rsid w:val="00B2570E"/>
    <w:rsid w:val="00B2729D"/>
    <w:rsid w:val="00B27659"/>
    <w:rsid w:val="00B3016A"/>
    <w:rsid w:val="00B31B1E"/>
    <w:rsid w:val="00B324A9"/>
    <w:rsid w:val="00B36A27"/>
    <w:rsid w:val="00B36A37"/>
    <w:rsid w:val="00B402C3"/>
    <w:rsid w:val="00B4033A"/>
    <w:rsid w:val="00B40952"/>
    <w:rsid w:val="00B41327"/>
    <w:rsid w:val="00B43197"/>
    <w:rsid w:val="00B4562B"/>
    <w:rsid w:val="00B45C68"/>
    <w:rsid w:val="00B47C8A"/>
    <w:rsid w:val="00B51086"/>
    <w:rsid w:val="00B51338"/>
    <w:rsid w:val="00B51617"/>
    <w:rsid w:val="00B51DE5"/>
    <w:rsid w:val="00B52022"/>
    <w:rsid w:val="00B52FF2"/>
    <w:rsid w:val="00B5365D"/>
    <w:rsid w:val="00B557A0"/>
    <w:rsid w:val="00B60BE6"/>
    <w:rsid w:val="00B61F83"/>
    <w:rsid w:val="00B62477"/>
    <w:rsid w:val="00B63BC3"/>
    <w:rsid w:val="00B657F7"/>
    <w:rsid w:val="00B672CB"/>
    <w:rsid w:val="00B70A8B"/>
    <w:rsid w:val="00B71182"/>
    <w:rsid w:val="00B74609"/>
    <w:rsid w:val="00B74A90"/>
    <w:rsid w:val="00B74B22"/>
    <w:rsid w:val="00B76D3E"/>
    <w:rsid w:val="00B77911"/>
    <w:rsid w:val="00B77AD2"/>
    <w:rsid w:val="00B80396"/>
    <w:rsid w:val="00B81150"/>
    <w:rsid w:val="00B82B2D"/>
    <w:rsid w:val="00B83698"/>
    <w:rsid w:val="00B83F8D"/>
    <w:rsid w:val="00B84C19"/>
    <w:rsid w:val="00B84C9D"/>
    <w:rsid w:val="00B85B22"/>
    <w:rsid w:val="00B866C1"/>
    <w:rsid w:val="00B92B72"/>
    <w:rsid w:val="00B93205"/>
    <w:rsid w:val="00B9378F"/>
    <w:rsid w:val="00B93C87"/>
    <w:rsid w:val="00B9413F"/>
    <w:rsid w:val="00B94A04"/>
    <w:rsid w:val="00B94BCB"/>
    <w:rsid w:val="00B958AE"/>
    <w:rsid w:val="00BA0D19"/>
    <w:rsid w:val="00BA1B99"/>
    <w:rsid w:val="00BA3B19"/>
    <w:rsid w:val="00BA3EA3"/>
    <w:rsid w:val="00BA3EE7"/>
    <w:rsid w:val="00BA4ED9"/>
    <w:rsid w:val="00BA6CB1"/>
    <w:rsid w:val="00BA77C4"/>
    <w:rsid w:val="00BA78E6"/>
    <w:rsid w:val="00BB025E"/>
    <w:rsid w:val="00BB1064"/>
    <w:rsid w:val="00BB27B4"/>
    <w:rsid w:val="00BB293D"/>
    <w:rsid w:val="00BB33B7"/>
    <w:rsid w:val="00BB3847"/>
    <w:rsid w:val="00BB4692"/>
    <w:rsid w:val="00BB6834"/>
    <w:rsid w:val="00BC15B8"/>
    <w:rsid w:val="00BC1986"/>
    <w:rsid w:val="00BC1EDB"/>
    <w:rsid w:val="00BC437F"/>
    <w:rsid w:val="00BC5F6B"/>
    <w:rsid w:val="00BD0130"/>
    <w:rsid w:val="00BD18E1"/>
    <w:rsid w:val="00BD27A6"/>
    <w:rsid w:val="00BD29CA"/>
    <w:rsid w:val="00BD3877"/>
    <w:rsid w:val="00BD6A52"/>
    <w:rsid w:val="00BD7D5E"/>
    <w:rsid w:val="00BE17DD"/>
    <w:rsid w:val="00BE281B"/>
    <w:rsid w:val="00BE2E77"/>
    <w:rsid w:val="00BE3E5B"/>
    <w:rsid w:val="00BE4378"/>
    <w:rsid w:val="00BE4B23"/>
    <w:rsid w:val="00BE54C7"/>
    <w:rsid w:val="00BE6FBC"/>
    <w:rsid w:val="00BE71C7"/>
    <w:rsid w:val="00BF0CF2"/>
    <w:rsid w:val="00BF0E1A"/>
    <w:rsid w:val="00BF324A"/>
    <w:rsid w:val="00BF38A1"/>
    <w:rsid w:val="00BF4160"/>
    <w:rsid w:val="00BF41E1"/>
    <w:rsid w:val="00BF5457"/>
    <w:rsid w:val="00BF605D"/>
    <w:rsid w:val="00C0120B"/>
    <w:rsid w:val="00C027B2"/>
    <w:rsid w:val="00C03F0F"/>
    <w:rsid w:val="00C04A7B"/>
    <w:rsid w:val="00C052C3"/>
    <w:rsid w:val="00C06444"/>
    <w:rsid w:val="00C10259"/>
    <w:rsid w:val="00C103E3"/>
    <w:rsid w:val="00C11D88"/>
    <w:rsid w:val="00C12F8D"/>
    <w:rsid w:val="00C149D0"/>
    <w:rsid w:val="00C15562"/>
    <w:rsid w:val="00C1578A"/>
    <w:rsid w:val="00C16497"/>
    <w:rsid w:val="00C1712E"/>
    <w:rsid w:val="00C175BC"/>
    <w:rsid w:val="00C21188"/>
    <w:rsid w:val="00C222F0"/>
    <w:rsid w:val="00C23B02"/>
    <w:rsid w:val="00C24C54"/>
    <w:rsid w:val="00C26791"/>
    <w:rsid w:val="00C27667"/>
    <w:rsid w:val="00C30516"/>
    <w:rsid w:val="00C325E9"/>
    <w:rsid w:val="00C327A7"/>
    <w:rsid w:val="00C3305B"/>
    <w:rsid w:val="00C34075"/>
    <w:rsid w:val="00C347BC"/>
    <w:rsid w:val="00C34B1E"/>
    <w:rsid w:val="00C400AC"/>
    <w:rsid w:val="00C41AE0"/>
    <w:rsid w:val="00C46EA7"/>
    <w:rsid w:val="00C46F33"/>
    <w:rsid w:val="00C4725E"/>
    <w:rsid w:val="00C47B2B"/>
    <w:rsid w:val="00C47C4A"/>
    <w:rsid w:val="00C47E13"/>
    <w:rsid w:val="00C5460D"/>
    <w:rsid w:val="00C62844"/>
    <w:rsid w:val="00C63F8C"/>
    <w:rsid w:val="00C6773B"/>
    <w:rsid w:val="00C70541"/>
    <w:rsid w:val="00C728B1"/>
    <w:rsid w:val="00C75559"/>
    <w:rsid w:val="00C756E1"/>
    <w:rsid w:val="00C75A4E"/>
    <w:rsid w:val="00C77649"/>
    <w:rsid w:val="00C77A46"/>
    <w:rsid w:val="00C80CA1"/>
    <w:rsid w:val="00C81719"/>
    <w:rsid w:val="00C82114"/>
    <w:rsid w:val="00C829B5"/>
    <w:rsid w:val="00C82CE7"/>
    <w:rsid w:val="00C83EAD"/>
    <w:rsid w:val="00C84F61"/>
    <w:rsid w:val="00C85FD7"/>
    <w:rsid w:val="00C869E3"/>
    <w:rsid w:val="00C91A34"/>
    <w:rsid w:val="00C92FE5"/>
    <w:rsid w:val="00C94235"/>
    <w:rsid w:val="00C9739D"/>
    <w:rsid w:val="00CA00DF"/>
    <w:rsid w:val="00CA58E5"/>
    <w:rsid w:val="00CA5A3C"/>
    <w:rsid w:val="00CB0323"/>
    <w:rsid w:val="00CB03AE"/>
    <w:rsid w:val="00CB3583"/>
    <w:rsid w:val="00CB411A"/>
    <w:rsid w:val="00CB4393"/>
    <w:rsid w:val="00CB52C4"/>
    <w:rsid w:val="00CB58D4"/>
    <w:rsid w:val="00CB612C"/>
    <w:rsid w:val="00CB7A8A"/>
    <w:rsid w:val="00CC1A43"/>
    <w:rsid w:val="00CC4C28"/>
    <w:rsid w:val="00CC516E"/>
    <w:rsid w:val="00CC6037"/>
    <w:rsid w:val="00CC6081"/>
    <w:rsid w:val="00CC62E7"/>
    <w:rsid w:val="00CC6D93"/>
    <w:rsid w:val="00CD1F9B"/>
    <w:rsid w:val="00CD4EA3"/>
    <w:rsid w:val="00CD5E01"/>
    <w:rsid w:val="00CD5EFC"/>
    <w:rsid w:val="00CD6AE0"/>
    <w:rsid w:val="00CD7474"/>
    <w:rsid w:val="00CE3B47"/>
    <w:rsid w:val="00CE4F37"/>
    <w:rsid w:val="00CE6BCD"/>
    <w:rsid w:val="00CF3554"/>
    <w:rsid w:val="00CF3D2B"/>
    <w:rsid w:val="00CF52E6"/>
    <w:rsid w:val="00CF5EB7"/>
    <w:rsid w:val="00CF6005"/>
    <w:rsid w:val="00CF610A"/>
    <w:rsid w:val="00CF68DE"/>
    <w:rsid w:val="00CF6961"/>
    <w:rsid w:val="00CF6F1B"/>
    <w:rsid w:val="00CF7805"/>
    <w:rsid w:val="00D00031"/>
    <w:rsid w:val="00D01905"/>
    <w:rsid w:val="00D01CE9"/>
    <w:rsid w:val="00D0232C"/>
    <w:rsid w:val="00D04089"/>
    <w:rsid w:val="00D060C5"/>
    <w:rsid w:val="00D066EA"/>
    <w:rsid w:val="00D1007E"/>
    <w:rsid w:val="00D10C39"/>
    <w:rsid w:val="00D11E80"/>
    <w:rsid w:val="00D150F6"/>
    <w:rsid w:val="00D15EB0"/>
    <w:rsid w:val="00D17383"/>
    <w:rsid w:val="00D17E80"/>
    <w:rsid w:val="00D21A87"/>
    <w:rsid w:val="00D21E0F"/>
    <w:rsid w:val="00D227B4"/>
    <w:rsid w:val="00D22C54"/>
    <w:rsid w:val="00D253B5"/>
    <w:rsid w:val="00D25979"/>
    <w:rsid w:val="00D25D45"/>
    <w:rsid w:val="00D31579"/>
    <w:rsid w:val="00D31704"/>
    <w:rsid w:val="00D31AE5"/>
    <w:rsid w:val="00D31F35"/>
    <w:rsid w:val="00D32420"/>
    <w:rsid w:val="00D33D45"/>
    <w:rsid w:val="00D340C6"/>
    <w:rsid w:val="00D356CF"/>
    <w:rsid w:val="00D405FF"/>
    <w:rsid w:val="00D41078"/>
    <w:rsid w:val="00D41384"/>
    <w:rsid w:val="00D41AC6"/>
    <w:rsid w:val="00D4257C"/>
    <w:rsid w:val="00D4275C"/>
    <w:rsid w:val="00D4339B"/>
    <w:rsid w:val="00D453C7"/>
    <w:rsid w:val="00D47B98"/>
    <w:rsid w:val="00D47E1F"/>
    <w:rsid w:val="00D50473"/>
    <w:rsid w:val="00D50F39"/>
    <w:rsid w:val="00D51057"/>
    <w:rsid w:val="00D51107"/>
    <w:rsid w:val="00D551C4"/>
    <w:rsid w:val="00D562FF"/>
    <w:rsid w:val="00D60E87"/>
    <w:rsid w:val="00D610D4"/>
    <w:rsid w:val="00D6169B"/>
    <w:rsid w:val="00D61DDC"/>
    <w:rsid w:val="00D640E8"/>
    <w:rsid w:val="00D64D9E"/>
    <w:rsid w:val="00D65052"/>
    <w:rsid w:val="00D655B7"/>
    <w:rsid w:val="00D661A9"/>
    <w:rsid w:val="00D706B5"/>
    <w:rsid w:val="00D7103F"/>
    <w:rsid w:val="00D744D4"/>
    <w:rsid w:val="00D74886"/>
    <w:rsid w:val="00D7588B"/>
    <w:rsid w:val="00D759FF"/>
    <w:rsid w:val="00D77873"/>
    <w:rsid w:val="00D801FC"/>
    <w:rsid w:val="00D811E2"/>
    <w:rsid w:val="00D81602"/>
    <w:rsid w:val="00D81AF8"/>
    <w:rsid w:val="00D8431F"/>
    <w:rsid w:val="00D87688"/>
    <w:rsid w:val="00D87F8D"/>
    <w:rsid w:val="00D91646"/>
    <w:rsid w:val="00DA0C35"/>
    <w:rsid w:val="00DA0E9F"/>
    <w:rsid w:val="00DA1222"/>
    <w:rsid w:val="00DA2131"/>
    <w:rsid w:val="00DA2634"/>
    <w:rsid w:val="00DA2793"/>
    <w:rsid w:val="00DA41CA"/>
    <w:rsid w:val="00DA42C2"/>
    <w:rsid w:val="00DA59F2"/>
    <w:rsid w:val="00DA5FEA"/>
    <w:rsid w:val="00DA674D"/>
    <w:rsid w:val="00DB1453"/>
    <w:rsid w:val="00DB1918"/>
    <w:rsid w:val="00DB1AEB"/>
    <w:rsid w:val="00DB1E82"/>
    <w:rsid w:val="00DB1EE8"/>
    <w:rsid w:val="00DB2217"/>
    <w:rsid w:val="00DB26EA"/>
    <w:rsid w:val="00DB2B30"/>
    <w:rsid w:val="00DB2F30"/>
    <w:rsid w:val="00DB3587"/>
    <w:rsid w:val="00DB3816"/>
    <w:rsid w:val="00DB504F"/>
    <w:rsid w:val="00DB53CF"/>
    <w:rsid w:val="00DB554A"/>
    <w:rsid w:val="00DB6FF0"/>
    <w:rsid w:val="00DC21C6"/>
    <w:rsid w:val="00DC2556"/>
    <w:rsid w:val="00DC25E6"/>
    <w:rsid w:val="00DC3136"/>
    <w:rsid w:val="00DC41EC"/>
    <w:rsid w:val="00DC585E"/>
    <w:rsid w:val="00DD2914"/>
    <w:rsid w:val="00DD2E6A"/>
    <w:rsid w:val="00DD350B"/>
    <w:rsid w:val="00DD4F0C"/>
    <w:rsid w:val="00DE30C4"/>
    <w:rsid w:val="00DE3E1F"/>
    <w:rsid w:val="00DE3FF3"/>
    <w:rsid w:val="00DE402C"/>
    <w:rsid w:val="00DE47F7"/>
    <w:rsid w:val="00DF16F6"/>
    <w:rsid w:val="00DF2AF3"/>
    <w:rsid w:val="00DF38C8"/>
    <w:rsid w:val="00DF4C38"/>
    <w:rsid w:val="00DF51E9"/>
    <w:rsid w:val="00DF5AF2"/>
    <w:rsid w:val="00DF7114"/>
    <w:rsid w:val="00DF74CD"/>
    <w:rsid w:val="00DF7813"/>
    <w:rsid w:val="00DF7C63"/>
    <w:rsid w:val="00E034C8"/>
    <w:rsid w:val="00E04576"/>
    <w:rsid w:val="00E045E3"/>
    <w:rsid w:val="00E0526F"/>
    <w:rsid w:val="00E055A8"/>
    <w:rsid w:val="00E07294"/>
    <w:rsid w:val="00E10BBE"/>
    <w:rsid w:val="00E15858"/>
    <w:rsid w:val="00E1587C"/>
    <w:rsid w:val="00E16163"/>
    <w:rsid w:val="00E177E9"/>
    <w:rsid w:val="00E20DFB"/>
    <w:rsid w:val="00E214EE"/>
    <w:rsid w:val="00E21F56"/>
    <w:rsid w:val="00E22D3A"/>
    <w:rsid w:val="00E23394"/>
    <w:rsid w:val="00E2569A"/>
    <w:rsid w:val="00E32A5F"/>
    <w:rsid w:val="00E356FC"/>
    <w:rsid w:val="00E371FF"/>
    <w:rsid w:val="00E374B7"/>
    <w:rsid w:val="00E37CCD"/>
    <w:rsid w:val="00E408A6"/>
    <w:rsid w:val="00E40A6D"/>
    <w:rsid w:val="00E40F95"/>
    <w:rsid w:val="00E41726"/>
    <w:rsid w:val="00E42D7B"/>
    <w:rsid w:val="00E43828"/>
    <w:rsid w:val="00E43D36"/>
    <w:rsid w:val="00E4459F"/>
    <w:rsid w:val="00E51D2E"/>
    <w:rsid w:val="00E53066"/>
    <w:rsid w:val="00E53D87"/>
    <w:rsid w:val="00E54E8C"/>
    <w:rsid w:val="00E55BF9"/>
    <w:rsid w:val="00E55DCE"/>
    <w:rsid w:val="00E60947"/>
    <w:rsid w:val="00E63B19"/>
    <w:rsid w:val="00E64B57"/>
    <w:rsid w:val="00E665F1"/>
    <w:rsid w:val="00E672E5"/>
    <w:rsid w:val="00E73C85"/>
    <w:rsid w:val="00E77096"/>
    <w:rsid w:val="00E773FD"/>
    <w:rsid w:val="00E808C8"/>
    <w:rsid w:val="00E82396"/>
    <w:rsid w:val="00E829CD"/>
    <w:rsid w:val="00E82EB6"/>
    <w:rsid w:val="00E86934"/>
    <w:rsid w:val="00E86E44"/>
    <w:rsid w:val="00E973F7"/>
    <w:rsid w:val="00EA0DB0"/>
    <w:rsid w:val="00EA221F"/>
    <w:rsid w:val="00EA23AB"/>
    <w:rsid w:val="00EA252E"/>
    <w:rsid w:val="00EA2F8F"/>
    <w:rsid w:val="00EA4B4C"/>
    <w:rsid w:val="00EA6412"/>
    <w:rsid w:val="00EA675D"/>
    <w:rsid w:val="00EA68E9"/>
    <w:rsid w:val="00EB2070"/>
    <w:rsid w:val="00EB3270"/>
    <w:rsid w:val="00EB43F6"/>
    <w:rsid w:val="00EB4DA2"/>
    <w:rsid w:val="00EB58F5"/>
    <w:rsid w:val="00EB5F3E"/>
    <w:rsid w:val="00EC1049"/>
    <w:rsid w:val="00EC1451"/>
    <w:rsid w:val="00EC2148"/>
    <w:rsid w:val="00EC224A"/>
    <w:rsid w:val="00EC27F9"/>
    <w:rsid w:val="00EC29FD"/>
    <w:rsid w:val="00EC4D8C"/>
    <w:rsid w:val="00EC7FD3"/>
    <w:rsid w:val="00ED0970"/>
    <w:rsid w:val="00ED1F1C"/>
    <w:rsid w:val="00ED3CF7"/>
    <w:rsid w:val="00ED4215"/>
    <w:rsid w:val="00ED574B"/>
    <w:rsid w:val="00EE0972"/>
    <w:rsid w:val="00EE4077"/>
    <w:rsid w:val="00EE4325"/>
    <w:rsid w:val="00EE5443"/>
    <w:rsid w:val="00EE609D"/>
    <w:rsid w:val="00EE6662"/>
    <w:rsid w:val="00EE7F46"/>
    <w:rsid w:val="00EF18B1"/>
    <w:rsid w:val="00EF18F5"/>
    <w:rsid w:val="00EF3257"/>
    <w:rsid w:val="00EF346C"/>
    <w:rsid w:val="00EF6F09"/>
    <w:rsid w:val="00EF719F"/>
    <w:rsid w:val="00EF7759"/>
    <w:rsid w:val="00F00EDA"/>
    <w:rsid w:val="00F02E91"/>
    <w:rsid w:val="00F033D3"/>
    <w:rsid w:val="00F05CCB"/>
    <w:rsid w:val="00F05D16"/>
    <w:rsid w:val="00F06265"/>
    <w:rsid w:val="00F11D34"/>
    <w:rsid w:val="00F132EA"/>
    <w:rsid w:val="00F14E08"/>
    <w:rsid w:val="00F1520C"/>
    <w:rsid w:val="00F1620C"/>
    <w:rsid w:val="00F1691B"/>
    <w:rsid w:val="00F171EC"/>
    <w:rsid w:val="00F20A42"/>
    <w:rsid w:val="00F225E9"/>
    <w:rsid w:val="00F23308"/>
    <w:rsid w:val="00F27190"/>
    <w:rsid w:val="00F3030B"/>
    <w:rsid w:val="00F30A5A"/>
    <w:rsid w:val="00F30F1A"/>
    <w:rsid w:val="00F31565"/>
    <w:rsid w:val="00F3248F"/>
    <w:rsid w:val="00F32B12"/>
    <w:rsid w:val="00F3418D"/>
    <w:rsid w:val="00F3471F"/>
    <w:rsid w:val="00F36649"/>
    <w:rsid w:val="00F3704D"/>
    <w:rsid w:val="00F4461A"/>
    <w:rsid w:val="00F4598A"/>
    <w:rsid w:val="00F4636D"/>
    <w:rsid w:val="00F46A3B"/>
    <w:rsid w:val="00F4765E"/>
    <w:rsid w:val="00F50334"/>
    <w:rsid w:val="00F50BBF"/>
    <w:rsid w:val="00F512CA"/>
    <w:rsid w:val="00F512CD"/>
    <w:rsid w:val="00F51615"/>
    <w:rsid w:val="00F51974"/>
    <w:rsid w:val="00F54AC5"/>
    <w:rsid w:val="00F608B0"/>
    <w:rsid w:val="00F625DE"/>
    <w:rsid w:val="00F638E4"/>
    <w:rsid w:val="00F64682"/>
    <w:rsid w:val="00F65896"/>
    <w:rsid w:val="00F65AF2"/>
    <w:rsid w:val="00F66C01"/>
    <w:rsid w:val="00F67060"/>
    <w:rsid w:val="00F67219"/>
    <w:rsid w:val="00F70D13"/>
    <w:rsid w:val="00F74C66"/>
    <w:rsid w:val="00F758A2"/>
    <w:rsid w:val="00F77032"/>
    <w:rsid w:val="00F87F41"/>
    <w:rsid w:val="00F902B3"/>
    <w:rsid w:val="00F925A1"/>
    <w:rsid w:val="00F93A85"/>
    <w:rsid w:val="00F952FE"/>
    <w:rsid w:val="00F95CAC"/>
    <w:rsid w:val="00F96F16"/>
    <w:rsid w:val="00FA4740"/>
    <w:rsid w:val="00FA4B10"/>
    <w:rsid w:val="00FA6285"/>
    <w:rsid w:val="00FA62DC"/>
    <w:rsid w:val="00FA64CD"/>
    <w:rsid w:val="00FA6829"/>
    <w:rsid w:val="00FA77F4"/>
    <w:rsid w:val="00FA7A04"/>
    <w:rsid w:val="00FB1293"/>
    <w:rsid w:val="00FB13C4"/>
    <w:rsid w:val="00FB227D"/>
    <w:rsid w:val="00FB275C"/>
    <w:rsid w:val="00FB62BB"/>
    <w:rsid w:val="00FB649B"/>
    <w:rsid w:val="00FB6C85"/>
    <w:rsid w:val="00FC4AA3"/>
    <w:rsid w:val="00FC4C9D"/>
    <w:rsid w:val="00FC55D0"/>
    <w:rsid w:val="00FC6028"/>
    <w:rsid w:val="00FC7A05"/>
    <w:rsid w:val="00FC7D91"/>
    <w:rsid w:val="00FD01EA"/>
    <w:rsid w:val="00FD04B8"/>
    <w:rsid w:val="00FD3E51"/>
    <w:rsid w:val="00FD3FB6"/>
    <w:rsid w:val="00FD5100"/>
    <w:rsid w:val="00FD6750"/>
    <w:rsid w:val="00FD6F02"/>
    <w:rsid w:val="00FE12DC"/>
    <w:rsid w:val="00FE16BA"/>
    <w:rsid w:val="00FE22B6"/>
    <w:rsid w:val="00FE2496"/>
    <w:rsid w:val="00FE2832"/>
    <w:rsid w:val="00FE2C73"/>
    <w:rsid w:val="00FE2F8B"/>
    <w:rsid w:val="00FE45F3"/>
    <w:rsid w:val="00FE460E"/>
    <w:rsid w:val="00FF02B3"/>
    <w:rsid w:val="00FF0A6D"/>
    <w:rsid w:val="00FF17A8"/>
    <w:rsid w:val="00FF221D"/>
    <w:rsid w:val="00FF2C11"/>
    <w:rsid w:val="00FF4987"/>
    <w:rsid w:val="00FF55CE"/>
    <w:rsid w:val="00FF63D1"/>
    <w:rsid w:val="00FF6B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DE6D096"/>
  <w15:docId w15:val="{3E4F50CD-0CD6-469F-82C3-33B81225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8CC"/>
  </w:style>
  <w:style w:type="paragraph" w:styleId="Heading1">
    <w:name w:val="heading 1"/>
    <w:basedOn w:val="Normal"/>
    <w:next w:val="Normal"/>
    <w:link w:val="Heading1Char"/>
    <w:uiPriority w:val="9"/>
    <w:qFormat/>
    <w:rsid w:val="003F78CC"/>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F78CC"/>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F78CC"/>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F78CC"/>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F78CC"/>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F78CC"/>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F78C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78C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F78C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F78C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F78CC"/>
    <w:rPr>
      <w:color w:val="000000" w:themeColor="text1"/>
      <w:shd w:val="clear" w:color="auto" w:fill="F2F2F2" w:themeFill="background1" w:themeFillShade="F2"/>
    </w:rPr>
  </w:style>
  <w:style w:type="character" w:customStyle="1" w:styleId="Heading1Char">
    <w:name w:val="Heading 1 Char"/>
    <w:basedOn w:val="DefaultParagraphFont"/>
    <w:link w:val="Heading1"/>
    <w:uiPriority w:val="9"/>
    <w:rsid w:val="003F78C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F78C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F78C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F78C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F78C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F78C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F7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7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78C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F78C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F78C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F78C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F78C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F78CC"/>
    <w:rPr>
      <w:color w:val="5A5A5A" w:themeColor="text1" w:themeTint="A5"/>
      <w:spacing w:val="10"/>
    </w:rPr>
  </w:style>
  <w:style w:type="character" w:styleId="Strong">
    <w:name w:val="Strong"/>
    <w:basedOn w:val="DefaultParagraphFont"/>
    <w:uiPriority w:val="22"/>
    <w:qFormat/>
    <w:rsid w:val="003F78CC"/>
    <w:rPr>
      <w:b/>
      <w:bCs/>
      <w:color w:val="000000" w:themeColor="text1"/>
    </w:rPr>
  </w:style>
  <w:style w:type="character" w:styleId="Emphasis">
    <w:name w:val="Emphasis"/>
    <w:basedOn w:val="DefaultParagraphFont"/>
    <w:uiPriority w:val="20"/>
    <w:qFormat/>
    <w:rsid w:val="003F78CC"/>
    <w:rPr>
      <w:i/>
      <w:iCs/>
      <w:color w:val="auto"/>
    </w:rPr>
  </w:style>
  <w:style w:type="paragraph" w:styleId="NoSpacing">
    <w:name w:val="No Spacing"/>
    <w:aliases w:val="Normal1,No Spacing1,Parastais"/>
    <w:link w:val="NoSpacingChar"/>
    <w:uiPriority w:val="1"/>
    <w:qFormat/>
    <w:rsid w:val="003F78CC"/>
    <w:pPr>
      <w:spacing w:after="0" w:line="240" w:lineRule="auto"/>
    </w:pPr>
  </w:style>
  <w:style w:type="paragraph" w:styleId="Quote">
    <w:name w:val="Quote"/>
    <w:basedOn w:val="Normal"/>
    <w:next w:val="Normal"/>
    <w:link w:val="QuoteChar"/>
    <w:uiPriority w:val="29"/>
    <w:qFormat/>
    <w:rsid w:val="003F78CC"/>
    <w:pPr>
      <w:spacing w:before="160"/>
      <w:ind w:left="720" w:right="720"/>
    </w:pPr>
    <w:rPr>
      <w:i/>
      <w:iCs/>
      <w:color w:val="000000" w:themeColor="text1"/>
    </w:rPr>
  </w:style>
  <w:style w:type="character" w:customStyle="1" w:styleId="QuoteChar">
    <w:name w:val="Quote Char"/>
    <w:basedOn w:val="DefaultParagraphFont"/>
    <w:link w:val="Quote"/>
    <w:uiPriority w:val="29"/>
    <w:rsid w:val="003F78CC"/>
    <w:rPr>
      <w:i/>
      <w:iCs/>
      <w:color w:val="000000" w:themeColor="text1"/>
    </w:rPr>
  </w:style>
  <w:style w:type="character" w:styleId="SubtleEmphasis">
    <w:name w:val="Subtle Emphasis"/>
    <w:basedOn w:val="DefaultParagraphFont"/>
    <w:uiPriority w:val="19"/>
    <w:qFormat/>
    <w:rsid w:val="003F78CC"/>
    <w:rPr>
      <w:i/>
      <w:iCs/>
      <w:color w:val="404040" w:themeColor="text1" w:themeTint="BF"/>
    </w:rPr>
  </w:style>
  <w:style w:type="character" w:styleId="IntenseEmphasis">
    <w:name w:val="Intense Emphasis"/>
    <w:basedOn w:val="DefaultParagraphFont"/>
    <w:uiPriority w:val="21"/>
    <w:qFormat/>
    <w:rsid w:val="003F78CC"/>
    <w:rPr>
      <w:b/>
      <w:bCs/>
      <w:i/>
      <w:iCs/>
      <w:caps/>
    </w:rPr>
  </w:style>
  <w:style w:type="character" w:styleId="SubtleReference">
    <w:name w:val="Subtle Reference"/>
    <w:basedOn w:val="DefaultParagraphFont"/>
    <w:uiPriority w:val="31"/>
    <w:qFormat/>
    <w:rsid w:val="003F78C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F78CC"/>
    <w:rPr>
      <w:b/>
      <w:bCs/>
      <w:smallCaps/>
      <w:u w:val="single"/>
    </w:rPr>
  </w:style>
  <w:style w:type="character" w:styleId="BookTitle">
    <w:name w:val="Book Title"/>
    <w:basedOn w:val="DefaultParagraphFont"/>
    <w:uiPriority w:val="33"/>
    <w:qFormat/>
    <w:rsid w:val="003F78CC"/>
    <w:rPr>
      <w:b w:val="0"/>
      <w:bCs w:val="0"/>
      <w:smallCaps/>
      <w:spacing w:val="5"/>
    </w:rPr>
  </w:style>
  <w:style w:type="paragraph" w:styleId="TOCHeading">
    <w:name w:val="TOC Heading"/>
    <w:basedOn w:val="Heading1"/>
    <w:next w:val="Normal"/>
    <w:uiPriority w:val="39"/>
    <w:unhideWhenUsed/>
    <w:qFormat/>
    <w:rsid w:val="003F78CC"/>
    <w:pPr>
      <w:outlineLvl w:val="9"/>
    </w:pPr>
  </w:style>
  <w:style w:type="character" w:customStyle="1" w:styleId="NoSpacingChar">
    <w:name w:val="No Spacing Char"/>
    <w:aliases w:val="Normal1 Char,No Spacing1 Char,Parastais Char"/>
    <w:basedOn w:val="DefaultParagraphFont"/>
    <w:link w:val="NoSpacing"/>
    <w:uiPriority w:val="1"/>
    <w:rsid w:val="00044011"/>
  </w:style>
  <w:style w:type="paragraph" w:styleId="Header">
    <w:name w:val="header"/>
    <w:basedOn w:val="Normal"/>
    <w:link w:val="HeaderChar"/>
    <w:uiPriority w:val="99"/>
    <w:unhideWhenUsed/>
    <w:rsid w:val="006237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3757"/>
  </w:style>
  <w:style w:type="paragraph" w:styleId="Footer">
    <w:name w:val="footer"/>
    <w:basedOn w:val="Normal"/>
    <w:link w:val="FooterChar"/>
    <w:unhideWhenUsed/>
    <w:rsid w:val="00623757"/>
    <w:pPr>
      <w:tabs>
        <w:tab w:val="center" w:pos="4153"/>
        <w:tab w:val="right" w:pos="8306"/>
      </w:tabs>
      <w:spacing w:after="0" w:line="240" w:lineRule="auto"/>
    </w:pPr>
  </w:style>
  <w:style w:type="character" w:customStyle="1" w:styleId="FooterChar">
    <w:name w:val="Footer Char"/>
    <w:basedOn w:val="DefaultParagraphFont"/>
    <w:link w:val="Footer"/>
    <w:rsid w:val="00623757"/>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A156DB"/>
    <w:pPr>
      <w:ind w:left="720"/>
      <w:contextualSpacing/>
    </w:pPr>
  </w:style>
  <w:style w:type="paragraph" w:customStyle="1" w:styleId="PIRMAIS">
    <w:name w:val="PIRMAIS"/>
    <w:basedOn w:val="Normal"/>
    <w:link w:val="PIRMAISChar"/>
    <w:qFormat/>
    <w:rsid w:val="003F78CC"/>
    <w:pPr>
      <w:keepNext/>
      <w:keepLines/>
      <w:pageBreakBefore/>
      <w:pBdr>
        <w:bottom w:val="thickThinLargeGap" w:sz="24" w:space="1" w:color="17365D"/>
      </w:pBdr>
      <w:tabs>
        <w:tab w:val="left" w:pos="567"/>
      </w:tabs>
      <w:spacing w:after="120" w:line="240" w:lineRule="auto"/>
      <w:ind w:left="567" w:hanging="567"/>
      <w:outlineLvl w:val="0"/>
    </w:pPr>
    <w:rPr>
      <w:rFonts w:ascii="Times New Roman" w:eastAsia="Times New Roman" w:hAnsi="Times New Roman" w:cs="Times New Roman"/>
      <w:b/>
      <w:sz w:val="36"/>
      <w:szCs w:val="20"/>
    </w:rPr>
  </w:style>
  <w:style w:type="character" w:customStyle="1" w:styleId="PIRMAISChar">
    <w:name w:val="PIRMAIS Char"/>
    <w:basedOn w:val="DefaultParagraphFont"/>
    <w:link w:val="PIRMAIS"/>
    <w:rsid w:val="003F78CC"/>
    <w:rPr>
      <w:rFonts w:ascii="Times New Roman" w:eastAsia="Times New Roman" w:hAnsi="Times New Roman" w:cs="Times New Roman"/>
      <w:b/>
      <w:sz w:val="36"/>
      <w:szCs w:val="20"/>
    </w:rPr>
  </w:style>
  <w:style w:type="character" w:styleId="PageNumber">
    <w:name w:val="page number"/>
    <w:basedOn w:val="DefaultParagraphFont"/>
    <w:rsid w:val="00F51615"/>
  </w:style>
  <w:style w:type="character" w:customStyle="1" w:styleId="HeaderChar1">
    <w:name w:val="Header Char1"/>
    <w:uiPriority w:val="99"/>
    <w:semiHidden/>
    <w:rsid w:val="00F51615"/>
    <w:rPr>
      <w:rFonts w:eastAsia="Times New Roman" w:cs="Times New Roman"/>
      <w:sz w:val="24"/>
      <w:szCs w:val="20"/>
    </w:rPr>
  </w:style>
  <w:style w:type="paragraph" w:customStyle="1" w:styleId="H1">
    <w:name w:val="H1"/>
    <w:link w:val="H1Char"/>
    <w:rsid w:val="00F51615"/>
    <w:pPr>
      <w:keepNext/>
      <w:keepLines/>
      <w:pageBreakBefore/>
      <w:pBdr>
        <w:bottom w:val="thickThinLargeGap" w:sz="24" w:space="1" w:color="17365D"/>
      </w:pBdr>
      <w:tabs>
        <w:tab w:val="left" w:pos="1134"/>
      </w:tabs>
      <w:spacing w:after="120" w:line="240" w:lineRule="auto"/>
      <w:ind w:left="1134" w:hanging="567"/>
      <w:outlineLvl w:val="0"/>
    </w:pPr>
    <w:rPr>
      <w:rFonts w:ascii="Times New Roman" w:eastAsia="Times New Roman" w:hAnsi="Times New Roman" w:cs="Times New Roman"/>
      <w:b/>
      <w:sz w:val="36"/>
      <w:szCs w:val="20"/>
    </w:rPr>
  </w:style>
  <w:style w:type="character" w:customStyle="1" w:styleId="H1Char">
    <w:name w:val="H1 Char"/>
    <w:link w:val="H1"/>
    <w:rsid w:val="00F51615"/>
    <w:rPr>
      <w:rFonts w:ascii="Times New Roman" w:eastAsia="Times New Roman" w:hAnsi="Times New Roman" w:cs="Times New Roman"/>
      <w:b/>
      <w:sz w:val="36"/>
      <w:szCs w:val="20"/>
    </w:rPr>
  </w:style>
  <w:style w:type="character" w:styleId="CommentReference">
    <w:name w:val="annotation reference"/>
    <w:uiPriority w:val="99"/>
    <w:unhideWhenUsed/>
    <w:rsid w:val="00F51615"/>
    <w:rPr>
      <w:sz w:val="16"/>
      <w:szCs w:val="16"/>
    </w:rPr>
  </w:style>
  <w:style w:type="paragraph" w:styleId="CommentText">
    <w:name w:val="annotation text"/>
    <w:basedOn w:val="Normal"/>
    <w:link w:val="CommentTextChar"/>
    <w:uiPriority w:val="99"/>
    <w:unhideWhenUsed/>
    <w:rsid w:val="00F51615"/>
    <w:pPr>
      <w:spacing w:after="12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5161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51615"/>
    <w:pPr>
      <w:spacing w:after="0" w:line="240" w:lineRule="auto"/>
      <w:ind w:firstLine="567"/>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F51615"/>
    <w:rPr>
      <w:rFonts w:ascii="Tahoma" w:eastAsia="Times New Roman" w:hAnsi="Tahoma" w:cs="Times New Roman"/>
      <w:sz w:val="16"/>
      <w:szCs w:val="16"/>
    </w:rPr>
  </w:style>
  <w:style w:type="paragraph" w:customStyle="1" w:styleId="H2">
    <w:name w:val="H2"/>
    <w:link w:val="H2Char"/>
    <w:uiPriority w:val="99"/>
    <w:rsid w:val="00F51615"/>
    <w:pPr>
      <w:keepNext/>
      <w:tabs>
        <w:tab w:val="left" w:pos="1134"/>
      </w:tabs>
      <w:spacing w:before="480" w:after="240" w:line="240" w:lineRule="auto"/>
      <w:ind w:left="1134" w:hanging="567"/>
      <w:outlineLvl w:val="1"/>
    </w:pPr>
    <w:rPr>
      <w:rFonts w:ascii="Calibri" w:eastAsia="Times New Roman" w:hAnsi="Calibri" w:cs="Times New Roman"/>
      <w:b/>
      <w:sz w:val="32"/>
      <w:szCs w:val="20"/>
    </w:rPr>
  </w:style>
  <w:style w:type="character" w:customStyle="1" w:styleId="H2Char">
    <w:name w:val="H2 Char"/>
    <w:link w:val="H2"/>
    <w:uiPriority w:val="99"/>
    <w:rsid w:val="00F51615"/>
    <w:rPr>
      <w:rFonts w:ascii="Calibri" w:eastAsia="Times New Roman" w:hAnsi="Calibri" w:cs="Times New Roman"/>
      <w:b/>
      <w:sz w:val="32"/>
      <w:szCs w:val="20"/>
    </w:rPr>
  </w:style>
  <w:style w:type="paragraph" w:customStyle="1" w:styleId="H4">
    <w:name w:val="H4"/>
    <w:uiPriority w:val="99"/>
    <w:rsid w:val="00F51615"/>
    <w:pPr>
      <w:spacing w:before="120" w:after="120" w:line="240" w:lineRule="auto"/>
      <w:ind w:left="567"/>
      <w:outlineLvl w:val="3"/>
    </w:pPr>
    <w:rPr>
      <w:rFonts w:ascii="Calibri" w:eastAsia="Times New Roman" w:hAnsi="Calibri" w:cs="Times New Roman"/>
      <w:b/>
      <w:sz w:val="28"/>
      <w:szCs w:val="20"/>
    </w:rPr>
  </w:style>
  <w:style w:type="paragraph" w:customStyle="1" w:styleId="H3">
    <w:name w:val="H3"/>
    <w:link w:val="H3Char"/>
    <w:rsid w:val="00F51615"/>
    <w:pPr>
      <w:keepNext/>
      <w:spacing w:before="480" w:after="120" w:line="240" w:lineRule="auto"/>
      <w:ind w:left="1701" w:hanging="1134"/>
      <w:outlineLvl w:val="2"/>
    </w:pPr>
    <w:rPr>
      <w:rFonts w:ascii="Calibri" w:eastAsia="Times New Roman" w:hAnsi="Calibri" w:cs="Times New Roman"/>
      <w:b/>
      <w:sz w:val="28"/>
      <w:szCs w:val="20"/>
    </w:rPr>
  </w:style>
  <w:style w:type="character" w:customStyle="1" w:styleId="H3Char">
    <w:name w:val="H3 Char"/>
    <w:link w:val="H3"/>
    <w:rsid w:val="00F51615"/>
    <w:rPr>
      <w:rFonts w:ascii="Calibri" w:eastAsia="Times New Roman" w:hAnsi="Calibri" w:cs="Times New Roman"/>
      <w:b/>
      <w:sz w:val="28"/>
      <w:szCs w:val="20"/>
    </w:rPr>
  </w:style>
  <w:style w:type="paragraph" w:customStyle="1" w:styleId="T">
    <w:name w:val="T"/>
    <w:basedOn w:val="Normal"/>
    <w:rsid w:val="00F51615"/>
    <w:pPr>
      <w:keepNext/>
      <w:spacing w:after="120" w:line="240" w:lineRule="auto"/>
      <w:ind w:left="567"/>
    </w:pPr>
    <w:rPr>
      <w:rFonts w:ascii="Calibri" w:eastAsia="Times New Roman" w:hAnsi="Calibri" w:cs="Times New Roman"/>
      <w:b/>
      <w:sz w:val="24"/>
      <w:szCs w:val="20"/>
    </w:rPr>
  </w:style>
  <w:style w:type="paragraph" w:customStyle="1" w:styleId="Z">
    <w:name w:val="Z"/>
    <w:basedOn w:val="T"/>
    <w:uiPriority w:val="99"/>
    <w:qFormat/>
    <w:rsid w:val="00F51615"/>
    <w:pPr>
      <w:ind w:right="1701"/>
    </w:pPr>
    <w:rPr>
      <w:b w:val="0"/>
      <w:sz w:val="20"/>
    </w:rPr>
  </w:style>
  <w:style w:type="paragraph" w:customStyle="1" w:styleId="tabteksts">
    <w:name w:val="tab_teksts"/>
    <w:basedOn w:val="Normal"/>
    <w:uiPriority w:val="99"/>
    <w:rsid w:val="00F51615"/>
    <w:pPr>
      <w:spacing w:after="0" w:line="240" w:lineRule="auto"/>
    </w:pPr>
    <w:rPr>
      <w:rFonts w:ascii="Times New Roman" w:eastAsia="Times New Roman" w:hAnsi="Times New Roman" w:cs="Times New Roman"/>
      <w:sz w:val="20"/>
      <w:szCs w:val="20"/>
    </w:r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
    <w:basedOn w:val="Normal"/>
    <w:link w:val="FootnoteTextChar"/>
    <w:qFormat/>
    <w:rsid w:val="00F51615"/>
    <w:pPr>
      <w:keepLines/>
      <w:widowControl w:val="0"/>
      <w:spacing w:after="0" w:line="240" w:lineRule="auto"/>
      <w:ind w:left="340" w:hanging="340"/>
    </w:pPr>
    <w:rPr>
      <w:rFonts w:ascii="Times New Roman" w:eastAsia="Times New Roman" w:hAnsi="Times New Roman" w:cs="Times New Roman"/>
      <w:snapToGrid w:val="0"/>
      <w:color w:val="000000"/>
      <w:sz w:val="20"/>
      <w:szCs w:val="20"/>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rsid w:val="00F51615"/>
    <w:rPr>
      <w:rFonts w:ascii="Times New Roman" w:eastAsia="Times New Roman" w:hAnsi="Times New Roman" w:cs="Times New Roman"/>
      <w:snapToGrid w:val="0"/>
      <w:color w:val="000000"/>
      <w:sz w:val="20"/>
      <w:szCs w:val="20"/>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link w:val="Char2"/>
    <w:qFormat/>
    <w:rsid w:val="00F51615"/>
    <w:rPr>
      <w:rFonts w:ascii="Garamond" w:hAnsi="Garamond"/>
      <w:sz w:val="20"/>
      <w:vertAlign w:val="superscript"/>
    </w:rPr>
  </w:style>
  <w:style w:type="paragraph" w:customStyle="1" w:styleId="Zpar">
    <w:name w:val="Z_par"/>
    <w:basedOn w:val="Z"/>
    <w:rsid w:val="00F51615"/>
    <w:pPr>
      <w:spacing w:after="480"/>
      <w:ind w:left="1418" w:hanging="851"/>
    </w:pPr>
    <w:rPr>
      <w:i/>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uiPriority w:val="34"/>
    <w:qFormat/>
    <w:locked/>
    <w:rsid w:val="00F51615"/>
  </w:style>
  <w:style w:type="paragraph" w:styleId="BodyTextIndent2">
    <w:name w:val="Body Text Indent 2"/>
    <w:basedOn w:val="Normal"/>
    <w:link w:val="BodyTextIndent2Char"/>
    <w:semiHidden/>
    <w:rsid w:val="00F51615"/>
    <w:pPr>
      <w:spacing w:before="120" w:after="120" w:line="240" w:lineRule="auto"/>
      <w:ind w:firstLine="706"/>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F51615"/>
    <w:rPr>
      <w:rFonts w:ascii="Times New Roman" w:eastAsia="Times New Roman" w:hAnsi="Times New Roman" w:cs="Times New Roman"/>
      <w:sz w:val="24"/>
      <w:szCs w:val="20"/>
    </w:rPr>
  </w:style>
  <w:style w:type="paragraph" w:customStyle="1" w:styleId="Default">
    <w:name w:val="Default"/>
    <w:rsid w:val="00F51615"/>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nhideWhenUsed/>
    <w:rsid w:val="00F51615"/>
    <w:pPr>
      <w:spacing w:after="120" w:line="240" w:lineRule="auto"/>
      <w:ind w:left="283" w:firstLine="567"/>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51615"/>
    <w:rPr>
      <w:rFonts w:ascii="Times New Roman" w:eastAsia="Times New Roman" w:hAnsi="Times New Roman" w:cs="Times New Roman"/>
      <w:sz w:val="24"/>
      <w:szCs w:val="20"/>
    </w:rPr>
  </w:style>
  <w:style w:type="paragraph" w:customStyle="1" w:styleId="ridk">
    <w:name w:val="ridk"/>
    <w:basedOn w:val="Normal"/>
    <w:rsid w:val="00F51615"/>
    <w:pPr>
      <w:spacing w:before="100" w:beforeAutospacing="1" w:after="100" w:afterAutospacing="1" w:line="240" w:lineRule="auto"/>
    </w:pPr>
    <w:rPr>
      <w:rFonts w:ascii="Arial Unicode MS" w:eastAsia="Arial Unicode MS" w:hAnsi="Arial Unicode MS" w:cs="Arial Unicode MS"/>
      <w:sz w:val="24"/>
      <w:szCs w:val="24"/>
      <w:lang w:val="en-US"/>
    </w:rPr>
  </w:style>
  <w:style w:type="table" w:styleId="TableGrid">
    <w:name w:val="Table Grid"/>
    <w:basedOn w:val="TableNormal"/>
    <w:uiPriority w:val="39"/>
    <w:rsid w:val="00F51615"/>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F51615"/>
    <w:pPr>
      <w:keepLines w:val="0"/>
      <w:numPr>
        <w:numId w:val="0"/>
      </w:numPr>
      <w:pBdr>
        <w:bottom w:val="none" w:sz="0" w:space="0" w:color="auto"/>
      </w:pBdr>
      <w:spacing w:before="240" w:after="60" w:line="240" w:lineRule="auto"/>
      <w:ind w:firstLine="709"/>
      <w:jc w:val="both"/>
    </w:pPr>
    <w:rPr>
      <w:rFonts w:ascii="Times New Roman" w:eastAsia="Calibri" w:hAnsi="Times New Roman" w:cs="Times New Roman"/>
      <w:smallCaps w:val="0"/>
      <w:color w:val="auto"/>
      <w:kern w:val="32"/>
      <w:sz w:val="40"/>
      <w:szCs w:val="40"/>
    </w:rPr>
  </w:style>
  <w:style w:type="character" w:customStyle="1" w:styleId="spelle">
    <w:name w:val="spelle"/>
    <w:basedOn w:val="DefaultParagraphFont"/>
    <w:rsid w:val="00F51615"/>
  </w:style>
  <w:style w:type="paragraph" w:customStyle="1" w:styleId="ParagraphNumbering">
    <w:name w:val="Paragraph Numbering"/>
    <w:basedOn w:val="Normal"/>
    <w:uiPriority w:val="1"/>
    <w:qFormat/>
    <w:rsid w:val="00F51615"/>
    <w:pPr>
      <w:numPr>
        <w:numId w:val="3"/>
      </w:numPr>
      <w:spacing w:after="240" w:line="264" w:lineRule="auto"/>
    </w:pPr>
    <w:rPr>
      <w:rFonts w:ascii="Times New Roman" w:eastAsia="Calibri"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F51615"/>
    <w:rPr>
      <w:b/>
      <w:bCs/>
    </w:rPr>
  </w:style>
  <w:style w:type="character" w:customStyle="1" w:styleId="CommentSubjectChar">
    <w:name w:val="Comment Subject Char"/>
    <w:basedOn w:val="CommentTextChar"/>
    <w:link w:val="CommentSubject"/>
    <w:uiPriority w:val="99"/>
    <w:semiHidden/>
    <w:rsid w:val="00F51615"/>
    <w:rPr>
      <w:rFonts w:ascii="Times New Roman" w:eastAsia="Times New Roman" w:hAnsi="Times New Roman" w:cs="Times New Roman"/>
      <w:b/>
      <w:bCs/>
      <w:sz w:val="20"/>
      <w:szCs w:val="20"/>
    </w:rPr>
  </w:style>
  <w:style w:type="paragraph" w:customStyle="1" w:styleId="otrais">
    <w:name w:val="otrais"/>
    <w:basedOn w:val="H2"/>
    <w:link w:val="otraisChar"/>
    <w:qFormat/>
    <w:rsid w:val="00F51615"/>
    <w:pPr>
      <w:tabs>
        <w:tab w:val="clear" w:pos="1134"/>
        <w:tab w:val="left" w:pos="567"/>
      </w:tabs>
      <w:ind w:left="567"/>
    </w:pPr>
    <w:rPr>
      <w:rFonts w:ascii="Times New Roman" w:hAnsi="Times New Roman"/>
    </w:rPr>
  </w:style>
  <w:style w:type="character" w:customStyle="1" w:styleId="otraisChar">
    <w:name w:val="otrais Char"/>
    <w:basedOn w:val="H2Char"/>
    <w:link w:val="otrais"/>
    <w:rsid w:val="00F51615"/>
    <w:rPr>
      <w:rFonts w:ascii="Times New Roman" w:eastAsia="Times New Roman" w:hAnsi="Times New Roman" w:cs="Times New Roman"/>
      <w:b/>
      <w:sz w:val="32"/>
      <w:szCs w:val="20"/>
    </w:rPr>
  </w:style>
  <w:style w:type="paragraph" w:customStyle="1" w:styleId="tresais">
    <w:name w:val="tresais"/>
    <w:basedOn w:val="H3"/>
    <w:link w:val="tresaisChar"/>
    <w:qFormat/>
    <w:rsid w:val="00F51615"/>
    <w:pPr>
      <w:ind w:left="0" w:firstLine="0"/>
    </w:pPr>
    <w:rPr>
      <w:rFonts w:ascii="Times New Roman" w:hAnsi="Times New Roman"/>
    </w:rPr>
  </w:style>
  <w:style w:type="character" w:customStyle="1" w:styleId="tresaisChar">
    <w:name w:val="tresais Char"/>
    <w:basedOn w:val="H3Char"/>
    <w:link w:val="tresais"/>
    <w:rsid w:val="00F51615"/>
    <w:rPr>
      <w:rFonts w:ascii="Times New Roman" w:eastAsia="Times New Roman" w:hAnsi="Times New Roman" w:cs="Times New Roman"/>
      <w:b/>
      <w:sz w:val="28"/>
      <w:szCs w:val="20"/>
    </w:rPr>
  </w:style>
  <w:style w:type="paragraph" w:styleId="TOC1">
    <w:name w:val="toc 1"/>
    <w:basedOn w:val="Normal"/>
    <w:next w:val="Normal"/>
    <w:autoRedefine/>
    <w:uiPriority w:val="39"/>
    <w:unhideWhenUsed/>
    <w:rsid w:val="00AE4A09"/>
    <w:pPr>
      <w:tabs>
        <w:tab w:val="left" w:pos="284"/>
        <w:tab w:val="right" w:leader="dot" w:pos="9072"/>
      </w:tabs>
      <w:spacing w:after="0" w:line="240" w:lineRule="auto"/>
      <w:ind w:left="284" w:hanging="284"/>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F51615"/>
    <w:pPr>
      <w:tabs>
        <w:tab w:val="right" w:leader="dot" w:pos="9072"/>
      </w:tabs>
      <w:spacing w:after="0" w:line="240" w:lineRule="auto"/>
      <w:ind w:left="238" w:firstLine="46"/>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7F2B15"/>
    <w:pPr>
      <w:tabs>
        <w:tab w:val="left" w:pos="1418"/>
        <w:tab w:val="right" w:leader="dot" w:pos="9061"/>
      </w:tabs>
      <w:spacing w:after="0" w:line="240" w:lineRule="auto"/>
      <w:ind w:left="482" w:firstLine="227"/>
      <w:jc w:val="both"/>
    </w:pPr>
    <w:rPr>
      <w:rFonts w:ascii="Times New Roman" w:eastAsia="Times New Roman" w:hAnsi="Times New Roman" w:cs="Times New Roman"/>
      <w:sz w:val="24"/>
      <w:szCs w:val="20"/>
    </w:rPr>
  </w:style>
  <w:style w:type="character" w:styleId="Hyperlink">
    <w:name w:val="Hyperlink"/>
    <w:uiPriority w:val="99"/>
    <w:unhideWhenUsed/>
    <w:rsid w:val="00F51615"/>
    <w:rPr>
      <w:color w:val="0000FF"/>
      <w:u w:val="single"/>
    </w:rPr>
  </w:style>
  <w:style w:type="paragraph" w:customStyle="1" w:styleId="naisf">
    <w:name w:val="naisf"/>
    <w:basedOn w:val="Normal"/>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ksts">
    <w:name w:val="teksts"/>
    <w:rsid w:val="00F51615"/>
    <w:pPr>
      <w:spacing w:after="120" w:line="240" w:lineRule="auto"/>
      <w:jc w:val="both"/>
    </w:pPr>
    <w:rPr>
      <w:rFonts w:ascii="Garamond" w:eastAsia="Times New Roman" w:hAnsi="Garamond" w:cs="Times New Roman"/>
      <w:sz w:val="24"/>
      <w:szCs w:val="20"/>
    </w:rPr>
  </w:style>
  <w:style w:type="paragraph" w:customStyle="1" w:styleId="EE-paragr">
    <w:name w:val="EE-paragr"/>
    <w:basedOn w:val="Normal"/>
    <w:autoRedefine/>
    <w:uiPriority w:val="99"/>
    <w:rsid w:val="00F51615"/>
    <w:pPr>
      <w:spacing w:before="120" w:after="120" w:line="240" w:lineRule="auto"/>
      <w:jc w:val="both"/>
    </w:pPr>
    <w:rPr>
      <w:rFonts w:ascii="Times New Roman" w:eastAsia="Times New Roman" w:hAnsi="Times New Roman" w:cs="Times New Roman"/>
      <w:iCs/>
      <w:sz w:val="24"/>
      <w:szCs w:val="24"/>
      <w:lang w:eastAsia="lv-LV" w:bidi="lo-LA"/>
    </w:rPr>
  </w:style>
  <w:style w:type="paragraph" w:customStyle="1" w:styleId="tabtekst">
    <w:name w:val="tab_tekst"/>
    <w:basedOn w:val="Normal"/>
    <w:rsid w:val="00F51615"/>
    <w:pPr>
      <w:spacing w:after="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unhideWhenUsed/>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1pt">
    <w:name w:val="Normal + 11 pt"/>
    <w:aliases w:val="Bold,Justified,Line spacing:  1.5 lines"/>
    <w:basedOn w:val="Normal"/>
    <w:rsid w:val="00F51615"/>
    <w:pPr>
      <w:widowControl w:val="0"/>
      <w:adjustRightInd w:val="0"/>
      <w:spacing w:after="0" w:line="360" w:lineRule="auto"/>
      <w:jc w:val="both"/>
      <w:textAlignment w:val="baseline"/>
    </w:pPr>
    <w:rPr>
      <w:rFonts w:ascii="Times New Roman" w:eastAsia="Times New Roman" w:hAnsi="Times New Roman" w:cs="Times New Roman"/>
      <w:b/>
      <w:lang w:val="en-GB" w:eastAsia="lv-LV"/>
    </w:rPr>
  </w:style>
  <w:style w:type="paragraph" w:styleId="BodyText">
    <w:name w:val="Body Text"/>
    <w:basedOn w:val="Normal"/>
    <w:link w:val="BodyTextChar"/>
    <w:uiPriority w:val="99"/>
    <w:semiHidden/>
    <w:unhideWhenUsed/>
    <w:rsid w:val="00F51615"/>
    <w:pPr>
      <w:spacing w:after="120" w:line="240" w:lineRule="auto"/>
      <w:ind w:firstLine="56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F51615"/>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F51615"/>
    <w:pPr>
      <w:spacing w:after="120" w:line="240" w:lineRule="auto"/>
      <w:ind w:firstLine="567"/>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F51615"/>
    <w:rPr>
      <w:rFonts w:ascii="Times New Roman" w:eastAsia="Times New Roman" w:hAnsi="Times New Roman" w:cs="Times New Roman"/>
      <w:sz w:val="16"/>
      <w:szCs w:val="16"/>
    </w:rPr>
  </w:style>
  <w:style w:type="paragraph" w:styleId="TOC8">
    <w:name w:val="toc 8"/>
    <w:basedOn w:val="Normal"/>
    <w:next w:val="Normal"/>
    <w:autoRedefine/>
    <w:uiPriority w:val="39"/>
    <w:semiHidden/>
    <w:unhideWhenUsed/>
    <w:rsid w:val="00F51615"/>
    <w:pPr>
      <w:spacing w:after="120" w:line="240" w:lineRule="auto"/>
      <w:ind w:left="1680" w:firstLine="567"/>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F5161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51615"/>
    <w:rPr>
      <w:rFonts w:ascii="Consolas" w:eastAsia="Calibri" w:hAnsi="Consolas" w:cs="Times New Roman"/>
      <w:sz w:val="21"/>
      <w:szCs w:val="21"/>
    </w:rPr>
  </w:style>
  <w:style w:type="paragraph" w:customStyle="1" w:styleId="Text1">
    <w:name w:val="Text 1"/>
    <w:basedOn w:val="Normal"/>
    <w:uiPriority w:val="99"/>
    <w:rsid w:val="00F51615"/>
    <w:pPr>
      <w:spacing w:before="120" w:after="120" w:line="240" w:lineRule="auto"/>
      <w:ind w:left="850"/>
      <w:jc w:val="both"/>
    </w:pPr>
    <w:rPr>
      <w:rFonts w:ascii="Times New Roman" w:eastAsia="Times New Roman" w:hAnsi="Times New Roman" w:cs="Times New Roman"/>
      <w:sz w:val="24"/>
      <w:szCs w:val="20"/>
      <w:lang w:val="en-GB" w:eastAsia="de-DE"/>
    </w:rPr>
  </w:style>
  <w:style w:type="character" w:styleId="FollowedHyperlink">
    <w:name w:val="FollowedHyperlink"/>
    <w:uiPriority w:val="99"/>
    <w:semiHidden/>
    <w:unhideWhenUsed/>
    <w:rsid w:val="00F51615"/>
    <w:rPr>
      <w:color w:val="800080"/>
      <w:u w:val="single"/>
    </w:rPr>
  </w:style>
  <w:style w:type="paragraph" w:styleId="Revision">
    <w:name w:val="Revision"/>
    <w:hidden/>
    <w:uiPriority w:val="99"/>
    <w:semiHidden/>
    <w:rsid w:val="00F51615"/>
    <w:p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F51615"/>
    <w:pPr>
      <w:spacing w:before="240" w:after="0" w:line="360" w:lineRule="auto"/>
      <w:ind w:firstLine="300"/>
      <w:jc w:val="both"/>
    </w:pPr>
    <w:rPr>
      <w:rFonts w:ascii="Verdana" w:eastAsia="Times New Roman" w:hAnsi="Verdana" w:cs="Times New Roman"/>
      <w:sz w:val="18"/>
      <w:szCs w:val="18"/>
      <w:lang w:eastAsia="lv-LV"/>
    </w:rPr>
  </w:style>
  <w:style w:type="paragraph" w:customStyle="1" w:styleId="CM1">
    <w:name w:val="CM1"/>
    <w:basedOn w:val="Default"/>
    <w:next w:val="Default"/>
    <w:uiPriority w:val="99"/>
    <w:rsid w:val="00F51615"/>
    <w:rPr>
      <w:rFonts w:ascii="EUAlbertina" w:eastAsia="Calibri" w:hAnsi="EUAlbertina"/>
      <w:color w:val="auto"/>
      <w:lang w:val="en-GB" w:eastAsia="en-GB"/>
    </w:rPr>
  </w:style>
  <w:style w:type="character" w:customStyle="1" w:styleId="st1">
    <w:name w:val="st1"/>
    <w:basedOn w:val="DefaultParagraphFont"/>
    <w:rsid w:val="00F51615"/>
  </w:style>
  <w:style w:type="paragraph" w:customStyle="1" w:styleId="mt-translation1">
    <w:name w:val="mt-translation1"/>
    <w:basedOn w:val="Normal"/>
    <w:rsid w:val="00F51615"/>
    <w:pPr>
      <w:spacing w:after="0" w:line="240" w:lineRule="auto"/>
    </w:pPr>
    <w:rPr>
      <w:rFonts w:ascii="Segoe UI" w:eastAsia="Times New Roman" w:hAnsi="Segoe UI" w:cs="Segoe UI"/>
      <w:lang w:eastAsia="lv-LV"/>
    </w:rPr>
  </w:style>
  <w:style w:type="table" w:customStyle="1" w:styleId="ListTable3-Accent11">
    <w:name w:val="List Table 3 - Accent 11"/>
    <w:basedOn w:val="TableNormal"/>
    <w:uiPriority w:val="48"/>
    <w:rsid w:val="00400D0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
    <w:name w:val="Grid Table 2 - Accent 11"/>
    <w:basedOn w:val="TableNormal"/>
    <w:uiPriority w:val="47"/>
    <w:rsid w:val="00400D0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400D0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00D0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00D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00D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5775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144E7"/>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609E"/>
  </w:style>
  <w:style w:type="table" w:customStyle="1" w:styleId="TableGrid2">
    <w:name w:val="Table Grid2"/>
    <w:basedOn w:val="TableNormal"/>
    <w:next w:val="TableGrid"/>
    <w:uiPriority w:val="39"/>
    <w:rsid w:val="0009609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7FC"/>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EE7F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EE7F4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811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ps">
    <w:name w:val="hps"/>
    <w:basedOn w:val="DefaultParagraphFont"/>
    <w:rsid w:val="00DB2B30"/>
  </w:style>
  <w:style w:type="numbering" w:customStyle="1" w:styleId="NoList2">
    <w:name w:val="No List2"/>
    <w:next w:val="NoList"/>
    <w:uiPriority w:val="99"/>
    <w:semiHidden/>
    <w:unhideWhenUsed/>
    <w:rsid w:val="000B788C"/>
  </w:style>
  <w:style w:type="character" w:customStyle="1" w:styleId="apple-converted-space">
    <w:name w:val="apple-converted-space"/>
    <w:basedOn w:val="DefaultParagraphFont"/>
    <w:rsid w:val="002046C8"/>
  </w:style>
  <w:style w:type="table" w:customStyle="1" w:styleId="GridTable6Colorful-Accent110">
    <w:name w:val="Grid Table 6 Colorful - Accent 11"/>
    <w:basedOn w:val="TableNormal"/>
    <w:uiPriority w:val="51"/>
    <w:rsid w:val="00B70A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CE6BCD"/>
  </w:style>
  <w:style w:type="table" w:customStyle="1" w:styleId="TableGrid4">
    <w:name w:val="Table Grid4"/>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
    <w:name w:val="Grid Table 6 Colorful - Accent 12"/>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3">
    <w:name w:val="Style3"/>
    <w:basedOn w:val="Heading3"/>
    <w:link w:val="Style3Char"/>
    <w:qFormat/>
    <w:rsid w:val="0077183B"/>
    <w:pPr>
      <w:numPr>
        <w:ilvl w:val="0"/>
        <w:numId w:val="0"/>
      </w:numPr>
      <w:jc w:val="center"/>
    </w:pPr>
    <w:rPr>
      <w:rFonts w:ascii="Times New Roman" w:hAnsi="Times New Roman" w:cs="Times New Roman"/>
      <w:sz w:val="28"/>
      <w:szCs w:val="32"/>
    </w:rPr>
  </w:style>
  <w:style w:type="table" w:customStyle="1" w:styleId="GridTable4-Accent51">
    <w:name w:val="Grid Table 4 - Accent 51"/>
    <w:basedOn w:val="TableNormal"/>
    <w:uiPriority w:val="49"/>
    <w:rsid w:val="0077183B"/>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3Char">
    <w:name w:val="Style3 Char"/>
    <w:basedOn w:val="Heading3Char"/>
    <w:link w:val="Style3"/>
    <w:rsid w:val="0077183B"/>
    <w:rPr>
      <w:rFonts w:ascii="Times New Roman" w:eastAsiaTheme="majorEastAsia" w:hAnsi="Times New Roman" w:cs="Times New Roman"/>
      <w:b/>
      <w:bCs/>
      <w:color w:val="000000" w:themeColor="text1"/>
      <w:sz w:val="28"/>
      <w:szCs w:val="32"/>
    </w:rPr>
  </w:style>
  <w:style w:type="table" w:customStyle="1" w:styleId="ListTable3-Accent51">
    <w:name w:val="List Table 3 - Accent 51"/>
    <w:basedOn w:val="TableNormal"/>
    <w:uiPriority w:val="48"/>
    <w:rsid w:val="007718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
    <w:name w:val="Table Grid5"/>
    <w:basedOn w:val="TableNormal"/>
    <w:next w:val="TableGrid"/>
    <w:uiPriority w:val="39"/>
    <w:rsid w:val="00C6773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16B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2">
    <w:name w:val="Char2"/>
    <w:aliases w:val="Char Char Char Char"/>
    <w:basedOn w:val="Normal"/>
    <w:next w:val="Normal"/>
    <w:link w:val="FootnoteReference"/>
    <w:uiPriority w:val="99"/>
    <w:rsid w:val="005F4C67"/>
    <w:pPr>
      <w:spacing w:line="240" w:lineRule="exact"/>
      <w:jc w:val="both"/>
      <w:textAlignment w:val="baseline"/>
    </w:pPr>
    <w:rPr>
      <w:rFonts w:ascii="Garamond" w:hAnsi="Garamond"/>
      <w:sz w:val="20"/>
      <w:vertAlign w:val="superscript"/>
    </w:rPr>
  </w:style>
  <w:style w:type="character" w:styleId="HTMLCite">
    <w:name w:val="HTML Cite"/>
    <w:basedOn w:val="DefaultParagraphFont"/>
    <w:uiPriority w:val="99"/>
    <w:semiHidden/>
    <w:unhideWhenUsed/>
    <w:rsid w:val="002D4062"/>
    <w:rPr>
      <w:i/>
      <w:iCs/>
    </w:rPr>
  </w:style>
  <w:style w:type="table" w:customStyle="1" w:styleId="ListTable1Light-Accent41">
    <w:name w:val="List Table 1 Light - Accent 41"/>
    <w:basedOn w:val="TableNormal"/>
    <w:uiPriority w:val="46"/>
    <w:rsid w:val="006C67E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6C67E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
    <w:name w:val="Grid Table 6 Colorful - Accent 15"/>
    <w:basedOn w:val="TableNormal"/>
    <w:next w:val="GridTable6Colorful-Accent11"/>
    <w:uiPriority w:val="51"/>
    <w:rsid w:val="00CA00D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
    <w:name w:val="Grid Table 6 Colorful - Accent 14"/>
    <w:basedOn w:val="TableNormal"/>
    <w:next w:val="GridTable6Colorful-Accent11"/>
    <w:uiPriority w:val="51"/>
    <w:rsid w:val="00B45C68"/>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1">
    <w:name w:val="Grid Table 6 Colorful Accent 1"/>
    <w:basedOn w:val="TableNormal"/>
    <w:uiPriority w:val="51"/>
    <w:rsid w:val="00832C2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otnoteCharacters">
    <w:name w:val="Footnote Characters"/>
    <w:rsid w:val="003D448B"/>
    <w:rPr>
      <w:rFonts w:ascii="Garamond" w:hAnsi="Garamond"/>
      <w:sz w:val="20"/>
      <w:vertAlign w:val="superscript"/>
    </w:rPr>
  </w:style>
  <w:style w:type="table" w:customStyle="1" w:styleId="TableGrid6">
    <w:name w:val="Table Grid6"/>
    <w:basedOn w:val="TableNormal"/>
    <w:next w:val="TableGrid"/>
    <w:uiPriority w:val="39"/>
    <w:rsid w:val="003D448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6">
    <w:name w:val="Grid Table 6 Colorful - Accent 16"/>
    <w:basedOn w:val="TableNormal"/>
    <w:next w:val="GridTable6Colorful-Accent1"/>
    <w:uiPriority w:val="51"/>
    <w:rsid w:val="00D91646"/>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D91646"/>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7">
    <w:name w:val="Table Grid7"/>
    <w:basedOn w:val="TableNormal"/>
    <w:next w:val="TableGrid"/>
    <w:uiPriority w:val="39"/>
    <w:rsid w:val="007130E8"/>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3">
    <w:name w:val="Grid Table 6 Colorful - Accent 113"/>
    <w:basedOn w:val="TableNormal"/>
    <w:uiPriority w:val="51"/>
    <w:rsid w:val="00284BE8"/>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4">
    <w:name w:val="Grid Table 6 Colorful - Accent 114"/>
    <w:basedOn w:val="TableNormal"/>
    <w:uiPriority w:val="51"/>
    <w:rsid w:val="00284BE8"/>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7">
    <w:name w:val="Grid Table 6 Colorful - Accent 117"/>
    <w:basedOn w:val="TableNormal"/>
    <w:uiPriority w:val="51"/>
    <w:rsid w:val="00284BE8"/>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
    <w:name w:val="Grid Table 6 Colorful - Accent 118"/>
    <w:basedOn w:val="TableNormal"/>
    <w:uiPriority w:val="51"/>
    <w:rsid w:val="00284BE8"/>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4">
    <w:name w:val="No List4"/>
    <w:next w:val="NoList"/>
    <w:uiPriority w:val="99"/>
    <w:semiHidden/>
    <w:unhideWhenUsed/>
    <w:rsid w:val="00284BE8"/>
  </w:style>
  <w:style w:type="table" w:customStyle="1" w:styleId="TableGrid8">
    <w:name w:val="Table Grid8"/>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284BE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1">
    <w:name w:val="Grid Table 2 - Accent 111"/>
    <w:basedOn w:val="TableNormal"/>
    <w:uiPriority w:val="47"/>
    <w:rsid w:val="00284BE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1">
    <w:name w:val="Grid Table 1 Light - Accent 111"/>
    <w:basedOn w:val="TableNormal"/>
    <w:uiPriority w:val="46"/>
    <w:rsid w:val="00284BE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284BE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284B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284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284B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
    <w:name w:val="Table Grid Light11"/>
    <w:basedOn w:val="TableNormal"/>
    <w:uiPriority w:val="40"/>
    <w:rsid w:val="00284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84BE8"/>
  </w:style>
  <w:style w:type="table" w:customStyle="1" w:styleId="TableGrid21">
    <w:name w:val="Table Grid21"/>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
    <w:name w:val="Grid Table 6 Colorful - Accent 112"/>
    <w:basedOn w:val="TableNormal"/>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1">
    <w:name w:val="Grid Table 6 Colorful - Accent 511"/>
    <w:basedOn w:val="TableNormal"/>
    <w:uiPriority w:val="51"/>
    <w:rsid w:val="00284BE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1">
    <w:name w:val="Grid Table 4 - Accent 111"/>
    <w:basedOn w:val="TableNormal"/>
    <w:uiPriority w:val="49"/>
    <w:rsid w:val="00284BE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21">
    <w:name w:val="No List21"/>
    <w:next w:val="NoList"/>
    <w:uiPriority w:val="99"/>
    <w:semiHidden/>
    <w:unhideWhenUsed/>
    <w:rsid w:val="00284BE8"/>
  </w:style>
  <w:style w:type="table" w:customStyle="1" w:styleId="GridTable6Colorful-Accent115">
    <w:name w:val="Grid Table 6 Colorful - Accent 115"/>
    <w:basedOn w:val="TableNormal"/>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1">
    <w:name w:val="No List31"/>
    <w:next w:val="NoList"/>
    <w:uiPriority w:val="99"/>
    <w:semiHidden/>
    <w:unhideWhenUsed/>
    <w:rsid w:val="00284BE8"/>
  </w:style>
  <w:style w:type="table" w:customStyle="1" w:styleId="TableGrid41">
    <w:name w:val="Table Grid41"/>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84BE8"/>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1">
    <w:name w:val="Grid Table 6 Colorful - Accent 131"/>
    <w:basedOn w:val="TableNormal"/>
    <w:next w:val="GridTable6Colorful-Accent110"/>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1">
    <w:name w:val="Grid Table 6 Colorful - Accent 121"/>
    <w:basedOn w:val="TableNormal"/>
    <w:next w:val="GridTable6Colorful-Accent110"/>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1">
    <w:name w:val="Grid Table 4 - Accent 511"/>
    <w:basedOn w:val="TableNormal"/>
    <w:uiPriority w:val="49"/>
    <w:rsid w:val="00284BE8"/>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284BE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1">
    <w:name w:val="Table Grid51"/>
    <w:basedOn w:val="TableNormal"/>
    <w:next w:val="TableGrid"/>
    <w:uiPriority w:val="39"/>
    <w:rsid w:val="00284BE8"/>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284B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411">
    <w:name w:val="List Table 1 Light - Accent 411"/>
    <w:basedOn w:val="TableNormal"/>
    <w:uiPriority w:val="46"/>
    <w:rsid w:val="00284B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1">
    <w:name w:val="Grid Table 6 Colorful - Accent 211"/>
    <w:basedOn w:val="TableNormal"/>
    <w:uiPriority w:val="51"/>
    <w:rsid w:val="00284BE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1">
    <w:name w:val="Grid Table 6 Colorful - Accent 151"/>
    <w:basedOn w:val="TableNormal"/>
    <w:next w:val="GridTable6Colorful-Accent110"/>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1">
    <w:name w:val="Grid Table 6 Colorful - Accent 141"/>
    <w:basedOn w:val="TableNormal"/>
    <w:next w:val="GridTable6Colorful-Accent110"/>
    <w:uiPriority w:val="51"/>
    <w:rsid w:val="00284BE8"/>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
    <w:name w:val="Grid Table 6 Colorful - Accent 17"/>
    <w:basedOn w:val="TableNormal"/>
    <w:next w:val="GridTable6Colorful-Accent1"/>
    <w:uiPriority w:val="51"/>
    <w:rsid w:val="00284BE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284B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4BE8"/>
    <w:rPr>
      <w:sz w:val="20"/>
      <w:szCs w:val="20"/>
    </w:rPr>
  </w:style>
  <w:style w:type="character" w:styleId="EndnoteReference">
    <w:name w:val="endnote reference"/>
    <w:basedOn w:val="DefaultParagraphFont"/>
    <w:uiPriority w:val="99"/>
    <w:semiHidden/>
    <w:unhideWhenUsed/>
    <w:rsid w:val="00284BE8"/>
    <w:rPr>
      <w:vertAlign w:val="superscript"/>
    </w:rPr>
  </w:style>
  <w:style w:type="numbering" w:customStyle="1" w:styleId="NoList5">
    <w:name w:val="No List5"/>
    <w:next w:val="NoList"/>
    <w:uiPriority w:val="99"/>
    <w:semiHidden/>
    <w:unhideWhenUsed/>
    <w:rsid w:val="00A753EF"/>
  </w:style>
  <w:style w:type="table" w:customStyle="1" w:styleId="GridTable6Colorful1">
    <w:name w:val="Grid Table 6 Colorful1"/>
    <w:basedOn w:val="TableNormal"/>
    <w:next w:val="GridTable6Colorful"/>
    <w:uiPriority w:val="51"/>
    <w:rsid w:val="00A753EF"/>
    <w:pPr>
      <w:spacing w:after="0" w:line="240" w:lineRule="auto"/>
    </w:pPr>
    <w:rPr>
      <w:rFonts w:ascii="Times New Roman" w:eastAsia="Calibri" w:hAnsi="Times New Roman"/>
      <w:color w:val="000000"/>
      <w:sz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A753EF"/>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2-Accent12">
    <w:name w:val="Grid Table 2 - Accent 12"/>
    <w:basedOn w:val="TableNormal"/>
    <w:next w:val="GridTable2-Accent1"/>
    <w:uiPriority w:val="47"/>
    <w:rsid w:val="00A753E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2">
    <w:name w:val="Grid Table 1 Light - Accent 12"/>
    <w:basedOn w:val="TableNormal"/>
    <w:next w:val="GridTable1Light-Accent1"/>
    <w:uiPriority w:val="46"/>
    <w:rsid w:val="00A753EF"/>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A753EF"/>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A753EF"/>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2">
    <w:name w:val="Plain Table 12"/>
    <w:basedOn w:val="TableNormal"/>
    <w:next w:val="PlainTable1"/>
    <w:uiPriority w:val="41"/>
    <w:rsid w:val="00A753E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42"/>
    <w:rsid w:val="00A753E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TableGridLight"/>
    <w:uiPriority w:val="40"/>
    <w:rsid w:val="00A753E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A753EF"/>
  </w:style>
  <w:style w:type="table" w:customStyle="1" w:styleId="GridTable6Colorful-Accent52">
    <w:name w:val="Grid Table 6 Colorful - Accent 52"/>
    <w:basedOn w:val="TableNormal"/>
    <w:next w:val="GridTable6Colorful-Accent5"/>
    <w:uiPriority w:val="51"/>
    <w:rsid w:val="00A753EF"/>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9"/>
    <w:rsid w:val="00A753EF"/>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2">
    <w:name w:val="No List22"/>
    <w:next w:val="NoList"/>
    <w:uiPriority w:val="99"/>
    <w:semiHidden/>
    <w:unhideWhenUsed/>
    <w:rsid w:val="00A753EF"/>
  </w:style>
  <w:style w:type="numbering" w:customStyle="1" w:styleId="NoList32">
    <w:name w:val="No List32"/>
    <w:next w:val="NoList"/>
    <w:uiPriority w:val="99"/>
    <w:semiHidden/>
    <w:unhideWhenUsed/>
    <w:rsid w:val="00A753EF"/>
  </w:style>
  <w:style w:type="table" w:customStyle="1" w:styleId="GridTable4-Accent52">
    <w:name w:val="Grid Table 4 - Accent 52"/>
    <w:basedOn w:val="TableNormal"/>
    <w:next w:val="GridTable4-Accent5"/>
    <w:uiPriority w:val="49"/>
    <w:rsid w:val="00A753EF"/>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
    <w:name w:val="List Table 3 - Accent 52"/>
    <w:basedOn w:val="TableNormal"/>
    <w:next w:val="ListTable3-Accent5"/>
    <w:uiPriority w:val="48"/>
    <w:rsid w:val="00A753E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PlainTable32">
    <w:name w:val="Plain Table 32"/>
    <w:basedOn w:val="TableNormal"/>
    <w:next w:val="PlainTable3"/>
    <w:uiPriority w:val="43"/>
    <w:rsid w:val="00A753EF"/>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42">
    <w:name w:val="List Table 1 Light - Accent 42"/>
    <w:basedOn w:val="TableNormal"/>
    <w:next w:val="ListTable1Light-Accent4"/>
    <w:uiPriority w:val="46"/>
    <w:rsid w:val="00A753EF"/>
    <w:pPr>
      <w:spacing w:after="0" w:line="240" w:lineRule="auto"/>
    </w:p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22">
    <w:name w:val="Grid Table 6 Colorful - Accent 22"/>
    <w:basedOn w:val="TableNormal"/>
    <w:next w:val="GridTable6Colorful-Accent2"/>
    <w:uiPriority w:val="51"/>
    <w:rsid w:val="00A753EF"/>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8">
    <w:name w:val="Table Grid18"/>
    <w:basedOn w:val="TableNormal"/>
    <w:next w:val="TableGrid"/>
    <w:uiPriority w:val="59"/>
    <w:rsid w:val="00A753EF"/>
    <w:pPr>
      <w:spacing w:after="0" w:line="240" w:lineRule="auto"/>
    </w:pPr>
    <w:rPr>
      <w:rFonts w:ascii="Times New Roman" w:eastAsia="Calibri" w:hAnsi="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A753E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A753E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2-Accent1">
    <w:name w:val="Grid Table 2 Accent 1"/>
    <w:basedOn w:val="TableNormal"/>
    <w:uiPriority w:val="47"/>
    <w:rsid w:val="00A753E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A753E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753E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753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753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753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A753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5">
    <w:name w:val="Grid Table 6 Colorful Accent 5"/>
    <w:basedOn w:val="TableNormal"/>
    <w:uiPriority w:val="51"/>
    <w:rsid w:val="00A753E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A753E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A753E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A753E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PlainTable3">
    <w:name w:val="Plain Table 3"/>
    <w:basedOn w:val="TableNormal"/>
    <w:uiPriority w:val="43"/>
    <w:rsid w:val="00A753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4">
    <w:name w:val="List Table 1 Light Accent 4"/>
    <w:basedOn w:val="TableNormal"/>
    <w:uiPriority w:val="46"/>
    <w:rsid w:val="00A753EF"/>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2">
    <w:name w:val="Grid Table 6 Colorful Accent 2"/>
    <w:basedOn w:val="TableNormal"/>
    <w:uiPriority w:val="51"/>
    <w:rsid w:val="00A753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8">
    <w:name w:val="Grid Table 6 Colorful - Accent 18"/>
    <w:basedOn w:val="TableNormal"/>
    <w:next w:val="GridTable6Colorful-Accent1"/>
    <w:uiPriority w:val="51"/>
    <w:rsid w:val="00C3305B"/>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15">
      <w:bodyDiv w:val="1"/>
      <w:marLeft w:val="0"/>
      <w:marRight w:val="0"/>
      <w:marTop w:val="0"/>
      <w:marBottom w:val="0"/>
      <w:divBdr>
        <w:top w:val="none" w:sz="0" w:space="0" w:color="auto"/>
        <w:left w:val="none" w:sz="0" w:space="0" w:color="auto"/>
        <w:bottom w:val="none" w:sz="0" w:space="0" w:color="auto"/>
        <w:right w:val="none" w:sz="0" w:space="0" w:color="auto"/>
      </w:divBdr>
    </w:div>
    <w:div w:id="29884897">
      <w:bodyDiv w:val="1"/>
      <w:marLeft w:val="0"/>
      <w:marRight w:val="0"/>
      <w:marTop w:val="0"/>
      <w:marBottom w:val="0"/>
      <w:divBdr>
        <w:top w:val="none" w:sz="0" w:space="0" w:color="auto"/>
        <w:left w:val="none" w:sz="0" w:space="0" w:color="auto"/>
        <w:bottom w:val="none" w:sz="0" w:space="0" w:color="auto"/>
        <w:right w:val="none" w:sz="0" w:space="0" w:color="auto"/>
      </w:divBdr>
    </w:div>
    <w:div w:id="35666004">
      <w:bodyDiv w:val="1"/>
      <w:marLeft w:val="0"/>
      <w:marRight w:val="0"/>
      <w:marTop w:val="0"/>
      <w:marBottom w:val="0"/>
      <w:divBdr>
        <w:top w:val="none" w:sz="0" w:space="0" w:color="auto"/>
        <w:left w:val="none" w:sz="0" w:space="0" w:color="auto"/>
        <w:bottom w:val="none" w:sz="0" w:space="0" w:color="auto"/>
        <w:right w:val="none" w:sz="0" w:space="0" w:color="auto"/>
      </w:divBdr>
    </w:div>
    <w:div w:id="40982938">
      <w:bodyDiv w:val="1"/>
      <w:marLeft w:val="0"/>
      <w:marRight w:val="0"/>
      <w:marTop w:val="0"/>
      <w:marBottom w:val="0"/>
      <w:divBdr>
        <w:top w:val="none" w:sz="0" w:space="0" w:color="auto"/>
        <w:left w:val="none" w:sz="0" w:space="0" w:color="auto"/>
        <w:bottom w:val="none" w:sz="0" w:space="0" w:color="auto"/>
        <w:right w:val="none" w:sz="0" w:space="0" w:color="auto"/>
      </w:divBdr>
    </w:div>
    <w:div w:id="74086681">
      <w:bodyDiv w:val="1"/>
      <w:marLeft w:val="0"/>
      <w:marRight w:val="0"/>
      <w:marTop w:val="0"/>
      <w:marBottom w:val="0"/>
      <w:divBdr>
        <w:top w:val="none" w:sz="0" w:space="0" w:color="auto"/>
        <w:left w:val="none" w:sz="0" w:space="0" w:color="auto"/>
        <w:bottom w:val="none" w:sz="0" w:space="0" w:color="auto"/>
        <w:right w:val="none" w:sz="0" w:space="0" w:color="auto"/>
      </w:divBdr>
    </w:div>
    <w:div w:id="75829142">
      <w:bodyDiv w:val="1"/>
      <w:marLeft w:val="0"/>
      <w:marRight w:val="0"/>
      <w:marTop w:val="0"/>
      <w:marBottom w:val="0"/>
      <w:divBdr>
        <w:top w:val="none" w:sz="0" w:space="0" w:color="auto"/>
        <w:left w:val="none" w:sz="0" w:space="0" w:color="auto"/>
        <w:bottom w:val="none" w:sz="0" w:space="0" w:color="auto"/>
        <w:right w:val="none" w:sz="0" w:space="0" w:color="auto"/>
      </w:divBdr>
    </w:div>
    <w:div w:id="76753033">
      <w:bodyDiv w:val="1"/>
      <w:marLeft w:val="0"/>
      <w:marRight w:val="0"/>
      <w:marTop w:val="0"/>
      <w:marBottom w:val="0"/>
      <w:divBdr>
        <w:top w:val="none" w:sz="0" w:space="0" w:color="auto"/>
        <w:left w:val="none" w:sz="0" w:space="0" w:color="auto"/>
        <w:bottom w:val="none" w:sz="0" w:space="0" w:color="auto"/>
        <w:right w:val="none" w:sz="0" w:space="0" w:color="auto"/>
      </w:divBdr>
    </w:div>
    <w:div w:id="306204804">
      <w:bodyDiv w:val="1"/>
      <w:marLeft w:val="0"/>
      <w:marRight w:val="0"/>
      <w:marTop w:val="0"/>
      <w:marBottom w:val="0"/>
      <w:divBdr>
        <w:top w:val="none" w:sz="0" w:space="0" w:color="auto"/>
        <w:left w:val="none" w:sz="0" w:space="0" w:color="auto"/>
        <w:bottom w:val="none" w:sz="0" w:space="0" w:color="auto"/>
        <w:right w:val="none" w:sz="0" w:space="0" w:color="auto"/>
      </w:divBdr>
    </w:div>
    <w:div w:id="308676669">
      <w:bodyDiv w:val="1"/>
      <w:marLeft w:val="0"/>
      <w:marRight w:val="0"/>
      <w:marTop w:val="0"/>
      <w:marBottom w:val="0"/>
      <w:divBdr>
        <w:top w:val="none" w:sz="0" w:space="0" w:color="auto"/>
        <w:left w:val="none" w:sz="0" w:space="0" w:color="auto"/>
        <w:bottom w:val="none" w:sz="0" w:space="0" w:color="auto"/>
        <w:right w:val="none" w:sz="0" w:space="0" w:color="auto"/>
      </w:divBdr>
    </w:div>
    <w:div w:id="312829947">
      <w:bodyDiv w:val="1"/>
      <w:marLeft w:val="0"/>
      <w:marRight w:val="0"/>
      <w:marTop w:val="0"/>
      <w:marBottom w:val="0"/>
      <w:divBdr>
        <w:top w:val="none" w:sz="0" w:space="0" w:color="auto"/>
        <w:left w:val="none" w:sz="0" w:space="0" w:color="auto"/>
        <w:bottom w:val="none" w:sz="0" w:space="0" w:color="auto"/>
        <w:right w:val="none" w:sz="0" w:space="0" w:color="auto"/>
      </w:divBdr>
    </w:div>
    <w:div w:id="316032292">
      <w:bodyDiv w:val="1"/>
      <w:marLeft w:val="0"/>
      <w:marRight w:val="0"/>
      <w:marTop w:val="0"/>
      <w:marBottom w:val="0"/>
      <w:divBdr>
        <w:top w:val="none" w:sz="0" w:space="0" w:color="auto"/>
        <w:left w:val="none" w:sz="0" w:space="0" w:color="auto"/>
        <w:bottom w:val="none" w:sz="0" w:space="0" w:color="auto"/>
        <w:right w:val="none" w:sz="0" w:space="0" w:color="auto"/>
      </w:divBdr>
    </w:div>
    <w:div w:id="364912471">
      <w:bodyDiv w:val="1"/>
      <w:marLeft w:val="0"/>
      <w:marRight w:val="0"/>
      <w:marTop w:val="0"/>
      <w:marBottom w:val="0"/>
      <w:divBdr>
        <w:top w:val="none" w:sz="0" w:space="0" w:color="auto"/>
        <w:left w:val="none" w:sz="0" w:space="0" w:color="auto"/>
        <w:bottom w:val="none" w:sz="0" w:space="0" w:color="auto"/>
        <w:right w:val="none" w:sz="0" w:space="0" w:color="auto"/>
      </w:divBdr>
    </w:div>
    <w:div w:id="382173104">
      <w:bodyDiv w:val="1"/>
      <w:marLeft w:val="0"/>
      <w:marRight w:val="0"/>
      <w:marTop w:val="0"/>
      <w:marBottom w:val="0"/>
      <w:divBdr>
        <w:top w:val="none" w:sz="0" w:space="0" w:color="auto"/>
        <w:left w:val="none" w:sz="0" w:space="0" w:color="auto"/>
        <w:bottom w:val="none" w:sz="0" w:space="0" w:color="auto"/>
        <w:right w:val="none" w:sz="0" w:space="0" w:color="auto"/>
      </w:divBdr>
    </w:div>
    <w:div w:id="382411144">
      <w:bodyDiv w:val="1"/>
      <w:marLeft w:val="0"/>
      <w:marRight w:val="0"/>
      <w:marTop w:val="0"/>
      <w:marBottom w:val="0"/>
      <w:divBdr>
        <w:top w:val="none" w:sz="0" w:space="0" w:color="auto"/>
        <w:left w:val="none" w:sz="0" w:space="0" w:color="auto"/>
        <w:bottom w:val="none" w:sz="0" w:space="0" w:color="auto"/>
        <w:right w:val="none" w:sz="0" w:space="0" w:color="auto"/>
      </w:divBdr>
    </w:div>
    <w:div w:id="406004907">
      <w:bodyDiv w:val="1"/>
      <w:marLeft w:val="0"/>
      <w:marRight w:val="0"/>
      <w:marTop w:val="0"/>
      <w:marBottom w:val="0"/>
      <w:divBdr>
        <w:top w:val="none" w:sz="0" w:space="0" w:color="auto"/>
        <w:left w:val="none" w:sz="0" w:space="0" w:color="auto"/>
        <w:bottom w:val="none" w:sz="0" w:space="0" w:color="auto"/>
        <w:right w:val="none" w:sz="0" w:space="0" w:color="auto"/>
      </w:divBdr>
    </w:div>
    <w:div w:id="516312171">
      <w:bodyDiv w:val="1"/>
      <w:marLeft w:val="0"/>
      <w:marRight w:val="0"/>
      <w:marTop w:val="0"/>
      <w:marBottom w:val="0"/>
      <w:divBdr>
        <w:top w:val="none" w:sz="0" w:space="0" w:color="auto"/>
        <w:left w:val="none" w:sz="0" w:space="0" w:color="auto"/>
        <w:bottom w:val="none" w:sz="0" w:space="0" w:color="auto"/>
        <w:right w:val="none" w:sz="0" w:space="0" w:color="auto"/>
      </w:divBdr>
    </w:div>
    <w:div w:id="581915553">
      <w:bodyDiv w:val="1"/>
      <w:marLeft w:val="0"/>
      <w:marRight w:val="0"/>
      <w:marTop w:val="0"/>
      <w:marBottom w:val="0"/>
      <w:divBdr>
        <w:top w:val="none" w:sz="0" w:space="0" w:color="auto"/>
        <w:left w:val="none" w:sz="0" w:space="0" w:color="auto"/>
        <w:bottom w:val="none" w:sz="0" w:space="0" w:color="auto"/>
        <w:right w:val="none" w:sz="0" w:space="0" w:color="auto"/>
      </w:divBdr>
    </w:div>
    <w:div w:id="602149471">
      <w:bodyDiv w:val="1"/>
      <w:marLeft w:val="0"/>
      <w:marRight w:val="0"/>
      <w:marTop w:val="0"/>
      <w:marBottom w:val="0"/>
      <w:divBdr>
        <w:top w:val="none" w:sz="0" w:space="0" w:color="auto"/>
        <w:left w:val="none" w:sz="0" w:space="0" w:color="auto"/>
        <w:bottom w:val="none" w:sz="0" w:space="0" w:color="auto"/>
        <w:right w:val="none" w:sz="0" w:space="0" w:color="auto"/>
      </w:divBdr>
    </w:div>
    <w:div w:id="645016098">
      <w:bodyDiv w:val="1"/>
      <w:marLeft w:val="0"/>
      <w:marRight w:val="0"/>
      <w:marTop w:val="0"/>
      <w:marBottom w:val="0"/>
      <w:divBdr>
        <w:top w:val="none" w:sz="0" w:space="0" w:color="auto"/>
        <w:left w:val="none" w:sz="0" w:space="0" w:color="auto"/>
        <w:bottom w:val="none" w:sz="0" w:space="0" w:color="auto"/>
        <w:right w:val="none" w:sz="0" w:space="0" w:color="auto"/>
      </w:divBdr>
    </w:div>
    <w:div w:id="684596545">
      <w:bodyDiv w:val="1"/>
      <w:marLeft w:val="0"/>
      <w:marRight w:val="0"/>
      <w:marTop w:val="0"/>
      <w:marBottom w:val="0"/>
      <w:divBdr>
        <w:top w:val="none" w:sz="0" w:space="0" w:color="auto"/>
        <w:left w:val="none" w:sz="0" w:space="0" w:color="auto"/>
        <w:bottom w:val="none" w:sz="0" w:space="0" w:color="auto"/>
        <w:right w:val="none" w:sz="0" w:space="0" w:color="auto"/>
      </w:divBdr>
    </w:div>
    <w:div w:id="829563314">
      <w:bodyDiv w:val="1"/>
      <w:marLeft w:val="0"/>
      <w:marRight w:val="0"/>
      <w:marTop w:val="0"/>
      <w:marBottom w:val="0"/>
      <w:divBdr>
        <w:top w:val="none" w:sz="0" w:space="0" w:color="auto"/>
        <w:left w:val="none" w:sz="0" w:space="0" w:color="auto"/>
        <w:bottom w:val="none" w:sz="0" w:space="0" w:color="auto"/>
        <w:right w:val="none" w:sz="0" w:space="0" w:color="auto"/>
      </w:divBdr>
    </w:div>
    <w:div w:id="944507542">
      <w:bodyDiv w:val="1"/>
      <w:marLeft w:val="0"/>
      <w:marRight w:val="0"/>
      <w:marTop w:val="0"/>
      <w:marBottom w:val="0"/>
      <w:divBdr>
        <w:top w:val="none" w:sz="0" w:space="0" w:color="auto"/>
        <w:left w:val="none" w:sz="0" w:space="0" w:color="auto"/>
        <w:bottom w:val="none" w:sz="0" w:space="0" w:color="auto"/>
        <w:right w:val="none" w:sz="0" w:space="0" w:color="auto"/>
      </w:divBdr>
    </w:div>
    <w:div w:id="951742720">
      <w:bodyDiv w:val="1"/>
      <w:marLeft w:val="0"/>
      <w:marRight w:val="0"/>
      <w:marTop w:val="0"/>
      <w:marBottom w:val="0"/>
      <w:divBdr>
        <w:top w:val="none" w:sz="0" w:space="0" w:color="auto"/>
        <w:left w:val="none" w:sz="0" w:space="0" w:color="auto"/>
        <w:bottom w:val="none" w:sz="0" w:space="0" w:color="auto"/>
        <w:right w:val="none" w:sz="0" w:space="0" w:color="auto"/>
      </w:divBdr>
    </w:div>
    <w:div w:id="951861105">
      <w:bodyDiv w:val="1"/>
      <w:marLeft w:val="0"/>
      <w:marRight w:val="0"/>
      <w:marTop w:val="0"/>
      <w:marBottom w:val="0"/>
      <w:divBdr>
        <w:top w:val="none" w:sz="0" w:space="0" w:color="auto"/>
        <w:left w:val="none" w:sz="0" w:space="0" w:color="auto"/>
        <w:bottom w:val="none" w:sz="0" w:space="0" w:color="auto"/>
        <w:right w:val="none" w:sz="0" w:space="0" w:color="auto"/>
      </w:divBdr>
    </w:div>
    <w:div w:id="975254704">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018309185">
      <w:bodyDiv w:val="1"/>
      <w:marLeft w:val="0"/>
      <w:marRight w:val="0"/>
      <w:marTop w:val="0"/>
      <w:marBottom w:val="0"/>
      <w:divBdr>
        <w:top w:val="none" w:sz="0" w:space="0" w:color="auto"/>
        <w:left w:val="none" w:sz="0" w:space="0" w:color="auto"/>
        <w:bottom w:val="none" w:sz="0" w:space="0" w:color="auto"/>
        <w:right w:val="none" w:sz="0" w:space="0" w:color="auto"/>
      </w:divBdr>
    </w:div>
    <w:div w:id="1028681681">
      <w:bodyDiv w:val="1"/>
      <w:marLeft w:val="0"/>
      <w:marRight w:val="0"/>
      <w:marTop w:val="0"/>
      <w:marBottom w:val="0"/>
      <w:divBdr>
        <w:top w:val="none" w:sz="0" w:space="0" w:color="auto"/>
        <w:left w:val="none" w:sz="0" w:space="0" w:color="auto"/>
        <w:bottom w:val="none" w:sz="0" w:space="0" w:color="auto"/>
        <w:right w:val="none" w:sz="0" w:space="0" w:color="auto"/>
      </w:divBdr>
    </w:div>
    <w:div w:id="1031416789">
      <w:bodyDiv w:val="1"/>
      <w:marLeft w:val="0"/>
      <w:marRight w:val="0"/>
      <w:marTop w:val="0"/>
      <w:marBottom w:val="0"/>
      <w:divBdr>
        <w:top w:val="none" w:sz="0" w:space="0" w:color="auto"/>
        <w:left w:val="none" w:sz="0" w:space="0" w:color="auto"/>
        <w:bottom w:val="none" w:sz="0" w:space="0" w:color="auto"/>
        <w:right w:val="none" w:sz="0" w:space="0" w:color="auto"/>
      </w:divBdr>
    </w:div>
    <w:div w:id="1035042229">
      <w:bodyDiv w:val="1"/>
      <w:marLeft w:val="0"/>
      <w:marRight w:val="0"/>
      <w:marTop w:val="0"/>
      <w:marBottom w:val="0"/>
      <w:divBdr>
        <w:top w:val="none" w:sz="0" w:space="0" w:color="auto"/>
        <w:left w:val="none" w:sz="0" w:space="0" w:color="auto"/>
        <w:bottom w:val="none" w:sz="0" w:space="0" w:color="auto"/>
        <w:right w:val="none" w:sz="0" w:space="0" w:color="auto"/>
      </w:divBdr>
    </w:div>
    <w:div w:id="1083185001">
      <w:bodyDiv w:val="1"/>
      <w:marLeft w:val="0"/>
      <w:marRight w:val="0"/>
      <w:marTop w:val="0"/>
      <w:marBottom w:val="0"/>
      <w:divBdr>
        <w:top w:val="none" w:sz="0" w:space="0" w:color="auto"/>
        <w:left w:val="none" w:sz="0" w:space="0" w:color="auto"/>
        <w:bottom w:val="none" w:sz="0" w:space="0" w:color="auto"/>
        <w:right w:val="none" w:sz="0" w:space="0" w:color="auto"/>
      </w:divBdr>
    </w:div>
    <w:div w:id="1137533331">
      <w:bodyDiv w:val="1"/>
      <w:marLeft w:val="0"/>
      <w:marRight w:val="0"/>
      <w:marTop w:val="0"/>
      <w:marBottom w:val="0"/>
      <w:divBdr>
        <w:top w:val="none" w:sz="0" w:space="0" w:color="auto"/>
        <w:left w:val="none" w:sz="0" w:space="0" w:color="auto"/>
        <w:bottom w:val="none" w:sz="0" w:space="0" w:color="auto"/>
        <w:right w:val="none" w:sz="0" w:space="0" w:color="auto"/>
      </w:divBdr>
    </w:div>
    <w:div w:id="1202282923">
      <w:bodyDiv w:val="1"/>
      <w:marLeft w:val="0"/>
      <w:marRight w:val="0"/>
      <w:marTop w:val="0"/>
      <w:marBottom w:val="0"/>
      <w:divBdr>
        <w:top w:val="none" w:sz="0" w:space="0" w:color="auto"/>
        <w:left w:val="none" w:sz="0" w:space="0" w:color="auto"/>
        <w:bottom w:val="none" w:sz="0" w:space="0" w:color="auto"/>
        <w:right w:val="none" w:sz="0" w:space="0" w:color="auto"/>
      </w:divBdr>
    </w:div>
    <w:div w:id="1234776103">
      <w:bodyDiv w:val="1"/>
      <w:marLeft w:val="0"/>
      <w:marRight w:val="0"/>
      <w:marTop w:val="0"/>
      <w:marBottom w:val="0"/>
      <w:divBdr>
        <w:top w:val="none" w:sz="0" w:space="0" w:color="auto"/>
        <w:left w:val="none" w:sz="0" w:space="0" w:color="auto"/>
        <w:bottom w:val="none" w:sz="0" w:space="0" w:color="auto"/>
        <w:right w:val="none" w:sz="0" w:space="0" w:color="auto"/>
      </w:divBdr>
    </w:div>
    <w:div w:id="1244411302">
      <w:bodyDiv w:val="1"/>
      <w:marLeft w:val="0"/>
      <w:marRight w:val="0"/>
      <w:marTop w:val="0"/>
      <w:marBottom w:val="0"/>
      <w:divBdr>
        <w:top w:val="none" w:sz="0" w:space="0" w:color="auto"/>
        <w:left w:val="none" w:sz="0" w:space="0" w:color="auto"/>
        <w:bottom w:val="none" w:sz="0" w:space="0" w:color="auto"/>
        <w:right w:val="none" w:sz="0" w:space="0" w:color="auto"/>
      </w:divBdr>
    </w:div>
    <w:div w:id="1288705006">
      <w:bodyDiv w:val="1"/>
      <w:marLeft w:val="0"/>
      <w:marRight w:val="0"/>
      <w:marTop w:val="0"/>
      <w:marBottom w:val="0"/>
      <w:divBdr>
        <w:top w:val="none" w:sz="0" w:space="0" w:color="auto"/>
        <w:left w:val="none" w:sz="0" w:space="0" w:color="auto"/>
        <w:bottom w:val="none" w:sz="0" w:space="0" w:color="auto"/>
        <w:right w:val="none" w:sz="0" w:space="0" w:color="auto"/>
      </w:divBdr>
    </w:div>
    <w:div w:id="1301838879">
      <w:bodyDiv w:val="1"/>
      <w:marLeft w:val="0"/>
      <w:marRight w:val="0"/>
      <w:marTop w:val="0"/>
      <w:marBottom w:val="0"/>
      <w:divBdr>
        <w:top w:val="none" w:sz="0" w:space="0" w:color="auto"/>
        <w:left w:val="none" w:sz="0" w:space="0" w:color="auto"/>
        <w:bottom w:val="none" w:sz="0" w:space="0" w:color="auto"/>
        <w:right w:val="none" w:sz="0" w:space="0" w:color="auto"/>
      </w:divBdr>
    </w:div>
    <w:div w:id="1394113210">
      <w:bodyDiv w:val="1"/>
      <w:marLeft w:val="0"/>
      <w:marRight w:val="0"/>
      <w:marTop w:val="0"/>
      <w:marBottom w:val="0"/>
      <w:divBdr>
        <w:top w:val="none" w:sz="0" w:space="0" w:color="auto"/>
        <w:left w:val="none" w:sz="0" w:space="0" w:color="auto"/>
        <w:bottom w:val="none" w:sz="0" w:space="0" w:color="auto"/>
        <w:right w:val="none" w:sz="0" w:space="0" w:color="auto"/>
      </w:divBdr>
    </w:div>
    <w:div w:id="1420523522">
      <w:bodyDiv w:val="1"/>
      <w:marLeft w:val="0"/>
      <w:marRight w:val="0"/>
      <w:marTop w:val="0"/>
      <w:marBottom w:val="0"/>
      <w:divBdr>
        <w:top w:val="none" w:sz="0" w:space="0" w:color="auto"/>
        <w:left w:val="none" w:sz="0" w:space="0" w:color="auto"/>
        <w:bottom w:val="none" w:sz="0" w:space="0" w:color="auto"/>
        <w:right w:val="none" w:sz="0" w:space="0" w:color="auto"/>
      </w:divBdr>
    </w:div>
    <w:div w:id="1424378592">
      <w:bodyDiv w:val="1"/>
      <w:marLeft w:val="0"/>
      <w:marRight w:val="0"/>
      <w:marTop w:val="0"/>
      <w:marBottom w:val="0"/>
      <w:divBdr>
        <w:top w:val="none" w:sz="0" w:space="0" w:color="auto"/>
        <w:left w:val="none" w:sz="0" w:space="0" w:color="auto"/>
        <w:bottom w:val="none" w:sz="0" w:space="0" w:color="auto"/>
        <w:right w:val="none" w:sz="0" w:space="0" w:color="auto"/>
      </w:divBdr>
    </w:div>
    <w:div w:id="1457064674">
      <w:bodyDiv w:val="1"/>
      <w:marLeft w:val="0"/>
      <w:marRight w:val="0"/>
      <w:marTop w:val="0"/>
      <w:marBottom w:val="0"/>
      <w:divBdr>
        <w:top w:val="none" w:sz="0" w:space="0" w:color="auto"/>
        <w:left w:val="none" w:sz="0" w:space="0" w:color="auto"/>
        <w:bottom w:val="none" w:sz="0" w:space="0" w:color="auto"/>
        <w:right w:val="none" w:sz="0" w:space="0" w:color="auto"/>
      </w:divBdr>
    </w:div>
    <w:div w:id="1465074760">
      <w:bodyDiv w:val="1"/>
      <w:marLeft w:val="0"/>
      <w:marRight w:val="0"/>
      <w:marTop w:val="0"/>
      <w:marBottom w:val="0"/>
      <w:divBdr>
        <w:top w:val="none" w:sz="0" w:space="0" w:color="auto"/>
        <w:left w:val="none" w:sz="0" w:space="0" w:color="auto"/>
        <w:bottom w:val="none" w:sz="0" w:space="0" w:color="auto"/>
        <w:right w:val="none" w:sz="0" w:space="0" w:color="auto"/>
      </w:divBdr>
    </w:div>
    <w:div w:id="1467819897">
      <w:bodyDiv w:val="1"/>
      <w:marLeft w:val="0"/>
      <w:marRight w:val="0"/>
      <w:marTop w:val="0"/>
      <w:marBottom w:val="0"/>
      <w:divBdr>
        <w:top w:val="none" w:sz="0" w:space="0" w:color="auto"/>
        <w:left w:val="none" w:sz="0" w:space="0" w:color="auto"/>
        <w:bottom w:val="none" w:sz="0" w:space="0" w:color="auto"/>
        <w:right w:val="none" w:sz="0" w:space="0" w:color="auto"/>
      </w:divBdr>
    </w:div>
    <w:div w:id="1469130278">
      <w:bodyDiv w:val="1"/>
      <w:marLeft w:val="0"/>
      <w:marRight w:val="0"/>
      <w:marTop w:val="0"/>
      <w:marBottom w:val="0"/>
      <w:divBdr>
        <w:top w:val="none" w:sz="0" w:space="0" w:color="auto"/>
        <w:left w:val="none" w:sz="0" w:space="0" w:color="auto"/>
        <w:bottom w:val="none" w:sz="0" w:space="0" w:color="auto"/>
        <w:right w:val="none" w:sz="0" w:space="0" w:color="auto"/>
      </w:divBdr>
    </w:div>
    <w:div w:id="1598633343">
      <w:bodyDiv w:val="1"/>
      <w:marLeft w:val="0"/>
      <w:marRight w:val="0"/>
      <w:marTop w:val="0"/>
      <w:marBottom w:val="0"/>
      <w:divBdr>
        <w:top w:val="none" w:sz="0" w:space="0" w:color="auto"/>
        <w:left w:val="none" w:sz="0" w:space="0" w:color="auto"/>
        <w:bottom w:val="none" w:sz="0" w:space="0" w:color="auto"/>
        <w:right w:val="none" w:sz="0" w:space="0" w:color="auto"/>
      </w:divBdr>
    </w:div>
    <w:div w:id="1620605040">
      <w:bodyDiv w:val="1"/>
      <w:marLeft w:val="0"/>
      <w:marRight w:val="0"/>
      <w:marTop w:val="0"/>
      <w:marBottom w:val="0"/>
      <w:divBdr>
        <w:top w:val="none" w:sz="0" w:space="0" w:color="auto"/>
        <w:left w:val="none" w:sz="0" w:space="0" w:color="auto"/>
        <w:bottom w:val="none" w:sz="0" w:space="0" w:color="auto"/>
        <w:right w:val="none" w:sz="0" w:space="0" w:color="auto"/>
      </w:divBdr>
    </w:div>
    <w:div w:id="1716419001">
      <w:bodyDiv w:val="1"/>
      <w:marLeft w:val="0"/>
      <w:marRight w:val="0"/>
      <w:marTop w:val="0"/>
      <w:marBottom w:val="0"/>
      <w:divBdr>
        <w:top w:val="none" w:sz="0" w:space="0" w:color="auto"/>
        <w:left w:val="none" w:sz="0" w:space="0" w:color="auto"/>
        <w:bottom w:val="none" w:sz="0" w:space="0" w:color="auto"/>
        <w:right w:val="none" w:sz="0" w:space="0" w:color="auto"/>
      </w:divBdr>
    </w:div>
    <w:div w:id="1717775540">
      <w:bodyDiv w:val="1"/>
      <w:marLeft w:val="0"/>
      <w:marRight w:val="0"/>
      <w:marTop w:val="0"/>
      <w:marBottom w:val="0"/>
      <w:divBdr>
        <w:top w:val="none" w:sz="0" w:space="0" w:color="auto"/>
        <w:left w:val="none" w:sz="0" w:space="0" w:color="auto"/>
        <w:bottom w:val="none" w:sz="0" w:space="0" w:color="auto"/>
        <w:right w:val="none" w:sz="0" w:space="0" w:color="auto"/>
      </w:divBdr>
    </w:div>
    <w:div w:id="1724672657">
      <w:bodyDiv w:val="1"/>
      <w:marLeft w:val="0"/>
      <w:marRight w:val="0"/>
      <w:marTop w:val="0"/>
      <w:marBottom w:val="0"/>
      <w:divBdr>
        <w:top w:val="none" w:sz="0" w:space="0" w:color="auto"/>
        <w:left w:val="none" w:sz="0" w:space="0" w:color="auto"/>
        <w:bottom w:val="none" w:sz="0" w:space="0" w:color="auto"/>
        <w:right w:val="none" w:sz="0" w:space="0" w:color="auto"/>
      </w:divBdr>
    </w:div>
    <w:div w:id="1742750254">
      <w:bodyDiv w:val="1"/>
      <w:marLeft w:val="0"/>
      <w:marRight w:val="0"/>
      <w:marTop w:val="0"/>
      <w:marBottom w:val="0"/>
      <w:divBdr>
        <w:top w:val="none" w:sz="0" w:space="0" w:color="auto"/>
        <w:left w:val="none" w:sz="0" w:space="0" w:color="auto"/>
        <w:bottom w:val="none" w:sz="0" w:space="0" w:color="auto"/>
        <w:right w:val="none" w:sz="0" w:space="0" w:color="auto"/>
      </w:divBdr>
    </w:div>
    <w:div w:id="1805270287">
      <w:bodyDiv w:val="1"/>
      <w:marLeft w:val="0"/>
      <w:marRight w:val="0"/>
      <w:marTop w:val="0"/>
      <w:marBottom w:val="0"/>
      <w:divBdr>
        <w:top w:val="none" w:sz="0" w:space="0" w:color="auto"/>
        <w:left w:val="none" w:sz="0" w:space="0" w:color="auto"/>
        <w:bottom w:val="none" w:sz="0" w:space="0" w:color="auto"/>
        <w:right w:val="none" w:sz="0" w:space="0" w:color="auto"/>
      </w:divBdr>
    </w:div>
    <w:div w:id="1891769886">
      <w:bodyDiv w:val="1"/>
      <w:marLeft w:val="0"/>
      <w:marRight w:val="0"/>
      <w:marTop w:val="0"/>
      <w:marBottom w:val="0"/>
      <w:divBdr>
        <w:top w:val="none" w:sz="0" w:space="0" w:color="auto"/>
        <w:left w:val="none" w:sz="0" w:space="0" w:color="auto"/>
        <w:bottom w:val="none" w:sz="0" w:space="0" w:color="auto"/>
        <w:right w:val="none" w:sz="0" w:space="0" w:color="auto"/>
      </w:divBdr>
    </w:div>
    <w:div w:id="1954284396">
      <w:bodyDiv w:val="1"/>
      <w:marLeft w:val="0"/>
      <w:marRight w:val="0"/>
      <w:marTop w:val="0"/>
      <w:marBottom w:val="0"/>
      <w:divBdr>
        <w:top w:val="none" w:sz="0" w:space="0" w:color="auto"/>
        <w:left w:val="none" w:sz="0" w:space="0" w:color="auto"/>
        <w:bottom w:val="none" w:sz="0" w:space="0" w:color="auto"/>
        <w:right w:val="none" w:sz="0" w:space="0" w:color="auto"/>
      </w:divBdr>
    </w:div>
    <w:div w:id="1991254365">
      <w:bodyDiv w:val="1"/>
      <w:marLeft w:val="0"/>
      <w:marRight w:val="0"/>
      <w:marTop w:val="0"/>
      <w:marBottom w:val="0"/>
      <w:divBdr>
        <w:top w:val="none" w:sz="0" w:space="0" w:color="auto"/>
        <w:left w:val="none" w:sz="0" w:space="0" w:color="auto"/>
        <w:bottom w:val="none" w:sz="0" w:space="0" w:color="auto"/>
        <w:right w:val="none" w:sz="0" w:space="0" w:color="auto"/>
      </w:divBdr>
    </w:div>
    <w:div w:id="2075885471">
      <w:bodyDiv w:val="1"/>
      <w:marLeft w:val="0"/>
      <w:marRight w:val="0"/>
      <w:marTop w:val="0"/>
      <w:marBottom w:val="0"/>
      <w:divBdr>
        <w:top w:val="none" w:sz="0" w:space="0" w:color="auto"/>
        <w:left w:val="none" w:sz="0" w:space="0" w:color="auto"/>
        <w:bottom w:val="none" w:sz="0" w:space="0" w:color="auto"/>
        <w:right w:val="none" w:sz="0" w:space="0" w:color="auto"/>
      </w:divBdr>
    </w:div>
    <w:div w:id="2086340844">
      <w:bodyDiv w:val="1"/>
      <w:marLeft w:val="0"/>
      <w:marRight w:val="0"/>
      <w:marTop w:val="0"/>
      <w:marBottom w:val="0"/>
      <w:divBdr>
        <w:top w:val="none" w:sz="0" w:space="0" w:color="auto"/>
        <w:left w:val="none" w:sz="0" w:space="0" w:color="auto"/>
        <w:bottom w:val="none" w:sz="0" w:space="0" w:color="auto"/>
        <w:right w:val="none" w:sz="0" w:space="0" w:color="auto"/>
      </w:divBdr>
    </w:div>
    <w:div w:id="2101367432">
      <w:bodyDiv w:val="1"/>
      <w:marLeft w:val="0"/>
      <w:marRight w:val="0"/>
      <w:marTop w:val="0"/>
      <w:marBottom w:val="0"/>
      <w:divBdr>
        <w:top w:val="none" w:sz="0" w:space="0" w:color="auto"/>
        <w:left w:val="none" w:sz="0" w:space="0" w:color="auto"/>
        <w:bottom w:val="none" w:sz="0" w:space="0" w:color="auto"/>
        <w:right w:val="none" w:sz="0" w:space="0" w:color="auto"/>
      </w:divBdr>
    </w:div>
    <w:div w:id="2112891586">
      <w:bodyDiv w:val="1"/>
      <w:marLeft w:val="0"/>
      <w:marRight w:val="0"/>
      <w:marTop w:val="0"/>
      <w:marBottom w:val="0"/>
      <w:divBdr>
        <w:top w:val="none" w:sz="0" w:space="0" w:color="auto"/>
        <w:left w:val="none" w:sz="0" w:space="0" w:color="auto"/>
        <w:bottom w:val="none" w:sz="0" w:space="0" w:color="auto"/>
        <w:right w:val="none" w:sz="0" w:space="0" w:color="auto"/>
      </w:divBdr>
    </w:div>
    <w:div w:id="2129541071">
      <w:bodyDiv w:val="1"/>
      <w:marLeft w:val="0"/>
      <w:marRight w:val="0"/>
      <w:marTop w:val="0"/>
      <w:marBottom w:val="0"/>
      <w:divBdr>
        <w:top w:val="none" w:sz="0" w:space="0" w:color="auto"/>
        <w:left w:val="none" w:sz="0" w:space="0" w:color="auto"/>
        <w:bottom w:val="none" w:sz="0" w:space="0" w:color="auto"/>
        <w:right w:val="none" w:sz="0" w:space="0" w:color="auto"/>
      </w:divBdr>
    </w:div>
    <w:div w:id="2134319672">
      <w:bodyDiv w:val="1"/>
      <w:marLeft w:val="0"/>
      <w:marRight w:val="0"/>
      <w:marTop w:val="0"/>
      <w:marBottom w:val="0"/>
      <w:divBdr>
        <w:top w:val="none" w:sz="0" w:space="0" w:color="auto"/>
        <w:left w:val="none" w:sz="0" w:space="0" w:color="auto"/>
        <w:bottom w:val="none" w:sz="0" w:space="0" w:color="auto"/>
        <w:right w:val="none" w:sz="0" w:space="0" w:color="auto"/>
      </w:divBdr>
    </w:div>
    <w:div w:id="21359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hyperlink" Target="https://likumi.lv/ta/id/270323-attistibas-finansu-institucijas-likum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elina.gusare@fm.gov.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likumi.lv/ta/id/87480-lauksaimniecibas-un-lauku-attistibas-likum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eur-lex.europa.eu/eli/reg/1997/1466/oj/?locale=LV"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sb.gov.lv/lv/statistika/klasifikacijas/institucionalo-sektoru-klasifikacija/kod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FDI\Inflation_main.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fk\fpd\FPD\Tautsaimniecibas_un_fiskalas_parvaldibas_nodala\M&#257;rti&#326;&#353;\veselibas_reforma\SP2020_2023\gov_10a_ex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71106187103494E-2"/>
          <c:y val="3.3700980392156861E-2"/>
          <c:w val="0.83945778762579304"/>
          <c:h val="0.71008349286959682"/>
        </c:manualLayout>
      </c:layout>
      <c:barChart>
        <c:barDir val="col"/>
        <c:grouping val="stacked"/>
        <c:varyColors val="0"/>
        <c:ser>
          <c:idx val="0"/>
          <c:order val="0"/>
          <c:tx>
            <c:strRef>
              <c:f>Sheet1!$C$4</c:f>
              <c:strCache>
                <c:ptCount val="1"/>
                <c:pt idx="0">
                  <c:v>Preces</c:v>
                </c:pt>
              </c:strCache>
            </c:strRef>
          </c:tx>
          <c:spPr>
            <a:solidFill>
              <a:schemeClr val="bg1">
                <a:lumMod val="75000"/>
              </a:schemeClr>
            </a:solidFill>
            <a:ln>
              <a:noFill/>
            </a:ln>
            <a:effectLst/>
          </c:spPr>
          <c:invertIfNegative val="0"/>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Sheet1!$D$4:$O$4</c:f>
              <c:numCache>
                <c:formatCode>General</c:formatCode>
                <c:ptCount val="12"/>
                <c:pt idx="0">
                  <c:v>-4199</c:v>
                </c:pt>
                <c:pt idx="1">
                  <c:v>-1579</c:v>
                </c:pt>
                <c:pt idx="2">
                  <c:v>-1542</c:v>
                </c:pt>
                <c:pt idx="3">
                  <c:v>-2511</c:v>
                </c:pt>
                <c:pt idx="4">
                  <c:v>-2637</c:v>
                </c:pt>
                <c:pt idx="5">
                  <c:v>-2620</c:v>
                </c:pt>
                <c:pt idx="6">
                  <c:v>-2466</c:v>
                </c:pt>
                <c:pt idx="7">
                  <c:v>-2239</c:v>
                </c:pt>
                <c:pt idx="8">
                  <c:v>-1886</c:v>
                </c:pt>
                <c:pt idx="9">
                  <c:v>-2220</c:v>
                </c:pt>
                <c:pt idx="10">
                  <c:v>-2351</c:v>
                </c:pt>
                <c:pt idx="11">
                  <c:v>-2481</c:v>
                </c:pt>
              </c:numCache>
            </c:numRef>
          </c:val>
          <c:extLst>
            <c:ext xmlns:c16="http://schemas.microsoft.com/office/drawing/2014/chart" uri="{C3380CC4-5D6E-409C-BE32-E72D297353CC}">
              <c16:uniqueId val="{00000000-F81D-4855-8312-7A60FCA91B39}"/>
            </c:ext>
          </c:extLst>
        </c:ser>
        <c:ser>
          <c:idx val="1"/>
          <c:order val="1"/>
          <c:tx>
            <c:strRef>
              <c:f>Sheet1!$C$5</c:f>
              <c:strCache>
                <c:ptCount val="1"/>
                <c:pt idx="0">
                  <c:v>Pakalpojumi</c:v>
                </c:pt>
              </c:strCache>
            </c:strRef>
          </c:tx>
          <c:spPr>
            <a:solidFill>
              <a:schemeClr val="accent2"/>
            </a:solidFill>
            <a:ln>
              <a:noFill/>
            </a:ln>
            <a:effectLst/>
          </c:spPr>
          <c:invertIfNegative val="0"/>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Sheet1!$D$5:$O$5</c:f>
              <c:numCache>
                <c:formatCode>General</c:formatCode>
                <c:ptCount val="12"/>
                <c:pt idx="0">
                  <c:v>1395</c:v>
                </c:pt>
                <c:pt idx="1">
                  <c:v>1430</c:v>
                </c:pt>
                <c:pt idx="2">
                  <c:v>1301</c:v>
                </c:pt>
                <c:pt idx="3">
                  <c:v>1480</c:v>
                </c:pt>
                <c:pt idx="4">
                  <c:v>1622</c:v>
                </c:pt>
                <c:pt idx="5">
                  <c:v>1773</c:v>
                </c:pt>
                <c:pt idx="6">
                  <c:v>1984</c:v>
                </c:pt>
                <c:pt idx="7">
                  <c:v>2017</c:v>
                </c:pt>
                <c:pt idx="8">
                  <c:v>2133</c:v>
                </c:pt>
                <c:pt idx="9">
                  <c:v>2262</c:v>
                </c:pt>
                <c:pt idx="10">
                  <c:v>2297</c:v>
                </c:pt>
                <c:pt idx="11">
                  <c:v>2499</c:v>
                </c:pt>
              </c:numCache>
            </c:numRef>
          </c:val>
          <c:extLst>
            <c:ext xmlns:c16="http://schemas.microsoft.com/office/drawing/2014/chart" uri="{C3380CC4-5D6E-409C-BE32-E72D297353CC}">
              <c16:uniqueId val="{00000001-F81D-4855-8312-7A60FCA91B39}"/>
            </c:ext>
          </c:extLst>
        </c:ser>
        <c:ser>
          <c:idx val="2"/>
          <c:order val="2"/>
          <c:tx>
            <c:strRef>
              <c:f>Sheet1!$C$6</c:f>
              <c:strCache>
                <c:ptCount val="1"/>
                <c:pt idx="0">
                  <c:v>Sākotnējie ienākumi</c:v>
                </c:pt>
              </c:strCache>
            </c:strRef>
          </c:tx>
          <c:spPr>
            <a:solidFill>
              <a:schemeClr val="accent1"/>
            </a:solidFill>
            <a:ln>
              <a:noFill/>
            </a:ln>
            <a:effectLst/>
          </c:spPr>
          <c:invertIfNegative val="0"/>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Sheet1!$D$6:$O$6</c:f>
              <c:numCache>
                <c:formatCode>General</c:formatCode>
                <c:ptCount val="12"/>
                <c:pt idx="0">
                  <c:v>-566</c:v>
                </c:pt>
                <c:pt idx="1">
                  <c:v>1144</c:v>
                </c:pt>
                <c:pt idx="2">
                  <c:v>144</c:v>
                </c:pt>
                <c:pt idx="3">
                  <c:v>-18</c:v>
                </c:pt>
                <c:pt idx="4">
                  <c:v>-134</c:v>
                </c:pt>
                <c:pt idx="5">
                  <c:v>-78</c:v>
                </c:pt>
                <c:pt idx="6">
                  <c:v>-75</c:v>
                </c:pt>
                <c:pt idx="7">
                  <c:v>-139</c:v>
                </c:pt>
                <c:pt idx="8">
                  <c:v>-64</c:v>
                </c:pt>
                <c:pt idx="9">
                  <c:v>-123</c:v>
                </c:pt>
                <c:pt idx="10">
                  <c:v>-502</c:v>
                </c:pt>
                <c:pt idx="11">
                  <c:v>-414</c:v>
                </c:pt>
              </c:numCache>
            </c:numRef>
          </c:val>
          <c:extLst>
            <c:ext xmlns:c16="http://schemas.microsoft.com/office/drawing/2014/chart" uri="{C3380CC4-5D6E-409C-BE32-E72D297353CC}">
              <c16:uniqueId val="{00000002-F81D-4855-8312-7A60FCA91B39}"/>
            </c:ext>
          </c:extLst>
        </c:ser>
        <c:ser>
          <c:idx val="3"/>
          <c:order val="3"/>
          <c:tx>
            <c:strRef>
              <c:f>Sheet1!$C$7</c:f>
              <c:strCache>
                <c:ptCount val="1"/>
                <c:pt idx="0">
                  <c:v>Otrreizējie ienākumi</c:v>
                </c:pt>
              </c:strCache>
            </c:strRef>
          </c:tx>
          <c:spPr>
            <a:solidFill>
              <a:schemeClr val="accent4"/>
            </a:solidFill>
            <a:ln>
              <a:noFill/>
            </a:ln>
            <a:effectLst/>
          </c:spPr>
          <c:invertIfNegative val="0"/>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Sheet1!$D$7:$O$7</c:f>
              <c:numCache>
                <c:formatCode>General</c:formatCode>
                <c:ptCount val="12"/>
                <c:pt idx="0">
                  <c:v>363</c:v>
                </c:pt>
                <c:pt idx="1">
                  <c:v>460</c:v>
                </c:pt>
                <c:pt idx="2">
                  <c:v>420</c:v>
                </c:pt>
                <c:pt idx="3">
                  <c:v>392</c:v>
                </c:pt>
                <c:pt idx="4">
                  <c:v>350</c:v>
                </c:pt>
                <c:pt idx="5">
                  <c:v>299</c:v>
                </c:pt>
                <c:pt idx="6">
                  <c:v>21</c:v>
                </c:pt>
                <c:pt idx="7">
                  <c:v>145</c:v>
                </c:pt>
                <c:pt idx="8">
                  <c:v>179</c:v>
                </c:pt>
                <c:pt idx="9">
                  <c:v>354</c:v>
                </c:pt>
                <c:pt idx="10">
                  <c:v>358</c:v>
                </c:pt>
                <c:pt idx="11">
                  <c:v>234</c:v>
                </c:pt>
              </c:numCache>
            </c:numRef>
          </c:val>
          <c:extLst>
            <c:ext xmlns:c16="http://schemas.microsoft.com/office/drawing/2014/chart" uri="{C3380CC4-5D6E-409C-BE32-E72D297353CC}">
              <c16:uniqueId val="{00000003-F81D-4855-8312-7A60FCA91B39}"/>
            </c:ext>
          </c:extLst>
        </c:ser>
        <c:dLbls>
          <c:showLegendKey val="0"/>
          <c:showVal val="0"/>
          <c:showCatName val="0"/>
          <c:showSerName val="0"/>
          <c:showPercent val="0"/>
          <c:showBubbleSize val="0"/>
        </c:dLbls>
        <c:gapWidth val="150"/>
        <c:overlap val="100"/>
        <c:axId val="505571871"/>
        <c:axId val="505575199"/>
      </c:barChart>
      <c:lineChart>
        <c:grouping val="standard"/>
        <c:varyColors val="0"/>
        <c:ser>
          <c:idx val="4"/>
          <c:order val="4"/>
          <c:tx>
            <c:strRef>
              <c:f>Sheet1!$C$8</c:f>
              <c:strCache>
                <c:ptCount val="1"/>
                <c:pt idx="0">
                  <c:v>Tekošais konts, % no IKP (labā ass)</c:v>
                </c:pt>
              </c:strCache>
            </c:strRef>
          </c:tx>
          <c:spPr>
            <a:ln w="28575" cap="rnd">
              <a:solidFill>
                <a:srgbClr val="00B050"/>
              </a:solidFill>
              <a:prstDash val="dash"/>
              <a:round/>
            </a:ln>
            <a:effectLst/>
          </c:spPr>
          <c:marker>
            <c:symbol val="none"/>
          </c:marker>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Sheet1!$D$8:$O$8</c:f>
              <c:numCache>
                <c:formatCode>0.0%</c:formatCode>
                <c:ptCount val="12"/>
                <c:pt idx="0">
                  <c:v>-0.12326985106812896</c:v>
                </c:pt>
                <c:pt idx="1">
                  <c:v>7.7098638441222264E-2</c:v>
                </c:pt>
                <c:pt idx="2">
                  <c:v>1.797726393723564E-2</c:v>
                </c:pt>
                <c:pt idx="3">
                  <c:v>-3.2333784661128157E-2</c:v>
                </c:pt>
                <c:pt idx="4">
                  <c:v>-3.6442146405023308E-2</c:v>
                </c:pt>
                <c:pt idx="5">
                  <c:v>-2.7408658671553624E-2</c:v>
                </c:pt>
                <c:pt idx="6">
                  <c:v>-2.2659856196155889E-2</c:v>
                </c:pt>
                <c:pt idx="7">
                  <c:v>-8.8430509524723266E-3</c:v>
                </c:pt>
                <c:pt idx="8">
                  <c:v>1.4398165841185121E-2</c:v>
                </c:pt>
                <c:pt idx="9">
                  <c:v>1.022470734853822E-2</c:v>
                </c:pt>
                <c:pt idx="10">
                  <c:v>-6.8144155864269234E-3</c:v>
                </c:pt>
                <c:pt idx="11">
                  <c:v>-5.3484556596783573E-3</c:v>
                </c:pt>
              </c:numCache>
            </c:numRef>
          </c:val>
          <c:smooth val="1"/>
          <c:extLst>
            <c:ext xmlns:c16="http://schemas.microsoft.com/office/drawing/2014/chart" uri="{C3380CC4-5D6E-409C-BE32-E72D297353CC}">
              <c16:uniqueId val="{00000004-F81D-4855-8312-7A60FCA91B39}"/>
            </c:ext>
          </c:extLst>
        </c:ser>
        <c:ser>
          <c:idx val="5"/>
          <c:order val="5"/>
          <c:tx>
            <c:strRef>
              <c:f>Sheet1!$C$9</c:f>
              <c:strCache>
                <c:ptCount val="1"/>
                <c:pt idx="0">
                  <c:v>Tekošais un kapitāla konts, % no IKP (labā ass)</c:v>
                </c:pt>
              </c:strCache>
            </c:strRef>
          </c:tx>
          <c:spPr>
            <a:ln w="28575" cap="rnd">
              <a:solidFill>
                <a:schemeClr val="accent5">
                  <a:lumMod val="75000"/>
                </a:schemeClr>
              </a:solidFill>
              <a:round/>
            </a:ln>
            <a:effectLst/>
          </c:spPr>
          <c:marker>
            <c:symbol val="none"/>
          </c:marker>
          <c:cat>
            <c:numRef>
              <c:f>Sheet1!$D$3:$O$3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Sheet1!$D$9:$O$9</c:f>
              <c:numCache>
                <c:formatCode>0.0%</c:formatCode>
                <c:ptCount val="12"/>
                <c:pt idx="0">
                  <c:v>-0.10929079579236176</c:v>
                </c:pt>
                <c:pt idx="1">
                  <c:v>0.10103310586940391</c:v>
                </c:pt>
                <c:pt idx="2">
                  <c:v>3.7568585627350021E-2</c:v>
                </c:pt>
                <c:pt idx="3">
                  <c:v>-1.1220856777377807E-2</c:v>
                </c:pt>
                <c:pt idx="4">
                  <c:v>-6.6590154882770992E-3</c:v>
                </c:pt>
                <c:pt idx="5">
                  <c:v>-2.2804004014732615E-3</c:v>
                </c:pt>
                <c:pt idx="6">
                  <c:v>9.2161355424663881E-3</c:v>
                </c:pt>
                <c:pt idx="7">
                  <c:v>1.8791483274003696E-2</c:v>
                </c:pt>
                <c:pt idx="8">
                  <c:v>2.4648383628400012E-2</c:v>
                </c:pt>
                <c:pt idx="9">
                  <c:v>1.6531187428476028E-2</c:v>
                </c:pt>
                <c:pt idx="10">
                  <c:v>1.1254110589705071E-2</c:v>
                </c:pt>
                <c:pt idx="11">
                  <c:v>1.3945359848854613E-2</c:v>
                </c:pt>
              </c:numCache>
            </c:numRef>
          </c:val>
          <c:smooth val="1"/>
          <c:extLst>
            <c:ext xmlns:c16="http://schemas.microsoft.com/office/drawing/2014/chart" uri="{C3380CC4-5D6E-409C-BE32-E72D297353CC}">
              <c16:uniqueId val="{00000005-F81D-4855-8312-7A60FCA91B39}"/>
            </c:ext>
          </c:extLst>
        </c:ser>
        <c:dLbls>
          <c:showLegendKey val="0"/>
          <c:showVal val="0"/>
          <c:showCatName val="0"/>
          <c:showSerName val="0"/>
          <c:showPercent val="0"/>
          <c:showBubbleSize val="0"/>
        </c:dLbls>
        <c:marker val="1"/>
        <c:smooth val="0"/>
        <c:axId val="595673919"/>
        <c:axId val="507469423"/>
      </c:lineChart>
      <c:catAx>
        <c:axId val="505571871"/>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05575199"/>
        <c:crosses val="autoZero"/>
        <c:auto val="1"/>
        <c:lblAlgn val="ctr"/>
        <c:lblOffset val="100"/>
        <c:noMultiLvlLbl val="0"/>
      </c:catAx>
      <c:valAx>
        <c:axId val="505575199"/>
        <c:scaling>
          <c:orientation val="minMax"/>
          <c:max val="5000"/>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05571871"/>
        <c:crosses val="autoZero"/>
        <c:crossBetween val="between"/>
      </c:valAx>
      <c:valAx>
        <c:axId val="507469423"/>
        <c:scaling>
          <c:orientation val="minMax"/>
          <c:max val="0.140000000000000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95673919"/>
        <c:crosses val="max"/>
        <c:crossBetween val="between"/>
        <c:majorUnit val="2.0000000000000004E-2"/>
      </c:valAx>
      <c:catAx>
        <c:axId val="595673919"/>
        <c:scaling>
          <c:orientation val="minMax"/>
        </c:scaling>
        <c:delete val="1"/>
        <c:axPos val="b"/>
        <c:numFmt formatCode="General" sourceLinked="1"/>
        <c:majorTickMark val="out"/>
        <c:minorTickMark val="none"/>
        <c:tickLblPos val="nextTo"/>
        <c:crossAx val="507469423"/>
        <c:crosses val="autoZero"/>
        <c:auto val="1"/>
        <c:lblAlgn val="ctr"/>
        <c:lblOffset val="100"/>
        <c:noMultiLvlLbl val="0"/>
      </c:catAx>
      <c:spPr>
        <a:noFill/>
        <a:ln>
          <a:noFill/>
        </a:ln>
        <a:effectLst/>
      </c:spPr>
    </c:plotArea>
    <c:legend>
      <c:legendPos val="b"/>
      <c:layout>
        <c:manualLayout>
          <c:xMode val="edge"/>
          <c:yMode val="edge"/>
          <c:x val="0"/>
          <c:y val="0.81081188605239196"/>
          <c:w val="0.99613785981670322"/>
          <c:h val="0.170805531302483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BySource!$L$1</c:f>
              <c:strCache>
                <c:ptCount val="1"/>
                <c:pt idx="0">
                  <c:v>Pamatinflācija</c:v>
                </c:pt>
              </c:strCache>
            </c:strRef>
          </c:tx>
          <c:spPr>
            <a:solidFill>
              <a:schemeClr val="accent1">
                <a:lumMod val="75000"/>
              </a:schemeClr>
            </a:solidFill>
            <a:ln>
              <a:noFill/>
            </a:ln>
          </c:spPr>
          <c:invertIfNegative val="0"/>
          <c:cat>
            <c:multiLvlStrRef>
              <c:f>BySource!$A$122:$B$195</c:f>
              <c:multiLvlStrCache>
                <c:ptCount val="7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lvl>
                <c:lvl>
                  <c:pt idx="0">
                    <c:v>2014</c:v>
                  </c:pt>
                  <c:pt idx="12">
                    <c:v>2015</c:v>
                  </c:pt>
                  <c:pt idx="24">
                    <c:v>2016</c:v>
                  </c:pt>
                  <c:pt idx="36">
                    <c:v>2017</c:v>
                  </c:pt>
                  <c:pt idx="48">
                    <c:v>2018</c:v>
                  </c:pt>
                  <c:pt idx="60">
                    <c:v>2019</c:v>
                  </c:pt>
                  <c:pt idx="72">
                    <c:v>2020</c:v>
                  </c:pt>
                </c:lvl>
              </c:multiLvlStrCache>
            </c:multiLvlStrRef>
          </c:cat>
          <c:val>
            <c:numRef>
              <c:f>BySource!$L$122:$L$195</c:f>
              <c:numCache>
                <c:formatCode>#,##0.0</c:formatCode>
                <c:ptCount val="74"/>
                <c:pt idx="0">
                  <c:v>0.48801821980363269</c:v>
                </c:pt>
                <c:pt idx="1">
                  <c:v>0.57142083604539284</c:v>
                </c:pt>
                <c:pt idx="2">
                  <c:v>0.52332008929592344</c:v>
                </c:pt>
                <c:pt idx="3">
                  <c:v>0.77242848254881824</c:v>
                </c:pt>
                <c:pt idx="4">
                  <c:v>0.80276931422065645</c:v>
                </c:pt>
                <c:pt idx="5">
                  <c:v>0.98462015967219774</c:v>
                </c:pt>
                <c:pt idx="6">
                  <c:v>0.8682799774114931</c:v>
                </c:pt>
                <c:pt idx="7">
                  <c:v>1.0726461064937283</c:v>
                </c:pt>
                <c:pt idx="8">
                  <c:v>1.0222635599800669</c:v>
                </c:pt>
                <c:pt idx="9">
                  <c:v>0.66987964973080294</c:v>
                </c:pt>
                <c:pt idx="10">
                  <c:v>1.1102884717528918</c:v>
                </c:pt>
                <c:pt idx="11">
                  <c:v>0.99016020156261475</c:v>
                </c:pt>
                <c:pt idx="12">
                  <c:v>0.65922703245154191</c:v>
                </c:pt>
                <c:pt idx="13">
                  <c:v>0.5114154077850942</c:v>
                </c:pt>
                <c:pt idx="14">
                  <c:v>0.67592314182225322</c:v>
                </c:pt>
                <c:pt idx="15">
                  <c:v>0.59126012490950208</c:v>
                </c:pt>
                <c:pt idx="16">
                  <c:v>0.78091483209483503</c:v>
                </c:pt>
                <c:pt idx="17">
                  <c:v>0.60989589013833978</c:v>
                </c:pt>
                <c:pt idx="18">
                  <c:v>0.36710090251858851</c:v>
                </c:pt>
                <c:pt idx="19">
                  <c:v>0.46217294810447795</c:v>
                </c:pt>
                <c:pt idx="20">
                  <c:v>0.30149994733582774</c:v>
                </c:pt>
                <c:pt idx="21">
                  <c:v>0.60453720383739551</c:v>
                </c:pt>
                <c:pt idx="22">
                  <c:v>0.49217522668943037</c:v>
                </c:pt>
                <c:pt idx="23">
                  <c:v>0.50113098641132869</c:v>
                </c:pt>
                <c:pt idx="24">
                  <c:v>0.22974621020138983</c:v>
                </c:pt>
                <c:pt idx="25">
                  <c:v>0.49760142564668969</c:v>
                </c:pt>
                <c:pt idx="26">
                  <c:v>0.64051454803596775</c:v>
                </c:pt>
                <c:pt idx="27">
                  <c:v>0.41964154916742591</c:v>
                </c:pt>
                <c:pt idx="28">
                  <c:v>0.70845128486779085</c:v>
                </c:pt>
                <c:pt idx="29" formatCode="0.0">
                  <c:v>0.61495181553140155</c:v>
                </c:pt>
                <c:pt idx="30">
                  <c:v>0.84749419313534113</c:v>
                </c:pt>
                <c:pt idx="31" formatCode="0.0">
                  <c:v>0.56602398032710011</c:v>
                </c:pt>
                <c:pt idx="32">
                  <c:v>0.70819976194658585</c:v>
                </c:pt>
                <c:pt idx="33">
                  <c:v>0.82366837655649527</c:v>
                </c:pt>
                <c:pt idx="34">
                  <c:v>0.88293763769473521</c:v>
                </c:pt>
                <c:pt idx="35">
                  <c:v>1.278105464679129</c:v>
                </c:pt>
                <c:pt idx="36">
                  <c:v>1.5407412072308968</c:v>
                </c:pt>
                <c:pt idx="37">
                  <c:v>1.4361403792811016</c:v>
                </c:pt>
                <c:pt idx="38" formatCode="0.000">
                  <c:v>1.6245594079338732</c:v>
                </c:pt>
                <c:pt idx="39" formatCode="0.000">
                  <c:v>1.9776098861213867</c:v>
                </c:pt>
                <c:pt idx="40" formatCode="0.000">
                  <c:v>1.485859007214319</c:v>
                </c:pt>
                <c:pt idx="41" formatCode="0.000">
                  <c:v>1.6924932865781954</c:v>
                </c:pt>
                <c:pt idx="42" formatCode="0.000">
                  <c:v>1.4319484971323546</c:v>
                </c:pt>
                <c:pt idx="43" formatCode="0.000">
                  <c:v>1.8718385852814594</c:v>
                </c:pt>
                <c:pt idx="44" formatCode="0.000">
                  <c:v>1.5973688667930093</c:v>
                </c:pt>
                <c:pt idx="45" formatCode="0.000">
                  <c:v>1.6755369345884346</c:v>
                </c:pt>
                <c:pt idx="46" formatCode="0.000">
                  <c:v>1.5503366667797651</c:v>
                </c:pt>
                <c:pt idx="47" formatCode="0.000">
                  <c:v>1.1611873855773489</c:v>
                </c:pt>
                <c:pt idx="48" formatCode="0.000">
                  <c:v>1.2238262620642182</c:v>
                </c:pt>
                <c:pt idx="49" formatCode="0.000">
                  <c:v>1.2907718295672268</c:v>
                </c:pt>
                <c:pt idx="50" formatCode="0.000">
                  <c:v>1.2670477776129232</c:v>
                </c:pt>
                <c:pt idx="51" formatCode="0.000">
                  <c:v>0.98527089573845839</c:v>
                </c:pt>
                <c:pt idx="52" formatCode="0.000">
                  <c:v>0.98585971991311006</c:v>
                </c:pt>
                <c:pt idx="53" formatCode="0.000">
                  <c:v>1.2062116608889122</c:v>
                </c:pt>
                <c:pt idx="54" formatCode="0.000">
                  <c:v>1.0126232734032783</c:v>
                </c:pt>
                <c:pt idx="55" formatCode="0.000">
                  <c:v>1.0503295896981033</c:v>
                </c:pt>
                <c:pt idx="56" formatCode="0.000">
                  <c:v>1.2072967825954954</c:v>
                </c:pt>
                <c:pt idx="57" formatCode="0.000">
                  <c:v>1.0957378705291934</c:v>
                </c:pt>
                <c:pt idx="58" formatCode="0.000">
                  <c:v>1.2784197433078166</c:v>
                </c:pt>
                <c:pt idx="59" formatCode="0.000">
                  <c:v>1.3327464203503485</c:v>
                </c:pt>
                <c:pt idx="60" formatCode="0.000">
                  <c:v>1.6455762541620371</c:v>
                </c:pt>
                <c:pt idx="61" formatCode="0.000">
                  <c:v>1.4890595181960273</c:v>
                </c:pt>
                <c:pt idx="62" formatCode="0.000">
                  <c:v>1.327383077069922</c:v>
                </c:pt>
                <c:pt idx="63" formatCode="0.000">
                  <c:v>1.7672288924447788</c:v>
                </c:pt>
                <c:pt idx="64" formatCode="0.000">
                  <c:v>1.6033368621956283</c:v>
                </c:pt>
                <c:pt idx="65" formatCode="0.000">
                  <c:v>1.6368725521326195</c:v>
                </c:pt>
                <c:pt idx="66" formatCode="0.000">
                  <c:v>1.893577807511664</c:v>
                </c:pt>
                <c:pt idx="67" formatCode="0.000">
                  <c:v>1.9571298157800154</c:v>
                </c:pt>
                <c:pt idx="68" formatCode="0.000">
                  <c:v>1.9836049273069449</c:v>
                </c:pt>
                <c:pt idx="69" formatCode="0.000">
                  <c:v>1.7411892825096993</c:v>
                </c:pt>
                <c:pt idx="70" formatCode="0.000">
                  <c:v>1.5779329186807882</c:v>
                </c:pt>
                <c:pt idx="71" formatCode="0.000">
                  <c:v>1.3033704068031084</c:v>
                </c:pt>
                <c:pt idx="72" formatCode="0.000">
                  <c:v>1.0107503088287251</c:v>
                </c:pt>
                <c:pt idx="73" formatCode="0.000">
                  <c:v>1.1137979076711841</c:v>
                </c:pt>
              </c:numCache>
            </c:numRef>
          </c:val>
          <c:extLst>
            <c:ext xmlns:c16="http://schemas.microsoft.com/office/drawing/2014/chart" uri="{C3380CC4-5D6E-409C-BE32-E72D297353CC}">
              <c16:uniqueId val="{00000000-0B71-4804-8763-39C1C0345CF3}"/>
            </c:ext>
          </c:extLst>
        </c:ser>
        <c:ser>
          <c:idx val="2"/>
          <c:order val="1"/>
          <c:tx>
            <c:strRef>
              <c:f>BySource!$D$1</c:f>
              <c:strCache>
                <c:ptCount val="1"/>
                <c:pt idx="0">
                  <c:v>Nodokļi</c:v>
                </c:pt>
              </c:strCache>
            </c:strRef>
          </c:tx>
          <c:spPr>
            <a:solidFill>
              <a:srgbClr val="92D050"/>
            </a:solidFill>
            <a:ln>
              <a:noFill/>
            </a:ln>
          </c:spPr>
          <c:invertIfNegative val="0"/>
          <c:cat>
            <c:multiLvlStrRef>
              <c:f>BySource!$A$122:$B$195</c:f>
              <c:multiLvlStrCache>
                <c:ptCount val="7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lvl>
                <c:lvl>
                  <c:pt idx="0">
                    <c:v>2014</c:v>
                  </c:pt>
                  <c:pt idx="12">
                    <c:v>2015</c:v>
                  </c:pt>
                  <c:pt idx="24">
                    <c:v>2016</c:v>
                  </c:pt>
                  <c:pt idx="36">
                    <c:v>2017</c:v>
                  </c:pt>
                  <c:pt idx="48">
                    <c:v>2018</c:v>
                  </c:pt>
                  <c:pt idx="60">
                    <c:v>2019</c:v>
                  </c:pt>
                  <c:pt idx="72">
                    <c:v>2020</c:v>
                  </c:pt>
                </c:lvl>
              </c:multiLvlStrCache>
            </c:multiLvlStrRef>
          </c:cat>
          <c:val>
            <c:numRef>
              <c:f>BySource!$D$122:$D$195</c:f>
              <c:numCache>
                <c:formatCode>#,##0.0</c:formatCode>
                <c:ptCount val="74"/>
                <c:pt idx="0">
                  <c:v>0.14258665982098684</c:v>
                </c:pt>
                <c:pt idx="1">
                  <c:v>0.15299584875565486</c:v>
                </c:pt>
                <c:pt idx="2">
                  <c:v>0.11138957181231479</c:v>
                </c:pt>
                <c:pt idx="3">
                  <c:v>0.1124736761959122</c:v>
                </c:pt>
                <c:pt idx="4" formatCode="0.0">
                  <c:v>0.1120365221735975</c:v>
                </c:pt>
                <c:pt idx="5" formatCode="0.0">
                  <c:v>0.1016406399408476</c:v>
                </c:pt>
                <c:pt idx="6" formatCode="0.0">
                  <c:v>0.1213448575251741</c:v>
                </c:pt>
                <c:pt idx="7" formatCode="0.0">
                  <c:v>0.12302888134920753</c:v>
                </c:pt>
                <c:pt idx="8" formatCode="0.0">
                  <c:v>0.13395468966999058</c:v>
                </c:pt>
                <c:pt idx="9" formatCode="0.0">
                  <c:v>0.13265018481374291</c:v>
                </c:pt>
                <c:pt idx="10" formatCode="0.0">
                  <c:v>0.13370655665274622</c:v>
                </c:pt>
                <c:pt idx="11" formatCode="0.0">
                  <c:v>0.1321494079090435</c:v>
                </c:pt>
                <c:pt idx="12" formatCode="0.0">
                  <c:v>3.975110435042728E-2</c:v>
                </c:pt>
                <c:pt idx="13" formatCode="0.0">
                  <c:v>5.033931078827214E-2</c:v>
                </c:pt>
                <c:pt idx="14" formatCode="0.0">
                  <c:v>7.0846318374551132E-2</c:v>
                </c:pt>
                <c:pt idx="15" formatCode="0.0">
                  <c:v>7.0542368500414732E-2</c:v>
                </c:pt>
                <c:pt idx="16" formatCode="0.0">
                  <c:v>6.1167376763404668E-2</c:v>
                </c:pt>
                <c:pt idx="17" formatCode="0.0">
                  <c:v>8.0236226804220045E-2</c:v>
                </c:pt>
                <c:pt idx="18" formatCode="0.0">
                  <c:v>0.10923488517972091</c:v>
                </c:pt>
                <c:pt idx="19" formatCode="0.0">
                  <c:v>0.18064227301821667</c:v>
                </c:pt>
                <c:pt idx="20" formatCode="0.0">
                  <c:v>0.18937283258491089</c:v>
                </c:pt>
                <c:pt idx="21" formatCode="0.0">
                  <c:v>0.19008779667691877</c:v>
                </c:pt>
                <c:pt idx="22" formatCode="0.0">
                  <c:v>0.18065237371484022</c:v>
                </c:pt>
                <c:pt idx="23" formatCode="0.0">
                  <c:v>0.19234719652208021</c:v>
                </c:pt>
                <c:pt idx="24" formatCode="0.0">
                  <c:v>0.30259155774963187</c:v>
                </c:pt>
                <c:pt idx="25" formatCode="0.0">
                  <c:v>0.30131232542679465</c:v>
                </c:pt>
                <c:pt idx="26" formatCode="0.0">
                  <c:v>0.3392153772210027</c:v>
                </c:pt>
                <c:pt idx="27" formatCode="0.0">
                  <c:v>0.3472019756389777</c:v>
                </c:pt>
                <c:pt idx="28" formatCode="0.0">
                  <c:v>0.34428781865147862</c:v>
                </c:pt>
                <c:pt idx="29" formatCode="0.0">
                  <c:v>0.33499434167341136</c:v>
                </c:pt>
                <c:pt idx="30" formatCode="0.0">
                  <c:v>0.66819587114790302</c:v>
                </c:pt>
                <c:pt idx="31" formatCode="0.0">
                  <c:v>0.59149972755125901</c:v>
                </c:pt>
                <c:pt idx="32" formatCode="0.0">
                  <c:v>0.57226503211953439</c:v>
                </c:pt>
                <c:pt idx="33" formatCode="0.0">
                  <c:v>0.5716057465338098</c:v>
                </c:pt>
                <c:pt idx="34" formatCode="0.00">
                  <c:v>0.59203918491890217</c:v>
                </c:pt>
                <c:pt idx="35" formatCode="0.00">
                  <c:v>0.57268704576687313</c:v>
                </c:pt>
                <c:pt idx="36" formatCode="0.000">
                  <c:v>0.4208896258503847</c:v>
                </c:pt>
                <c:pt idx="37" formatCode="0.000">
                  <c:v>0.41957212712528946</c:v>
                </c:pt>
                <c:pt idx="38" formatCode="0.000">
                  <c:v>0.43402548124944484</c:v>
                </c:pt>
                <c:pt idx="39" formatCode="0.000">
                  <c:v>0.43183529366772611</c:v>
                </c:pt>
                <c:pt idx="40" formatCode="0.000">
                  <c:v>0.44051944544596378</c:v>
                </c:pt>
                <c:pt idx="41" formatCode="0.000">
                  <c:v>0.44915811935617445</c:v>
                </c:pt>
                <c:pt idx="42" formatCode="0.000">
                  <c:v>0.11301168717383625</c:v>
                </c:pt>
                <c:pt idx="43" formatCode="0.000">
                  <c:v>0.11988776552356306</c:v>
                </c:pt>
                <c:pt idx="44" formatCode="0.000">
                  <c:v>0.13109693782886733</c:v>
                </c:pt>
                <c:pt idx="45" formatCode="0.000">
                  <c:v>0.13204300441380656</c:v>
                </c:pt>
                <c:pt idx="46" formatCode="0.000">
                  <c:v>0.121573528374741</c:v>
                </c:pt>
                <c:pt idx="47" formatCode="0.000">
                  <c:v>0.13477238884960219</c:v>
                </c:pt>
                <c:pt idx="48" formatCode="0.000">
                  <c:v>0.13640064937607832</c:v>
                </c:pt>
                <c:pt idx="49" formatCode="0.000">
                  <c:v>0.11705618380664085</c:v>
                </c:pt>
                <c:pt idx="50" formatCode="0.000">
                  <c:v>0.41517073877550548</c:v>
                </c:pt>
                <c:pt idx="51" formatCode="0.000">
                  <c:v>0.39483662952688459</c:v>
                </c:pt>
                <c:pt idx="52" formatCode="0.000">
                  <c:v>0.38240236593225507</c:v>
                </c:pt>
                <c:pt idx="53" formatCode="0.000">
                  <c:v>0.37837334310564241</c:v>
                </c:pt>
                <c:pt idx="54" formatCode="0.000">
                  <c:v>0.49769156232781775</c:v>
                </c:pt>
                <c:pt idx="55" formatCode="0.000">
                  <c:v>0.52632916648460704</c:v>
                </c:pt>
                <c:pt idx="56" formatCode="0.000">
                  <c:v>0.50216708101762375</c:v>
                </c:pt>
                <c:pt idx="57" formatCode="0.000">
                  <c:v>0.4911630385366017</c:v>
                </c:pt>
                <c:pt idx="58" formatCode="0.000">
                  <c:v>0.49284154331015184</c:v>
                </c:pt>
                <c:pt idx="59" formatCode="0.000">
                  <c:v>0.48594111962383391</c:v>
                </c:pt>
                <c:pt idx="60" formatCode="0.000">
                  <c:v>0.5328868667311415</c:v>
                </c:pt>
                <c:pt idx="61" formatCode="0.000">
                  <c:v>0.54254461311924462</c:v>
                </c:pt>
                <c:pt idx="62" formatCode="0.000">
                  <c:v>0.36474076746926265</c:v>
                </c:pt>
                <c:pt idx="63" formatCode="0.000">
                  <c:v>0.37561348004606643</c:v>
                </c:pt>
                <c:pt idx="64" formatCode="0.000">
                  <c:v>0.39147306960274353</c:v>
                </c:pt>
                <c:pt idx="65" formatCode="0.000">
                  <c:v>0.38368775508643704</c:v>
                </c:pt>
                <c:pt idx="66" formatCode="0.000">
                  <c:v>0.29736520498462315</c:v>
                </c:pt>
                <c:pt idx="67" formatCode="0.000">
                  <c:v>6.4419453762365464E-2</c:v>
                </c:pt>
                <c:pt idx="68" formatCode="0.000">
                  <c:v>9.3893321481153258E-2</c:v>
                </c:pt>
                <c:pt idx="69" formatCode="0.000">
                  <c:v>9.5819446626044247E-2</c:v>
                </c:pt>
                <c:pt idx="70" formatCode="0.000">
                  <c:v>8.8823606723376081E-2</c:v>
                </c:pt>
                <c:pt idx="71" formatCode="0.000">
                  <c:v>0.1063827609780521</c:v>
                </c:pt>
                <c:pt idx="72" formatCode="General">
                  <c:v>0.30498869670396722</c:v>
                </c:pt>
                <c:pt idx="73" formatCode="General">
                  <c:v>0.31324070333822451</c:v>
                </c:pt>
              </c:numCache>
            </c:numRef>
          </c:val>
          <c:extLst>
            <c:ext xmlns:c16="http://schemas.microsoft.com/office/drawing/2014/chart" uri="{C3380CC4-5D6E-409C-BE32-E72D297353CC}">
              <c16:uniqueId val="{00000001-0B71-4804-8763-39C1C0345CF3}"/>
            </c:ext>
          </c:extLst>
        </c:ser>
        <c:ser>
          <c:idx val="1"/>
          <c:order val="2"/>
          <c:tx>
            <c:strRef>
              <c:f>BySource!$N$1</c:f>
              <c:strCache>
                <c:ptCount val="1"/>
                <c:pt idx="0">
                  <c:v>Importētā inflācija</c:v>
                </c:pt>
              </c:strCache>
            </c:strRef>
          </c:tx>
          <c:spPr>
            <a:solidFill>
              <a:schemeClr val="accent2"/>
            </a:solidFill>
            <a:ln>
              <a:noFill/>
            </a:ln>
          </c:spPr>
          <c:invertIfNegative val="0"/>
          <c:cat>
            <c:multiLvlStrRef>
              <c:f>BySource!$A$122:$B$195</c:f>
              <c:multiLvlStrCache>
                <c:ptCount val="7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lvl>
                <c:lvl>
                  <c:pt idx="0">
                    <c:v>2014</c:v>
                  </c:pt>
                  <c:pt idx="12">
                    <c:v>2015</c:v>
                  </c:pt>
                  <c:pt idx="24">
                    <c:v>2016</c:v>
                  </c:pt>
                  <c:pt idx="36">
                    <c:v>2017</c:v>
                  </c:pt>
                  <c:pt idx="48">
                    <c:v>2018</c:v>
                  </c:pt>
                  <c:pt idx="60">
                    <c:v>2019</c:v>
                  </c:pt>
                  <c:pt idx="72">
                    <c:v>2020</c:v>
                  </c:pt>
                </c:lvl>
              </c:multiLvlStrCache>
            </c:multiLvlStrRef>
          </c:cat>
          <c:val>
            <c:numRef>
              <c:f>BySource!$N$122:$N$195</c:f>
              <c:numCache>
                <c:formatCode>#,##0.0</c:formatCode>
                <c:ptCount val="74"/>
                <c:pt idx="0">
                  <c:v>-0.23060487962461954</c:v>
                </c:pt>
                <c:pt idx="1">
                  <c:v>-0.22441668480104771</c:v>
                </c:pt>
                <c:pt idx="2">
                  <c:v>-0.33470966110823819</c:v>
                </c:pt>
                <c:pt idx="3">
                  <c:v>-0.18490215874473043</c:v>
                </c:pt>
                <c:pt idx="4">
                  <c:v>-0.31480583639425391</c:v>
                </c:pt>
                <c:pt idx="5">
                  <c:v>-0.38626079961304538</c:v>
                </c:pt>
                <c:pt idx="6">
                  <c:v>-0.38962483493666722</c:v>
                </c:pt>
                <c:pt idx="7">
                  <c:v>-0.3956749878429357</c:v>
                </c:pt>
                <c:pt idx="8">
                  <c:v>-0.15621824965005751</c:v>
                </c:pt>
                <c:pt idx="9">
                  <c:v>-0.10252983454454592</c:v>
                </c:pt>
                <c:pt idx="10">
                  <c:v>-0.343995028405638</c:v>
                </c:pt>
                <c:pt idx="11">
                  <c:v>-0.9223096094716583</c:v>
                </c:pt>
                <c:pt idx="12">
                  <c:v>-1.0989781368019691</c:v>
                </c:pt>
                <c:pt idx="13">
                  <c:v>-0.66175471857336632</c:v>
                </c:pt>
                <c:pt idx="14">
                  <c:v>-0.34676946019680432</c:v>
                </c:pt>
                <c:pt idx="15">
                  <c:v>-0.16180249340991684</c:v>
                </c:pt>
                <c:pt idx="16">
                  <c:v>0.35791779114176031</c:v>
                </c:pt>
                <c:pt idx="17">
                  <c:v>-9.0132116942559903E-2</c:v>
                </c:pt>
                <c:pt idx="18">
                  <c:v>-0.47633578769830942</c:v>
                </c:pt>
                <c:pt idx="19">
                  <c:v>-0.54281522112269465</c:v>
                </c:pt>
                <c:pt idx="20">
                  <c:v>-0.99087277992073863</c:v>
                </c:pt>
                <c:pt idx="21">
                  <c:v>-0.99462500051431446</c:v>
                </c:pt>
                <c:pt idx="22">
                  <c:v>-0.67282760040427059</c:v>
                </c:pt>
                <c:pt idx="23">
                  <c:v>-0.39347818293340886</c:v>
                </c:pt>
                <c:pt idx="24">
                  <c:v>-0.83233776795102166</c:v>
                </c:pt>
                <c:pt idx="25">
                  <c:v>-1.2989137510734843</c:v>
                </c:pt>
                <c:pt idx="26">
                  <c:v>-1.5797299252569703</c:v>
                </c:pt>
                <c:pt idx="27">
                  <c:v>-1.5668435248064037</c:v>
                </c:pt>
                <c:pt idx="28">
                  <c:v>-1.8527391035192695</c:v>
                </c:pt>
                <c:pt idx="29">
                  <c:v>-1.4499461572048129</c:v>
                </c:pt>
                <c:pt idx="30">
                  <c:v>-1.4156900642832442</c:v>
                </c:pt>
                <c:pt idx="31">
                  <c:v>-1.1575237078783591</c:v>
                </c:pt>
                <c:pt idx="32">
                  <c:v>-0.68046479406612026</c:v>
                </c:pt>
                <c:pt idx="33">
                  <c:v>-0.39527412309030507</c:v>
                </c:pt>
                <c:pt idx="34">
                  <c:v>-0.17497682261363734</c:v>
                </c:pt>
                <c:pt idx="35">
                  <c:v>0.34920748955399811</c:v>
                </c:pt>
                <c:pt idx="36">
                  <c:v>0.93836916691871841</c:v>
                </c:pt>
                <c:pt idx="37">
                  <c:v>1.4442874935936088</c:v>
                </c:pt>
                <c:pt idx="38" formatCode="0.000">
                  <c:v>1.3414151108166819</c:v>
                </c:pt>
                <c:pt idx="39" formatCode="0.000">
                  <c:v>0.99055482021088714</c:v>
                </c:pt>
                <c:pt idx="40" formatCode="0.000">
                  <c:v>0.87362154733971709</c:v>
                </c:pt>
                <c:pt idx="41" formatCode="0.000">
                  <c:v>0.85834859406563013</c:v>
                </c:pt>
                <c:pt idx="42" formatCode="0.000">
                  <c:v>1.0550398156938092</c:v>
                </c:pt>
                <c:pt idx="43" formatCode="0.000">
                  <c:v>1.1082736491949776</c:v>
                </c:pt>
                <c:pt idx="44" formatCode="0.000">
                  <c:v>1.1715341953781233</c:v>
                </c:pt>
                <c:pt idx="45" formatCode="0.000">
                  <c:v>0.99242006099775881</c:v>
                </c:pt>
                <c:pt idx="46" formatCode="0.000">
                  <c:v>1.0280898048454941</c:v>
                </c:pt>
                <c:pt idx="47" formatCode="0.000">
                  <c:v>0.90404022557304919</c:v>
                </c:pt>
                <c:pt idx="48" formatCode="0.000">
                  <c:v>0.6397730885597035</c:v>
                </c:pt>
                <c:pt idx="49" formatCode="0.000">
                  <c:v>0.3921719866261324</c:v>
                </c:pt>
                <c:pt idx="50" formatCode="0.000">
                  <c:v>0.5177814836115715</c:v>
                </c:pt>
                <c:pt idx="51" formatCode="0.000">
                  <c:v>0.61989247473465703</c:v>
                </c:pt>
                <c:pt idx="52" formatCode="0.000">
                  <c:v>0.93173791415463469</c:v>
                </c:pt>
                <c:pt idx="53" formatCode="0.000">
                  <c:v>1.2154149960054452</c:v>
                </c:pt>
                <c:pt idx="54" formatCode="0.000">
                  <c:v>1.089685164268904</c:v>
                </c:pt>
                <c:pt idx="55" formatCode="0.000">
                  <c:v>1.2233412438172895</c:v>
                </c:pt>
                <c:pt idx="56" formatCode="0.000">
                  <c:v>1.490536136386881</c:v>
                </c:pt>
                <c:pt idx="57" formatCode="0.000">
                  <c:v>1.6130990909342051</c:v>
                </c:pt>
                <c:pt idx="58" formatCode="0.000">
                  <c:v>1.2287387133820316</c:v>
                </c:pt>
                <c:pt idx="59" formatCode="0.000">
                  <c:v>0.78131246002581767</c:v>
                </c:pt>
                <c:pt idx="60" formatCode="0.000">
                  <c:v>0.82153687910682138</c:v>
                </c:pt>
                <c:pt idx="61" formatCode="0.000">
                  <c:v>0.86839586868472796</c:v>
                </c:pt>
                <c:pt idx="62" formatCode="0.000">
                  <c:v>1.1078761554608152</c:v>
                </c:pt>
                <c:pt idx="63" formatCode="0.000">
                  <c:v>1.2571576275091547</c:v>
                </c:pt>
                <c:pt idx="64" formatCode="0.000">
                  <c:v>1.305190068201628</c:v>
                </c:pt>
                <c:pt idx="65" formatCode="0.000">
                  <c:v>0.97943969278094345</c:v>
                </c:pt>
                <c:pt idx="66" formatCode="0.000">
                  <c:v>0.70905698750371271</c:v>
                </c:pt>
                <c:pt idx="67" formatCode="0.000">
                  <c:v>1.1784507304576193</c:v>
                </c:pt>
                <c:pt idx="68" formatCode="0.000">
                  <c:v>0.52250175121190179</c:v>
                </c:pt>
                <c:pt idx="69" formatCode="0.000">
                  <c:v>0.46299127086425634</c:v>
                </c:pt>
                <c:pt idx="70" formatCode="0.000">
                  <c:v>0.43324347459583573</c:v>
                </c:pt>
                <c:pt idx="71" formatCode="0.000">
                  <c:v>0.89024683221883927</c:v>
                </c:pt>
                <c:pt idx="72" formatCode="0.000">
                  <c:v>0.88426099446730777</c:v>
                </c:pt>
                <c:pt idx="73" formatCode="0.000">
                  <c:v>0.87296138899059128</c:v>
                </c:pt>
              </c:numCache>
            </c:numRef>
          </c:val>
          <c:extLst>
            <c:ext xmlns:c16="http://schemas.microsoft.com/office/drawing/2014/chart" uri="{C3380CC4-5D6E-409C-BE32-E72D297353CC}">
              <c16:uniqueId val="{00000002-0B71-4804-8763-39C1C0345CF3}"/>
            </c:ext>
          </c:extLst>
        </c:ser>
        <c:dLbls>
          <c:showLegendKey val="0"/>
          <c:showVal val="0"/>
          <c:showCatName val="0"/>
          <c:showSerName val="0"/>
          <c:showPercent val="0"/>
          <c:showBubbleSize val="0"/>
        </c:dLbls>
        <c:gapWidth val="22"/>
        <c:overlap val="100"/>
        <c:axId val="348883032"/>
        <c:axId val="348885384"/>
      </c:barChart>
      <c:lineChart>
        <c:grouping val="standard"/>
        <c:varyColors val="0"/>
        <c:ser>
          <c:idx val="3"/>
          <c:order val="3"/>
          <c:tx>
            <c:strRef>
              <c:f>BySource!$C$1</c:f>
              <c:strCache>
                <c:ptCount val="1"/>
                <c:pt idx="0">
                  <c:v>PCI</c:v>
                </c:pt>
              </c:strCache>
            </c:strRef>
          </c:tx>
          <c:spPr>
            <a:ln w="28575">
              <a:solidFill>
                <a:schemeClr val="tx1"/>
              </a:solidFill>
              <a:prstDash val="dash"/>
            </a:ln>
            <a:effectLst/>
          </c:spPr>
          <c:marker>
            <c:symbol val="none"/>
          </c:marker>
          <c:val>
            <c:numRef>
              <c:f>BySource!$C$122:$C$195</c:f>
              <c:numCache>
                <c:formatCode>0.0</c:formatCode>
                <c:ptCount val="74"/>
                <c:pt idx="0">
                  <c:v>0.4</c:v>
                </c:pt>
                <c:pt idx="1">
                  <c:v>0.5</c:v>
                </c:pt>
                <c:pt idx="2">
                  <c:v>0.3</c:v>
                </c:pt>
                <c:pt idx="3">
                  <c:v>0.7</c:v>
                </c:pt>
                <c:pt idx="4">
                  <c:v>0.6</c:v>
                </c:pt>
                <c:pt idx="5">
                  <c:v>0.7</c:v>
                </c:pt>
                <c:pt idx="6">
                  <c:v>0.6</c:v>
                </c:pt>
                <c:pt idx="7">
                  <c:v>0.8</c:v>
                </c:pt>
                <c:pt idx="8">
                  <c:v>1</c:v>
                </c:pt>
                <c:pt idx="9">
                  <c:v>0.7</c:v>
                </c:pt>
                <c:pt idx="10">
                  <c:v>0.9</c:v>
                </c:pt>
                <c:pt idx="11">
                  <c:v>0.2</c:v>
                </c:pt>
                <c:pt idx="12">
                  <c:v>-0.4</c:v>
                </c:pt>
                <c:pt idx="13">
                  <c:v>-0.1</c:v>
                </c:pt>
                <c:pt idx="14">
                  <c:v>0.4</c:v>
                </c:pt>
                <c:pt idx="15">
                  <c:v>0.5</c:v>
                </c:pt>
                <c:pt idx="16">
                  <c:v>1.2</c:v>
                </c:pt>
                <c:pt idx="17">
                  <c:v>0.6</c:v>
                </c:pt>
                <c:pt idx="18">
                  <c:v>0</c:v>
                </c:pt>
                <c:pt idx="19">
                  <c:v>0.1</c:v>
                </c:pt>
                <c:pt idx="20">
                  <c:v>-0.5</c:v>
                </c:pt>
                <c:pt idx="21">
                  <c:v>-0.2</c:v>
                </c:pt>
                <c:pt idx="22">
                  <c:v>0</c:v>
                </c:pt>
                <c:pt idx="23">
                  <c:v>0.3</c:v>
                </c:pt>
                <c:pt idx="24">
                  <c:v>-0.3</c:v>
                </c:pt>
                <c:pt idx="25">
                  <c:v>-0.5</c:v>
                </c:pt>
                <c:pt idx="26">
                  <c:v>-0.6</c:v>
                </c:pt>
                <c:pt idx="27">
                  <c:v>-0.8</c:v>
                </c:pt>
                <c:pt idx="28">
                  <c:v>-0.8</c:v>
                </c:pt>
                <c:pt idx="29">
                  <c:v>-0.5</c:v>
                </c:pt>
                <c:pt idx="30">
                  <c:v>0.1</c:v>
                </c:pt>
                <c:pt idx="31">
                  <c:v>0</c:v>
                </c:pt>
                <c:pt idx="32">
                  <c:v>0.6</c:v>
                </c:pt>
                <c:pt idx="33">
                  <c:v>1</c:v>
                </c:pt>
                <c:pt idx="34">
                  <c:v>1.3</c:v>
                </c:pt>
                <c:pt idx="35">
                  <c:v>2.2000000000000002</c:v>
                </c:pt>
                <c:pt idx="36" formatCode="0.000">
                  <c:v>2.9</c:v>
                </c:pt>
                <c:pt idx="37" formatCode="0.000">
                  <c:v>3.3</c:v>
                </c:pt>
                <c:pt idx="38" formatCode="0.000">
                  <c:v>3.4</c:v>
                </c:pt>
                <c:pt idx="39" formatCode="0.000">
                  <c:v>3.4</c:v>
                </c:pt>
                <c:pt idx="40" formatCode="0.000">
                  <c:v>2.8</c:v>
                </c:pt>
                <c:pt idx="41" formatCode="0.000">
                  <c:v>3</c:v>
                </c:pt>
                <c:pt idx="42" formatCode="0.000">
                  <c:v>2.6</c:v>
                </c:pt>
                <c:pt idx="43" formatCode="0.000">
                  <c:v>3.1</c:v>
                </c:pt>
                <c:pt idx="44" formatCode="0.000">
                  <c:v>2.9</c:v>
                </c:pt>
                <c:pt idx="45" formatCode="0.000">
                  <c:v>2.8</c:v>
                </c:pt>
                <c:pt idx="46" formatCode="0.000">
                  <c:v>2.7</c:v>
                </c:pt>
                <c:pt idx="47" formatCode="0.000">
                  <c:v>2.2000000000000002</c:v>
                </c:pt>
                <c:pt idx="48" formatCode="0.000">
                  <c:v>2</c:v>
                </c:pt>
                <c:pt idx="49" formatCode="0.000">
                  <c:v>1.8</c:v>
                </c:pt>
                <c:pt idx="50" formatCode="0.000">
                  <c:v>2.2000000000000002</c:v>
                </c:pt>
                <c:pt idx="51" formatCode="0.000">
                  <c:v>2</c:v>
                </c:pt>
                <c:pt idx="52" formatCode="0.000">
                  <c:v>2.2999999999999998</c:v>
                </c:pt>
                <c:pt idx="53" formatCode="0.000">
                  <c:v>2.8</c:v>
                </c:pt>
                <c:pt idx="54" formatCode="0.000">
                  <c:v>2.6</c:v>
                </c:pt>
                <c:pt idx="55" formatCode="0.000">
                  <c:v>2.8</c:v>
                </c:pt>
                <c:pt idx="56" formatCode="0.000">
                  <c:v>3.2</c:v>
                </c:pt>
                <c:pt idx="57" formatCode="0.000">
                  <c:v>3.2</c:v>
                </c:pt>
                <c:pt idx="58" formatCode="0.000">
                  <c:v>3</c:v>
                </c:pt>
                <c:pt idx="59" formatCode="0.000">
                  <c:v>2.6</c:v>
                </c:pt>
                <c:pt idx="60" formatCode="0.000">
                  <c:v>3</c:v>
                </c:pt>
                <c:pt idx="61" formatCode="0.000">
                  <c:v>2.9</c:v>
                </c:pt>
                <c:pt idx="62" formatCode="0.000">
                  <c:v>2.8</c:v>
                </c:pt>
                <c:pt idx="63" formatCode="0.000">
                  <c:v>3.4</c:v>
                </c:pt>
                <c:pt idx="64" formatCode="0.000">
                  <c:v>3.3</c:v>
                </c:pt>
                <c:pt idx="65" formatCode="0.000">
                  <c:v>3</c:v>
                </c:pt>
                <c:pt idx="66" formatCode="0.000">
                  <c:v>2.9</c:v>
                </c:pt>
                <c:pt idx="67" formatCode="0.000">
                  <c:v>3.2</c:v>
                </c:pt>
                <c:pt idx="68" formatCode="0.000">
                  <c:v>2.6</c:v>
                </c:pt>
                <c:pt idx="69" formatCode="0.000">
                  <c:v>2.2999999999999998</c:v>
                </c:pt>
                <c:pt idx="70" formatCode="0.000">
                  <c:v>2.1</c:v>
                </c:pt>
                <c:pt idx="71" formatCode="0.000">
                  <c:v>2.2999999999999998</c:v>
                </c:pt>
                <c:pt idx="72" formatCode="0.000">
                  <c:v>2.2000000000000002</c:v>
                </c:pt>
                <c:pt idx="73" formatCode="0.000">
                  <c:v>2.2999999999999998</c:v>
                </c:pt>
              </c:numCache>
            </c:numRef>
          </c:val>
          <c:smooth val="0"/>
          <c:extLst>
            <c:ext xmlns:c16="http://schemas.microsoft.com/office/drawing/2014/chart" uri="{C3380CC4-5D6E-409C-BE32-E72D297353CC}">
              <c16:uniqueId val="{00000003-0B71-4804-8763-39C1C0345CF3}"/>
            </c:ext>
          </c:extLst>
        </c:ser>
        <c:dLbls>
          <c:showLegendKey val="0"/>
          <c:showVal val="0"/>
          <c:showCatName val="0"/>
          <c:showSerName val="0"/>
          <c:showPercent val="0"/>
          <c:showBubbleSize val="0"/>
        </c:dLbls>
        <c:marker val="1"/>
        <c:smooth val="0"/>
        <c:axId val="348883032"/>
        <c:axId val="348885384"/>
      </c:lineChart>
      <c:catAx>
        <c:axId val="348883032"/>
        <c:scaling>
          <c:orientation val="minMax"/>
        </c:scaling>
        <c:delete val="0"/>
        <c:axPos val="b"/>
        <c:numFmt formatCode="General" sourceLinked="0"/>
        <c:majorTickMark val="out"/>
        <c:minorTickMark val="none"/>
        <c:tickLblPos val="low"/>
        <c:spPr>
          <a:ln>
            <a:solidFill>
              <a:schemeClr val="tx1"/>
            </a:solid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lv-LV"/>
          </a:p>
        </c:txPr>
        <c:crossAx val="348885384"/>
        <c:crosses val="autoZero"/>
        <c:auto val="1"/>
        <c:lblAlgn val="ctr"/>
        <c:lblOffset val="100"/>
        <c:noMultiLvlLbl val="0"/>
      </c:catAx>
      <c:valAx>
        <c:axId val="34888538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sz="1000" b="1">
                <a:latin typeface="Times New Roman" panose="02020603050405020304" pitchFamily="18" charset="0"/>
                <a:cs typeface="Times New Roman" panose="02020603050405020304" pitchFamily="18" charset="0"/>
              </a:defRPr>
            </a:pPr>
            <a:endParaRPr lang="lv-LV"/>
          </a:p>
        </c:txPr>
        <c:crossAx val="348883032"/>
        <c:crosses val="autoZero"/>
        <c:crossBetween val="between"/>
      </c:valAx>
      <c:spPr>
        <a:noFill/>
      </c:spPr>
    </c:plotArea>
    <c:legend>
      <c:legendPos val="b"/>
      <c:layout/>
      <c:overlay val="0"/>
      <c:txPr>
        <a:bodyPr/>
        <a:lstStyle/>
        <a:p>
          <a:pPr>
            <a:defRPr b="0">
              <a:solidFill>
                <a:schemeClr val="tx1"/>
              </a:solidFill>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75969937299862E-2"/>
          <c:y val="4.2742611718989673E-2"/>
          <c:w val="0.91690723525920925"/>
          <c:h val="0.69198690369889326"/>
        </c:manualLayout>
      </c:layout>
      <c:barChart>
        <c:barDir val="col"/>
        <c:grouping val="clustered"/>
        <c:varyColors val="0"/>
        <c:ser>
          <c:idx val="0"/>
          <c:order val="0"/>
          <c:tx>
            <c:strRef>
              <c:f>'2 graf'!$J$3</c:f>
              <c:strCache>
                <c:ptCount val="1"/>
                <c:pt idx="0">
                  <c:v>Nodarbināto skaits, tūkstoši (labā ass)</c:v>
                </c:pt>
              </c:strCache>
            </c:strRef>
          </c:tx>
          <c:invertIfNegative val="0"/>
          <c:cat>
            <c:numRef>
              <c:f>'2 graf'!$K$2:$V$2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'2 graf'!$K$3:$V$3</c:f>
              <c:numCache>
                <c:formatCode>0.0</c:formatCode>
                <c:ptCount val="12"/>
                <c:pt idx="0">
                  <c:v>1054.9000000000001</c:v>
                </c:pt>
                <c:pt idx="1">
                  <c:v>908.5</c:v>
                </c:pt>
                <c:pt idx="2">
                  <c:v>851</c:v>
                </c:pt>
                <c:pt idx="3">
                  <c:v>862</c:v>
                </c:pt>
                <c:pt idx="4">
                  <c:v>876</c:v>
                </c:pt>
                <c:pt idx="5">
                  <c:v>894</c:v>
                </c:pt>
                <c:pt idx="6">
                  <c:v>885</c:v>
                </c:pt>
                <c:pt idx="7">
                  <c:v>896</c:v>
                </c:pt>
                <c:pt idx="8">
                  <c:v>893</c:v>
                </c:pt>
                <c:pt idx="9">
                  <c:v>895</c:v>
                </c:pt>
                <c:pt idx="10">
                  <c:v>909</c:v>
                </c:pt>
                <c:pt idx="11" formatCode="0">
                  <c:v>910</c:v>
                </c:pt>
              </c:numCache>
            </c:numRef>
          </c:val>
          <c:extLst>
            <c:ext xmlns:c16="http://schemas.microsoft.com/office/drawing/2014/chart" uri="{C3380CC4-5D6E-409C-BE32-E72D297353CC}">
              <c16:uniqueId val="{00000000-5517-43FA-A987-441AE863B0F4}"/>
            </c:ext>
          </c:extLst>
        </c:ser>
        <c:dLbls>
          <c:showLegendKey val="0"/>
          <c:showVal val="0"/>
          <c:showCatName val="0"/>
          <c:showSerName val="0"/>
          <c:showPercent val="0"/>
          <c:showBubbleSize val="0"/>
        </c:dLbls>
        <c:gapWidth val="150"/>
        <c:axId val="396118440"/>
        <c:axId val="393060176"/>
      </c:barChart>
      <c:lineChart>
        <c:grouping val="standard"/>
        <c:varyColors val="0"/>
        <c:ser>
          <c:idx val="1"/>
          <c:order val="1"/>
          <c:tx>
            <c:strRef>
              <c:f>'2 graf'!$J$4</c:f>
              <c:strCache>
                <c:ptCount val="1"/>
                <c:pt idx="0">
                  <c:v>Darba meklētāji, % no ekonomiski aktīvajiem iedzīvotājiem (kreisā ass)</c:v>
                </c:pt>
              </c:strCache>
            </c:strRef>
          </c:tx>
          <c:spPr>
            <a:ln>
              <a:solidFill>
                <a:srgbClr val="FF0000"/>
              </a:solidFill>
              <a:prstDash val="solid"/>
            </a:ln>
          </c:spPr>
          <c:marker>
            <c:symbol val="none"/>
          </c:marker>
          <c:dPt>
            <c:idx val="0"/>
            <c:bubble3D val="0"/>
            <c:spPr>
              <a:ln>
                <a:solidFill>
                  <a:srgbClr val="FF0000"/>
                </a:solidFill>
                <a:prstDash val="solid"/>
              </a:ln>
            </c:spPr>
            <c:extLst>
              <c:ext xmlns:c16="http://schemas.microsoft.com/office/drawing/2014/chart" uri="{C3380CC4-5D6E-409C-BE32-E72D297353CC}">
                <c16:uniqueId val="{00000002-5517-43FA-A987-441AE863B0F4}"/>
              </c:ext>
            </c:extLst>
          </c:dPt>
          <c:dPt>
            <c:idx val="1"/>
            <c:bubble3D val="0"/>
            <c:extLst>
              <c:ext xmlns:c16="http://schemas.microsoft.com/office/drawing/2014/chart" uri="{C3380CC4-5D6E-409C-BE32-E72D297353CC}">
                <c16:uniqueId val="{00000003-5517-43FA-A987-441AE863B0F4}"/>
              </c:ext>
            </c:extLst>
          </c:dPt>
          <c:dPt>
            <c:idx val="2"/>
            <c:bubble3D val="0"/>
            <c:extLst>
              <c:ext xmlns:c16="http://schemas.microsoft.com/office/drawing/2014/chart" uri="{C3380CC4-5D6E-409C-BE32-E72D297353CC}">
                <c16:uniqueId val="{00000004-5517-43FA-A987-441AE863B0F4}"/>
              </c:ext>
            </c:extLst>
          </c:dPt>
          <c:dPt>
            <c:idx val="3"/>
            <c:bubble3D val="0"/>
            <c:extLst>
              <c:ext xmlns:c16="http://schemas.microsoft.com/office/drawing/2014/chart" uri="{C3380CC4-5D6E-409C-BE32-E72D297353CC}">
                <c16:uniqueId val="{00000005-5517-43FA-A987-441AE863B0F4}"/>
              </c:ext>
            </c:extLst>
          </c:dPt>
          <c:dPt>
            <c:idx val="4"/>
            <c:bubble3D val="0"/>
            <c:extLst>
              <c:ext xmlns:c16="http://schemas.microsoft.com/office/drawing/2014/chart" uri="{C3380CC4-5D6E-409C-BE32-E72D297353CC}">
                <c16:uniqueId val="{00000006-5517-43FA-A987-441AE863B0F4}"/>
              </c:ext>
            </c:extLst>
          </c:dPt>
          <c:dPt>
            <c:idx val="5"/>
            <c:bubble3D val="0"/>
            <c:extLst>
              <c:ext xmlns:c16="http://schemas.microsoft.com/office/drawing/2014/chart" uri="{C3380CC4-5D6E-409C-BE32-E72D297353CC}">
                <c16:uniqueId val="{00000007-5517-43FA-A987-441AE863B0F4}"/>
              </c:ext>
            </c:extLst>
          </c:dPt>
          <c:dPt>
            <c:idx val="6"/>
            <c:bubble3D val="0"/>
            <c:extLst>
              <c:ext xmlns:c16="http://schemas.microsoft.com/office/drawing/2014/chart" uri="{C3380CC4-5D6E-409C-BE32-E72D297353CC}">
                <c16:uniqueId val="{00000008-5517-43FA-A987-441AE863B0F4}"/>
              </c:ext>
            </c:extLst>
          </c:dPt>
          <c:dPt>
            <c:idx val="7"/>
            <c:bubble3D val="0"/>
            <c:extLst>
              <c:ext xmlns:c16="http://schemas.microsoft.com/office/drawing/2014/chart" uri="{C3380CC4-5D6E-409C-BE32-E72D297353CC}">
                <c16:uniqueId val="{00000009-5517-43FA-A987-441AE863B0F4}"/>
              </c:ext>
            </c:extLst>
          </c:dPt>
          <c:dPt>
            <c:idx val="8"/>
            <c:bubble3D val="0"/>
            <c:extLst>
              <c:ext xmlns:c16="http://schemas.microsoft.com/office/drawing/2014/chart" uri="{C3380CC4-5D6E-409C-BE32-E72D297353CC}">
                <c16:uniqueId val="{0000000A-5517-43FA-A987-441AE863B0F4}"/>
              </c:ext>
            </c:extLst>
          </c:dPt>
          <c:dPt>
            <c:idx val="9"/>
            <c:bubble3D val="0"/>
            <c:extLst>
              <c:ext xmlns:c16="http://schemas.microsoft.com/office/drawing/2014/chart" uri="{C3380CC4-5D6E-409C-BE32-E72D297353CC}">
                <c16:uniqueId val="{0000000B-5517-43FA-A987-441AE863B0F4}"/>
              </c:ext>
            </c:extLst>
          </c:dPt>
          <c:dPt>
            <c:idx val="10"/>
            <c:bubble3D val="0"/>
            <c:extLst>
              <c:ext xmlns:c16="http://schemas.microsoft.com/office/drawing/2014/chart" uri="{C3380CC4-5D6E-409C-BE32-E72D297353CC}">
                <c16:uniqueId val="{0000000C-5517-43FA-A987-441AE863B0F4}"/>
              </c:ext>
            </c:extLst>
          </c:dPt>
          <c:cat>
            <c:numRef>
              <c:f>'2 graf'!$K$2:$V$2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'2 graf'!$K$4:$V$4</c:f>
              <c:numCache>
                <c:formatCode>0.0</c:formatCode>
                <c:ptCount val="12"/>
                <c:pt idx="0">
                  <c:v>7.740073465104075</c:v>
                </c:pt>
                <c:pt idx="1">
                  <c:v>17.514072998002543</c:v>
                </c:pt>
                <c:pt idx="2">
                  <c:v>19.5</c:v>
                </c:pt>
                <c:pt idx="3">
                  <c:v>16.2</c:v>
                </c:pt>
                <c:pt idx="4">
                  <c:v>15</c:v>
                </c:pt>
                <c:pt idx="5">
                  <c:v>11.9</c:v>
                </c:pt>
                <c:pt idx="6">
                  <c:v>10.8</c:v>
                </c:pt>
                <c:pt idx="7">
                  <c:v>9.9</c:v>
                </c:pt>
                <c:pt idx="8">
                  <c:v>9.6</c:v>
                </c:pt>
                <c:pt idx="9">
                  <c:v>8.6999999999999993</c:v>
                </c:pt>
                <c:pt idx="10">
                  <c:v>7.4</c:v>
                </c:pt>
                <c:pt idx="11">
                  <c:v>6.3</c:v>
                </c:pt>
              </c:numCache>
            </c:numRef>
          </c:val>
          <c:smooth val="1"/>
          <c:extLst>
            <c:ext xmlns:c16="http://schemas.microsoft.com/office/drawing/2014/chart" uri="{C3380CC4-5D6E-409C-BE32-E72D297353CC}">
              <c16:uniqueId val="{0000000D-5517-43FA-A987-441AE863B0F4}"/>
            </c:ext>
          </c:extLst>
        </c:ser>
        <c:dLbls>
          <c:showLegendKey val="0"/>
          <c:showVal val="0"/>
          <c:showCatName val="0"/>
          <c:showSerName val="0"/>
          <c:showPercent val="0"/>
          <c:showBubbleSize val="0"/>
        </c:dLbls>
        <c:marker val="1"/>
        <c:smooth val="0"/>
        <c:axId val="387439344"/>
        <c:axId val="278229968"/>
      </c:lineChart>
      <c:catAx>
        <c:axId val="387439344"/>
        <c:scaling>
          <c:orientation val="minMax"/>
        </c:scaling>
        <c:delete val="0"/>
        <c:axPos val="b"/>
        <c:numFmt formatCode="General" sourceLinked="1"/>
        <c:majorTickMark val="out"/>
        <c:minorTickMark val="none"/>
        <c:tickLblPos val="low"/>
        <c:crossAx val="278229968"/>
        <c:crosses val="autoZero"/>
        <c:auto val="1"/>
        <c:lblAlgn val="ctr"/>
        <c:lblOffset val="100"/>
        <c:noMultiLvlLbl val="0"/>
      </c:catAx>
      <c:valAx>
        <c:axId val="278229968"/>
        <c:scaling>
          <c:orientation val="minMax"/>
          <c:min val="4"/>
        </c:scaling>
        <c:delete val="0"/>
        <c:axPos val="l"/>
        <c:majorGridlines/>
        <c:numFmt formatCode="0" sourceLinked="0"/>
        <c:majorTickMark val="out"/>
        <c:minorTickMark val="none"/>
        <c:tickLblPos val="nextTo"/>
        <c:txPr>
          <a:bodyPr/>
          <a:lstStyle/>
          <a:p>
            <a:pPr>
              <a:defRPr sz="1000" b="1"/>
            </a:pPr>
            <a:endParaRPr lang="lv-LV"/>
          </a:p>
        </c:txPr>
        <c:crossAx val="387439344"/>
        <c:crosses val="autoZero"/>
        <c:crossBetween val="between"/>
      </c:valAx>
      <c:valAx>
        <c:axId val="393060176"/>
        <c:scaling>
          <c:orientation val="minMax"/>
          <c:min val="700"/>
        </c:scaling>
        <c:delete val="0"/>
        <c:axPos val="r"/>
        <c:numFmt formatCode="0" sourceLinked="0"/>
        <c:majorTickMark val="out"/>
        <c:minorTickMark val="none"/>
        <c:tickLblPos val="nextTo"/>
        <c:txPr>
          <a:bodyPr/>
          <a:lstStyle/>
          <a:p>
            <a:pPr>
              <a:defRPr b="1"/>
            </a:pPr>
            <a:endParaRPr lang="lv-LV"/>
          </a:p>
        </c:txPr>
        <c:crossAx val="396118440"/>
        <c:crosses val="max"/>
        <c:crossBetween val="between"/>
      </c:valAx>
      <c:catAx>
        <c:axId val="396118440"/>
        <c:scaling>
          <c:orientation val="minMax"/>
        </c:scaling>
        <c:delete val="1"/>
        <c:axPos val="b"/>
        <c:numFmt formatCode="General" sourceLinked="1"/>
        <c:majorTickMark val="out"/>
        <c:minorTickMark val="none"/>
        <c:tickLblPos val="nextTo"/>
        <c:crossAx val="393060176"/>
        <c:crosses val="autoZero"/>
        <c:auto val="1"/>
        <c:lblAlgn val="ctr"/>
        <c:lblOffset val="100"/>
        <c:noMultiLvlLbl val="0"/>
      </c:catAx>
    </c:plotArea>
    <c:legend>
      <c:legendPos val="b"/>
      <c:layout>
        <c:manualLayout>
          <c:xMode val="edge"/>
          <c:yMode val="edge"/>
          <c:x val="5.2777777777777778E-2"/>
          <c:y val="0.84834122538806356"/>
          <c:w val="0.9"/>
          <c:h val="0.13411802906080039"/>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77E-2"/>
          <c:y val="5.1400554097404488E-2"/>
          <c:w val="0.91690723525920925"/>
          <c:h val="0.73780596429971157"/>
        </c:manualLayout>
      </c:layout>
      <c:barChart>
        <c:barDir val="col"/>
        <c:grouping val="clustered"/>
        <c:varyColors val="0"/>
        <c:ser>
          <c:idx val="0"/>
          <c:order val="0"/>
          <c:tx>
            <c:strRef>
              <c:f>'2 graf'!$J$3</c:f>
              <c:strCache>
                <c:ptCount val="1"/>
                <c:pt idx="0">
                  <c:v>Produktivitāte</c:v>
                </c:pt>
              </c:strCache>
            </c:strRef>
          </c:tx>
          <c:invertIfNegative val="0"/>
          <c:cat>
            <c:numRef>
              <c:f>'2 graf'!$K$2:$V$2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'2 graf'!$K$3:$V$3</c:f>
              <c:numCache>
                <c:formatCode>0.0</c:formatCode>
                <c:ptCount val="12"/>
                <c:pt idx="0">
                  <c:v>-3.1173082999999999</c:v>
                </c:pt>
                <c:pt idx="1">
                  <c:v>-0.41807480000000002</c:v>
                </c:pt>
                <c:pt idx="2">
                  <c:v>2.01701972</c:v>
                </c:pt>
                <c:pt idx="3">
                  <c:v>4.9405181100000002</c:v>
                </c:pt>
                <c:pt idx="4">
                  <c:v>2.4692256600000002</c:v>
                </c:pt>
                <c:pt idx="5">
                  <c:v>0.23313629</c:v>
                </c:pt>
                <c:pt idx="6">
                  <c:v>2.9866478399999998</c:v>
                </c:pt>
                <c:pt idx="7">
                  <c:v>1.9353418899999999</c:v>
                </c:pt>
                <c:pt idx="8">
                  <c:v>2.0928140200000001</c:v>
                </c:pt>
                <c:pt idx="9">
                  <c:v>3.6133296600000002</c:v>
                </c:pt>
                <c:pt idx="10">
                  <c:v>2.6105801099999999</c:v>
                </c:pt>
                <c:pt idx="11">
                  <c:v>2.1300588399999998</c:v>
                </c:pt>
              </c:numCache>
            </c:numRef>
          </c:val>
          <c:extLst>
            <c:ext xmlns:c16="http://schemas.microsoft.com/office/drawing/2014/chart" uri="{C3380CC4-5D6E-409C-BE32-E72D297353CC}">
              <c16:uniqueId val="{00000000-D3CF-4CA6-92CB-6067A35DF1DC}"/>
            </c:ext>
          </c:extLst>
        </c:ser>
        <c:dLbls>
          <c:showLegendKey val="0"/>
          <c:showVal val="0"/>
          <c:showCatName val="0"/>
          <c:showSerName val="0"/>
          <c:showPercent val="0"/>
          <c:showBubbleSize val="0"/>
        </c:dLbls>
        <c:gapWidth val="150"/>
        <c:axId val="387440128"/>
        <c:axId val="387440520"/>
      </c:barChart>
      <c:lineChart>
        <c:grouping val="standard"/>
        <c:varyColors val="0"/>
        <c:ser>
          <c:idx val="1"/>
          <c:order val="1"/>
          <c:tx>
            <c:strRef>
              <c:f>'2 graf'!$J$4</c:f>
              <c:strCache>
                <c:ptCount val="1"/>
                <c:pt idx="0">
                  <c:v>Reālā darba samaksa, %</c:v>
                </c:pt>
              </c:strCache>
            </c:strRef>
          </c:tx>
          <c:spPr>
            <a:ln>
              <a:solidFill>
                <a:srgbClr val="FF0000"/>
              </a:solidFill>
              <a:prstDash val="solid"/>
            </a:ln>
          </c:spPr>
          <c:marker>
            <c:symbol val="none"/>
          </c:marker>
          <c:dPt>
            <c:idx val="0"/>
            <c:bubble3D val="0"/>
            <c:extLst>
              <c:ext xmlns:c16="http://schemas.microsoft.com/office/drawing/2014/chart" uri="{C3380CC4-5D6E-409C-BE32-E72D297353CC}">
                <c16:uniqueId val="{00000001-D3CF-4CA6-92CB-6067A35DF1DC}"/>
              </c:ext>
            </c:extLst>
          </c:dPt>
          <c:dPt>
            <c:idx val="1"/>
            <c:bubble3D val="0"/>
            <c:extLst>
              <c:ext xmlns:c16="http://schemas.microsoft.com/office/drawing/2014/chart" uri="{C3380CC4-5D6E-409C-BE32-E72D297353CC}">
                <c16:uniqueId val="{00000002-D3CF-4CA6-92CB-6067A35DF1DC}"/>
              </c:ext>
            </c:extLst>
          </c:dPt>
          <c:dPt>
            <c:idx val="2"/>
            <c:bubble3D val="0"/>
            <c:extLst>
              <c:ext xmlns:c16="http://schemas.microsoft.com/office/drawing/2014/chart" uri="{C3380CC4-5D6E-409C-BE32-E72D297353CC}">
                <c16:uniqueId val="{00000003-D3CF-4CA6-92CB-6067A35DF1DC}"/>
              </c:ext>
            </c:extLst>
          </c:dPt>
          <c:dPt>
            <c:idx val="3"/>
            <c:bubble3D val="0"/>
            <c:extLst>
              <c:ext xmlns:c16="http://schemas.microsoft.com/office/drawing/2014/chart" uri="{C3380CC4-5D6E-409C-BE32-E72D297353CC}">
                <c16:uniqueId val="{00000004-D3CF-4CA6-92CB-6067A35DF1DC}"/>
              </c:ext>
            </c:extLst>
          </c:dPt>
          <c:dPt>
            <c:idx val="4"/>
            <c:bubble3D val="0"/>
            <c:extLst>
              <c:ext xmlns:c16="http://schemas.microsoft.com/office/drawing/2014/chart" uri="{C3380CC4-5D6E-409C-BE32-E72D297353CC}">
                <c16:uniqueId val="{00000005-D3CF-4CA6-92CB-6067A35DF1DC}"/>
              </c:ext>
            </c:extLst>
          </c:dPt>
          <c:dPt>
            <c:idx val="5"/>
            <c:bubble3D val="0"/>
            <c:extLst>
              <c:ext xmlns:c16="http://schemas.microsoft.com/office/drawing/2014/chart" uri="{C3380CC4-5D6E-409C-BE32-E72D297353CC}">
                <c16:uniqueId val="{00000006-D3CF-4CA6-92CB-6067A35DF1DC}"/>
              </c:ext>
            </c:extLst>
          </c:dPt>
          <c:dPt>
            <c:idx val="6"/>
            <c:bubble3D val="0"/>
            <c:extLst>
              <c:ext xmlns:c16="http://schemas.microsoft.com/office/drawing/2014/chart" uri="{C3380CC4-5D6E-409C-BE32-E72D297353CC}">
                <c16:uniqueId val="{00000007-D3CF-4CA6-92CB-6067A35DF1DC}"/>
              </c:ext>
            </c:extLst>
          </c:dPt>
          <c:dPt>
            <c:idx val="7"/>
            <c:bubble3D val="0"/>
            <c:extLst>
              <c:ext xmlns:c16="http://schemas.microsoft.com/office/drawing/2014/chart" uri="{C3380CC4-5D6E-409C-BE32-E72D297353CC}">
                <c16:uniqueId val="{00000008-D3CF-4CA6-92CB-6067A35DF1DC}"/>
              </c:ext>
            </c:extLst>
          </c:dPt>
          <c:dPt>
            <c:idx val="8"/>
            <c:bubble3D val="0"/>
            <c:extLst>
              <c:ext xmlns:c16="http://schemas.microsoft.com/office/drawing/2014/chart" uri="{C3380CC4-5D6E-409C-BE32-E72D297353CC}">
                <c16:uniqueId val="{00000009-D3CF-4CA6-92CB-6067A35DF1DC}"/>
              </c:ext>
            </c:extLst>
          </c:dPt>
          <c:dPt>
            <c:idx val="9"/>
            <c:bubble3D val="0"/>
            <c:extLst>
              <c:ext xmlns:c16="http://schemas.microsoft.com/office/drawing/2014/chart" uri="{C3380CC4-5D6E-409C-BE32-E72D297353CC}">
                <c16:uniqueId val="{0000000A-D3CF-4CA6-92CB-6067A35DF1DC}"/>
              </c:ext>
            </c:extLst>
          </c:dPt>
          <c:dPt>
            <c:idx val="10"/>
            <c:bubble3D val="0"/>
            <c:extLst>
              <c:ext xmlns:c16="http://schemas.microsoft.com/office/drawing/2014/chart" uri="{C3380CC4-5D6E-409C-BE32-E72D297353CC}">
                <c16:uniqueId val="{0000000B-D3CF-4CA6-92CB-6067A35DF1DC}"/>
              </c:ext>
            </c:extLst>
          </c:dPt>
          <c:cat>
            <c:numRef>
              <c:f>'2 graf'!$K$2:$V$2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'2 graf'!$K$4:$V$4</c:f>
              <c:numCache>
                <c:formatCode>0.0</c:formatCode>
                <c:ptCount val="12"/>
                <c:pt idx="0">
                  <c:v>4.4287396937573664</c:v>
                </c:pt>
                <c:pt idx="1">
                  <c:v>-7.2202916068595746</c:v>
                </c:pt>
                <c:pt idx="2">
                  <c:v>-2.3294638420886193</c:v>
                </c:pt>
                <c:pt idx="3">
                  <c:v>-0.10854262716145646</c:v>
                </c:pt>
                <c:pt idx="4">
                  <c:v>1.4865954444668539</c:v>
                </c:pt>
                <c:pt idx="5">
                  <c:v>4.5835205719583216</c:v>
                </c:pt>
                <c:pt idx="6">
                  <c:v>6.1956816319993946</c:v>
                </c:pt>
                <c:pt idx="7">
                  <c:v>6.7515584476315116</c:v>
                </c:pt>
                <c:pt idx="8">
                  <c:v>4.83912786480023</c:v>
                </c:pt>
                <c:pt idx="9">
                  <c:v>4.7493733323305642</c:v>
                </c:pt>
                <c:pt idx="10">
                  <c:v>5.7141540077106256</c:v>
                </c:pt>
                <c:pt idx="11">
                  <c:v>4.2410610721670183</c:v>
                </c:pt>
              </c:numCache>
            </c:numRef>
          </c:val>
          <c:smooth val="1"/>
          <c:extLst>
            <c:ext xmlns:c16="http://schemas.microsoft.com/office/drawing/2014/chart" uri="{C3380CC4-5D6E-409C-BE32-E72D297353CC}">
              <c16:uniqueId val="{0000000C-D3CF-4CA6-92CB-6067A35DF1DC}"/>
            </c:ext>
          </c:extLst>
        </c:ser>
        <c:dLbls>
          <c:showLegendKey val="0"/>
          <c:showVal val="0"/>
          <c:showCatName val="0"/>
          <c:showSerName val="0"/>
          <c:showPercent val="0"/>
          <c:showBubbleSize val="0"/>
        </c:dLbls>
        <c:marker val="1"/>
        <c:smooth val="0"/>
        <c:axId val="387440128"/>
        <c:axId val="387440520"/>
      </c:lineChart>
      <c:catAx>
        <c:axId val="387440128"/>
        <c:scaling>
          <c:orientation val="minMax"/>
        </c:scaling>
        <c:delete val="0"/>
        <c:axPos val="b"/>
        <c:numFmt formatCode="General" sourceLinked="1"/>
        <c:majorTickMark val="out"/>
        <c:minorTickMark val="none"/>
        <c:tickLblPos val="low"/>
        <c:crossAx val="387440520"/>
        <c:crosses val="autoZero"/>
        <c:auto val="1"/>
        <c:lblAlgn val="ctr"/>
        <c:lblOffset val="100"/>
        <c:noMultiLvlLbl val="0"/>
      </c:catAx>
      <c:valAx>
        <c:axId val="387440520"/>
        <c:scaling>
          <c:orientation val="minMax"/>
        </c:scaling>
        <c:delete val="0"/>
        <c:axPos val="l"/>
        <c:majorGridlines/>
        <c:numFmt formatCode="0" sourceLinked="0"/>
        <c:majorTickMark val="out"/>
        <c:minorTickMark val="none"/>
        <c:tickLblPos val="nextTo"/>
        <c:txPr>
          <a:bodyPr/>
          <a:lstStyle/>
          <a:p>
            <a:pPr>
              <a:defRPr sz="1000" b="1"/>
            </a:pPr>
            <a:endParaRPr lang="lv-LV"/>
          </a:p>
        </c:txPr>
        <c:crossAx val="387440128"/>
        <c:crosses val="autoZero"/>
        <c:crossBetween val="between"/>
      </c:valAx>
    </c:plotArea>
    <c:legend>
      <c:legendPos val="b"/>
      <c:layout>
        <c:manualLayout>
          <c:xMode val="edge"/>
          <c:yMode val="edge"/>
          <c:x val="5.2777777777777778E-2"/>
          <c:y val="0.89874203971515498"/>
          <c:w val="0.9"/>
          <c:h val="8.3717191601049873E-2"/>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Data!$A$13:$A$40</c:f>
              <c:strCache>
                <c:ptCount val="28"/>
                <c:pt idx="0">
                  <c:v>Dānija</c:v>
                </c:pt>
                <c:pt idx="1">
                  <c:v>Austrija</c:v>
                </c:pt>
                <c:pt idx="2">
                  <c:v>Francija</c:v>
                </c:pt>
                <c:pt idx="3">
                  <c:v>Beļģija</c:v>
                </c:pt>
                <c:pt idx="4">
                  <c:v>Čehija</c:v>
                </c:pt>
                <c:pt idx="5">
                  <c:v>Nīderlande</c:v>
                </c:pt>
                <c:pt idx="6">
                  <c:v>Apvienotā Karaliste</c:v>
                </c:pt>
                <c:pt idx="7">
                  <c:v>Slovākija</c:v>
                </c:pt>
                <c:pt idx="8">
                  <c:v>Vācija</c:v>
                </c:pt>
                <c:pt idx="9">
                  <c:v>Somija</c:v>
                </c:pt>
                <c:pt idx="10">
                  <c:v>Zviedrija</c:v>
                </c:pt>
                <c:pt idx="11">
                  <c:v>Itālija</c:v>
                </c:pt>
                <c:pt idx="12">
                  <c:v>Horvātija</c:v>
                </c:pt>
                <c:pt idx="13">
                  <c:v>Slovēnija</c:v>
                </c:pt>
                <c:pt idx="14">
                  <c:v>Portugāle</c:v>
                </c:pt>
                <c:pt idx="15">
                  <c:v>Spānija</c:v>
                </c:pt>
                <c:pt idx="16">
                  <c:v>Lietuva</c:v>
                </c:pt>
                <c:pt idx="17">
                  <c:v>Malta</c:v>
                </c:pt>
                <c:pt idx="18">
                  <c:v>Igaunija</c:v>
                </c:pt>
                <c:pt idx="19">
                  <c:v>Bulgārija</c:v>
                </c:pt>
                <c:pt idx="20">
                  <c:v>Īrija</c:v>
                </c:pt>
                <c:pt idx="21">
                  <c:v>Grieķija</c:v>
                </c:pt>
                <c:pt idx="22">
                  <c:v>Polija</c:v>
                </c:pt>
                <c:pt idx="23">
                  <c:v>Luksemburga</c:v>
                </c:pt>
                <c:pt idx="24">
                  <c:v>Ungārija</c:v>
                </c:pt>
                <c:pt idx="25">
                  <c:v>Rumānija</c:v>
                </c:pt>
                <c:pt idx="26">
                  <c:v>Latvija</c:v>
                </c:pt>
                <c:pt idx="27">
                  <c:v>Kipra</c:v>
                </c:pt>
              </c:strCache>
            </c:strRef>
          </c:cat>
          <c:val>
            <c:numRef>
              <c:f>Data!$B$13:$B$40</c:f>
              <c:numCache>
                <c:formatCode>#\ ##0.0</c:formatCode>
                <c:ptCount val="28"/>
                <c:pt idx="0">
                  <c:v>8.3000000000000007</c:v>
                </c:pt>
                <c:pt idx="1">
                  <c:v>8.1999999999999993</c:v>
                </c:pt>
                <c:pt idx="2">
                  <c:v>8.1</c:v>
                </c:pt>
                <c:pt idx="3">
                  <c:v>7.6</c:v>
                </c:pt>
                <c:pt idx="4">
                  <c:v>7.6</c:v>
                </c:pt>
                <c:pt idx="5">
                  <c:v>7.6</c:v>
                </c:pt>
                <c:pt idx="6">
                  <c:v>7.5</c:v>
                </c:pt>
                <c:pt idx="7">
                  <c:v>7.3</c:v>
                </c:pt>
                <c:pt idx="8">
                  <c:v>7.2</c:v>
                </c:pt>
                <c:pt idx="9">
                  <c:v>7</c:v>
                </c:pt>
                <c:pt idx="10">
                  <c:v>7</c:v>
                </c:pt>
                <c:pt idx="11">
                  <c:v>6.8</c:v>
                </c:pt>
                <c:pt idx="12">
                  <c:v>6.6</c:v>
                </c:pt>
                <c:pt idx="13">
                  <c:v>6.6</c:v>
                </c:pt>
                <c:pt idx="14">
                  <c:v>6.3</c:v>
                </c:pt>
                <c:pt idx="15">
                  <c:v>6</c:v>
                </c:pt>
                <c:pt idx="16">
                  <c:v>5.9</c:v>
                </c:pt>
                <c:pt idx="17">
                  <c:v>5.3</c:v>
                </c:pt>
                <c:pt idx="18">
                  <c:v>5.0999999999999996</c:v>
                </c:pt>
                <c:pt idx="19">
                  <c:v>5</c:v>
                </c:pt>
                <c:pt idx="20">
                  <c:v>5</c:v>
                </c:pt>
                <c:pt idx="21">
                  <c:v>5</c:v>
                </c:pt>
                <c:pt idx="22">
                  <c:v>4.8</c:v>
                </c:pt>
                <c:pt idx="23">
                  <c:v>4.7</c:v>
                </c:pt>
                <c:pt idx="24">
                  <c:v>4.7</c:v>
                </c:pt>
                <c:pt idx="25">
                  <c:v>4.7</c:v>
                </c:pt>
                <c:pt idx="26">
                  <c:v>4</c:v>
                </c:pt>
                <c:pt idx="27">
                  <c:v>2.7</c:v>
                </c:pt>
              </c:numCache>
            </c:numRef>
          </c:val>
          <c:extLst>
            <c:ext xmlns:c16="http://schemas.microsoft.com/office/drawing/2014/chart" uri="{C3380CC4-5D6E-409C-BE32-E72D297353CC}">
              <c16:uniqueId val="{00000000-EDD9-415C-A2A6-8B470B4556DF}"/>
            </c:ext>
          </c:extLst>
        </c:ser>
        <c:ser>
          <c:idx val="1"/>
          <c:order val="1"/>
          <c:spPr>
            <a:noFill/>
            <a:ln>
              <a:noFill/>
            </a:ln>
            <a:effectLst>
              <a:outerShdw blurRad="50800" dist="50800" dir="5400000" algn="ctr" rotWithShape="0">
                <a:srgbClr val="000000">
                  <a:alpha val="0"/>
                </a:srgbClr>
              </a:outerShdw>
            </a:effectLst>
          </c:spPr>
          <c:invertIfNegative val="0"/>
          <c:trendline>
            <c:spPr>
              <a:ln w="19050" cap="rnd">
                <a:solidFill>
                  <a:schemeClr val="accent2"/>
                </a:solidFill>
                <a:prstDash val="solid"/>
              </a:ln>
              <a:effectLst/>
            </c:spPr>
            <c:trendlineType val="linear"/>
            <c:dispRSqr val="0"/>
            <c:dispEq val="0"/>
          </c:trendline>
          <c:cat>
            <c:strRef>
              <c:f>Data!$A$13:$A$40</c:f>
              <c:strCache>
                <c:ptCount val="28"/>
                <c:pt idx="0">
                  <c:v>Dānija</c:v>
                </c:pt>
                <c:pt idx="1">
                  <c:v>Austrija</c:v>
                </c:pt>
                <c:pt idx="2">
                  <c:v>Francija</c:v>
                </c:pt>
                <c:pt idx="3">
                  <c:v>Beļģija</c:v>
                </c:pt>
                <c:pt idx="4">
                  <c:v>Čehija</c:v>
                </c:pt>
                <c:pt idx="5">
                  <c:v>Nīderlande</c:v>
                </c:pt>
                <c:pt idx="6">
                  <c:v>Apvienotā Karaliste</c:v>
                </c:pt>
                <c:pt idx="7">
                  <c:v>Slovākija</c:v>
                </c:pt>
                <c:pt idx="8">
                  <c:v>Vācija</c:v>
                </c:pt>
                <c:pt idx="9">
                  <c:v>Somija</c:v>
                </c:pt>
                <c:pt idx="10">
                  <c:v>Zviedrija</c:v>
                </c:pt>
                <c:pt idx="11">
                  <c:v>Itālija</c:v>
                </c:pt>
                <c:pt idx="12">
                  <c:v>Horvātija</c:v>
                </c:pt>
                <c:pt idx="13">
                  <c:v>Slovēnija</c:v>
                </c:pt>
                <c:pt idx="14">
                  <c:v>Portugāle</c:v>
                </c:pt>
                <c:pt idx="15">
                  <c:v>Spānija</c:v>
                </c:pt>
                <c:pt idx="16">
                  <c:v>Lietuva</c:v>
                </c:pt>
                <c:pt idx="17">
                  <c:v>Malta</c:v>
                </c:pt>
                <c:pt idx="18">
                  <c:v>Igaunija</c:v>
                </c:pt>
                <c:pt idx="19">
                  <c:v>Bulgārija</c:v>
                </c:pt>
                <c:pt idx="20">
                  <c:v>Īrija</c:v>
                </c:pt>
                <c:pt idx="21">
                  <c:v>Grieķija</c:v>
                </c:pt>
                <c:pt idx="22">
                  <c:v>Polija</c:v>
                </c:pt>
                <c:pt idx="23">
                  <c:v>Luksemburga</c:v>
                </c:pt>
                <c:pt idx="24">
                  <c:v>Ungārija</c:v>
                </c:pt>
                <c:pt idx="25">
                  <c:v>Rumānija</c:v>
                </c:pt>
                <c:pt idx="26">
                  <c:v>Latvija</c:v>
                </c:pt>
                <c:pt idx="27">
                  <c:v>Kipra</c:v>
                </c:pt>
              </c:strCache>
            </c:strRef>
          </c:cat>
          <c:val>
            <c:numRef>
              <c:f>Data!$C$13:$C$40</c:f>
              <c:numCache>
                <c:formatCode>General</c:formatCode>
                <c:ptCount val="28"/>
                <c:pt idx="0">
                  <c:v>7.1</c:v>
                </c:pt>
                <c:pt idx="1">
                  <c:v>7.1</c:v>
                </c:pt>
                <c:pt idx="2">
                  <c:v>7.1</c:v>
                </c:pt>
                <c:pt idx="3">
                  <c:v>7.1</c:v>
                </c:pt>
                <c:pt idx="4">
                  <c:v>7.1</c:v>
                </c:pt>
                <c:pt idx="5">
                  <c:v>7.1</c:v>
                </c:pt>
                <c:pt idx="6">
                  <c:v>7.1</c:v>
                </c:pt>
                <c:pt idx="7">
                  <c:v>7.1</c:v>
                </c:pt>
                <c:pt idx="8">
                  <c:v>7.1</c:v>
                </c:pt>
                <c:pt idx="9">
                  <c:v>7.1</c:v>
                </c:pt>
                <c:pt idx="10">
                  <c:v>7.1</c:v>
                </c:pt>
                <c:pt idx="11">
                  <c:v>7.1</c:v>
                </c:pt>
                <c:pt idx="12">
                  <c:v>7.1</c:v>
                </c:pt>
                <c:pt idx="13">
                  <c:v>7.1</c:v>
                </c:pt>
                <c:pt idx="14">
                  <c:v>7.1</c:v>
                </c:pt>
                <c:pt idx="15">
                  <c:v>7.1</c:v>
                </c:pt>
                <c:pt idx="16">
                  <c:v>7.1</c:v>
                </c:pt>
                <c:pt idx="17">
                  <c:v>7.1</c:v>
                </c:pt>
                <c:pt idx="18">
                  <c:v>7.1</c:v>
                </c:pt>
                <c:pt idx="19">
                  <c:v>7.1</c:v>
                </c:pt>
                <c:pt idx="20">
                  <c:v>7.1</c:v>
                </c:pt>
                <c:pt idx="21">
                  <c:v>7.1</c:v>
                </c:pt>
                <c:pt idx="22">
                  <c:v>7.1</c:v>
                </c:pt>
                <c:pt idx="23">
                  <c:v>7.1</c:v>
                </c:pt>
                <c:pt idx="24">
                  <c:v>7.1</c:v>
                </c:pt>
                <c:pt idx="25">
                  <c:v>7.1</c:v>
                </c:pt>
                <c:pt idx="26">
                  <c:v>7.1</c:v>
                </c:pt>
                <c:pt idx="27">
                  <c:v>7.1</c:v>
                </c:pt>
              </c:numCache>
            </c:numRef>
          </c:val>
          <c:extLst>
            <c:ext xmlns:c16="http://schemas.microsoft.com/office/drawing/2014/chart" uri="{C3380CC4-5D6E-409C-BE32-E72D297353CC}">
              <c16:uniqueId val="{00000001-EDD9-415C-A2A6-8B470B4556DF}"/>
            </c:ext>
          </c:extLst>
        </c:ser>
        <c:dLbls>
          <c:showLegendKey val="0"/>
          <c:showVal val="0"/>
          <c:showCatName val="0"/>
          <c:showSerName val="0"/>
          <c:showPercent val="0"/>
          <c:showBubbleSize val="0"/>
        </c:dLbls>
        <c:gapWidth val="0"/>
        <c:overlap val="-3"/>
        <c:axId val="775613080"/>
        <c:axId val="775613408"/>
      </c:barChart>
      <c:catAx>
        <c:axId val="77561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420000" spcFirstLastPara="1" vertOverflow="ellipsis"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75613408"/>
        <c:crosses val="autoZero"/>
        <c:auto val="1"/>
        <c:lblAlgn val="ctr"/>
        <c:lblOffset val="100"/>
        <c:noMultiLvlLbl val="0"/>
      </c:catAx>
      <c:valAx>
        <c:axId val="7756134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75613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0.81096</cdr:x>
      <cdr:y>0.103</cdr:y>
    </cdr:from>
    <cdr:to>
      <cdr:x>1</cdr:x>
      <cdr:y>0.16207</cdr:y>
    </cdr:to>
    <cdr:sp macro="" textlink="">
      <cdr:nvSpPr>
        <cdr:cNvPr id="2" name="TextBox 2">
          <a:extLst xmlns:a="http://schemas.openxmlformats.org/drawingml/2006/main">
            <a:ext uri="{FF2B5EF4-FFF2-40B4-BE49-F238E27FC236}">
              <a16:creationId xmlns:a16="http://schemas.microsoft.com/office/drawing/2014/main" id="{A3FF4FC6-6B31-4B29-85F6-78DA266C31A0}"/>
            </a:ext>
          </a:extLst>
        </cdr:cNvPr>
        <cdr:cNvSpPr txBox="1"/>
      </cdr:nvSpPr>
      <cdr:spPr>
        <a:xfrm xmlns:a="http://schemas.openxmlformats.org/drawingml/2006/main">
          <a:off x="4181462" y="304800"/>
          <a:ext cx="974737" cy="17478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000" i="1">
              <a:latin typeface="Times New Roman" panose="02020603050405020304" pitchFamily="18" charset="0"/>
              <a:cs typeface="Times New Roman" panose="02020603050405020304" pitchFamily="18" charset="0"/>
            </a:rPr>
            <a:t>Vidēji</a:t>
          </a:r>
          <a:r>
            <a:rPr lang="lv-LV" sz="1000" i="1" baseline="0">
              <a:latin typeface="Times New Roman" panose="02020603050405020304" pitchFamily="18" charset="0"/>
              <a:cs typeface="Times New Roman" panose="02020603050405020304" pitchFamily="18" charset="0"/>
            </a:rPr>
            <a:t> </a:t>
          </a:r>
          <a:r>
            <a:rPr lang="lv-LV" sz="1000" i="1">
              <a:latin typeface="Times New Roman" panose="02020603050405020304" pitchFamily="18" charset="0"/>
              <a:cs typeface="Times New Roman" panose="02020603050405020304" pitchFamily="18" charset="0"/>
            </a:rPr>
            <a:t>ES 28 </a:t>
          </a:r>
          <a:endParaRPr lang="en-GB" sz="1000" i="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4A89CC-D824-4A2A-8257-6F113212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2700</TotalTime>
  <Pages>8</Pages>
  <Words>139489</Words>
  <Characters>79510</Characters>
  <Application>Microsoft Office Word</Application>
  <DocSecurity>0</DocSecurity>
  <Lines>662</Lines>
  <Paragraphs>437</Paragraphs>
  <ScaleCrop>false</ScaleCrop>
  <HeadingPairs>
    <vt:vector size="2" baseType="variant">
      <vt:variant>
        <vt:lpstr>Title</vt:lpstr>
      </vt:variant>
      <vt:variant>
        <vt:i4>1</vt:i4>
      </vt:variant>
    </vt:vector>
  </HeadingPairs>
  <TitlesOfParts>
    <vt:vector size="1" baseType="lpstr">
      <vt:lpstr>Latvijas Stabilitātes programma 2020. – 2023.gadam</vt:lpstr>
    </vt:vector>
  </TitlesOfParts>
  <Company>Finanšu ministrija</Company>
  <LinksUpToDate>false</LinksUpToDate>
  <CharactersWithSpaces>218562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Stabilitātes programma 2020. – 2023.gadam</dc:title>
  <dc:subject/>
  <dc:creator>Elīna Gusāre</dc:creator>
  <cp:keywords/>
  <dc:description>Elīna Gusāre, elina.gusare@fm.gov.lv_x000d_
67083911</dc:description>
  <cp:lastModifiedBy>Gints Trupovnieks</cp:lastModifiedBy>
  <cp:revision>439</cp:revision>
  <cp:lastPrinted>2019-04-10T12:48:00Z</cp:lastPrinted>
  <dcterms:created xsi:type="dcterms:W3CDTF">2018-04-06T07:18:00Z</dcterms:created>
  <dcterms:modified xsi:type="dcterms:W3CDTF">2020-04-27T10:52:00Z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-1987142590</vt:i4>
  </property>
  <property fmtid="{D5CDD505-2E9C-101B-9397-08002B2CF9AE}" pid="3" name="_MarkAsFinal">
    <vt:bool>true</vt:bool>
  </property>
</Properties>
</file>