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7" w:rsidRPr="00022D01" w:rsidRDefault="007116C7" w:rsidP="00863627">
      <w:pPr>
        <w:pStyle w:val="naisnod"/>
        <w:spacing w:before="0" w:after="0"/>
      </w:pPr>
      <w:r w:rsidRPr="00022D01">
        <w:t>Izziņa par atzinumos sniegtajiem iebildumiem</w:t>
      </w:r>
    </w:p>
    <w:p w:rsidR="007116C7" w:rsidRPr="00022D01"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022D01">
        <w:trPr>
          <w:jc w:val="center"/>
        </w:trPr>
        <w:tc>
          <w:tcPr>
            <w:tcW w:w="10188" w:type="dxa"/>
            <w:tcBorders>
              <w:bottom w:val="single" w:sz="6" w:space="0" w:color="000000"/>
            </w:tcBorders>
          </w:tcPr>
          <w:p w:rsidR="007116C7" w:rsidRPr="00022D01" w:rsidRDefault="00F51678" w:rsidP="00F51678">
            <w:pPr>
              <w:ind w:firstLine="720"/>
              <w:jc w:val="center"/>
            </w:pPr>
            <w:r>
              <w:t>Ministru kabineta noteikumu projekts “Grozījumi Ministru kabineta 2018.gada 27.novembra noteikumos Nr.719 “Kārtība, kādā nosaka alkohola koncentrāciju asinīs un izelpotajā gaisā un konstatē narkotisko vai citu apreibinošo vielu ietekmi””</w:t>
            </w:r>
            <w:r w:rsidR="003610F9">
              <w:t xml:space="preserve"> (</w:t>
            </w:r>
            <w:r w:rsidR="003610F9" w:rsidRPr="003610F9">
              <w:t>VSS-</w:t>
            </w:r>
            <w:r>
              <w:t>304</w:t>
            </w:r>
            <w:r w:rsidR="003610F9">
              <w:t>)</w:t>
            </w:r>
          </w:p>
        </w:tc>
      </w:tr>
    </w:tbl>
    <w:p w:rsidR="007B4C0F" w:rsidRPr="00712B66" w:rsidRDefault="007B4C0F" w:rsidP="00DB7395">
      <w:pPr>
        <w:pStyle w:val="naisf"/>
        <w:spacing w:before="0" w:after="0"/>
        <w:ind w:firstLine="720"/>
      </w:pPr>
    </w:p>
    <w:p w:rsidR="007B4C0F" w:rsidRDefault="008601B6" w:rsidP="00863627">
      <w:pPr>
        <w:pStyle w:val="naisf"/>
        <w:spacing w:before="0" w:after="0"/>
        <w:ind w:firstLine="0"/>
        <w:jc w:val="center"/>
        <w:rPr>
          <w:b/>
        </w:rPr>
      </w:pPr>
      <w:r>
        <w:rPr>
          <w:b/>
        </w:rPr>
        <w:t>I. </w:t>
      </w:r>
      <w:r w:rsidR="007B4C0F" w:rsidRPr="00712B66">
        <w:rPr>
          <w:b/>
        </w:rPr>
        <w:t xml:space="preserve">Jautājumi, par kuriem saskaņošanā </w:t>
      </w:r>
      <w:r w:rsidR="00134188" w:rsidRPr="00712B66">
        <w:rPr>
          <w:b/>
        </w:rPr>
        <w:t xml:space="preserve">vienošanās </w:t>
      </w:r>
      <w:r w:rsidR="007B4C0F" w:rsidRPr="00712B66">
        <w:rPr>
          <w:b/>
        </w:rPr>
        <w:t>nav panākta</w:t>
      </w:r>
    </w:p>
    <w:p w:rsidR="008601B6" w:rsidRPr="00712B66" w:rsidRDefault="008601B6" w:rsidP="008601B6">
      <w:pPr>
        <w:pStyle w:val="naisf"/>
        <w:spacing w:before="0" w:after="0"/>
        <w:ind w:left="360" w:firstLine="0"/>
        <w:rPr>
          <w:b/>
        </w:rPr>
      </w:pPr>
    </w:p>
    <w:tbl>
      <w:tblPr>
        <w:tblW w:w="14302"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119"/>
        <w:gridCol w:w="3118"/>
        <w:gridCol w:w="2977"/>
        <w:gridCol w:w="2459"/>
        <w:gridCol w:w="1920"/>
      </w:tblGrid>
      <w:tr w:rsidR="005F4BFD" w:rsidRPr="00712B66" w:rsidTr="002F18C2">
        <w:tc>
          <w:tcPr>
            <w:tcW w:w="709"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p.k.</w:t>
            </w:r>
          </w:p>
        </w:tc>
        <w:tc>
          <w:tcPr>
            <w:tcW w:w="3119"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2F18C2">
        <w:tc>
          <w:tcPr>
            <w:tcW w:w="709" w:type="dxa"/>
            <w:tcBorders>
              <w:top w:val="single" w:sz="6" w:space="0" w:color="000000"/>
              <w:left w:val="single" w:sz="6" w:space="0" w:color="000000"/>
              <w:bottom w:val="single" w:sz="6" w:space="0" w:color="000000"/>
              <w:right w:val="single" w:sz="6" w:space="0" w:color="000000"/>
            </w:tcBorders>
          </w:tcPr>
          <w:p w:rsidR="005F4BFD" w:rsidRPr="008A36C9" w:rsidRDefault="008A36C9" w:rsidP="0048022C">
            <w:pPr>
              <w:pStyle w:val="naisc"/>
              <w:spacing w:before="0" w:after="0"/>
              <w:rPr>
                <w:sz w:val="20"/>
                <w:szCs w:val="20"/>
              </w:rPr>
            </w:pPr>
            <w:r w:rsidRPr="008A36C9">
              <w:rPr>
                <w:sz w:val="20"/>
                <w:szCs w:val="20"/>
              </w:rPr>
              <w:t>1</w:t>
            </w:r>
          </w:p>
        </w:tc>
        <w:tc>
          <w:tcPr>
            <w:tcW w:w="3119" w:type="dxa"/>
            <w:tcBorders>
              <w:top w:val="single" w:sz="6" w:space="0" w:color="000000"/>
              <w:left w:val="single" w:sz="6" w:space="0" w:color="000000"/>
              <w:bottom w:val="single" w:sz="6" w:space="0" w:color="000000"/>
              <w:right w:val="single" w:sz="6" w:space="0" w:color="000000"/>
            </w:tcBorders>
          </w:tcPr>
          <w:p w:rsidR="005F4BFD" w:rsidRPr="008A36C9" w:rsidRDefault="008A36C9" w:rsidP="00022D01">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022D01">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022D01">
            <w:pPr>
              <w:pStyle w:val="naisc"/>
              <w:spacing w:before="0" w:after="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48022C">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48022C">
            <w:pPr>
              <w:jc w:val="center"/>
              <w:rPr>
                <w:sz w:val="20"/>
                <w:szCs w:val="20"/>
              </w:rPr>
            </w:pPr>
            <w:r w:rsidRPr="008A36C9">
              <w:rPr>
                <w:sz w:val="20"/>
                <w:szCs w:val="20"/>
              </w:rPr>
              <w:t>6</w:t>
            </w:r>
          </w:p>
        </w:tc>
      </w:tr>
    </w:tbl>
    <w:p w:rsidR="007B4C0F" w:rsidRPr="00712B66" w:rsidRDefault="007B4C0F" w:rsidP="007B4C0F">
      <w:pPr>
        <w:pStyle w:val="naisf"/>
        <w:spacing w:before="0" w:after="0"/>
        <w:ind w:firstLine="0"/>
      </w:pPr>
    </w:p>
    <w:p w:rsidR="005D67F7" w:rsidRDefault="005D67F7" w:rsidP="005D67F7">
      <w:pPr>
        <w:pStyle w:val="naisf"/>
        <w:spacing w:before="0" w:after="0"/>
        <w:ind w:firstLine="0"/>
        <w:rPr>
          <w:b/>
          <w:u w:val="single"/>
        </w:rPr>
      </w:pPr>
      <w:r w:rsidRPr="00712B66">
        <w:rPr>
          <w:b/>
        </w:rPr>
        <w:t xml:space="preserve">Informācija par starpministriju (starpinstitūciju) sanāksmi vai </w:t>
      </w:r>
      <w:r w:rsidRPr="008B3DE5">
        <w:rPr>
          <w:b/>
          <w:u w:val="single"/>
        </w:rPr>
        <w:t>elektronisko saskaņošanu</w:t>
      </w:r>
    </w:p>
    <w:p w:rsidR="008B3DE5" w:rsidRPr="00712B66" w:rsidRDefault="008B3DE5" w:rsidP="005D67F7">
      <w:pPr>
        <w:pStyle w:val="naisf"/>
        <w:spacing w:before="0" w:after="0"/>
        <w:ind w:firstLine="0"/>
        <w:rPr>
          <w:b/>
        </w:rPr>
      </w:pPr>
    </w:p>
    <w:p w:rsidR="005D67F7" w:rsidRPr="00712B66" w:rsidRDefault="005D67F7" w:rsidP="005D67F7">
      <w:pPr>
        <w:pStyle w:val="naisf"/>
        <w:spacing w:before="0" w:after="0"/>
        <w:ind w:firstLine="0"/>
        <w:rPr>
          <w:b/>
        </w:rPr>
      </w:pPr>
    </w:p>
    <w:tbl>
      <w:tblPr>
        <w:tblW w:w="15604" w:type="dxa"/>
        <w:tblInd w:w="108" w:type="dxa"/>
        <w:tblLayout w:type="fixed"/>
        <w:tblLook w:val="00A0" w:firstRow="1" w:lastRow="0" w:firstColumn="1" w:lastColumn="0" w:noHBand="0" w:noVBand="0"/>
      </w:tblPr>
      <w:tblGrid>
        <w:gridCol w:w="6774"/>
        <w:gridCol w:w="342"/>
        <w:gridCol w:w="7227"/>
        <w:gridCol w:w="151"/>
        <w:gridCol w:w="101"/>
        <w:gridCol w:w="757"/>
        <w:gridCol w:w="252"/>
      </w:tblGrid>
      <w:tr w:rsidR="008B3DE5" w:rsidRPr="00712B66" w:rsidTr="00331F73">
        <w:trPr>
          <w:gridAfter w:val="2"/>
          <w:wAfter w:w="1009" w:type="dxa"/>
          <w:trHeight w:val="278"/>
        </w:trPr>
        <w:tc>
          <w:tcPr>
            <w:tcW w:w="6774" w:type="dxa"/>
          </w:tcPr>
          <w:p w:rsidR="008B3DE5" w:rsidRPr="00712B66" w:rsidRDefault="008B3DE5" w:rsidP="00331F73">
            <w:pPr>
              <w:pStyle w:val="naisf"/>
              <w:spacing w:before="0" w:after="0"/>
              <w:ind w:firstLine="0"/>
            </w:pPr>
            <w:r w:rsidRPr="00712B66">
              <w:t>Datums</w:t>
            </w:r>
          </w:p>
        </w:tc>
        <w:tc>
          <w:tcPr>
            <w:tcW w:w="7821" w:type="dxa"/>
            <w:gridSpan w:val="4"/>
            <w:tcBorders>
              <w:bottom w:val="single" w:sz="4" w:space="0" w:color="auto"/>
            </w:tcBorders>
          </w:tcPr>
          <w:p w:rsidR="008B3DE5" w:rsidRPr="00712B66" w:rsidRDefault="0050667B" w:rsidP="00B110CB">
            <w:pPr>
              <w:pStyle w:val="NormalWeb"/>
              <w:spacing w:before="0" w:beforeAutospacing="0" w:after="0" w:afterAutospacing="0"/>
            </w:pPr>
            <w:r>
              <w:t>11</w:t>
            </w:r>
            <w:r w:rsidR="00B110CB">
              <w:t>.05.</w:t>
            </w:r>
            <w:r w:rsidR="008B3DE5">
              <w:t>2020.</w:t>
            </w:r>
          </w:p>
        </w:tc>
      </w:tr>
      <w:tr w:rsidR="008B3DE5" w:rsidRPr="00712B66" w:rsidTr="00331F73">
        <w:trPr>
          <w:gridAfter w:val="2"/>
          <w:wAfter w:w="1009" w:type="dxa"/>
          <w:trHeight w:val="278"/>
        </w:trPr>
        <w:tc>
          <w:tcPr>
            <w:tcW w:w="6774" w:type="dxa"/>
          </w:tcPr>
          <w:p w:rsidR="008B3DE5" w:rsidRPr="00712B66" w:rsidRDefault="008B3DE5" w:rsidP="00331F73">
            <w:pPr>
              <w:pStyle w:val="naisf"/>
              <w:spacing w:before="0" w:after="0"/>
              <w:ind w:firstLine="0"/>
            </w:pPr>
          </w:p>
        </w:tc>
        <w:tc>
          <w:tcPr>
            <w:tcW w:w="7821" w:type="dxa"/>
            <w:gridSpan w:val="4"/>
            <w:tcBorders>
              <w:top w:val="single" w:sz="4" w:space="0" w:color="auto"/>
            </w:tcBorders>
          </w:tcPr>
          <w:p w:rsidR="008B3DE5" w:rsidRPr="00712B66" w:rsidRDefault="008B3DE5" w:rsidP="00331F73">
            <w:pPr>
              <w:pStyle w:val="NormalWeb"/>
              <w:spacing w:before="0" w:beforeAutospacing="0" w:after="0" w:afterAutospacing="0"/>
              <w:ind w:firstLine="720"/>
            </w:pPr>
          </w:p>
        </w:tc>
      </w:tr>
      <w:tr w:rsidR="008B3DE5" w:rsidRPr="00712B66" w:rsidTr="00331F73">
        <w:trPr>
          <w:gridAfter w:val="2"/>
          <w:wAfter w:w="1009" w:type="dxa"/>
          <w:trHeight w:val="864"/>
        </w:trPr>
        <w:tc>
          <w:tcPr>
            <w:tcW w:w="14343" w:type="dxa"/>
            <w:gridSpan w:val="3"/>
          </w:tcPr>
          <w:p w:rsidR="008B3DE5" w:rsidRPr="00712B66" w:rsidRDefault="008B3DE5" w:rsidP="007E7E05">
            <w:pPr>
              <w:pStyle w:val="naiskr"/>
              <w:ind w:right="-110"/>
              <w:jc w:val="both"/>
            </w:pPr>
            <w:r w:rsidRPr="00DD11BF">
              <w:t xml:space="preserve">Saskaņošanas dalībnieki: </w:t>
            </w:r>
            <w:r w:rsidR="007E7E05">
              <w:t xml:space="preserve">Tieslietu </w:t>
            </w:r>
            <w:r>
              <w:t xml:space="preserve">ministrija, </w:t>
            </w:r>
            <w:r w:rsidR="007E7E05">
              <w:t xml:space="preserve">Finanšu </w:t>
            </w:r>
            <w:r>
              <w:t xml:space="preserve">ministrija, </w:t>
            </w:r>
            <w:r w:rsidR="004017F4">
              <w:t>Satiksmes ministrija, Veselības ministrija</w:t>
            </w:r>
            <w:r>
              <w:t xml:space="preserve">. </w:t>
            </w:r>
          </w:p>
        </w:tc>
        <w:tc>
          <w:tcPr>
            <w:tcW w:w="252" w:type="dxa"/>
            <w:gridSpan w:val="2"/>
          </w:tcPr>
          <w:p w:rsidR="008B3DE5" w:rsidRPr="00A35C33" w:rsidRDefault="008B3DE5" w:rsidP="00331F73">
            <w:pPr>
              <w:pStyle w:val="NormalWeb"/>
              <w:ind w:firstLine="34"/>
              <w:jc w:val="both"/>
            </w:pPr>
          </w:p>
          <w:p w:rsidR="008B3DE5" w:rsidRPr="00712B66" w:rsidRDefault="008B3DE5" w:rsidP="00331F73">
            <w:pPr>
              <w:pStyle w:val="NormalWeb"/>
              <w:spacing w:before="0" w:beforeAutospacing="0" w:after="0" w:afterAutospacing="0"/>
              <w:ind w:firstLine="720"/>
            </w:pPr>
          </w:p>
        </w:tc>
      </w:tr>
      <w:tr w:rsidR="008B3DE5" w:rsidRPr="00712B66" w:rsidTr="00331F73">
        <w:trPr>
          <w:trHeight w:val="293"/>
        </w:trPr>
        <w:tc>
          <w:tcPr>
            <w:tcW w:w="14494" w:type="dxa"/>
            <w:gridSpan w:val="4"/>
          </w:tcPr>
          <w:p w:rsidR="008B3DE5" w:rsidRPr="006A4500" w:rsidRDefault="008B3DE5" w:rsidP="007E7E05">
            <w:pPr>
              <w:pStyle w:val="naiskr"/>
              <w:spacing w:before="0" w:after="0"/>
              <w:ind w:right="-391"/>
              <w:jc w:val="both"/>
              <w:rPr>
                <w:highlight w:val="yellow"/>
              </w:rPr>
            </w:pPr>
            <w:r w:rsidRPr="000221F1">
              <w:t xml:space="preserve">Saskaņošanas dalībnieki izskatīja šādu ministriju (citu institūciju) iebildumus: </w:t>
            </w:r>
            <w:r w:rsidR="007E7E05">
              <w:t xml:space="preserve">Tieslietu </w:t>
            </w:r>
            <w:r w:rsidR="004017F4">
              <w:t xml:space="preserve">ministrija, </w:t>
            </w:r>
            <w:r w:rsidR="007E7E05">
              <w:t xml:space="preserve">Finanšu </w:t>
            </w:r>
            <w:r w:rsidR="004017F4">
              <w:t>ministrija</w:t>
            </w:r>
            <w:r>
              <w:t>.</w:t>
            </w:r>
          </w:p>
        </w:tc>
        <w:tc>
          <w:tcPr>
            <w:tcW w:w="858" w:type="dxa"/>
            <w:gridSpan w:val="2"/>
          </w:tcPr>
          <w:p w:rsidR="008B3DE5" w:rsidRPr="006F4A8B" w:rsidRDefault="008B3DE5" w:rsidP="00331F73">
            <w:pPr>
              <w:pStyle w:val="naiskr"/>
              <w:spacing w:before="0" w:after="0"/>
              <w:ind w:hanging="2"/>
              <w:jc w:val="both"/>
              <w:rPr>
                <w:highlight w:val="yellow"/>
              </w:rPr>
            </w:pPr>
          </w:p>
        </w:tc>
        <w:tc>
          <w:tcPr>
            <w:tcW w:w="252" w:type="dxa"/>
          </w:tcPr>
          <w:p w:rsidR="008B3DE5" w:rsidRPr="00712B66" w:rsidRDefault="008B3DE5" w:rsidP="00331F73">
            <w:pPr>
              <w:pStyle w:val="naiskr"/>
              <w:spacing w:before="0" w:after="0"/>
              <w:ind w:firstLine="12"/>
            </w:pPr>
          </w:p>
        </w:tc>
      </w:tr>
      <w:tr w:rsidR="008B3DE5" w:rsidRPr="00712B66" w:rsidTr="00331F73">
        <w:trPr>
          <w:gridAfter w:val="1"/>
          <w:wAfter w:w="252" w:type="dxa"/>
          <w:trHeight w:val="1127"/>
        </w:trPr>
        <w:tc>
          <w:tcPr>
            <w:tcW w:w="7116" w:type="dxa"/>
            <w:gridSpan w:val="2"/>
          </w:tcPr>
          <w:p w:rsidR="008B3DE5" w:rsidRDefault="008B3DE5" w:rsidP="00331F73">
            <w:pPr>
              <w:pStyle w:val="naiskr"/>
              <w:spacing w:before="0" w:after="0"/>
            </w:pPr>
          </w:p>
          <w:p w:rsidR="008B3DE5" w:rsidRDefault="008B3DE5" w:rsidP="00331F73">
            <w:pPr>
              <w:pStyle w:val="naiskr"/>
              <w:spacing w:before="0" w:after="0"/>
            </w:pPr>
            <w:r w:rsidRPr="00BA7248">
              <w:t>Ministrijas (citas institūcijas), kuras nav ieradušās uz sanāksmi vai kuras nav atbildējušas uz uzaicinājumu piedalīties elektroniskajā saskaņošanā:</w:t>
            </w:r>
          </w:p>
          <w:p w:rsidR="008B3DE5" w:rsidRDefault="008B3DE5" w:rsidP="00331F73">
            <w:pPr>
              <w:pStyle w:val="naiskr"/>
              <w:spacing w:before="0" w:after="0"/>
            </w:pPr>
          </w:p>
          <w:p w:rsidR="008B3DE5" w:rsidRPr="006A4500" w:rsidRDefault="008B3DE5" w:rsidP="00331F73">
            <w:pPr>
              <w:pStyle w:val="naiskr"/>
              <w:spacing w:before="0" w:after="0"/>
              <w:rPr>
                <w:highlight w:val="yellow"/>
              </w:rPr>
            </w:pPr>
          </w:p>
        </w:tc>
        <w:tc>
          <w:tcPr>
            <w:tcW w:w="8236" w:type="dxa"/>
            <w:gridSpan w:val="4"/>
          </w:tcPr>
          <w:p w:rsidR="008B3DE5" w:rsidRPr="00037859" w:rsidRDefault="008B3DE5" w:rsidP="00331F73">
            <w:pPr>
              <w:pStyle w:val="naiskr"/>
              <w:spacing w:before="0" w:after="0"/>
              <w:ind w:hanging="2"/>
            </w:pPr>
          </w:p>
          <w:p w:rsidR="008B3DE5" w:rsidRPr="00037859" w:rsidRDefault="00037859" w:rsidP="00331F73">
            <w:pPr>
              <w:tabs>
                <w:tab w:val="left" w:pos="2310"/>
              </w:tabs>
            </w:pPr>
            <w:r w:rsidRPr="00037859">
              <w:t>Nav.</w:t>
            </w:r>
          </w:p>
        </w:tc>
      </w:tr>
    </w:tbl>
    <w:p w:rsidR="002F18C2" w:rsidRDefault="002F18C2" w:rsidP="00416AA8">
      <w:pPr>
        <w:pStyle w:val="naisf"/>
        <w:spacing w:before="0" w:after="0"/>
        <w:ind w:firstLine="0"/>
        <w:rPr>
          <w:b/>
        </w:rPr>
      </w:pPr>
    </w:p>
    <w:p w:rsidR="002F18C2" w:rsidRDefault="002F18C2" w:rsidP="00184479">
      <w:pPr>
        <w:pStyle w:val="naisf"/>
        <w:spacing w:before="0" w:after="0"/>
        <w:ind w:firstLine="0"/>
        <w:jc w:val="center"/>
        <w:rPr>
          <w:b/>
        </w:rPr>
      </w:pPr>
    </w:p>
    <w:p w:rsidR="00037859" w:rsidRDefault="00037859" w:rsidP="00184479">
      <w:pPr>
        <w:pStyle w:val="naisf"/>
        <w:spacing w:before="0" w:after="0"/>
        <w:ind w:firstLine="0"/>
        <w:jc w:val="center"/>
        <w:rPr>
          <w:b/>
        </w:rPr>
      </w:pPr>
    </w:p>
    <w:p w:rsidR="007B4C0F"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8601B6" w:rsidRPr="00712B66" w:rsidRDefault="008601B6" w:rsidP="00184479">
      <w:pPr>
        <w:pStyle w:val="naisf"/>
        <w:spacing w:before="0" w:after="0"/>
        <w:ind w:firstLine="0"/>
        <w:jc w:val="center"/>
        <w:rPr>
          <w:b/>
        </w:rPr>
      </w:pPr>
    </w:p>
    <w:tbl>
      <w:tblPr>
        <w:tblW w:w="147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686"/>
        <w:gridCol w:w="4394"/>
        <w:gridCol w:w="1099"/>
        <w:gridCol w:w="2728"/>
        <w:gridCol w:w="2694"/>
      </w:tblGrid>
      <w:tr w:rsidR="00134188" w:rsidRPr="00712B66" w:rsidTr="000267A2">
        <w:tc>
          <w:tcPr>
            <w:tcW w:w="67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037859">
            <w:pPr>
              <w:pStyle w:val="naisc"/>
              <w:spacing w:before="0" w:after="0"/>
              <w:jc w:val="left"/>
            </w:pPr>
            <w:r w:rsidRPr="00712B66">
              <w:t>Nr. p.k.</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037859">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037859">
            <w:pPr>
              <w:pStyle w:val="naisc"/>
              <w:spacing w:before="0" w:after="0"/>
              <w:ind w:right="3"/>
            </w:pPr>
            <w:r w:rsidRPr="00712B66">
              <w:t>Atzinumā norādītais ministrijas (citas institūcijas) iebildums, kā arī saskaņošanā papildus izteiktais iebildums par projekta konkrēto punktu (pantu)</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037859">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4" w:type="dxa"/>
            <w:tcBorders>
              <w:top w:val="single" w:sz="4" w:space="0" w:color="auto"/>
              <w:left w:val="single" w:sz="4" w:space="0" w:color="auto"/>
              <w:bottom w:val="single" w:sz="4" w:space="0" w:color="auto"/>
            </w:tcBorders>
            <w:vAlign w:val="center"/>
          </w:tcPr>
          <w:p w:rsidR="00134188" w:rsidRPr="00712B66" w:rsidRDefault="00134188" w:rsidP="00037859">
            <w:pPr>
              <w:jc w:val="center"/>
            </w:pPr>
            <w:r w:rsidRPr="00712B66">
              <w:t>Projekta attiecīgā punkta (panta) galīgā redakcija</w:t>
            </w:r>
          </w:p>
        </w:tc>
      </w:tr>
      <w:tr w:rsidR="00134188" w:rsidRPr="003B71E0" w:rsidTr="000267A2">
        <w:tc>
          <w:tcPr>
            <w:tcW w:w="675" w:type="dxa"/>
            <w:tcBorders>
              <w:top w:val="single" w:sz="6" w:space="0" w:color="000000"/>
              <w:left w:val="single" w:sz="6" w:space="0" w:color="000000"/>
              <w:bottom w:val="single" w:sz="6" w:space="0" w:color="000000"/>
              <w:right w:val="single" w:sz="6" w:space="0" w:color="000000"/>
            </w:tcBorders>
          </w:tcPr>
          <w:p w:rsidR="00134188" w:rsidRPr="003B71E0" w:rsidRDefault="003B71E0" w:rsidP="00037859">
            <w:pPr>
              <w:pStyle w:val="naisc"/>
              <w:spacing w:before="0" w:after="0"/>
              <w:ind w:left="360"/>
              <w:rPr>
                <w:sz w:val="20"/>
                <w:szCs w:val="20"/>
              </w:rPr>
            </w:pPr>
            <w:r w:rsidRPr="003B71E0">
              <w:rPr>
                <w:sz w:val="20"/>
                <w:szCs w:val="20"/>
              </w:rPr>
              <w:t>1</w:t>
            </w:r>
          </w:p>
        </w:tc>
        <w:tc>
          <w:tcPr>
            <w:tcW w:w="3119"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037859">
            <w:pPr>
              <w:pStyle w:val="naisc"/>
              <w:spacing w:before="0" w:after="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3B71E0" w:rsidRDefault="003B71E0" w:rsidP="00037859">
            <w:pPr>
              <w:pStyle w:val="naisc"/>
              <w:spacing w:before="0" w:after="0"/>
              <w:rPr>
                <w:sz w:val="20"/>
                <w:szCs w:val="20"/>
              </w:rPr>
            </w:pPr>
            <w:r w:rsidRPr="003B71E0">
              <w:rPr>
                <w:sz w:val="20"/>
                <w:szCs w:val="20"/>
              </w:rPr>
              <w:t>3</w:t>
            </w:r>
          </w:p>
        </w:tc>
        <w:tc>
          <w:tcPr>
            <w:tcW w:w="3827"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037859">
            <w:pPr>
              <w:pStyle w:val="naisc"/>
              <w:spacing w:before="0" w:after="0"/>
              <w:rPr>
                <w:sz w:val="20"/>
                <w:szCs w:val="20"/>
              </w:rPr>
            </w:pPr>
            <w:r w:rsidRPr="003B71E0">
              <w:rPr>
                <w:sz w:val="20"/>
                <w:szCs w:val="20"/>
              </w:rPr>
              <w:t>4</w:t>
            </w:r>
          </w:p>
        </w:tc>
        <w:tc>
          <w:tcPr>
            <w:tcW w:w="2694" w:type="dxa"/>
            <w:tcBorders>
              <w:top w:val="single" w:sz="4" w:space="0" w:color="auto"/>
              <w:left w:val="single" w:sz="4" w:space="0" w:color="auto"/>
              <w:bottom w:val="single" w:sz="4" w:space="0" w:color="auto"/>
            </w:tcBorders>
          </w:tcPr>
          <w:p w:rsidR="00134188" w:rsidRPr="003B71E0" w:rsidRDefault="003B71E0" w:rsidP="00037859">
            <w:pPr>
              <w:jc w:val="center"/>
              <w:rPr>
                <w:sz w:val="20"/>
                <w:szCs w:val="20"/>
              </w:rPr>
            </w:pPr>
            <w:r w:rsidRPr="003B71E0">
              <w:rPr>
                <w:sz w:val="20"/>
                <w:szCs w:val="20"/>
              </w:rPr>
              <w:t>5</w:t>
            </w:r>
          </w:p>
        </w:tc>
      </w:tr>
      <w:tr w:rsidR="00C511B1" w:rsidRPr="00712B66" w:rsidTr="000267A2">
        <w:trPr>
          <w:trHeight w:val="1265"/>
        </w:trPr>
        <w:tc>
          <w:tcPr>
            <w:tcW w:w="675" w:type="dxa"/>
            <w:tcBorders>
              <w:left w:val="single" w:sz="6" w:space="0" w:color="000000"/>
              <w:bottom w:val="single" w:sz="4" w:space="0" w:color="auto"/>
              <w:right w:val="single" w:sz="6" w:space="0" w:color="000000"/>
            </w:tcBorders>
          </w:tcPr>
          <w:p w:rsidR="00C511B1" w:rsidRPr="001616E2" w:rsidRDefault="002F18C2" w:rsidP="00037859">
            <w:pPr>
              <w:jc w:val="center"/>
            </w:pPr>
            <w:r w:rsidRPr="001616E2">
              <w:t>1</w:t>
            </w:r>
            <w:r w:rsidR="00C511B1" w:rsidRPr="001616E2">
              <w:t>.</w:t>
            </w:r>
          </w:p>
        </w:tc>
        <w:tc>
          <w:tcPr>
            <w:tcW w:w="3119" w:type="dxa"/>
            <w:gridSpan w:val="2"/>
            <w:tcBorders>
              <w:left w:val="single" w:sz="6" w:space="0" w:color="000000"/>
              <w:bottom w:val="single" w:sz="4" w:space="0" w:color="auto"/>
              <w:right w:val="single" w:sz="6" w:space="0" w:color="000000"/>
            </w:tcBorders>
          </w:tcPr>
          <w:p w:rsidR="00FD6DA3" w:rsidRDefault="00B110CB" w:rsidP="00037859">
            <w:pPr>
              <w:pStyle w:val="naisc"/>
              <w:spacing w:before="0" w:after="0"/>
              <w:jc w:val="both"/>
            </w:pPr>
            <w:r w:rsidRPr="001616E2">
              <w:t>Noteikumu projekts.</w:t>
            </w:r>
          </w:p>
          <w:p w:rsidR="004B08B1" w:rsidRDefault="004B08B1" w:rsidP="00037859">
            <w:pPr>
              <w:pStyle w:val="naisc"/>
              <w:spacing w:before="0" w:after="0"/>
              <w:jc w:val="both"/>
            </w:pPr>
          </w:p>
          <w:p w:rsidR="001616E2" w:rsidRDefault="001616E2" w:rsidP="00037859">
            <w:pPr>
              <w:pStyle w:val="naisc"/>
              <w:spacing w:before="0" w:after="0"/>
              <w:jc w:val="both"/>
            </w:pPr>
          </w:p>
          <w:p w:rsidR="001616E2" w:rsidRDefault="001616E2" w:rsidP="00037859">
            <w:pPr>
              <w:pStyle w:val="naisc"/>
              <w:spacing w:before="0" w:after="0"/>
              <w:jc w:val="both"/>
            </w:pPr>
          </w:p>
          <w:p w:rsidR="001616E2" w:rsidRDefault="001616E2" w:rsidP="00037859">
            <w:pPr>
              <w:pStyle w:val="naisc"/>
              <w:spacing w:before="0" w:after="0"/>
              <w:jc w:val="both"/>
            </w:pPr>
          </w:p>
          <w:p w:rsidR="001616E2" w:rsidRDefault="001616E2" w:rsidP="00037859">
            <w:pPr>
              <w:pStyle w:val="naisc"/>
              <w:spacing w:before="0" w:after="0"/>
              <w:jc w:val="both"/>
            </w:pPr>
          </w:p>
          <w:p w:rsidR="001616E2" w:rsidRDefault="001616E2" w:rsidP="00037859">
            <w:pPr>
              <w:pStyle w:val="naisc"/>
              <w:spacing w:before="0" w:after="0"/>
              <w:jc w:val="both"/>
            </w:pPr>
          </w:p>
          <w:p w:rsidR="001616E2" w:rsidRDefault="001616E2" w:rsidP="00037859">
            <w:pPr>
              <w:pStyle w:val="naisc"/>
              <w:spacing w:before="0" w:after="0"/>
              <w:jc w:val="both"/>
            </w:pPr>
          </w:p>
          <w:p w:rsidR="001616E2" w:rsidRDefault="001616E2" w:rsidP="00037859">
            <w:pPr>
              <w:pStyle w:val="naisc"/>
              <w:spacing w:before="0" w:after="0"/>
              <w:jc w:val="both"/>
            </w:pPr>
          </w:p>
          <w:p w:rsidR="001616E2" w:rsidRDefault="001616E2" w:rsidP="00037859">
            <w:pPr>
              <w:pStyle w:val="naisc"/>
              <w:spacing w:before="0" w:after="0"/>
              <w:jc w:val="both"/>
            </w:pPr>
          </w:p>
          <w:p w:rsidR="001616E2" w:rsidRDefault="001616E2" w:rsidP="00037859">
            <w:pPr>
              <w:pStyle w:val="naisc"/>
              <w:spacing w:before="0" w:after="0"/>
              <w:jc w:val="both"/>
            </w:pPr>
          </w:p>
          <w:p w:rsidR="001616E2" w:rsidRDefault="001616E2" w:rsidP="00037859">
            <w:pPr>
              <w:pStyle w:val="naisc"/>
              <w:spacing w:before="0" w:after="0"/>
              <w:jc w:val="both"/>
            </w:pPr>
          </w:p>
          <w:p w:rsidR="001616E2" w:rsidRDefault="001616E2" w:rsidP="00037859">
            <w:pPr>
              <w:pStyle w:val="naisc"/>
              <w:spacing w:before="0" w:after="0"/>
              <w:jc w:val="both"/>
            </w:pPr>
          </w:p>
          <w:p w:rsidR="001616E2" w:rsidRDefault="001616E2" w:rsidP="00037859">
            <w:pPr>
              <w:pStyle w:val="naisc"/>
              <w:spacing w:before="0" w:after="0"/>
              <w:jc w:val="both"/>
            </w:pPr>
          </w:p>
          <w:p w:rsidR="001616E2" w:rsidRPr="001616E2" w:rsidRDefault="001616E2" w:rsidP="00037859">
            <w:pPr>
              <w:pStyle w:val="naisc"/>
              <w:spacing w:before="0" w:after="0"/>
              <w:jc w:val="both"/>
            </w:pPr>
          </w:p>
          <w:p w:rsidR="00FD6DA3" w:rsidRPr="001616E2" w:rsidRDefault="00FD6DA3" w:rsidP="00037859">
            <w:pPr>
              <w:pStyle w:val="naisc"/>
              <w:spacing w:before="0" w:after="0"/>
              <w:jc w:val="both"/>
            </w:pPr>
          </w:p>
          <w:p w:rsidR="00037859" w:rsidRDefault="00037859" w:rsidP="00037859">
            <w:pPr>
              <w:pStyle w:val="naisc"/>
              <w:spacing w:before="0" w:after="0"/>
              <w:jc w:val="both"/>
            </w:pPr>
          </w:p>
          <w:p w:rsidR="00037859" w:rsidRDefault="00037859" w:rsidP="00037859">
            <w:pPr>
              <w:pStyle w:val="naisc"/>
              <w:spacing w:before="0" w:after="0"/>
              <w:jc w:val="both"/>
            </w:pPr>
          </w:p>
          <w:p w:rsidR="00FD6DA3" w:rsidRPr="001616E2" w:rsidRDefault="00FD6DA3" w:rsidP="00037859">
            <w:pPr>
              <w:pStyle w:val="naisc"/>
              <w:spacing w:before="0" w:after="0"/>
              <w:jc w:val="both"/>
            </w:pPr>
            <w:r w:rsidRPr="001616E2">
              <w:t>Izdoti saskaņā ar Ceļu satiksmes likuma 43.</w:t>
            </w:r>
            <w:r w:rsidRPr="001616E2">
              <w:rPr>
                <w:vertAlign w:val="superscript"/>
              </w:rPr>
              <w:t>5</w:t>
            </w:r>
            <w:r w:rsidRPr="001616E2">
              <w:t xml:space="preserve"> panta </w:t>
            </w:r>
          </w:p>
          <w:p w:rsidR="00FD6DA3" w:rsidRPr="001616E2" w:rsidRDefault="00FD6DA3" w:rsidP="00037859">
            <w:pPr>
              <w:pStyle w:val="naisc"/>
              <w:spacing w:before="0" w:after="0"/>
              <w:jc w:val="both"/>
            </w:pPr>
            <w:r w:rsidRPr="001616E2">
              <w:t>pirmo un otro daļu</w:t>
            </w:r>
          </w:p>
        </w:tc>
        <w:tc>
          <w:tcPr>
            <w:tcW w:w="4394" w:type="dxa"/>
            <w:tcBorders>
              <w:left w:val="single" w:sz="6" w:space="0" w:color="000000"/>
              <w:bottom w:val="single" w:sz="4" w:space="0" w:color="auto"/>
              <w:right w:val="single" w:sz="6" w:space="0" w:color="000000"/>
            </w:tcBorders>
          </w:tcPr>
          <w:p w:rsidR="00B256EF" w:rsidRPr="001616E2" w:rsidRDefault="00B36691" w:rsidP="00037859">
            <w:pPr>
              <w:pStyle w:val="naisc"/>
              <w:spacing w:before="0" w:after="0"/>
              <w:jc w:val="both"/>
              <w:rPr>
                <w:b/>
              </w:rPr>
            </w:pPr>
            <w:r w:rsidRPr="001616E2">
              <w:rPr>
                <w:b/>
              </w:rPr>
              <w:t>Tieslietu ministrija</w:t>
            </w:r>
          </w:p>
          <w:p w:rsidR="00B36691" w:rsidRPr="001616E2" w:rsidRDefault="00B36691" w:rsidP="00037859">
            <w:pPr>
              <w:pStyle w:val="naisc"/>
              <w:spacing w:before="0" w:after="0"/>
              <w:jc w:val="both"/>
            </w:pPr>
            <w:r w:rsidRPr="001616E2">
              <w:t>Vēršam uzmanību, ka šobrīd regulējums, kas noteic kārtību alkohola, narkotisko, psihotropo vai toksisko vielu ietekmes pārbaudēm, ir ietverts gan Ministru kabineta 2008. gada 2. jūnija noteikumos Nr. 394 "Alkohola, narkotisko, psihotropo vai toksisko vielu ietekmes pārbaudes kārtība" (turpmāk – MK noteikumi Nr. 394), gan Ministru kabineta 2018. gada 27. novembra noteikumos Nr. 719 "Kārtība, kādā nosaka alkohola koncentrāciju asinīs un izelpotajā gaisā un konstatē narkotisko vai citu apreibinošo vielu ietekmi" (turpmāk</w:t>
            </w:r>
            <w:r w:rsidR="003E2058" w:rsidRPr="001616E2">
              <w:t xml:space="preserve"> </w:t>
            </w:r>
            <w:r w:rsidRPr="001616E2">
              <w:t>– MK noteikumi Nr. 719). Saskaņā ar MK noteikumu Nr. 394 2. punktu šie noteikumi, izņemot 8., 9., 10. un 11. pielikumu, neattiecas transportlīdzekļa vadītājam. Uz transportlīdzekļa vadītājiem attiecas MK noteikumi Nr. 719.</w:t>
            </w:r>
          </w:p>
          <w:p w:rsidR="00B36691" w:rsidRPr="001616E2" w:rsidRDefault="00B36691" w:rsidP="00037859">
            <w:pPr>
              <w:pStyle w:val="naisc"/>
              <w:spacing w:before="0" w:after="0"/>
              <w:jc w:val="both"/>
            </w:pPr>
            <w:r w:rsidRPr="001616E2">
              <w:t xml:space="preserve">Norādām, ka Administratīvās atbildības likuma (turpmāk – AAL) 75. panta otrajā </w:t>
            </w:r>
            <w:r w:rsidRPr="001616E2">
              <w:lastRenderedPageBreak/>
              <w:t xml:space="preserve">daļā dots pilnvarojums Ministru kabinetam noteikt kārtību, kādā aprēķina izdevumus, kas saistīti ar apreibinošo vielu ietekmes konstatēšanai veiktajām pārbaudēm, un kārtību, kādā par minētajiem izdevumiem informē iestādi, kuras amatpersona pieņem nolēmumu par sodu. Proti, minētais pilnvarojums attiecas uz jebkuru personu par kuru pastāv aizdomas, ka tā varētu būt izdarījusi administratīvo pārkāpumu (neattiecinot to uz konkrētām personu grupām, piemēram, transportlīdzekļa vadītājiem). Ievērojot minēto, kā arī to, ka saskaņā ar AAL 75. panta otrajā daļā doto pilnvarojumu abos iepriekš minētajos Ministru kabineta noteikumos būtu ietverams gandrīz analoģisks regulējums, aicinām izvērtēt jaunu Ministru kabineta noteikumu izdošanu. Norādām, ka divu Ministru kabineta noteikumu  piemērošana vienas medicīniskās pārbaudes veikšanai nereti rada neviennozīmīgas situācijas un neizpratni to piemērotājiem, jo korekta pārbaužu kārtības ievērošana ir svarīga, lai netiktu apšaubīti veikto pārbaužu rezultāti (sk. </w:t>
            </w:r>
            <w:proofErr w:type="spellStart"/>
            <w:r w:rsidRPr="001616E2">
              <w:t>Mistre</w:t>
            </w:r>
            <w:proofErr w:type="spellEnd"/>
            <w:r w:rsidRPr="001616E2">
              <w:t xml:space="preserve"> V. Alkohola ietekmes noteikšana transportlīdzekļu vadītājiem un ar to saistītā problemātika. Juridiskās koledžas zinātniskie raksti. 2018. Rīga: Juridiskā koledža, 2018, 72. lpp.).</w:t>
            </w:r>
          </w:p>
          <w:p w:rsidR="00B36691" w:rsidRPr="001616E2" w:rsidRDefault="00B36691" w:rsidP="00037859">
            <w:pPr>
              <w:pStyle w:val="naisc"/>
              <w:spacing w:before="0" w:after="0"/>
              <w:jc w:val="both"/>
            </w:pPr>
            <w:r w:rsidRPr="001616E2">
              <w:t xml:space="preserve">Vienlaikus norādām, ka saskaņā ar Valsts sekretāru sanāksmes 2017. gada </w:t>
            </w:r>
            <w:r w:rsidRPr="001616E2">
              <w:lastRenderedPageBreak/>
              <w:t>10. augusta protokola Nr. 31 33. § Veselības ministrijai noteikts uzdevums iesniegt izsludināšanai Ministru kabineta noteikumu projektu, kas noteiktu kārtību, kādā nosaka alkohola koncentrāciju izelpas gaisā, kā arī alkohola, narkotisko vai citu apreibinošo vielu ietekmi vai reibumu (AAL 113. panta piektā daļa). Tādējādi aicinām izvērtēt, vai Iekšlietu ministrijai, sadarbojoties ar Veselības ministriju, nebūtu izstrādājams vienots regulējums attiecībā uz apreibinošo vielu ietekmes vai reibuma noteikšanas jomu.</w:t>
            </w:r>
          </w:p>
          <w:p w:rsidR="00C511B1" w:rsidRDefault="00B36691" w:rsidP="00037859">
            <w:pPr>
              <w:pStyle w:val="naisc"/>
              <w:spacing w:before="0" w:after="0"/>
              <w:jc w:val="both"/>
            </w:pPr>
            <w:r w:rsidRPr="001616E2">
              <w:t>Papildus norādām, ka gadījumā, ja Iekšlietu ministrijas ieskatā tomēr nebūtu izdodami jauni Ministru kabineta noteikumi, aicinām projekta sākotnējās (</w:t>
            </w:r>
            <w:proofErr w:type="spellStart"/>
            <w:r w:rsidRPr="001616E2">
              <w:t>ex</w:t>
            </w:r>
            <w:proofErr w:type="spellEnd"/>
            <w:r w:rsidRPr="001616E2">
              <w:t xml:space="preserve"> – </w:t>
            </w:r>
            <w:proofErr w:type="spellStart"/>
            <w:r w:rsidRPr="001616E2">
              <w:t>ante</w:t>
            </w:r>
            <w:proofErr w:type="spellEnd"/>
            <w:r w:rsidRPr="001616E2">
              <w:t xml:space="preserve">) ietekmes novērtējuma ziņojumā (turpmāk – anotācija) skaidrot, kā tiks nodrošināta viennozīmīga izpratne, piemērojot minētos Ministru kabineta noteikumus. Tāpat lūdzam precizēt MK noteikumu Nr. 719 nosaukumu, lai tas atbilstu gan pilnvarojumam, gan noteikumu saturam (sk. Ministru kabineta 2009. gada 3. februāra noteikumu Nr. 108 "Normatīvo aktu projektu sagatavošanas noteikumi" 90. punktu). Tāpat vēršam uzmanību, ka, ja grozījumus izdara arī norādē, uz kāda likuma pamata noteikumi izdoti, aiz grozījumu projekta nosaukuma raksta noteikumu izdošanas pamatojumu </w:t>
            </w:r>
            <w:r w:rsidRPr="001616E2">
              <w:lastRenderedPageBreak/>
              <w:t>jaunajā redakcijā. Attiecīgi aicinām papildināt projekta noteikumu izdošanas tiesisko pamatu ar AAL 75. panta otro daļu.</w:t>
            </w:r>
          </w:p>
          <w:p w:rsidR="00037859" w:rsidRPr="001616E2" w:rsidRDefault="00037859" w:rsidP="00037859">
            <w:pPr>
              <w:pStyle w:val="naisc"/>
              <w:spacing w:before="0" w:after="0"/>
              <w:jc w:val="both"/>
            </w:pPr>
          </w:p>
        </w:tc>
        <w:tc>
          <w:tcPr>
            <w:tcW w:w="3827" w:type="dxa"/>
            <w:gridSpan w:val="2"/>
            <w:tcBorders>
              <w:left w:val="single" w:sz="6" w:space="0" w:color="000000"/>
              <w:bottom w:val="single" w:sz="4" w:space="0" w:color="auto"/>
              <w:right w:val="single" w:sz="6" w:space="0" w:color="000000"/>
            </w:tcBorders>
          </w:tcPr>
          <w:p w:rsidR="00C511B1" w:rsidRPr="001616E2" w:rsidRDefault="00451CBF" w:rsidP="00037859">
            <w:pPr>
              <w:pStyle w:val="naisc"/>
              <w:spacing w:before="0" w:after="0"/>
              <w:jc w:val="both"/>
              <w:rPr>
                <w:b/>
                <w:bCs/>
                <w:i/>
              </w:rPr>
            </w:pPr>
            <w:r w:rsidRPr="001616E2">
              <w:rPr>
                <w:b/>
                <w:bCs/>
                <w:i/>
              </w:rPr>
              <w:lastRenderedPageBreak/>
              <w:t>Iebildums daļēji ņemts vērā.</w:t>
            </w:r>
          </w:p>
          <w:p w:rsidR="00B36691" w:rsidRPr="001616E2" w:rsidRDefault="00451CBF" w:rsidP="00037859">
            <w:pPr>
              <w:pStyle w:val="naisc"/>
              <w:spacing w:before="0" w:after="0"/>
              <w:jc w:val="both"/>
              <w:rPr>
                <w:bCs/>
                <w:i/>
              </w:rPr>
            </w:pPr>
            <w:r w:rsidRPr="001616E2">
              <w:rPr>
                <w:bCs/>
              </w:rPr>
              <w:t>Iekšlietu ministrija ir izvērtējusi iebildumā minētos apsvērumus un norāda,</w:t>
            </w:r>
            <w:r w:rsidR="004D7C8A" w:rsidRPr="001616E2">
              <w:rPr>
                <w:bCs/>
              </w:rPr>
              <w:t xml:space="preserve"> vienots regulējums</w:t>
            </w:r>
            <w:r w:rsidR="00180FA7" w:rsidRPr="001616E2">
              <w:rPr>
                <w:bCs/>
              </w:rPr>
              <w:t xml:space="preserve"> apreibinošo vielu ietekmes pārbaužu veikšanai faktiski pastāvēja no 1996. gada 23. oktobra līdz 2005. gada 15. janvārim, kad stājās spēkā Ministru kabineta 2005. gada 11. janvāra noteikumi Nr. 15 “Kārtība, kādā nosakāma alkohola koncentrācija asinīs un izelpotajā gaisā un konstatējams narkotisko vai citu apreibinošo vielu iespaids”, kas </w:t>
            </w:r>
            <w:r w:rsidR="00180FA7" w:rsidRPr="001616E2">
              <w:t xml:space="preserve"> tika i</w:t>
            </w:r>
            <w:r w:rsidR="00180FA7" w:rsidRPr="001616E2">
              <w:rPr>
                <w:bCs/>
              </w:rPr>
              <w:t>zdoti saskaņā ar Ceļu satiksmes likuma 43.</w:t>
            </w:r>
            <w:r w:rsidR="00180FA7" w:rsidRPr="001616E2">
              <w:rPr>
                <w:bCs/>
                <w:vertAlign w:val="superscript"/>
              </w:rPr>
              <w:t>5 </w:t>
            </w:r>
            <w:r w:rsidR="00180FA7" w:rsidRPr="001616E2">
              <w:rPr>
                <w:bCs/>
              </w:rPr>
              <w:t>panta pirmajā un otrajā daļā Ministru kabinetam doto pilnvarojumu.</w:t>
            </w:r>
          </w:p>
          <w:p w:rsidR="00B36691" w:rsidRPr="001616E2" w:rsidRDefault="003E2058" w:rsidP="00037859">
            <w:pPr>
              <w:pStyle w:val="naisc"/>
              <w:spacing w:before="0" w:after="0"/>
              <w:jc w:val="both"/>
            </w:pPr>
            <w:r w:rsidRPr="001616E2">
              <w:rPr>
                <w:bCs/>
              </w:rPr>
              <w:t xml:space="preserve">Kompetento institūciju </w:t>
            </w:r>
            <w:r w:rsidR="00180FA7" w:rsidRPr="001616E2">
              <w:rPr>
                <w:bCs/>
              </w:rPr>
              <w:t>amatpersonas</w:t>
            </w:r>
            <w:r w:rsidRPr="001616E2">
              <w:t xml:space="preserve"> </w:t>
            </w:r>
            <w:r w:rsidR="00BE75D9" w:rsidRPr="001616E2">
              <w:t xml:space="preserve">ir pietiekami profesionāli sagatavotas, lai izšķirtu, </w:t>
            </w:r>
            <w:r w:rsidR="00317A95" w:rsidRPr="001616E2">
              <w:t xml:space="preserve">kādos </w:t>
            </w:r>
            <w:r w:rsidR="00BE75D9" w:rsidRPr="001616E2">
              <w:t>Ministru kabineta noteikumos noteikt</w:t>
            </w:r>
            <w:r w:rsidR="00317A95" w:rsidRPr="001616E2">
              <w:t>aj</w:t>
            </w:r>
            <w:r w:rsidR="00BE75D9" w:rsidRPr="001616E2">
              <w:t>ā kārtīb</w:t>
            </w:r>
            <w:r w:rsidR="00317A95" w:rsidRPr="001616E2">
              <w:t xml:space="preserve">ā jārīkojas katrā </w:t>
            </w:r>
            <w:r w:rsidR="00317A95" w:rsidRPr="001616E2">
              <w:lastRenderedPageBreak/>
              <w:t>konkrētā situācijā</w:t>
            </w:r>
            <w:r w:rsidR="00BE75D9" w:rsidRPr="001616E2">
              <w:t>. Atsevišķi ar noteikumu piemērošanu saistītie problēmjautājumi ir risināti, par ko liecina Ministru kabineta noteikumos līdz šim izdarītie grozījumi.</w:t>
            </w:r>
          </w:p>
          <w:p w:rsidR="00BE75D9" w:rsidRDefault="00CF4856" w:rsidP="00037859">
            <w:pPr>
              <w:pStyle w:val="naisc"/>
              <w:spacing w:before="0" w:after="0"/>
              <w:jc w:val="both"/>
            </w:pPr>
            <w:r w:rsidRPr="001616E2">
              <w:t xml:space="preserve">Tā kā līdz šim Ministru kabinets </w:t>
            </w:r>
            <w:r w:rsidR="001D3156" w:rsidRPr="001616E2">
              <w:t>ir pieņēmis atsevišķus noteikumus atbilstoši Ceļu satiksmes likumā un Ārstniecības likumā dotajam pilnvarojumam, Iekšlietu ministrijas ieskatā šāds regulējums var pastāvēt arī turpmāk. Turklāt Valsts sekretāru sanāksmē 2020. gada 2. aprīlī (prot. Nr. 14 9. §), tika lemts, ka ir izstrādājami atsevišķi noteikumi.</w:t>
            </w:r>
          </w:p>
          <w:p w:rsidR="0050667B" w:rsidRPr="001616E2" w:rsidRDefault="0050667B" w:rsidP="00037859">
            <w:pPr>
              <w:pStyle w:val="naisc"/>
              <w:spacing w:before="0" w:after="0"/>
              <w:jc w:val="both"/>
            </w:pPr>
            <w:r>
              <w:t>Iekšlietu ministrija un Veselības ministrija ir pārrunājušas jautājumu, ka nākotnē tiesiskais regulējums, kas nosaka k</w:t>
            </w:r>
            <w:r w:rsidRPr="0050667B">
              <w:t>ārtīb</w:t>
            </w:r>
            <w:r>
              <w:t>u</w:t>
            </w:r>
            <w:r w:rsidRPr="0050667B">
              <w:t>, kādā nosaka alkohola koncentrāciju asinīs un izelp</w:t>
            </w:r>
            <w:r>
              <w:t>as</w:t>
            </w:r>
            <w:r w:rsidRPr="0050667B">
              <w:t xml:space="preserve"> gaisā un konstatē narkotisko vai citu apreibinošo vielu ietekmi</w:t>
            </w:r>
            <w:r>
              <w:t>, varētu tikt apvienots.</w:t>
            </w:r>
          </w:p>
          <w:p w:rsidR="008515E9" w:rsidRPr="001616E2" w:rsidRDefault="008515E9" w:rsidP="00037859">
            <w:pPr>
              <w:pStyle w:val="naisc"/>
              <w:spacing w:before="0" w:after="0"/>
              <w:jc w:val="both"/>
              <w:rPr>
                <w:bCs/>
              </w:rPr>
            </w:pPr>
            <w:r w:rsidRPr="001616E2">
              <w:t xml:space="preserve">Savukārt attiecībā uz viennozīmīgas izpratnes nodrošināšanu Iekšlietu ministrija norāda, ka pastāvošais dalītais regulējums apreibinošo vielu </w:t>
            </w:r>
            <w:r w:rsidRPr="001616E2">
              <w:rPr>
                <w:bCs/>
              </w:rPr>
              <w:t xml:space="preserve">ietekmes pārbaužu veikšanai tiek piemērots jau vairāk nekā 15 gadus, šos jautājumus skatot arī amatpersonu izglītības procesā un profesionālās pilnveides kursu </w:t>
            </w:r>
            <w:r w:rsidRPr="001616E2">
              <w:rPr>
                <w:bCs/>
              </w:rPr>
              <w:lastRenderedPageBreak/>
              <w:t>ietvaros, līdz ar to jaunus izpratnes veidošanas pasākumus ieviest nav plānots.</w:t>
            </w:r>
          </w:p>
          <w:p w:rsidR="008515E9" w:rsidRPr="001616E2" w:rsidRDefault="001616E2" w:rsidP="00037859">
            <w:pPr>
              <w:pStyle w:val="naisc"/>
              <w:spacing w:before="0" w:after="0"/>
              <w:jc w:val="both"/>
              <w:rPr>
                <w:bCs/>
              </w:rPr>
            </w:pPr>
            <w:r w:rsidRPr="001616E2">
              <w:rPr>
                <w:bCs/>
              </w:rPr>
              <w:t>I</w:t>
            </w:r>
            <w:r w:rsidR="008515E9" w:rsidRPr="001616E2">
              <w:rPr>
                <w:bCs/>
              </w:rPr>
              <w:t>ebildumā minēt</w:t>
            </w:r>
            <w:r w:rsidRPr="001616E2">
              <w:rPr>
                <w:bCs/>
              </w:rPr>
              <w:t>ais attiecībā uz</w:t>
            </w:r>
            <w:r w:rsidR="008515E9" w:rsidRPr="001616E2">
              <w:rPr>
                <w:bCs/>
              </w:rPr>
              <w:t xml:space="preserve"> </w:t>
            </w:r>
            <w:r w:rsidRPr="001616E2">
              <w:rPr>
                <w:bCs/>
              </w:rPr>
              <w:t>MK noteikumu Nr. 719 nosaukuma un izdošanas pamata precizēšanu ir ņemts vērā.</w:t>
            </w: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p w:rsidR="00B36691" w:rsidRPr="001616E2" w:rsidRDefault="00B36691" w:rsidP="00037859">
            <w:pPr>
              <w:pStyle w:val="naisc"/>
              <w:spacing w:before="0" w:after="0"/>
              <w:jc w:val="both"/>
              <w:rPr>
                <w:bCs/>
                <w:i/>
              </w:rPr>
            </w:pPr>
          </w:p>
        </w:tc>
        <w:tc>
          <w:tcPr>
            <w:tcW w:w="2694" w:type="dxa"/>
            <w:tcBorders>
              <w:top w:val="single" w:sz="4" w:space="0" w:color="auto"/>
              <w:left w:val="single" w:sz="4" w:space="0" w:color="auto"/>
              <w:bottom w:val="single" w:sz="4" w:space="0" w:color="auto"/>
            </w:tcBorders>
          </w:tcPr>
          <w:p w:rsidR="00FD6DA3" w:rsidRPr="001616E2" w:rsidRDefault="004B08B1" w:rsidP="00037859">
            <w:pPr>
              <w:jc w:val="both"/>
            </w:pPr>
            <w:r w:rsidRPr="001616E2">
              <w:lastRenderedPageBreak/>
              <w:t>1.</w:t>
            </w:r>
            <w:r w:rsidR="003C3B57" w:rsidRPr="001616E2">
              <w:t> </w:t>
            </w:r>
            <w:r w:rsidRPr="001616E2">
              <w:t>Izteikt noteikumu nosaukumu šādā redakcijā:</w:t>
            </w:r>
          </w:p>
          <w:p w:rsidR="00FD6DA3" w:rsidRPr="001616E2" w:rsidRDefault="004B08B1" w:rsidP="00037859">
            <w:pPr>
              <w:jc w:val="both"/>
            </w:pPr>
            <w:r w:rsidRPr="001616E2">
              <w:t>“</w:t>
            </w:r>
            <w:r w:rsidR="00B110CB" w:rsidRPr="001616E2">
              <w:t xml:space="preserve">Kārtība, kādā </w:t>
            </w:r>
            <w:r w:rsidR="00317A95" w:rsidRPr="001616E2">
              <w:t xml:space="preserve">transportlīdzekļa vadītāja </w:t>
            </w:r>
            <w:r w:rsidR="00B110CB" w:rsidRPr="001616E2">
              <w:t>nosaka alkohola koncentrāciju asinīs un izelpas gaisā, konstatē narkotisko vai citu apreibinošo vielu ietekmi, aprēķina izdevumus, kas saistīti ar apreibinošo vielu ietekmes konstatēšanai veiktajām pārbaudēm un informē par minētajiem izdevumiem iestādi, kuras amatpersona pieņem nolēmumu par sodu</w:t>
            </w:r>
            <w:r w:rsidRPr="001616E2">
              <w:t>”</w:t>
            </w:r>
            <w:r w:rsidR="0061588D">
              <w:t>.</w:t>
            </w:r>
          </w:p>
          <w:p w:rsidR="00FD6DA3" w:rsidRPr="001616E2" w:rsidRDefault="00FD6DA3" w:rsidP="00037859">
            <w:pPr>
              <w:jc w:val="both"/>
            </w:pPr>
          </w:p>
          <w:p w:rsidR="00037859" w:rsidRDefault="00037859" w:rsidP="00037859">
            <w:pPr>
              <w:jc w:val="both"/>
            </w:pPr>
          </w:p>
          <w:p w:rsidR="00037859" w:rsidRDefault="00037859" w:rsidP="00037859">
            <w:pPr>
              <w:jc w:val="both"/>
            </w:pPr>
          </w:p>
          <w:p w:rsidR="00FD6DA3" w:rsidRPr="00712B66" w:rsidRDefault="00FD6DA3" w:rsidP="00037859">
            <w:pPr>
              <w:jc w:val="both"/>
            </w:pPr>
            <w:r w:rsidRPr="001616E2">
              <w:lastRenderedPageBreak/>
              <w:t>Izdoti saskaņā ar Ceļu satiksmes likuma 43.</w:t>
            </w:r>
            <w:r w:rsidRPr="001616E2">
              <w:rPr>
                <w:vertAlign w:val="superscript"/>
              </w:rPr>
              <w:t>5 </w:t>
            </w:r>
            <w:r w:rsidRPr="001616E2">
              <w:t>panta pirmo un otro daļu un Administratīvās atbildības likuma</w:t>
            </w:r>
            <w:r w:rsidR="004D7C8A" w:rsidRPr="001616E2">
              <w:t xml:space="preserve"> </w:t>
            </w:r>
            <w:r w:rsidRPr="001616E2">
              <w:t>75. panta otro daļu</w:t>
            </w:r>
          </w:p>
        </w:tc>
      </w:tr>
      <w:tr w:rsidR="00B256EF" w:rsidRPr="00712B66" w:rsidTr="000267A2">
        <w:trPr>
          <w:trHeight w:val="1891"/>
        </w:trPr>
        <w:tc>
          <w:tcPr>
            <w:tcW w:w="675" w:type="dxa"/>
            <w:tcBorders>
              <w:left w:val="single" w:sz="6" w:space="0" w:color="000000"/>
              <w:bottom w:val="single" w:sz="4" w:space="0" w:color="auto"/>
              <w:right w:val="single" w:sz="6" w:space="0" w:color="000000"/>
            </w:tcBorders>
          </w:tcPr>
          <w:p w:rsidR="00B256EF" w:rsidRPr="001616E2" w:rsidRDefault="000267A2" w:rsidP="00037859">
            <w:pPr>
              <w:pStyle w:val="naisc"/>
              <w:spacing w:before="0" w:after="0"/>
            </w:pPr>
            <w:r w:rsidRPr="001616E2">
              <w:lastRenderedPageBreak/>
              <w:t>2.</w:t>
            </w:r>
          </w:p>
        </w:tc>
        <w:tc>
          <w:tcPr>
            <w:tcW w:w="3119" w:type="dxa"/>
            <w:gridSpan w:val="2"/>
            <w:tcBorders>
              <w:left w:val="single" w:sz="6" w:space="0" w:color="000000"/>
              <w:bottom w:val="single" w:sz="4" w:space="0" w:color="auto"/>
              <w:right w:val="single" w:sz="6" w:space="0" w:color="000000"/>
            </w:tcBorders>
          </w:tcPr>
          <w:p w:rsidR="00C47242" w:rsidRPr="001616E2" w:rsidRDefault="00C47242" w:rsidP="00037859">
            <w:pPr>
              <w:shd w:val="clear" w:color="auto" w:fill="FFFFFF"/>
              <w:jc w:val="both"/>
              <w:rPr>
                <w:szCs w:val="28"/>
                <w:shd w:val="clear" w:color="auto" w:fill="FFFFFF"/>
              </w:rPr>
            </w:pPr>
            <w:r w:rsidRPr="001616E2">
              <w:rPr>
                <w:szCs w:val="28"/>
                <w:shd w:val="clear" w:color="auto" w:fill="FFFFFF"/>
              </w:rPr>
              <w:t>36.</w:t>
            </w:r>
            <w:r w:rsidRPr="001616E2">
              <w:rPr>
                <w:szCs w:val="28"/>
                <w:shd w:val="clear" w:color="auto" w:fill="FFFFFF"/>
                <w:vertAlign w:val="superscript"/>
              </w:rPr>
              <w:t>3</w:t>
            </w:r>
            <w:r w:rsidRPr="001616E2">
              <w:rPr>
                <w:szCs w:val="28"/>
                <w:shd w:val="clear" w:color="auto" w:fill="FFFFFF"/>
              </w:rPr>
              <w:t xml:space="preserve"> Ja transportlīdzekļa vadītājam medicīniskajā pārbaudē konstatē </w:t>
            </w:r>
            <w:hyperlink r:id="rId8" w:tgtFrame="_blank" w:history="1">
              <w:r w:rsidRPr="001616E2">
                <w:rPr>
                  <w:szCs w:val="28"/>
                  <w:shd w:val="clear" w:color="auto" w:fill="FFFFFF"/>
                </w:rPr>
                <w:t>Ceļu satiksmes likumā</w:t>
              </w:r>
            </w:hyperlink>
            <w:r w:rsidRPr="001616E2">
              <w:rPr>
                <w:szCs w:val="28"/>
                <w:shd w:val="clear" w:color="auto" w:fill="FFFFFF"/>
              </w:rPr>
              <w:t> noteikto alkohola koncentrāciju asinīs, kuru sasniedzot aizliegts vadīt transportlīdzekli, vai šo noteikumu 27.3., 27.4., 27.5., 27.6., 27.7., 27.9., 27.11. un 27.12. apakšpunktā minēto stāvokli, medicīniskās pārbaudes izdevumus sedz transportlīdzekļa vadītājs, atbilstoši lēmumā par soda piemērošanu norādītajai procesuālo izdevumu summai.</w:t>
            </w:r>
          </w:p>
          <w:p w:rsidR="00B256EF" w:rsidRPr="001616E2" w:rsidRDefault="004D7C8A" w:rsidP="00037859">
            <w:pPr>
              <w:pStyle w:val="naisc"/>
              <w:spacing w:before="0" w:after="0"/>
              <w:jc w:val="both"/>
            </w:pPr>
            <w:r w:rsidRPr="001616E2">
              <w:rPr>
                <w:szCs w:val="28"/>
                <w:lang w:eastAsia="en-US"/>
              </w:rPr>
              <w:t>36.</w:t>
            </w:r>
            <w:r w:rsidRPr="001616E2">
              <w:rPr>
                <w:szCs w:val="28"/>
                <w:vertAlign w:val="superscript"/>
                <w:lang w:eastAsia="en-US"/>
              </w:rPr>
              <w:t>4 </w:t>
            </w:r>
            <w:r w:rsidRPr="001616E2">
              <w:rPr>
                <w:szCs w:val="28"/>
                <w:lang w:eastAsia="en-US"/>
              </w:rPr>
              <w:t>Ja iestāde, kuras darbinieks nosūtīja transportlīdzekļa vadītāju uz medicīnisko pārbaudi, nosūta materiālus par iespējamo administratīvo pārkāpumu pēc piekritības citai iestādei, tā materiāliem pievieno šo noteikumu 36.</w:t>
            </w:r>
            <w:r w:rsidRPr="001616E2">
              <w:rPr>
                <w:szCs w:val="28"/>
                <w:vertAlign w:val="superscript"/>
                <w:lang w:eastAsia="en-US"/>
              </w:rPr>
              <w:t>1 </w:t>
            </w:r>
            <w:r w:rsidRPr="001616E2">
              <w:rPr>
                <w:szCs w:val="28"/>
                <w:lang w:eastAsia="en-US"/>
              </w:rPr>
              <w:t xml:space="preserve">punktā minētos procesuālos </w:t>
            </w:r>
            <w:r w:rsidRPr="001616E2">
              <w:rPr>
                <w:szCs w:val="28"/>
                <w:lang w:eastAsia="en-US"/>
              </w:rPr>
              <w:lastRenderedPageBreak/>
              <w:t>izdevumus apliecinošos dokumentus un informāciju par valsts budžeta kontu, kurā transportlīdzekļa vadītājam šo noteikumu 36.</w:t>
            </w:r>
            <w:r w:rsidRPr="001616E2">
              <w:rPr>
                <w:szCs w:val="28"/>
                <w:vertAlign w:val="superscript"/>
                <w:lang w:eastAsia="en-US"/>
              </w:rPr>
              <w:t>3</w:t>
            </w:r>
            <w:r w:rsidRPr="001616E2">
              <w:rPr>
                <w:szCs w:val="28"/>
                <w:lang w:eastAsia="en-US"/>
              </w:rPr>
              <w:t> punktā paredzētajā gadījumā jāiemaksā procesuālajiem izdevumiem atbilstošā summa.</w:t>
            </w:r>
          </w:p>
        </w:tc>
        <w:tc>
          <w:tcPr>
            <w:tcW w:w="4394" w:type="dxa"/>
            <w:tcBorders>
              <w:left w:val="single" w:sz="6" w:space="0" w:color="000000"/>
              <w:bottom w:val="single" w:sz="4" w:space="0" w:color="auto"/>
              <w:right w:val="single" w:sz="6" w:space="0" w:color="000000"/>
            </w:tcBorders>
          </w:tcPr>
          <w:p w:rsidR="00B256EF" w:rsidRPr="001616E2" w:rsidRDefault="00B256EF" w:rsidP="00037859">
            <w:pPr>
              <w:pStyle w:val="naisc"/>
              <w:spacing w:before="0" w:after="0"/>
              <w:jc w:val="both"/>
              <w:rPr>
                <w:b/>
              </w:rPr>
            </w:pPr>
            <w:r w:rsidRPr="001616E2">
              <w:rPr>
                <w:b/>
              </w:rPr>
              <w:lastRenderedPageBreak/>
              <w:t>Tieslietu ministrija</w:t>
            </w:r>
          </w:p>
          <w:p w:rsidR="00B256EF" w:rsidRPr="001616E2" w:rsidRDefault="00B256EF" w:rsidP="00037859">
            <w:pPr>
              <w:pStyle w:val="naisc"/>
              <w:spacing w:before="0" w:after="0"/>
              <w:jc w:val="both"/>
            </w:pPr>
            <w:r w:rsidRPr="001616E2">
              <w:t>Projekta 10. punktā paredzētais MK noteikumu Nr. 719 36.</w:t>
            </w:r>
            <w:r w:rsidRPr="001616E2">
              <w:rPr>
                <w:vertAlign w:val="superscript"/>
              </w:rPr>
              <w:t>3</w:t>
            </w:r>
            <w:r w:rsidRPr="001616E2">
              <w:t xml:space="preserve"> punkts noteic, ka, ja transportlīdzekļa vadītājam medicīniskajā pārbaudē konstatē  </w:t>
            </w:r>
            <w:hyperlink r:id="rId9" w:tgtFrame="_blank" w:history="1">
              <w:r w:rsidRPr="001616E2">
                <w:t>Ceļu satiksmes likumā</w:t>
              </w:r>
            </w:hyperlink>
            <w:r w:rsidRPr="001616E2">
              <w:t xml:space="preserve"> noteikto alkohola koncentrāciju asinīs, kuru sasniedzot aizliegts vadīt transportlīdzekli, vai šo noteikumu 27.3., 27.4., 27.5., 27.6., 27.7., 27.9., 27.11. un 27.12. apakšpunktā minēto stāvokli, medicīniskās pārbaudes izdevumus sedz transportlīdzekļa vadītājs, atbilstoši lēmumā par soda piemērošanu norādītajai procesuālo izdevumu summai.</w:t>
            </w:r>
          </w:p>
          <w:p w:rsidR="00B256EF" w:rsidRPr="001616E2" w:rsidRDefault="00B256EF" w:rsidP="00037859">
            <w:pPr>
              <w:pStyle w:val="naisc"/>
              <w:spacing w:before="0" w:after="0"/>
              <w:jc w:val="both"/>
            </w:pPr>
            <w:r w:rsidRPr="001616E2">
              <w:t>Vēršam uzmanību, ka no projekta, tostarp anotācijas izriet, ka projekta 10. punktā paredzētā MK noteikumu Nr. 719 III.</w:t>
            </w:r>
            <w:r w:rsidRPr="001616E2">
              <w:rPr>
                <w:vertAlign w:val="superscript"/>
              </w:rPr>
              <w:t>1</w:t>
            </w:r>
            <w:r w:rsidRPr="001616E2">
              <w:t xml:space="preserve"> nodaļa "Medicīniskās pārbaudes izdevumu aprēķināšanas un segšanas kārtība" ir izstrādāta pamatojoties uz AAL 75. panta otrajā daļā doto likumdevēja pilnvarojumu Ministru kabinetam. Tādējādi minētās nodaļas regulējums attiecas uz gadījumiem, kad persona iespējams izdarījusi administratīvo pārkāpumu. </w:t>
            </w:r>
          </w:p>
          <w:p w:rsidR="00B256EF" w:rsidRDefault="00B256EF" w:rsidP="00037859">
            <w:pPr>
              <w:pStyle w:val="naisc"/>
              <w:spacing w:before="0" w:after="0"/>
              <w:jc w:val="both"/>
            </w:pPr>
            <w:r w:rsidRPr="001616E2">
              <w:t xml:space="preserve">Norādām, ka AAL 75. panta pirmās daļas </w:t>
            </w:r>
            <w:r w:rsidRPr="001616E2">
              <w:lastRenderedPageBreak/>
              <w:t>6. punkts noteic, ka summas, kas saistītas ar apreibinošo vielu ietekmes konstatēšanai veiktajām pārbaudēm ir uzskatāmas par procesuālajiem izdevumiem. Savukārt AAL 76. panta pirmā daļa noteic, ka procesuālo izdevumu atlīdzināšanas pienākums gulstas uz sodīto personu. Tādējādi AAL jau ir noteikts procesuālo izdevumu atlīdzināšanas pienākums, un projektā tas nav regulējams. Attiecīgi lūdzam svītrot projekta 10. punktā paredzēto MK noteikumu Nr. 719 36.</w:t>
            </w:r>
            <w:r w:rsidRPr="001616E2">
              <w:rPr>
                <w:vertAlign w:val="superscript"/>
              </w:rPr>
              <w:t>3</w:t>
            </w:r>
            <w:r w:rsidRPr="001616E2">
              <w:t> punktu.</w:t>
            </w:r>
          </w:p>
          <w:p w:rsidR="00037859" w:rsidRPr="001616E2" w:rsidRDefault="00037859" w:rsidP="00037859">
            <w:pPr>
              <w:pStyle w:val="naisc"/>
              <w:spacing w:before="0" w:after="0"/>
              <w:jc w:val="both"/>
            </w:pPr>
          </w:p>
        </w:tc>
        <w:tc>
          <w:tcPr>
            <w:tcW w:w="3827" w:type="dxa"/>
            <w:gridSpan w:val="2"/>
            <w:tcBorders>
              <w:left w:val="single" w:sz="6" w:space="0" w:color="000000"/>
              <w:bottom w:val="single" w:sz="4" w:space="0" w:color="auto"/>
              <w:right w:val="single" w:sz="6" w:space="0" w:color="000000"/>
            </w:tcBorders>
          </w:tcPr>
          <w:p w:rsidR="005439D9" w:rsidRPr="001616E2" w:rsidRDefault="005439D9" w:rsidP="00037859">
            <w:pPr>
              <w:pStyle w:val="naisc"/>
              <w:spacing w:before="0" w:after="0"/>
              <w:jc w:val="both"/>
              <w:rPr>
                <w:b/>
                <w:bCs/>
                <w:i/>
              </w:rPr>
            </w:pPr>
            <w:r w:rsidRPr="001616E2">
              <w:rPr>
                <w:b/>
                <w:bCs/>
                <w:i/>
              </w:rPr>
              <w:lastRenderedPageBreak/>
              <w:t>Iebildums ņemts vērā.</w:t>
            </w:r>
          </w:p>
          <w:p w:rsidR="00C47242" w:rsidRPr="001616E2" w:rsidRDefault="004D7C8A" w:rsidP="00037859">
            <w:pPr>
              <w:pStyle w:val="naisc"/>
              <w:spacing w:before="0" w:after="0"/>
              <w:jc w:val="both"/>
              <w:rPr>
                <w:bCs/>
              </w:rPr>
            </w:pPr>
            <w:r w:rsidRPr="001616E2">
              <w:rPr>
                <w:szCs w:val="28"/>
                <w:shd w:val="clear" w:color="auto" w:fill="FFFFFF"/>
              </w:rPr>
              <w:t>36.</w:t>
            </w:r>
            <w:r w:rsidRPr="001616E2">
              <w:rPr>
                <w:szCs w:val="28"/>
                <w:shd w:val="clear" w:color="auto" w:fill="FFFFFF"/>
                <w:vertAlign w:val="superscript"/>
              </w:rPr>
              <w:t>3</w:t>
            </w:r>
            <w:r w:rsidR="0050667B">
              <w:rPr>
                <w:szCs w:val="28"/>
                <w:shd w:val="clear" w:color="auto" w:fill="FFFFFF"/>
              </w:rPr>
              <w:t> </w:t>
            </w:r>
            <w:r w:rsidRPr="001616E2">
              <w:rPr>
                <w:szCs w:val="28"/>
                <w:shd w:val="clear" w:color="auto" w:fill="FFFFFF"/>
              </w:rPr>
              <w:t>p</w:t>
            </w:r>
            <w:r w:rsidR="005439D9" w:rsidRPr="001616E2">
              <w:rPr>
                <w:bCs/>
              </w:rPr>
              <w:t xml:space="preserve">unkts svītrots, </w:t>
            </w:r>
            <w:r w:rsidR="00AD1F58" w:rsidRPr="001616E2">
              <w:rPr>
                <w:bCs/>
              </w:rPr>
              <w:t xml:space="preserve">attiecīgi </w:t>
            </w:r>
            <w:r w:rsidRPr="001616E2">
              <w:rPr>
                <w:bCs/>
              </w:rPr>
              <w:t xml:space="preserve">redakcionāli </w:t>
            </w:r>
            <w:r w:rsidR="005439D9" w:rsidRPr="001616E2">
              <w:rPr>
                <w:bCs/>
              </w:rPr>
              <w:t xml:space="preserve">precizējot </w:t>
            </w:r>
            <w:r w:rsidRPr="001616E2">
              <w:rPr>
                <w:bCs/>
              </w:rPr>
              <w:t>nākamo punktu un tā</w:t>
            </w:r>
            <w:r w:rsidR="005439D9" w:rsidRPr="001616E2">
              <w:rPr>
                <w:bCs/>
              </w:rPr>
              <w:t xml:space="preserve"> numerāciju.</w:t>
            </w:r>
          </w:p>
        </w:tc>
        <w:tc>
          <w:tcPr>
            <w:tcW w:w="2694" w:type="dxa"/>
            <w:tcBorders>
              <w:top w:val="single" w:sz="4" w:space="0" w:color="auto"/>
              <w:left w:val="single" w:sz="4" w:space="0" w:color="auto"/>
              <w:bottom w:val="single" w:sz="4" w:space="0" w:color="auto"/>
            </w:tcBorders>
          </w:tcPr>
          <w:p w:rsidR="00B256EF" w:rsidRPr="00712B66" w:rsidRDefault="004D7C8A" w:rsidP="00037859">
            <w:pPr>
              <w:jc w:val="both"/>
            </w:pPr>
            <w:r w:rsidRPr="001616E2">
              <w:rPr>
                <w:szCs w:val="28"/>
                <w:lang w:eastAsia="en-US"/>
              </w:rPr>
              <w:t>36.</w:t>
            </w:r>
            <w:r w:rsidRPr="001616E2">
              <w:rPr>
                <w:szCs w:val="28"/>
                <w:vertAlign w:val="superscript"/>
                <w:lang w:eastAsia="en-US"/>
              </w:rPr>
              <w:t>3 </w:t>
            </w:r>
            <w:r w:rsidRPr="001616E2">
              <w:rPr>
                <w:szCs w:val="28"/>
                <w:lang w:eastAsia="en-US"/>
              </w:rPr>
              <w:t>Ja iestāde, kuras darbinieks nosūtīja transportlīdzekļa vadītāju uz medicīnisko pārbaudi, nosūta materiālus par iespējamo administratīvo pārkāpumu pēc piekritības citai iestādei, tā materiāliem pievieno šo noteikumu 36.</w:t>
            </w:r>
            <w:r w:rsidRPr="001616E2">
              <w:rPr>
                <w:szCs w:val="28"/>
                <w:vertAlign w:val="superscript"/>
                <w:lang w:eastAsia="en-US"/>
              </w:rPr>
              <w:t>1 </w:t>
            </w:r>
            <w:r w:rsidRPr="001616E2">
              <w:rPr>
                <w:szCs w:val="28"/>
                <w:lang w:eastAsia="en-US"/>
              </w:rPr>
              <w:t>punktā minētos procesuālos izdevumus apliecinošos dokumentus un informāciju par valsts budžeta kontu, kurā transportlīdzekļa vadītājam jāiemaksā procesuālajiem izdevumiem atbilstošā summa.</w:t>
            </w:r>
          </w:p>
        </w:tc>
      </w:tr>
      <w:tr w:rsidR="007E7E05" w:rsidRPr="00712B66" w:rsidTr="000267A2">
        <w:trPr>
          <w:trHeight w:val="983"/>
        </w:trPr>
        <w:tc>
          <w:tcPr>
            <w:tcW w:w="675" w:type="dxa"/>
            <w:tcBorders>
              <w:left w:val="single" w:sz="6" w:space="0" w:color="000000"/>
              <w:bottom w:val="single" w:sz="4" w:space="0" w:color="auto"/>
              <w:right w:val="single" w:sz="6" w:space="0" w:color="000000"/>
            </w:tcBorders>
          </w:tcPr>
          <w:p w:rsidR="007E7E05" w:rsidRDefault="000267A2" w:rsidP="00037859">
            <w:pPr>
              <w:pStyle w:val="naisc"/>
              <w:tabs>
                <w:tab w:val="left" w:pos="492"/>
              </w:tabs>
              <w:spacing w:before="0" w:after="0"/>
            </w:pPr>
            <w:r>
              <w:t>3.</w:t>
            </w:r>
          </w:p>
          <w:p w:rsidR="007E7E05" w:rsidRDefault="007E7E05" w:rsidP="00037859">
            <w:pPr>
              <w:pStyle w:val="naisc"/>
              <w:spacing w:before="0" w:after="0"/>
              <w:ind w:left="1080"/>
            </w:pPr>
          </w:p>
        </w:tc>
        <w:tc>
          <w:tcPr>
            <w:tcW w:w="3119" w:type="dxa"/>
            <w:gridSpan w:val="2"/>
            <w:tcBorders>
              <w:left w:val="single" w:sz="6" w:space="0" w:color="000000"/>
              <w:bottom w:val="single" w:sz="4" w:space="0" w:color="auto"/>
              <w:right w:val="single" w:sz="6" w:space="0" w:color="000000"/>
            </w:tcBorders>
          </w:tcPr>
          <w:p w:rsidR="007E7E05" w:rsidRDefault="00B110CB" w:rsidP="00037859">
            <w:pPr>
              <w:pStyle w:val="naisc"/>
              <w:spacing w:before="0" w:after="0"/>
              <w:jc w:val="both"/>
            </w:pPr>
            <w:r>
              <w:t>Noteikumu projekta anotācija</w:t>
            </w:r>
            <w:r w:rsidR="001B3A1C">
              <w:t>s I sadaļas 2. punkts</w:t>
            </w:r>
            <w:r w:rsidR="00037CBD">
              <w:t>.</w:t>
            </w:r>
          </w:p>
          <w:p w:rsidR="001B3A1C" w:rsidRDefault="001B3A1C" w:rsidP="00037859">
            <w:pPr>
              <w:ind w:right="57"/>
              <w:jc w:val="both"/>
              <w:rPr>
                <w:szCs w:val="28"/>
              </w:rPr>
            </w:pPr>
          </w:p>
          <w:p w:rsidR="001B3A1C" w:rsidRDefault="001B3A1C" w:rsidP="00037859">
            <w:pPr>
              <w:ind w:right="57"/>
              <w:jc w:val="both"/>
              <w:rPr>
                <w:szCs w:val="28"/>
              </w:rPr>
            </w:pPr>
          </w:p>
          <w:p w:rsidR="001B3A1C" w:rsidRDefault="001B3A1C" w:rsidP="00037859">
            <w:pPr>
              <w:ind w:right="57"/>
              <w:jc w:val="both"/>
              <w:rPr>
                <w:szCs w:val="28"/>
                <w:shd w:val="clear" w:color="auto" w:fill="FFFFFF"/>
              </w:rPr>
            </w:pPr>
            <w:r>
              <w:rPr>
                <w:bCs/>
                <w:szCs w:val="28"/>
                <w:lang w:eastAsia="en-US"/>
              </w:rPr>
              <w:t xml:space="preserve">Noteikumi Nr. 719 </w:t>
            </w:r>
            <w:r>
              <w:rPr>
                <w:szCs w:val="28"/>
                <w:shd w:val="clear" w:color="auto" w:fill="FFFFFF"/>
              </w:rPr>
              <w:t>attiecas uz transportlīdzekļu vadītājiem veiktajām pārbaudēm.</w:t>
            </w:r>
          </w:p>
          <w:p w:rsidR="001B3A1C" w:rsidRDefault="001B3A1C" w:rsidP="00037859">
            <w:pPr>
              <w:ind w:right="57"/>
              <w:jc w:val="both"/>
              <w:rPr>
                <w:szCs w:val="28"/>
              </w:rPr>
            </w:pPr>
          </w:p>
          <w:p w:rsidR="001B3A1C" w:rsidRDefault="001B3A1C" w:rsidP="00037859">
            <w:pPr>
              <w:ind w:right="57"/>
              <w:jc w:val="both"/>
              <w:rPr>
                <w:szCs w:val="28"/>
              </w:rPr>
            </w:pPr>
          </w:p>
          <w:p w:rsidR="001B3A1C" w:rsidRDefault="001B3A1C" w:rsidP="00037859">
            <w:pPr>
              <w:ind w:right="57"/>
              <w:jc w:val="both"/>
              <w:rPr>
                <w:szCs w:val="28"/>
              </w:rPr>
            </w:pPr>
          </w:p>
          <w:p w:rsidR="001B3A1C" w:rsidRDefault="001B3A1C" w:rsidP="00037859">
            <w:pPr>
              <w:ind w:right="57"/>
              <w:jc w:val="both"/>
              <w:rPr>
                <w:szCs w:val="28"/>
              </w:rPr>
            </w:pPr>
          </w:p>
          <w:p w:rsidR="001B3A1C" w:rsidRDefault="001B3A1C" w:rsidP="00037859">
            <w:pPr>
              <w:ind w:right="57"/>
              <w:jc w:val="both"/>
              <w:rPr>
                <w:szCs w:val="28"/>
              </w:rPr>
            </w:pPr>
          </w:p>
          <w:p w:rsidR="001B3A1C" w:rsidRDefault="001B3A1C" w:rsidP="00037859">
            <w:pPr>
              <w:ind w:right="57"/>
              <w:jc w:val="both"/>
              <w:rPr>
                <w:szCs w:val="28"/>
              </w:rPr>
            </w:pPr>
          </w:p>
          <w:p w:rsidR="001B3A1C" w:rsidRDefault="001B3A1C" w:rsidP="00037859">
            <w:pPr>
              <w:ind w:right="57"/>
              <w:jc w:val="both"/>
              <w:rPr>
                <w:szCs w:val="28"/>
              </w:rPr>
            </w:pPr>
          </w:p>
          <w:p w:rsidR="001B3A1C" w:rsidRDefault="001B3A1C" w:rsidP="00037859">
            <w:pPr>
              <w:ind w:right="57"/>
              <w:jc w:val="both"/>
              <w:rPr>
                <w:szCs w:val="28"/>
              </w:rPr>
            </w:pPr>
          </w:p>
          <w:p w:rsidR="001B3A1C" w:rsidRDefault="001B3A1C" w:rsidP="00037859">
            <w:pPr>
              <w:ind w:right="57"/>
              <w:jc w:val="both"/>
              <w:rPr>
                <w:szCs w:val="28"/>
              </w:rPr>
            </w:pPr>
          </w:p>
          <w:p w:rsidR="001B3A1C" w:rsidRDefault="001B3A1C" w:rsidP="00037859">
            <w:pPr>
              <w:ind w:right="57"/>
              <w:jc w:val="both"/>
              <w:rPr>
                <w:bCs/>
                <w:szCs w:val="28"/>
                <w:lang w:eastAsia="en-US"/>
              </w:rPr>
            </w:pPr>
            <w:r>
              <w:rPr>
                <w:szCs w:val="28"/>
              </w:rPr>
              <w:t xml:space="preserve">Projekta 1. punkts paredz </w:t>
            </w:r>
            <w:r>
              <w:rPr>
                <w:szCs w:val="28"/>
              </w:rPr>
              <w:lastRenderedPageBreak/>
              <w:t xml:space="preserve">saskaņot Noteikumos Nr. 719 lietoto terminoloģiju ar </w:t>
            </w:r>
            <w:r>
              <w:rPr>
                <w:bCs/>
                <w:szCs w:val="28"/>
                <w:lang w:eastAsia="en-US"/>
              </w:rPr>
              <w:t>Administratīvās atbildības likumā lietoto, aizstājot vārdkopu „izelpotais gaiss” ar vārdkopu „izelpas gaiss”.</w:t>
            </w:r>
          </w:p>
          <w:p w:rsidR="001B3A1C" w:rsidRDefault="001B3A1C" w:rsidP="00037859">
            <w:pPr>
              <w:ind w:right="57"/>
              <w:jc w:val="both"/>
              <w:rPr>
                <w:szCs w:val="28"/>
              </w:rPr>
            </w:pPr>
            <w:r>
              <w:rPr>
                <w:bCs/>
                <w:szCs w:val="28"/>
                <w:lang w:eastAsia="en-US"/>
              </w:rPr>
              <w:t xml:space="preserve">Projekta 2. punkts paredz papildināt </w:t>
            </w:r>
            <w:r>
              <w:rPr>
                <w:szCs w:val="28"/>
              </w:rPr>
              <w:t>Noteikumu Nr. </w:t>
            </w:r>
            <w:r>
              <w:rPr>
                <w:bCs/>
                <w:szCs w:val="28"/>
                <w:lang w:eastAsia="en-US"/>
              </w:rPr>
              <w:t>719 izdošanas pamatu ar Administratīvās atbildības likuma 75. panta otro daļu</w:t>
            </w:r>
            <w:r>
              <w:rPr>
                <w:szCs w:val="28"/>
              </w:rPr>
              <w:t>.</w:t>
            </w:r>
          </w:p>
          <w:p w:rsidR="001B3A1C" w:rsidRDefault="001B3A1C" w:rsidP="00037859">
            <w:pPr>
              <w:ind w:right="57"/>
              <w:jc w:val="both"/>
              <w:rPr>
                <w:szCs w:val="28"/>
              </w:rPr>
            </w:pPr>
            <w:r>
              <w:rPr>
                <w:szCs w:val="28"/>
              </w:rPr>
              <w:t xml:space="preserve">Projekta 3. un 4. punkts precizē Noteikumu Nr. 719 tvērumu atbilstoši </w:t>
            </w:r>
            <w:r>
              <w:rPr>
                <w:bCs/>
                <w:szCs w:val="28"/>
                <w:lang w:eastAsia="en-US"/>
              </w:rPr>
              <w:t>Administratīvās atbildības likuma 75. panta otrajai daļai.</w:t>
            </w:r>
          </w:p>
          <w:p w:rsidR="001B3A1C" w:rsidRDefault="001B3A1C" w:rsidP="00037859">
            <w:pPr>
              <w:ind w:right="57"/>
              <w:jc w:val="both"/>
              <w:rPr>
                <w:bCs/>
                <w:szCs w:val="28"/>
                <w:lang w:eastAsia="en-US"/>
              </w:rPr>
            </w:pPr>
            <w:r>
              <w:rPr>
                <w:szCs w:val="28"/>
              </w:rPr>
              <w:t>Projekta 5.-7. punkts redakcionāli precizē Noteikumu Nr. </w:t>
            </w:r>
            <w:r>
              <w:rPr>
                <w:bCs/>
                <w:szCs w:val="28"/>
                <w:lang w:eastAsia="en-US"/>
              </w:rPr>
              <w:t>719 normas, kas nosaka alkohola koncentrācijas pārbaudi izelpas gaisā, nemainot to būtību.</w:t>
            </w:r>
          </w:p>
          <w:p w:rsidR="001B3A1C" w:rsidRDefault="001B3A1C" w:rsidP="00037859">
            <w:pPr>
              <w:ind w:right="57"/>
              <w:jc w:val="both"/>
              <w:rPr>
                <w:szCs w:val="28"/>
              </w:rPr>
            </w:pPr>
            <w:r>
              <w:rPr>
                <w:szCs w:val="28"/>
              </w:rPr>
              <w:t xml:space="preserve">Projekta 8. un 9.punkts paredz atsevišķu Noteikumu Nr. 719 normu svītrošanu, tās daļēji iekļaujot jaunā nodaļā. Nodaļa nosaka medicīniskās pārbaudes izdevumu aprēķina kārtību, vienlaikus precizējot </w:t>
            </w:r>
            <w:r>
              <w:rPr>
                <w:szCs w:val="28"/>
              </w:rPr>
              <w:lastRenderedPageBreak/>
              <w:t>izdevumu segšanas kārtību</w:t>
            </w:r>
            <w:r>
              <w:rPr>
                <w:szCs w:val="28"/>
                <w:shd w:val="clear" w:color="auto" w:fill="FFFFFF"/>
              </w:rPr>
              <w:t>.</w:t>
            </w:r>
          </w:p>
          <w:p w:rsidR="001B3A1C" w:rsidRDefault="001B3A1C" w:rsidP="00037859">
            <w:pPr>
              <w:ind w:right="57"/>
              <w:jc w:val="both"/>
              <w:rPr>
                <w:szCs w:val="28"/>
                <w:lang w:eastAsia="en-US"/>
              </w:rPr>
            </w:pPr>
            <w:r>
              <w:rPr>
                <w:szCs w:val="28"/>
                <w:lang w:eastAsia="en-US"/>
              </w:rPr>
              <w:t>Alkohola koncentrācijas pārbaužu un narkotisko vai citu apreibinošo vielu ietekmes pārbaužu izdevumu apmēru nosaka ārsts, kas veic medicīnisko pārbaudi, saskaņā ar ārstniecības iestādes apstiprinātu cenrādi un atbilstoši faktiski veiktajām pārbaudēm, kas norādītas medicīniskās pārbaudes protokolā.</w:t>
            </w:r>
          </w:p>
          <w:p w:rsidR="001B3A1C" w:rsidRDefault="001B3A1C" w:rsidP="00037859">
            <w:pPr>
              <w:ind w:right="57"/>
              <w:jc w:val="both"/>
              <w:rPr>
                <w:szCs w:val="28"/>
              </w:rPr>
            </w:pPr>
            <w:r>
              <w:rPr>
                <w:szCs w:val="28"/>
                <w:shd w:val="clear" w:color="auto" w:fill="FFFFFF"/>
              </w:rPr>
              <w:t xml:space="preserve">Medicīniskās pārbaudes izdevumus sākotnēji sedz iestāde, kuras darbinieks nosūtījis transportlīdzekļa vadītāju uz medicīnisko pārbaudi. Vienlaikus noteikti gadījumi, kad iepriekš minētos procesuālos izdevumus iestādei sedz transportlīdzekļa vadītājs. </w:t>
            </w:r>
          </w:p>
          <w:p w:rsidR="001B3A1C" w:rsidRDefault="001B3A1C" w:rsidP="00037859">
            <w:pPr>
              <w:ind w:right="57"/>
              <w:jc w:val="both"/>
              <w:rPr>
                <w:szCs w:val="28"/>
              </w:rPr>
            </w:pPr>
            <w:r>
              <w:rPr>
                <w:szCs w:val="28"/>
              </w:rPr>
              <w:t xml:space="preserve">Tāpat noteikta kārtība tās iestādes, kurai </w:t>
            </w:r>
            <w:r>
              <w:rPr>
                <w:szCs w:val="28"/>
                <w:lang w:eastAsia="en-US"/>
              </w:rPr>
              <w:t>nosūta materiālus par iespējamo administratīvo pārkāpumu pēc piekritības,</w:t>
            </w:r>
            <w:r>
              <w:rPr>
                <w:szCs w:val="28"/>
              </w:rPr>
              <w:t xml:space="preserve"> informēšanai par procesuālajiem izdevumiem. </w:t>
            </w:r>
          </w:p>
          <w:p w:rsidR="00FA22BE" w:rsidRDefault="00FA22BE" w:rsidP="00037859">
            <w:pPr>
              <w:pStyle w:val="naisc"/>
              <w:spacing w:before="0" w:after="0"/>
              <w:jc w:val="both"/>
            </w:pPr>
          </w:p>
          <w:p w:rsidR="001B3A1C" w:rsidRDefault="001B3A1C" w:rsidP="00037859">
            <w:pPr>
              <w:pStyle w:val="naisc"/>
              <w:spacing w:before="0" w:after="0"/>
              <w:jc w:val="both"/>
              <w:rPr>
                <w:bCs/>
                <w:szCs w:val="28"/>
                <w:lang w:eastAsia="en-US"/>
              </w:rPr>
            </w:pPr>
          </w:p>
          <w:p w:rsidR="00FA22BE" w:rsidRDefault="00FA22BE" w:rsidP="00037859">
            <w:pPr>
              <w:pStyle w:val="naisc"/>
              <w:spacing w:before="0" w:after="0"/>
              <w:jc w:val="both"/>
            </w:pPr>
          </w:p>
        </w:tc>
        <w:tc>
          <w:tcPr>
            <w:tcW w:w="4394" w:type="dxa"/>
            <w:tcBorders>
              <w:left w:val="single" w:sz="6" w:space="0" w:color="000000"/>
              <w:bottom w:val="single" w:sz="4" w:space="0" w:color="auto"/>
              <w:right w:val="single" w:sz="6" w:space="0" w:color="000000"/>
            </w:tcBorders>
          </w:tcPr>
          <w:p w:rsidR="00B256EF" w:rsidRDefault="00BE5B2B" w:rsidP="00037859">
            <w:pPr>
              <w:pStyle w:val="naisc"/>
              <w:spacing w:before="0" w:after="0"/>
              <w:jc w:val="both"/>
              <w:rPr>
                <w:b/>
              </w:rPr>
            </w:pPr>
            <w:r w:rsidRPr="00BE5B2B">
              <w:rPr>
                <w:b/>
              </w:rPr>
              <w:lastRenderedPageBreak/>
              <w:t>Tieslietu ministrija</w:t>
            </w:r>
          </w:p>
          <w:p w:rsidR="00BE5B2B" w:rsidRDefault="00B110CB" w:rsidP="00037859">
            <w:pPr>
              <w:pStyle w:val="naisc"/>
              <w:spacing w:before="0" w:after="0"/>
              <w:jc w:val="both"/>
            </w:pPr>
            <w:r>
              <w:t xml:space="preserve">Lūdzam precizēt anotāciju: </w:t>
            </w:r>
            <w:r w:rsidR="00BE5B2B">
              <w:t xml:space="preserve">Saskaņā ar Ministru kabineta 2009. gada 15. decembra instrukcijas Nr. 19 "Tiesību akta projekta sākotnējās ietekmes izvērtēšanas kārtība" (turpmāk – instrukcija) 14.3. apakšpunktu anotācijā norāda aprakstošu informāciju par projekta būtību (necitējot projektā ietvertās normas). Anotācijā ir jāapraksta katra grozījumu saturiskā bloka mērķis un būtība (Smiltēna A., </w:t>
            </w:r>
            <w:proofErr w:type="spellStart"/>
            <w:r w:rsidR="00BE5B2B">
              <w:t>Bloma</w:t>
            </w:r>
            <w:proofErr w:type="spellEnd"/>
            <w:r w:rsidR="00BE5B2B">
              <w:t xml:space="preserve"> I. Tiesību akta projekta ietekmes sākotnējā izvērtēšana. [</w:t>
            </w:r>
            <w:proofErr w:type="spellStart"/>
            <w:r w:rsidR="00BE5B2B">
              <w:t>B.v</w:t>
            </w:r>
            <w:proofErr w:type="spellEnd"/>
            <w:r w:rsidR="00BE5B2B">
              <w:t xml:space="preserve">.]: Valsts kanceleja, 2014, 17. lpp.). </w:t>
            </w:r>
          </w:p>
          <w:p w:rsidR="00BE5B2B" w:rsidRPr="00545106" w:rsidRDefault="00BE5B2B" w:rsidP="00037859">
            <w:pPr>
              <w:pStyle w:val="naisc"/>
              <w:spacing w:before="0" w:after="0"/>
              <w:jc w:val="both"/>
            </w:pPr>
            <w:r>
              <w:t>Piemēram, projekta 10. punktā paredzētais MK noteikumu Nr. 719 36.</w:t>
            </w:r>
            <w:r w:rsidRPr="001B4776">
              <w:rPr>
                <w:vertAlign w:val="superscript"/>
              </w:rPr>
              <w:t>1</w:t>
            </w:r>
            <w:r>
              <w:t xml:space="preserve"> punkts noteic, ka alkohola koncentrācijas pārbaužu un narkotisko vai citu apreibinošo vielu ietekmes medicīnisko pārbaužu izdevumu </w:t>
            </w:r>
            <w:r>
              <w:lastRenderedPageBreak/>
              <w:t xml:space="preserve">apmēru nosaka ārsts, kas veic medicīnisko pārbaudi, saskaņā ar ārstniecības iestādes apstiprinātu cenrādi un atbilstoši faktiski veiktajām pārbaudēm, kas norādītas medicīniskās pārbaudes protokolā un tam </w:t>
            </w:r>
            <w:r w:rsidRPr="00545106">
              <w:t xml:space="preserve">pievienotajos dokumentos. Lūdzam anotācijā skaidrot, vai ārstniecības iestādes, kuras veic medicīnisko pārbaudi pilda valsts deleģētu uzdevumu, vai arī tā, veicot medicīnas pārbaudes, darbojas privāttiesību jomā. Norādām, ka, ja ārstniecības iestāde pilda deleģēto valsts pārvaldes uzdevumu, tad publiskas personas un ārstniecības iestādes savstarpējā norēķinu kārtība ir deleģēšanas procesā risināms jautājums, savukārt privātpersonām sniegto pakalpojumu maksas apmēru nosaka Ministru kabinets (Valsts pārvaldes iekārtas likuma V nodaļa). Papildus lūdzam skaidrot, kāds tiesiskais statuss ir ārstniecības iestādes apstiprinātajam cenrādim (piemēram, ārējais normatīvais akts, iestādes iekšējais normatīvais akts, privāttiesiskas ofertes sastāvdaļa). </w:t>
            </w:r>
          </w:p>
          <w:p w:rsidR="007E7E05" w:rsidRPr="00C511B1" w:rsidRDefault="00BE5B2B" w:rsidP="00037859">
            <w:pPr>
              <w:pStyle w:val="naisc"/>
              <w:spacing w:before="0" w:after="0"/>
              <w:jc w:val="both"/>
            </w:pPr>
            <w:r w:rsidRPr="00545106">
              <w:t>Vienlaikus lūdzam anotācijā skaidri norādīt, vai MK noteikumi Nr. 719 izslēd</w:t>
            </w:r>
            <w:r w:rsidRPr="00136CCD">
              <w:t xml:space="preserve">z iespēju šos noteikumus piemērot arī citu publisku personu iestāžu amatpersonām, kuras ir tiesīgas veikt administratīvā pārkāpuma procesu. Norādām, ka, ja tas tomēr būs iespējams, tad attiecīgi būtu </w:t>
            </w:r>
            <w:r w:rsidRPr="00136CCD">
              <w:lastRenderedPageBreak/>
              <w:t>precizējams projekta 10. punktā paredzētais MK noteikumu Nr. 719 36.</w:t>
            </w:r>
            <w:r w:rsidRPr="00136CCD">
              <w:rPr>
                <w:vertAlign w:val="superscript"/>
              </w:rPr>
              <w:t>4</w:t>
            </w:r>
            <w:r w:rsidRPr="00136CCD">
              <w:t xml:space="preserve"> punkts, norādot, ka, nosūtot informāciju par procesuālajiem izdevumiem, tiek nosūtīts "valsts budžeta konts" vai "pašvaldības budžeta konts" (sk. AAL 260. panta pirmo daļu un 263. panta sesto daļu).</w:t>
            </w:r>
          </w:p>
        </w:tc>
        <w:tc>
          <w:tcPr>
            <w:tcW w:w="3827" w:type="dxa"/>
            <w:gridSpan w:val="2"/>
            <w:tcBorders>
              <w:left w:val="single" w:sz="6" w:space="0" w:color="000000"/>
              <w:bottom w:val="single" w:sz="4" w:space="0" w:color="auto"/>
              <w:right w:val="single" w:sz="6" w:space="0" w:color="000000"/>
            </w:tcBorders>
          </w:tcPr>
          <w:p w:rsidR="00BE5B2B" w:rsidRDefault="001B3A1C" w:rsidP="00037859">
            <w:pPr>
              <w:pStyle w:val="naisc"/>
              <w:spacing w:before="0" w:after="0"/>
              <w:jc w:val="both"/>
              <w:rPr>
                <w:b/>
                <w:bCs/>
                <w:i/>
              </w:rPr>
            </w:pPr>
            <w:r w:rsidRPr="001B3A1C">
              <w:rPr>
                <w:b/>
                <w:bCs/>
                <w:i/>
              </w:rPr>
              <w:lastRenderedPageBreak/>
              <w:t>Iebildums daļēji ņemts vērā.</w:t>
            </w:r>
          </w:p>
          <w:p w:rsidR="00136CCD" w:rsidRDefault="00136CCD" w:rsidP="00037859">
            <w:pPr>
              <w:pStyle w:val="naisc"/>
              <w:spacing w:before="0" w:after="0"/>
              <w:jc w:val="both"/>
              <w:rPr>
                <w:bCs/>
              </w:rPr>
            </w:pPr>
            <w:r w:rsidRPr="00136CCD">
              <w:rPr>
                <w:bCs/>
              </w:rPr>
              <w:t>Precizēt</w:t>
            </w:r>
            <w:r>
              <w:rPr>
                <w:bCs/>
              </w:rPr>
              <w:t>s anotācijā ietvertais projekta būtības apraksts.</w:t>
            </w:r>
          </w:p>
          <w:p w:rsidR="00136CCD" w:rsidRDefault="00136CCD" w:rsidP="00037859">
            <w:pPr>
              <w:pStyle w:val="naisc"/>
              <w:spacing w:before="0" w:after="0"/>
              <w:jc w:val="both"/>
              <w:rPr>
                <w:bCs/>
              </w:rPr>
            </w:pPr>
            <w:r>
              <w:rPr>
                <w:bCs/>
              </w:rPr>
              <w:t xml:space="preserve">Iebildumā norādīts lūgums </w:t>
            </w:r>
            <w:r w:rsidRPr="00136CCD">
              <w:rPr>
                <w:bCs/>
              </w:rPr>
              <w:t>skaidrot, vai ārstniecības iestādes, kuras veic medicīnisko pārbaudi pilda valsts deleģētu uzdevumu, vai arī tā</w:t>
            </w:r>
            <w:r>
              <w:rPr>
                <w:bCs/>
              </w:rPr>
              <w:t>s</w:t>
            </w:r>
            <w:r w:rsidRPr="00136CCD">
              <w:rPr>
                <w:bCs/>
              </w:rPr>
              <w:t>, veicot medicīnas pārbaudes, darbojas privāttiesību jomā</w:t>
            </w:r>
            <w:r>
              <w:rPr>
                <w:bCs/>
              </w:rPr>
              <w:t>,</w:t>
            </w:r>
            <w:r>
              <w:t xml:space="preserve"> un </w:t>
            </w:r>
            <w:r w:rsidRPr="00136CCD">
              <w:t>kāds tiesiskais statuss ir ārstniecības iestādes apstiprinātajam cenrādim</w:t>
            </w:r>
            <w:r w:rsidRPr="00136CCD">
              <w:rPr>
                <w:bCs/>
              </w:rPr>
              <w:t>.</w:t>
            </w:r>
          </w:p>
          <w:p w:rsidR="006364AA" w:rsidRDefault="00136CCD" w:rsidP="00037859">
            <w:pPr>
              <w:pStyle w:val="naisc"/>
              <w:spacing w:before="0" w:after="0"/>
              <w:jc w:val="both"/>
              <w:rPr>
                <w:bCs/>
              </w:rPr>
            </w:pPr>
            <w:r>
              <w:rPr>
                <w:bCs/>
              </w:rPr>
              <w:t xml:space="preserve">Iekšlietu ministrijas ieskatā </w:t>
            </w:r>
            <w:r w:rsidRPr="00136CCD">
              <w:rPr>
                <w:bCs/>
              </w:rPr>
              <w:t>iestā</w:t>
            </w:r>
            <w:r>
              <w:rPr>
                <w:bCs/>
              </w:rPr>
              <w:t>žu</w:t>
            </w:r>
            <w:r w:rsidRPr="00136CCD">
              <w:rPr>
                <w:bCs/>
              </w:rPr>
              <w:t>, kuras veic medicīnisko pārbaudi</w:t>
            </w:r>
            <w:r>
              <w:rPr>
                <w:bCs/>
              </w:rPr>
              <w:t>, darbība pēc pazīmēm varētu atbilst valsts deleģēta uzdevuma izpildei, taču minētais jautājums normatīvajos aktos nav noregulēts.</w:t>
            </w:r>
            <w:r w:rsidR="006364AA">
              <w:rPr>
                <w:bCs/>
              </w:rPr>
              <w:t xml:space="preserve"> </w:t>
            </w:r>
          </w:p>
          <w:p w:rsidR="00136CCD" w:rsidRDefault="006364AA" w:rsidP="00037859">
            <w:pPr>
              <w:pStyle w:val="naisc"/>
              <w:spacing w:before="0" w:after="0"/>
              <w:jc w:val="both"/>
              <w:rPr>
                <w:bCs/>
              </w:rPr>
            </w:pPr>
            <w:r>
              <w:rPr>
                <w:bCs/>
              </w:rPr>
              <w:t xml:space="preserve">Turklāt jāņem vērā, ka šāda kārtība, </w:t>
            </w:r>
            <w:r>
              <w:rPr>
                <w:bCs/>
              </w:rPr>
              <w:lastRenderedPageBreak/>
              <w:t xml:space="preserve">ka medicīniskā pārbaude tiek izdarīta ārstniecības iestādē pastāv kopš </w:t>
            </w:r>
            <w:r w:rsidR="00545106">
              <w:rPr>
                <w:bCs/>
              </w:rPr>
              <w:t xml:space="preserve">stājās spēkā </w:t>
            </w:r>
            <w:r w:rsidR="00545106" w:rsidRPr="00545106">
              <w:rPr>
                <w:bCs/>
              </w:rPr>
              <w:t>Ministru kabinet</w:t>
            </w:r>
            <w:r w:rsidR="00545106">
              <w:rPr>
                <w:bCs/>
              </w:rPr>
              <w:t>a</w:t>
            </w:r>
            <w:r w:rsidR="00545106" w:rsidRPr="00545106">
              <w:rPr>
                <w:bCs/>
              </w:rPr>
              <w:t xml:space="preserve"> 1996.</w:t>
            </w:r>
            <w:r w:rsidR="00545106">
              <w:rPr>
                <w:bCs/>
              </w:rPr>
              <w:t> </w:t>
            </w:r>
            <w:r w:rsidR="00545106" w:rsidRPr="00545106">
              <w:rPr>
                <w:bCs/>
              </w:rPr>
              <w:t>gada 15.</w:t>
            </w:r>
            <w:r w:rsidR="00545106">
              <w:rPr>
                <w:bCs/>
              </w:rPr>
              <w:t> </w:t>
            </w:r>
            <w:r w:rsidR="00545106" w:rsidRPr="00545106">
              <w:rPr>
                <w:bCs/>
              </w:rPr>
              <w:t>oktobr</w:t>
            </w:r>
            <w:r w:rsidR="00545106">
              <w:rPr>
                <w:bCs/>
              </w:rPr>
              <w:t>a</w:t>
            </w:r>
            <w:r w:rsidR="00545106" w:rsidRPr="00545106">
              <w:rPr>
                <w:bCs/>
              </w:rPr>
              <w:t xml:space="preserve"> noteikumi Nr.</w:t>
            </w:r>
            <w:r w:rsidR="00545106">
              <w:rPr>
                <w:bCs/>
              </w:rPr>
              <w:t> </w:t>
            </w:r>
            <w:r w:rsidR="00545106" w:rsidRPr="00545106">
              <w:rPr>
                <w:bCs/>
              </w:rPr>
              <w:t>402</w:t>
            </w:r>
            <w:r w:rsidR="00545106">
              <w:rPr>
                <w:bCs/>
              </w:rPr>
              <w:t xml:space="preserve"> “</w:t>
            </w:r>
            <w:r w:rsidR="00545106" w:rsidRPr="00545106">
              <w:rPr>
                <w:bCs/>
              </w:rPr>
              <w:t>Alkohola, narkotisko un psihotropo vielu ietekmes pārbaudes kārtība</w:t>
            </w:r>
            <w:r w:rsidR="00545106">
              <w:rPr>
                <w:bCs/>
              </w:rPr>
              <w:t>”.</w:t>
            </w:r>
          </w:p>
          <w:p w:rsidR="00136CCD" w:rsidRPr="00136CCD" w:rsidRDefault="00136CCD" w:rsidP="00037859">
            <w:pPr>
              <w:pStyle w:val="naisc"/>
              <w:spacing w:before="0" w:after="0"/>
              <w:jc w:val="both"/>
              <w:rPr>
                <w:bCs/>
              </w:rPr>
            </w:pPr>
            <w:r>
              <w:rPr>
                <w:bCs/>
              </w:rPr>
              <w:t xml:space="preserve">Iekšlietu ministrija piekrīt, ka šis un </w:t>
            </w:r>
            <w:r w:rsidR="006364AA" w:rsidRPr="00136CCD">
              <w:t xml:space="preserve">ārstniecības iestādes </w:t>
            </w:r>
            <w:r>
              <w:rPr>
                <w:bCs/>
              </w:rPr>
              <w:t>maksas pakalpojumu cenrāža statusa jautājums būtu izvērtējams un sakārtojams, iesaistot visas ieinteresētās puses, taču tas ir konceptuāli izlemjams jautājums</w:t>
            </w:r>
            <w:r w:rsidR="006364AA">
              <w:rPr>
                <w:bCs/>
              </w:rPr>
              <w:t>,</w:t>
            </w:r>
            <w:r>
              <w:rPr>
                <w:bCs/>
              </w:rPr>
              <w:t xml:space="preserve"> </w:t>
            </w:r>
            <w:r w:rsidR="006364AA">
              <w:rPr>
                <w:bCs/>
              </w:rPr>
              <w:t xml:space="preserve">kas nav risināms konkrētā projekta ietvaros. </w:t>
            </w:r>
          </w:p>
        </w:tc>
        <w:tc>
          <w:tcPr>
            <w:tcW w:w="2694" w:type="dxa"/>
            <w:tcBorders>
              <w:top w:val="single" w:sz="4" w:space="0" w:color="auto"/>
              <w:left w:val="single" w:sz="4" w:space="0" w:color="auto"/>
              <w:bottom w:val="single" w:sz="4" w:space="0" w:color="auto"/>
            </w:tcBorders>
          </w:tcPr>
          <w:p w:rsidR="001B3A1C" w:rsidRPr="001B3A1C" w:rsidRDefault="001B3A1C" w:rsidP="00037859">
            <w:pPr>
              <w:jc w:val="both"/>
              <w:rPr>
                <w:bCs/>
                <w:szCs w:val="28"/>
                <w:lang w:eastAsia="en-US"/>
              </w:rPr>
            </w:pPr>
            <w:r w:rsidRPr="001B3A1C">
              <w:rPr>
                <w:bCs/>
                <w:szCs w:val="28"/>
                <w:lang w:eastAsia="en-US"/>
              </w:rPr>
              <w:lastRenderedPageBreak/>
              <w:t>Noteikumu projekta anotācijas I sadaļas 2. punkts.</w:t>
            </w:r>
          </w:p>
          <w:p w:rsidR="001B3A1C" w:rsidRDefault="001B3A1C" w:rsidP="00037859">
            <w:pPr>
              <w:ind w:right="57"/>
              <w:jc w:val="both"/>
              <w:rPr>
                <w:bCs/>
                <w:szCs w:val="28"/>
                <w:lang w:eastAsia="en-US"/>
              </w:rPr>
            </w:pPr>
          </w:p>
          <w:p w:rsidR="001B3A1C" w:rsidRDefault="001B3A1C" w:rsidP="00037859">
            <w:pPr>
              <w:ind w:right="57"/>
              <w:jc w:val="both"/>
              <w:rPr>
                <w:bCs/>
                <w:szCs w:val="28"/>
                <w:lang w:eastAsia="en-US"/>
              </w:rPr>
            </w:pPr>
          </w:p>
          <w:p w:rsidR="001B3A1C" w:rsidRDefault="001B3A1C" w:rsidP="00037859">
            <w:pPr>
              <w:ind w:right="57"/>
              <w:jc w:val="both"/>
              <w:rPr>
                <w:szCs w:val="28"/>
              </w:rPr>
            </w:pPr>
            <w:r w:rsidRPr="001B3A1C">
              <w:rPr>
                <w:bCs/>
                <w:szCs w:val="28"/>
                <w:lang w:eastAsia="en-US"/>
              </w:rPr>
              <w:t xml:space="preserve">Noteikumi Nr. 719 </w:t>
            </w:r>
            <w:r w:rsidRPr="001B3A1C">
              <w:rPr>
                <w:szCs w:val="28"/>
                <w:shd w:val="clear" w:color="auto" w:fill="FFFFFF"/>
              </w:rPr>
              <w:t>attiecas uz transportlīdzekļu vadītājiem veiktajām pārbaudēm, un tie izslēdz iespēju šos noteikumus piemērot citu publisku personu iestāžu amatpersonām, kuras ir tiesīgas veikt administratīvā pārkāpuma procesu.</w:t>
            </w:r>
          </w:p>
          <w:p w:rsidR="001B3A1C" w:rsidRDefault="001B3A1C" w:rsidP="00037859">
            <w:pPr>
              <w:ind w:right="57"/>
              <w:jc w:val="both"/>
              <w:rPr>
                <w:szCs w:val="28"/>
              </w:rPr>
            </w:pPr>
          </w:p>
          <w:p w:rsidR="001B3A1C" w:rsidRPr="001B3A1C" w:rsidRDefault="001B3A1C" w:rsidP="00037859">
            <w:pPr>
              <w:ind w:right="57"/>
              <w:jc w:val="both"/>
              <w:rPr>
                <w:szCs w:val="28"/>
              </w:rPr>
            </w:pPr>
            <w:r w:rsidRPr="001B3A1C">
              <w:rPr>
                <w:szCs w:val="28"/>
              </w:rPr>
              <w:lastRenderedPageBreak/>
              <w:t xml:space="preserve">Projekts paredz precizēt Noteikumu Nr. 719 nosaukumu, saskaņot tajos lietoto terminoloģiju ar </w:t>
            </w:r>
            <w:r w:rsidRPr="001B3A1C">
              <w:rPr>
                <w:bCs/>
                <w:szCs w:val="28"/>
                <w:lang w:eastAsia="en-US"/>
              </w:rPr>
              <w:t xml:space="preserve">Administratīvās atbildības likumā lietoto, kā arī </w:t>
            </w:r>
            <w:r w:rsidRPr="001B3A1C">
              <w:rPr>
                <w:szCs w:val="28"/>
              </w:rPr>
              <w:t xml:space="preserve">precizēt Noteikumu Nr. 719 tvērumu atbilstoši </w:t>
            </w:r>
            <w:r w:rsidRPr="001B3A1C">
              <w:rPr>
                <w:bCs/>
                <w:szCs w:val="28"/>
                <w:lang w:eastAsia="en-US"/>
              </w:rPr>
              <w:t>Administratīvās atbildības likuma 75. panta otrajai daļai.</w:t>
            </w:r>
          </w:p>
          <w:p w:rsidR="001B3A1C" w:rsidRPr="001B3A1C" w:rsidRDefault="001B3A1C" w:rsidP="00037859">
            <w:pPr>
              <w:ind w:right="57"/>
              <w:jc w:val="both"/>
              <w:rPr>
                <w:szCs w:val="28"/>
              </w:rPr>
            </w:pPr>
            <w:r w:rsidRPr="001B3A1C">
              <w:rPr>
                <w:szCs w:val="28"/>
              </w:rPr>
              <w:t>Tāpat projekts paredz redakcionāli precizēt Noteikumu Nr. </w:t>
            </w:r>
            <w:r w:rsidRPr="001B3A1C">
              <w:rPr>
                <w:bCs/>
                <w:szCs w:val="28"/>
                <w:lang w:eastAsia="en-US"/>
              </w:rPr>
              <w:t xml:space="preserve">719 normas, kas nosaka alkohola koncentrācijas pārbaudi izelpas gaisā, nemainot to būtību, un papildināt </w:t>
            </w:r>
            <w:r w:rsidRPr="001B3A1C">
              <w:rPr>
                <w:szCs w:val="28"/>
              </w:rPr>
              <w:t>Noteikumu Nr. 719 ar jaunu nodaļu medicīniskās pārbaudes izdevumu aprēķinam, kā arī tās iestādes, kuras amatpersona pieņem lēmumu par sodu, informēšanai par minētajiem izdevumiem</w:t>
            </w:r>
            <w:r w:rsidRPr="001B3A1C">
              <w:rPr>
                <w:szCs w:val="28"/>
                <w:shd w:val="clear" w:color="auto" w:fill="FFFFFF"/>
              </w:rPr>
              <w:t>.</w:t>
            </w:r>
          </w:p>
          <w:p w:rsidR="001B3A1C" w:rsidRPr="001B3A1C" w:rsidRDefault="001B3A1C" w:rsidP="00037859">
            <w:pPr>
              <w:ind w:right="57"/>
              <w:jc w:val="both"/>
              <w:rPr>
                <w:szCs w:val="28"/>
                <w:lang w:eastAsia="en-US"/>
              </w:rPr>
            </w:pPr>
            <w:r w:rsidRPr="001B3A1C">
              <w:rPr>
                <w:szCs w:val="28"/>
                <w:lang w:eastAsia="en-US"/>
              </w:rPr>
              <w:t xml:space="preserve">Projekts nosaka, ka alkohola koncentrācijas pārbaužu un narkotisko </w:t>
            </w:r>
            <w:r w:rsidRPr="001B3A1C">
              <w:rPr>
                <w:szCs w:val="28"/>
                <w:lang w:eastAsia="en-US"/>
              </w:rPr>
              <w:lastRenderedPageBreak/>
              <w:t>vai citu apreibinošo vielu ietekmes pārbaužu izdevumu apmēru nosaka ārsts, kas veic medicīnisko pārbaudi, saskaņā ar ārstniecības iestādes apstiprinātu cenrādi un atbilstoši faktiski veiktajām pārbaudēm, kas norādītas medicīniskās pārbaudes protokolā.</w:t>
            </w:r>
          </w:p>
          <w:p w:rsidR="007E7E05" w:rsidRDefault="001B3A1C" w:rsidP="00037859">
            <w:pPr>
              <w:ind w:right="57"/>
              <w:jc w:val="both"/>
            </w:pPr>
            <w:r w:rsidRPr="001B3A1C">
              <w:rPr>
                <w:szCs w:val="28"/>
                <w:lang w:eastAsia="en-US"/>
              </w:rPr>
              <w:t xml:space="preserve">Administratīvās atbildības likumā jau ir noteikts, ka summas, </w:t>
            </w:r>
            <w:r w:rsidRPr="001B3A1C">
              <w:t xml:space="preserve">kas saistītas ar apreibinošo vielu ietekmes konstatēšanai veiktajām pārbaudēm ir uzskatāmas par procesuālajiem izdevumiem, savukārt procesuālo izdevumu atlīdzināšanas pienākums gulstas uz sodīto personu. Tādējādi Administratīvās atbildības likumā jau ir noteikts procesuālo izdevumu atlīdzināšanas pienākums, un līdz ar to paredzēts svītrot </w:t>
            </w:r>
            <w:r w:rsidRPr="001B3A1C">
              <w:lastRenderedPageBreak/>
              <w:t>Noteikumu Nr. 719 normas, kas nosaka izdevumu atlīdzināšanas kārtību.</w:t>
            </w:r>
          </w:p>
          <w:p w:rsidR="00037859" w:rsidRPr="001B3A1C" w:rsidRDefault="00037859" w:rsidP="00037859">
            <w:pPr>
              <w:ind w:right="57"/>
              <w:jc w:val="both"/>
            </w:pPr>
          </w:p>
        </w:tc>
      </w:tr>
      <w:tr w:rsidR="007E7E05" w:rsidRPr="00712B66" w:rsidTr="000267A2">
        <w:trPr>
          <w:trHeight w:val="1891"/>
        </w:trPr>
        <w:tc>
          <w:tcPr>
            <w:tcW w:w="675" w:type="dxa"/>
            <w:tcBorders>
              <w:left w:val="single" w:sz="6" w:space="0" w:color="000000"/>
              <w:bottom w:val="single" w:sz="4" w:space="0" w:color="auto"/>
              <w:right w:val="single" w:sz="6" w:space="0" w:color="000000"/>
            </w:tcBorders>
          </w:tcPr>
          <w:p w:rsidR="007E7E05" w:rsidRPr="001616E2" w:rsidRDefault="000267A2" w:rsidP="00037859">
            <w:pPr>
              <w:pStyle w:val="naisc"/>
              <w:spacing w:before="0" w:after="0"/>
            </w:pPr>
            <w:r w:rsidRPr="001616E2">
              <w:lastRenderedPageBreak/>
              <w:t>4.</w:t>
            </w:r>
          </w:p>
        </w:tc>
        <w:tc>
          <w:tcPr>
            <w:tcW w:w="3119" w:type="dxa"/>
            <w:gridSpan w:val="2"/>
            <w:tcBorders>
              <w:left w:val="single" w:sz="6" w:space="0" w:color="000000"/>
              <w:bottom w:val="single" w:sz="4" w:space="0" w:color="auto"/>
              <w:right w:val="single" w:sz="6" w:space="0" w:color="000000"/>
            </w:tcBorders>
          </w:tcPr>
          <w:p w:rsidR="0061588D" w:rsidRPr="0061588D" w:rsidRDefault="0061588D" w:rsidP="00037859">
            <w:pPr>
              <w:shd w:val="clear" w:color="auto" w:fill="FFFFFF"/>
              <w:jc w:val="both"/>
              <w:rPr>
                <w:lang w:eastAsia="en-US"/>
              </w:rPr>
            </w:pPr>
            <w:r w:rsidRPr="0061588D">
              <w:rPr>
                <w:lang w:eastAsia="en-US"/>
              </w:rPr>
              <w:t xml:space="preserve">5. Papildināt </w:t>
            </w:r>
            <w:r>
              <w:rPr>
                <w:lang w:eastAsia="en-US"/>
              </w:rPr>
              <w:t>3</w:t>
            </w:r>
            <w:r w:rsidRPr="0061588D">
              <w:rPr>
                <w:lang w:eastAsia="en-US"/>
              </w:rPr>
              <w:t xml:space="preserve">. punktu ar </w:t>
            </w:r>
            <w:r>
              <w:rPr>
                <w:lang w:eastAsia="en-US"/>
              </w:rPr>
              <w:t>otro</w:t>
            </w:r>
            <w:r w:rsidRPr="0061588D">
              <w:rPr>
                <w:lang w:eastAsia="en-US"/>
              </w:rPr>
              <w:t xml:space="preserve"> teikumu šādā redakcijā:</w:t>
            </w:r>
          </w:p>
          <w:p w:rsidR="0061588D" w:rsidRPr="0061588D" w:rsidRDefault="0061588D" w:rsidP="00037859">
            <w:pPr>
              <w:pStyle w:val="naisc"/>
              <w:spacing w:before="0" w:after="0"/>
              <w:jc w:val="both"/>
            </w:pPr>
            <w:r w:rsidRPr="0061588D">
              <w:rPr>
                <w:lang w:eastAsia="en-US"/>
              </w:rPr>
              <w:t>„Pārbaudes rezultātus norāda transportlīdzekļa vadītāja pārbaudes protokolā (turpmāk – protokols) (2. pielikums).”</w:t>
            </w:r>
          </w:p>
          <w:p w:rsidR="0061588D" w:rsidRPr="0061588D" w:rsidRDefault="0061588D" w:rsidP="00037859">
            <w:pPr>
              <w:pStyle w:val="naisc"/>
              <w:spacing w:before="0" w:after="0"/>
              <w:jc w:val="both"/>
            </w:pPr>
          </w:p>
          <w:p w:rsidR="0061588D" w:rsidRPr="0061588D" w:rsidRDefault="0061588D" w:rsidP="00037859">
            <w:pPr>
              <w:pStyle w:val="naisc"/>
              <w:spacing w:before="0" w:after="0"/>
              <w:jc w:val="both"/>
            </w:pPr>
          </w:p>
          <w:p w:rsidR="0061588D" w:rsidRPr="0061588D" w:rsidRDefault="0061588D" w:rsidP="00037859">
            <w:pPr>
              <w:pStyle w:val="naisc"/>
              <w:spacing w:before="0" w:after="0"/>
              <w:jc w:val="both"/>
            </w:pPr>
          </w:p>
          <w:p w:rsidR="0061588D" w:rsidRPr="0061588D" w:rsidRDefault="0061588D" w:rsidP="00037859">
            <w:pPr>
              <w:pStyle w:val="naisc"/>
              <w:spacing w:before="0" w:after="0"/>
              <w:jc w:val="both"/>
            </w:pPr>
          </w:p>
          <w:p w:rsidR="00B42A1E" w:rsidRDefault="00B42A1E" w:rsidP="00037859">
            <w:pPr>
              <w:jc w:val="both"/>
            </w:pPr>
          </w:p>
          <w:p w:rsidR="00B42A1E" w:rsidRDefault="00B42A1E" w:rsidP="00037859">
            <w:pPr>
              <w:jc w:val="both"/>
            </w:pPr>
          </w:p>
          <w:p w:rsidR="0061588D" w:rsidRPr="0061588D" w:rsidRDefault="00B110CB" w:rsidP="00037859">
            <w:pPr>
              <w:jc w:val="both"/>
              <w:rPr>
                <w:bCs/>
              </w:rPr>
            </w:pPr>
            <w:bookmarkStart w:id="0" w:name="_GoBack"/>
            <w:bookmarkEnd w:id="0"/>
            <w:r w:rsidRPr="0061588D">
              <w:t xml:space="preserve">Noteikumu projekta </w:t>
            </w:r>
            <w:r w:rsidR="0061588D" w:rsidRPr="0061588D">
              <w:t>a</w:t>
            </w:r>
            <w:r w:rsidR="0061588D" w:rsidRPr="0061588D">
              <w:rPr>
                <w:bCs/>
              </w:rPr>
              <w:t>notācijas I sadaļas 2. punkts.</w:t>
            </w:r>
          </w:p>
          <w:p w:rsidR="007E7E05" w:rsidRPr="0061588D" w:rsidRDefault="007E7E05" w:rsidP="00037859">
            <w:pPr>
              <w:pStyle w:val="naisc"/>
              <w:spacing w:before="0" w:after="0"/>
              <w:jc w:val="both"/>
            </w:pPr>
          </w:p>
        </w:tc>
        <w:tc>
          <w:tcPr>
            <w:tcW w:w="4394" w:type="dxa"/>
            <w:tcBorders>
              <w:left w:val="single" w:sz="6" w:space="0" w:color="000000"/>
              <w:bottom w:val="single" w:sz="4" w:space="0" w:color="auto"/>
              <w:right w:val="single" w:sz="6" w:space="0" w:color="000000"/>
            </w:tcBorders>
          </w:tcPr>
          <w:p w:rsidR="00B256EF" w:rsidRPr="001616E2" w:rsidRDefault="00B256EF" w:rsidP="00037859">
            <w:pPr>
              <w:pStyle w:val="naisc"/>
              <w:spacing w:before="0" w:after="0"/>
              <w:jc w:val="both"/>
              <w:rPr>
                <w:b/>
                <w:color w:val="000000"/>
              </w:rPr>
            </w:pPr>
            <w:r w:rsidRPr="001616E2">
              <w:rPr>
                <w:b/>
                <w:color w:val="000000"/>
              </w:rPr>
              <w:t>Tieslietu ministrija</w:t>
            </w:r>
          </w:p>
          <w:p w:rsidR="007E7E05" w:rsidRPr="001616E2" w:rsidRDefault="00B110CB" w:rsidP="00037859">
            <w:pPr>
              <w:pStyle w:val="naisc"/>
              <w:spacing w:before="0" w:after="0"/>
              <w:jc w:val="both"/>
              <w:rPr>
                <w:b/>
                <w:color w:val="000000"/>
              </w:rPr>
            </w:pPr>
            <w:r w:rsidRPr="001616E2">
              <w:rPr>
                <w:color w:val="000000"/>
              </w:rPr>
              <w:t xml:space="preserve">Lūdzam precizēt anotāciju: </w:t>
            </w:r>
            <w:r w:rsidR="00B256EF" w:rsidRPr="001616E2">
              <w:rPr>
                <w:color w:val="000000"/>
              </w:rPr>
              <w:t>Papildus vēršam uzmanību, ka 2020. gada 8. aprīlī (pavadvēstule Nr. 1-25/38) Iekšlietu ministrija Valsts kancelejā izskatīšanai Ministru kabineta sēdē ir iesniegusi Ministru kabineta noteikumu projektu "Grozījumi Ministru kabineta 2018. gada 27. novembra noteikumos Nr. 719 "</w:t>
            </w:r>
            <w:r w:rsidR="00B256EF" w:rsidRPr="001616E2">
              <w:t>Kārtība, kādā nosaka alkohola koncentrāciju asinīs un izelpotajā gaisā un konstatē narkotisko vai citu apreibinošo vielu ietekmi</w:t>
            </w:r>
            <w:r w:rsidR="00B256EF" w:rsidRPr="001616E2">
              <w:rPr>
                <w:color w:val="000000"/>
              </w:rPr>
              <w:t xml:space="preserve"> ". Attiecīgi lūdzam skaidrot anotācijā kā minētie grozījumi tiks salāgoti ar projekta regulējumu (īpaši projekta 5. punktu).</w:t>
            </w:r>
          </w:p>
        </w:tc>
        <w:tc>
          <w:tcPr>
            <w:tcW w:w="3827" w:type="dxa"/>
            <w:gridSpan w:val="2"/>
            <w:tcBorders>
              <w:left w:val="single" w:sz="6" w:space="0" w:color="000000"/>
              <w:bottom w:val="single" w:sz="4" w:space="0" w:color="auto"/>
              <w:right w:val="single" w:sz="6" w:space="0" w:color="000000"/>
            </w:tcBorders>
          </w:tcPr>
          <w:p w:rsidR="0043452F" w:rsidRPr="0061588D" w:rsidRDefault="00305E48" w:rsidP="00037859">
            <w:pPr>
              <w:pStyle w:val="naisc"/>
              <w:spacing w:before="0" w:after="0"/>
              <w:jc w:val="both"/>
              <w:rPr>
                <w:b/>
                <w:bCs/>
                <w:i/>
              </w:rPr>
            </w:pPr>
            <w:r w:rsidRPr="0061588D">
              <w:rPr>
                <w:b/>
                <w:bCs/>
                <w:i/>
              </w:rPr>
              <w:t>Iebildums ņemts vērā.</w:t>
            </w:r>
          </w:p>
          <w:p w:rsidR="0043452F" w:rsidRPr="0061588D" w:rsidRDefault="00305E48" w:rsidP="00037859">
            <w:pPr>
              <w:pStyle w:val="naisc"/>
              <w:spacing w:before="0" w:after="0"/>
              <w:jc w:val="both"/>
              <w:rPr>
                <w:bCs/>
              </w:rPr>
            </w:pPr>
            <w:r w:rsidRPr="0061588D">
              <w:rPr>
                <w:bCs/>
              </w:rPr>
              <w:t>Projekts salāgots ar Ministru kabineta 2020. gada 21. aprīļa noteikumiem Nr. 221</w:t>
            </w:r>
            <w:r w:rsidR="005439D9" w:rsidRPr="0061588D">
              <w:rPr>
                <w:bCs/>
              </w:rPr>
              <w:t>, attiecīgi papildināta anotācija</w:t>
            </w:r>
            <w:r w:rsidRPr="0061588D">
              <w:rPr>
                <w:bCs/>
              </w:rPr>
              <w:t>.</w:t>
            </w:r>
          </w:p>
        </w:tc>
        <w:tc>
          <w:tcPr>
            <w:tcW w:w="2694" w:type="dxa"/>
            <w:tcBorders>
              <w:top w:val="single" w:sz="4" w:space="0" w:color="auto"/>
              <w:left w:val="single" w:sz="4" w:space="0" w:color="auto"/>
              <w:bottom w:val="single" w:sz="4" w:space="0" w:color="auto"/>
            </w:tcBorders>
          </w:tcPr>
          <w:p w:rsidR="0061588D" w:rsidRPr="0061588D" w:rsidRDefault="00B42A1E" w:rsidP="00037859">
            <w:pPr>
              <w:shd w:val="clear" w:color="auto" w:fill="FFFFFF"/>
              <w:jc w:val="both"/>
              <w:rPr>
                <w:lang w:eastAsia="en-US"/>
              </w:rPr>
            </w:pPr>
            <w:r>
              <w:rPr>
                <w:lang w:eastAsia="en-US"/>
              </w:rPr>
              <w:t>6</w:t>
            </w:r>
            <w:r w:rsidR="0061588D" w:rsidRPr="0061588D">
              <w:rPr>
                <w:lang w:eastAsia="en-US"/>
              </w:rPr>
              <w:t>. Papildināt 2. punktu ar trešo teikumu šādā redakcijā:</w:t>
            </w:r>
          </w:p>
          <w:p w:rsidR="0061588D" w:rsidRPr="0061588D" w:rsidRDefault="0061588D" w:rsidP="00037859">
            <w:pPr>
              <w:jc w:val="both"/>
            </w:pPr>
            <w:r w:rsidRPr="0061588D">
              <w:rPr>
                <w:lang w:eastAsia="en-US"/>
              </w:rPr>
              <w:t>„Pārbaudes rezultātus norāda transportlīdzekļa vadītāja pārbaudes protokolā (turpmāk – protokols) (2. pielikums).”</w:t>
            </w:r>
          </w:p>
          <w:p w:rsidR="0061588D" w:rsidRPr="0061588D" w:rsidRDefault="0061588D" w:rsidP="00037859">
            <w:pPr>
              <w:jc w:val="both"/>
            </w:pPr>
          </w:p>
          <w:p w:rsidR="0061588D" w:rsidRPr="0061588D" w:rsidRDefault="0061588D" w:rsidP="00037859">
            <w:pPr>
              <w:jc w:val="both"/>
            </w:pPr>
          </w:p>
          <w:p w:rsidR="0061588D" w:rsidRPr="0061588D" w:rsidRDefault="0061588D" w:rsidP="00037859">
            <w:pPr>
              <w:jc w:val="both"/>
            </w:pPr>
          </w:p>
          <w:p w:rsidR="00305E48" w:rsidRPr="0061588D" w:rsidRDefault="004D7C8A" w:rsidP="00037859">
            <w:pPr>
              <w:jc w:val="both"/>
              <w:rPr>
                <w:bCs/>
              </w:rPr>
            </w:pPr>
            <w:r w:rsidRPr="0061588D">
              <w:t>Noteikumu projekta a</w:t>
            </w:r>
            <w:r w:rsidR="00305E48" w:rsidRPr="0061588D">
              <w:rPr>
                <w:bCs/>
              </w:rPr>
              <w:t>notācijas I sadaļas 2.</w:t>
            </w:r>
            <w:r w:rsidR="0061588D" w:rsidRPr="0061588D">
              <w:rPr>
                <w:bCs/>
              </w:rPr>
              <w:t> </w:t>
            </w:r>
            <w:r w:rsidR="00305E48" w:rsidRPr="0061588D">
              <w:rPr>
                <w:bCs/>
              </w:rPr>
              <w:t>punkts.</w:t>
            </w:r>
          </w:p>
          <w:p w:rsidR="007E7E05" w:rsidRPr="0061588D" w:rsidRDefault="00305E48" w:rsidP="00037859">
            <w:pPr>
              <w:jc w:val="both"/>
              <w:rPr>
                <w:bCs/>
              </w:rPr>
            </w:pPr>
            <w:r w:rsidRPr="0061588D">
              <w:rPr>
                <w:bCs/>
              </w:rPr>
              <w:t xml:space="preserve">Ministru kabinets 2020. gada 21. aprīļa sēdē (prot. Nr.26 35.§) pieņēma Ministru kabineta noteikumus Nr. 221 “Grozījumi Ministru kabineta 2018. gada 27. novembra noteikumos Nr. 719 "Kārtība, kādā nosaka alkohola koncentrāciju asinīs un izelpotajā gaisā </w:t>
            </w:r>
            <w:r w:rsidRPr="0061588D">
              <w:rPr>
                <w:bCs/>
              </w:rPr>
              <w:lastRenderedPageBreak/>
              <w:t>un konstatē narkotisko vai citu apreibinošo vielu ietekmi”. Minētie noteikumi</w:t>
            </w:r>
            <w:r w:rsidRPr="0061588D">
              <w:t xml:space="preserve"> </w:t>
            </w:r>
            <w:r w:rsidRPr="0061588D">
              <w:rPr>
                <w:bCs/>
              </w:rPr>
              <w:t>izstrādāti, lai izslēgtu nepieciešamību ikreiz, kad transportlīdzekļa vadītājs nepiekrīt pārbaudes alkohola koncentrācijas noteikšanai izelpotajā gaisā, izmantojot Valsts policijas darbinieku un robežsargu (uz valsts robežas) rīcībā esošo portatīvo mēraparātu, veikšanai vai tās rezultātiem, obligāti nogādāt viņu ārstniecības iestādē medicīniskās pārbaudes veikšanai.</w:t>
            </w:r>
          </w:p>
          <w:p w:rsidR="00305E48" w:rsidRPr="0061588D" w:rsidRDefault="00305E48" w:rsidP="00037859">
            <w:pPr>
              <w:jc w:val="both"/>
            </w:pPr>
            <w:r w:rsidRPr="0061588D">
              <w:rPr>
                <w:bCs/>
              </w:rPr>
              <w:t>Ņemot vērā minēto, projekts ir salāgots ar pašreiz spēkā esošo Noteikumu Nr. 719 redakciju.</w:t>
            </w:r>
          </w:p>
        </w:tc>
      </w:tr>
      <w:tr w:rsidR="00A94670" w:rsidRPr="00712B66" w:rsidTr="002D43A7">
        <w:trPr>
          <w:trHeight w:val="1891"/>
        </w:trPr>
        <w:tc>
          <w:tcPr>
            <w:tcW w:w="675" w:type="dxa"/>
            <w:tcBorders>
              <w:left w:val="single" w:sz="6" w:space="0" w:color="000000"/>
              <w:bottom w:val="single" w:sz="4" w:space="0" w:color="auto"/>
              <w:right w:val="single" w:sz="6" w:space="0" w:color="000000"/>
            </w:tcBorders>
          </w:tcPr>
          <w:p w:rsidR="00A94670" w:rsidRPr="001616E2" w:rsidRDefault="00A94670" w:rsidP="00037859">
            <w:pPr>
              <w:pStyle w:val="naisc"/>
              <w:spacing w:before="0" w:after="0"/>
            </w:pPr>
            <w:r w:rsidRPr="001616E2">
              <w:lastRenderedPageBreak/>
              <w:t>5.</w:t>
            </w:r>
          </w:p>
        </w:tc>
        <w:tc>
          <w:tcPr>
            <w:tcW w:w="3119" w:type="dxa"/>
            <w:gridSpan w:val="2"/>
            <w:tcBorders>
              <w:left w:val="single" w:sz="6" w:space="0" w:color="000000"/>
              <w:bottom w:val="single" w:sz="4" w:space="0" w:color="auto"/>
              <w:right w:val="single" w:sz="6" w:space="0" w:color="000000"/>
            </w:tcBorders>
          </w:tcPr>
          <w:p w:rsidR="00A94670" w:rsidRPr="001616E2" w:rsidRDefault="004D7C8A" w:rsidP="00037859">
            <w:pPr>
              <w:pStyle w:val="naisc"/>
              <w:spacing w:before="0" w:after="0"/>
              <w:jc w:val="both"/>
            </w:pPr>
            <w:r w:rsidRPr="001616E2">
              <w:t>Noteikumu projekta a</w:t>
            </w:r>
            <w:r w:rsidR="00A94670" w:rsidRPr="001616E2">
              <w:t>notācijas III sadaļas 2., 3. un 4. punkts, 2.1. un 3.1. apakšpunkts.</w:t>
            </w:r>
          </w:p>
        </w:tc>
        <w:tc>
          <w:tcPr>
            <w:tcW w:w="4394" w:type="dxa"/>
            <w:tcBorders>
              <w:left w:val="single" w:sz="6" w:space="0" w:color="000000"/>
              <w:bottom w:val="single" w:sz="4" w:space="0" w:color="auto"/>
              <w:right w:val="single" w:sz="6" w:space="0" w:color="000000"/>
            </w:tcBorders>
          </w:tcPr>
          <w:p w:rsidR="00A94670" w:rsidRPr="001616E2" w:rsidRDefault="00A94670" w:rsidP="00037859">
            <w:pPr>
              <w:jc w:val="both"/>
              <w:rPr>
                <w:b/>
              </w:rPr>
            </w:pPr>
            <w:r w:rsidRPr="001616E2">
              <w:rPr>
                <w:b/>
              </w:rPr>
              <w:t>Finanšu ministrija</w:t>
            </w:r>
          </w:p>
          <w:p w:rsidR="00A94670" w:rsidRPr="001616E2" w:rsidRDefault="00A94670" w:rsidP="00037859">
            <w:pPr>
              <w:jc w:val="both"/>
            </w:pPr>
            <w:r w:rsidRPr="001616E2">
              <w:t xml:space="preserve">Lūdzam precizēt anotācijas III sadaļu, svītrojot  3.punktā, 3.1.apakšpunktā un 4.punktā norādītās summas, neparedzot ieņēmumu no maksas pakalpojumiem un citiem pašu ieņēmumiem samazinājumu kā ietekmi uz finansiālo bilanci, jo attiecīgi </w:t>
            </w:r>
            <w:r w:rsidRPr="001616E2">
              <w:lastRenderedPageBreak/>
              <w:t>par šīm ieņēmumu no maksas pakalpojumiem un citiem pašu ieņēmumiem samazinājuma summām samazinās  arī izdevumi, kurus paredzēts veikt no šiem ieņēmumiem, norādot to 2.punktā un 2.1.apakšpunktā 2020., 2021., 2022. un 2023.gada izmaiņu ailēs.</w:t>
            </w:r>
          </w:p>
          <w:p w:rsidR="00A94670" w:rsidRPr="001616E2" w:rsidRDefault="00A94670" w:rsidP="00037859">
            <w:pPr>
              <w:ind w:firstLine="720"/>
              <w:jc w:val="both"/>
              <w:rPr>
                <w:b/>
                <w:color w:val="000000"/>
              </w:rPr>
            </w:pPr>
          </w:p>
        </w:tc>
        <w:tc>
          <w:tcPr>
            <w:tcW w:w="3827" w:type="dxa"/>
            <w:gridSpan w:val="2"/>
            <w:tcBorders>
              <w:left w:val="single" w:sz="6" w:space="0" w:color="000000"/>
              <w:bottom w:val="single" w:sz="4" w:space="0" w:color="auto"/>
              <w:right w:val="single" w:sz="6" w:space="0" w:color="000000"/>
            </w:tcBorders>
          </w:tcPr>
          <w:p w:rsidR="00A94670" w:rsidRPr="001616E2" w:rsidRDefault="00A94670" w:rsidP="00037859">
            <w:pPr>
              <w:pStyle w:val="naisc"/>
              <w:spacing w:before="0" w:after="0"/>
              <w:jc w:val="both"/>
              <w:rPr>
                <w:b/>
                <w:bCs/>
                <w:i/>
              </w:rPr>
            </w:pPr>
            <w:r w:rsidRPr="001616E2">
              <w:rPr>
                <w:b/>
                <w:bCs/>
                <w:i/>
              </w:rPr>
              <w:lastRenderedPageBreak/>
              <w:t>Iebildums ņemts vērā.</w:t>
            </w:r>
          </w:p>
          <w:p w:rsidR="00A94670" w:rsidRPr="001616E2" w:rsidRDefault="00A94670" w:rsidP="00037859">
            <w:pPr>
              <w:pStyle w:val="naisc"/>
              <w:spacing w:before="0" w:after="0"/>
              <w:jc w:val="both"/>
              <w:rPr>
                <w:bCs/>
              </w:rPr>
            </w:pPr>
            <w:r w:rsidRPr="001616E2">
              <w:t>Precizēts anotācijas III sadaļas 2., 3. un 4.punkts, 2.1. un 3.1.apakšpunkts.</w:t>
            </w:r>
          </w:p>
        </w:tc>
        <w:tc>
          <w:tcPr>
            <w:tcW w:w="2694" w:type="dxa"/>
            <w:tcBorders>
              <w:left w:val="single" w:sz="6" w:space="0" w:color="000000"/>
              <w:bottom w:val="single" w:sz="4" w:space="0" w:color="auto"/>
              <w:right w:val="single" w:sz="6" w:space="0" w:color="000000"/>
            </w:tcBorders>
          </w:tcPr>
          <w:p w:rsidR="00A94670" w:rsidRPr="001616E2" w:rsidRDefault="004D7C8A" w:rsidP="00037859">
            <w:pPr>
              <w:pStyle w:val="naisc"/>
              <w:spacing w:before="0" w:after="0"/>
              <w:jc w:val="both"/>
            </w:pPr>
            <w:r w:rsidRPr="001616E2">
              <w:t>Noteikumu projekta a</w:t>
            </w:r>
            <w:r w:rsidR="00A94670" w:rsidRPr="001616E2">
              <w:t>notācijas III sadaļas 2., 3. un 4. punkts, 2.1. un 3.1. apakšpunkts.</w:t>
            </w:r>
          </w:p>
        </w:tc>
      </w:tr>
      <w:tr w:rsidR="00C03087" w:rsidRPr="00712B66" w:rsidTr="001616E2">
        <w:trPr>
          <w:trHeight w:val="1891"/>
        </w:trPr>
        <w:tc>
          <w:tcPr>
            <w:tcW w:w="675" w:type="dxa"/>
            <w:tcBorders>
              <w:left w:val="single" w:sz="6" w:space="0" w:color="000000"/>
              <w:bottom w:val="single" w:sz="4" w:space="0" w:color="auto"/>
              <w:right w:val="single" w:sz="6" w:space="0" w:color="000000"/>
            </w:tcBorders>
            <w:shd w:val="clear" w:color="auto" w:fill="auto"/>
          </w:tcPr>
          <w:p w:rsidR="00C03087" w:rsidRPr="001616E2" w:rsidRDefault="00C03087" w:rsidP="00037859">
            <w:pPr>
              <w:pStyle w:val="naisc"/>
              <w:spacing w:before="0" w:after="0"/>
            </w:pPr>
            <w:r w:rsidRPr="001616E2">
              <w:t>6.</w:t>
            </w:r>
          </w:p>
        </w:tc>
        <w:tc>
          <w:tcPr>
            <w:tcW w:w="3119" w:type="dxa"/>
            <w:gridSpan w:val="2"/>
            <w:tcBorders>
              <w:left w:val="single" w:sz="6" w:space="0" w:color="000000"/>
              <w:bottom w:val="single" w:sz="4" w:space="0" w:color="auto"/>
              <w:right w:val="single" w:sz="6" w:space="0" w:color="000000"/>
            </w:tcBorders>
            <w:shd w:val="clear" w:color="auto" w:fill="auto"/>
          </w:tcPr>
          <w:p w:rsidR="00C03087" w:rsidRPr="001616E2" w:rsidRDefault="004D7C8A" w:rsidP="00037859">
            <w:pPr>
              <w:pStyle w:val="naisc"/>
              <w:spacing w:before="0" w:after="0"/>
              <w:jc w:val="both"/>
              <w:rPr>
                <w:b/>
                <w:bCs/>
                <w:i/>
              </w:rPr>
            </w:pPr>
            <w:r w:rsidRPr="001616E2">
              <w:t>Noteikumu projekta a</w:t>
            </w:r>
            <w:r w:rsidR="00C03087" w:rsidRPr="001616E2">
              <w:t>notācijas III sadaļas 2. punkts un 2.1. apakšpunkts.</w:t>
            </w:r>
          </w:p>
        </w:tc>
        <w:tc>
          <w:tcPr>
            <w:tcW w:w="4394" w:type="dxa"/>
            <w:tcBorders>
              <w:left w:val="single" w:sz="6" w:space="0" w:color="000000"/>
              <w:bottom w:val="single" w:sz="4" w:space="0" w:color="auto"/>
              <w:right w:val="single" w:sz="6" w:space="0" w:color="000000"/>
            </w:tcBorders>
            <w:shd w:val="clear" w:color="auto" w:fill="auto"/>
          </w:tcPr>
          <w:p w:rsidR="00C03087" w:rsidRPr="001616E2" w:rsidRDefault="00C03087" w:rsidP="00037859">
            <w:pPr>
              <w:jc w:val="both"/>
              <w:rPr>
                <w:b/>
              </w:rPr>
            </w:pPr>
            <w:r w:rsidRPr="001616E2">
              <w:rPr>
                <w:b/>
              </w:rPr>
              <w:t>Finanšu ministrija</w:t>
            </w:r>
          </w:p>
          <w:p w:rsidR="00C03087" w:rsidRDefault="00C03087" w:rsidP="00037859">
            <w:pPr>
              <w:jc w:val="both"/>
            </w:pPr>
            <w:r w:rsidRPr="001616E2">
              <w:t>Lūdzam papildināt  anotācijas III sadaļas  2021. un  </w:t>
            </w:r>
            <w:proofErr w:type="gramStart"/>
            <w:r w:rsidRPr="001616E2">
              <w:t>2022.gada</w:t>
            </w:r>
            <w:proofErr w:type="gramEnd"/>
            <w:r w:rsidRPr="001616E2">
              <w:t xml:space="preserve"> ailes “saskaņā ar vidēja termiņa budžeta ietvaru”, tajās norādot arī plānotos izdevumus 972 222 </w:t>
            </w:r>
            <w:proofErr w:type="spellStart"/>
            <w:r w:rsidRPr="001616E2">
              <w:rPr>
                <w:i/>
                <w:iCs/>
              </w:rPr>
              <w:t>euro</w:t>
            </w:r>
            <w:proofErr w:type="spellEnd"/>
            <w:r w:rsidRPr="001616E2">
              <w:rPr>
                <w:i/>
                <w:iCs/>
              </w:rPr>
              <w:t xml:space="preserve"> </w:t>
            </w:r>
            <w:r w:rsidRPr="001616E2">
              <w:t xml:space="preserve"> apmērā saskaņā ar likumā “Par vidēja termiņa budžeta ietvaru 2020., 2021. un 2022. gadam” plānoto. </w:t>
            </w:r>
          </w:p>
          <w:p w:rsidR="00037859" w:rsidRPr="001616E2" w:rsidRDefault="00037859" w:rsidP="00037859">
            <w:pPr>
              <w:jc w:val="both"/>
            </w:pPr>
          </w:p>
        </w:tc>
        <w:tc>
          <w:tcPr>
            <w:tcW w:w="3827" w:type="dxa"/>
            <w:gridSpan w:val="2"/>
            <w:tcBorders>
              <w:left w:val="single" w:sz="6" w:space="0" w:color="000000"/>
              <w:bottom w:val="single" w:sz="4" w:space="0" w:color="auto"/>
              <w:right w:val="single" w:sz="6" w:space="0" w:color="000000"/>
            </w:tcBorders>
            <w:shd w:val="clear" w:color="auto" w:fill="auto"/>
          </w:tcPr>
          <w:p w:rsidR="00C03087" w:rsidRPr="001616E2" w:rsidRDefault="00C03087" w:rsidP="00037859">
            <w:pPr>
              <w:pStyle w:val="naisc"/>
              <w:spacing w:before="0" w:after="0"/>
              <w:jc w:val="both"/>
              <w:rPr>
                <w:b/>
                <w:bCs/>
                <w:i/>
              </w:rPr>
            </w:pPr>
            <w:r w:rsidRPr="001616E2">
              <w:rPr>
                <w:b/>
                <w:bCs/>
                <w:i/>
              </w:rPr>
              <w:t>Iebildums ņemts vērā.</w:t>
            </w:r>
          </w:p>
          <w:p w:rsidR="00C03087" w:rsidRPr="001616E2" w:rsidRDefault="00C03087" w:rsidP="00037859">
            <w:pPr>
              <w:pStyle w:val="naisc"/>
              <w:spacing w:before="0" w:after="0"/>
              <w:jc w:val="both"/>
              <w:rPr>
                <w:bCs/>
              </w:rPr>
            </w:pPr>
            <w:r w:rsidRPr="001616E2">
              <w:rPr>
                <w:bCs/>
              </w:rPr>
              <w:t>Precizēts anotācijas III sadaļas 2. punkts un 2.1. apakšpunkts.</w:t>
            </w:r>
          </w:p>
        </w:tc>
        <w:tc>
          <w:tcPr>
            <w:tcW w:w="2694" w:type="dxa"/>
            <w:tcBorders>
              <w:top w:val="single" w:sz="4" w:space="0" w:color="auto"/>
              <w:left w:val="single" w:sz="4" w:space="0" w:color="auto"/>
              <w:bottom w:val="single" w:sz="4" w:space="0" w:color="auto"/>
            </w:tcBorders>
            <w:shd w:val="clear" w:color="auto" w:fill="auto"/>
          </w:tcPr>
          <w:p w:rsidR="00C03087" w:rsidRPr="0070665F" w:rsidRDefault="004D7C8A" w:rsidP="00037859">
            <w:pPr>
              <w:pStyle w:val="naisc"/>
              <w:spacing w:before="0" w:after="0"/>
              <w:jc w:val="both"/>
              <w:rPr>
                <w:b/>
                <w:bCs/>
                <w:i/>
              </w:rPr>
            </w:pPr>
            <w:r w:rsidRPr="001616E2">
              <w:t>Noteikumu projekta a</w:t>
            </w:r>
            <w:r w:rsidR="00C03087" w:rsidRPr="001616E2">
              <w:t>notācijas III sadaļas 2. punkts un 2.1. apakšpunkts.</w:t>
            </w:r>
          </w:p>
        </w:tc>
      </w:tr>
      <w:tr w:rsidR="0021548D" w:rsidRPr="00712B66" w:rsidTr="0050667B">
        <w:trPr>
          <w:trHeight w:val="703"/>
        </w:trPr>
        <w:tc>
          <w:tcPr>
            <w:tcW w:w="675" w:type="dxa"/>
            <w:tcBorders>
              <w:left w:val="single" w:sz="6" w:space="0" w:color="000000"/>
              <w:bottom w:val="single" w:sz="4" w:space="0" w:color="auto"/>
              <w:right w:val="single" w:sz="6" w:space="0" w:color="000000"/>
            </w:tcBorders>
          </w:tcPr>
          <w:p w:rsidR="0021548D" w:rsidRPr="001616E2" w:rsidRDefault="0021548D" w:rsidP="00037859">
            <w:pPr>
              <w:pStyle w:val="naisc"/>
              <w:spacing w:before="0" w:after="0"/>
            </w:pPr>
            <w:r w:rsidRPr="001616E2">
              <w:t>7.</w:t>
            </w:r>
          </w:p>
        </w:tc>
        <w:tc>
          <w:tcPr>
            <w:tcW w:w="3119" w:type="dxa"/>
            <w:gridSpan w:val="2"/>
            <w:tcBorders>
              <w:top w:val="single" w:sz="4" w:space="0" w:color="auto"/>
              <w:left w:val="single" w:sz="4" w:space="0" w:color="auto"/>
              <w:bottom w:val="single" w:sz="4" w:space="0" w:color="auto"/>
            </w:tcBorders>
          </w:tcPr>
          <w:p w:rsidR="0021548D" w:rsidRPr="001616E2" w:rsidRDefault="004D7C8A" w:rsidP="00037859">
            <w:pPr>
              <w:jc w:val="both"/>
            </w:pPr>
            <w:r w:rsidRPr="001616E2">
              <w:t>Noteikumu projekta a</w:t>
            </w:r>
            <w:r w:rsidR="0021548D" w:rsidRPr="001616E2">
              <w:t>notācijas III sadaļas 6.</w:t>
            </w:r>
            <w:r w:rsidR="00A43EE6" w:rsidRPr="001616E2">
              <w:t> </w:t>
            </w:r>
            <w:r w:rsidR="0021548D" w:rsidRPr="001616E2">
              <w:t>punkts.</w:t>
            </w:r>
          </w:p>
        </w:tc>
        <w:tc>
          <w:tcPr>
            <w:tcW w:w="4394" w:type="dxa"/>
            <w:tcBorders>
              <w:left w:val="single" w:sz="6" w:space="0" w:color="000000"/>
              <w:bottom w:val="single" w:sz="4" w:space="0" w:color="auto"/>
              <w:right w:val="single" w:sz="6" w:space="0" w:color="000000"/>
            </w:tcBorders>
          </w:tcPr>
          <w:p w:rsidR="0021548D" w:rsidRPr="001616E2" w:rsidRDefault="0021548D" w:rsidP="00037859">
            <w:pPr>
              <w:jc w:val="both"/>
              <w:rPr>
                <w:b/>
              </w:rPr>
            </w:pPr>
            <w:r w:rsidRPr="001616E2">
              <w:rPr>
                <w:b/>
              </w:rPr>
              <w:t>Finanšu ministrija</w:t>
            </w:r>
          </w:p>
          <w:p w:rsidR="0021548D" w:rsidRPr="001616E2" w:rsidRDefault="0021548D" w:rsidP="00037859">
            <w:pPr>
              <w:jc w:val="both"/>
            </w:pPr>
            <w:r w:rsidRPr="001616E2">
              <w:t xml:space="preserve">Lūdzam papildināt anotācijas III sadaļas 6.punktu, norādot, ka arī Valsts policija izdevumus, kas saistīti ar alkohola ietekmes pārbaudi ar portatīvo mērierīci pārbaužu veikšanu, nodrošinās tai piešķirto finanšu līdzekļu ietvaros. </w:t>
            </w:r>
          </w:p>
          <w:p w:rsidR="0021548D" w:rsidRPr="001616E2" w:rsidRDefault="0021548D" w:rsidP="00037859">
            <w:pPr>
              <w:ind w:firstLine="720"/>
              <w:jc w:val="both"/>
            </w:pPr>
          </w:p>
        </w:tc>
        <w:tc>
          <w:tcPr>
            <w:tcW w:w="3827" w:type="dxa"/>
            <w:gridSpan w:val="2"/>
            <w:tcBorders>
              <w:left w:val="single" w:sz="6" w:space="0" w:color="000000"/>
              <w:bottom w:val="single" w:sz="4" w:space="0" w:color="auto"/>
              <w:right w:val="single" w:sz="6" w:space="0" w:color="000000"/>
            </w:tcBorders>
          </w:tcPr>
          <w:p w:rsidR="0021548D" w:rsidRPr="001616E2" w:rsidRDefault="0021548D" w:rsidP="00037859">
            <w:pPr>
              <w:pStyle w:val="naisc"/>
              <w:spacing w:before="0" w:after="0"/>
              <w:jc w:val="both"/>
              <w:rPr>
                <w:b/>
                <w:bCs/>
                <w:i/>
              </w:rPr>
            </w:pPr>
            <w:r w:rsidRPr="001616E2">
              <w:rPr>
                <w:b/>
                <w:bCs/>
                <w:i/>
              </w:rPr>
              <w:t>Iebildums ņemts vērā.</w:t>
            </w:r>
          </w:p>
          <w:p w:rsidR="0021548D" w:rsidRPr="001616E2" w:rsidRDefault="0021548D" w:rsidP="00037859">
            <w:pPr>
              <w:pStyle w:val="naisc"/>
              <w:spacing w:before="0" w:after="0"/>
              <w:jc w:val="both"/>
              <w:rPr>
                <w:bCs/>
                <w:i/>
              </w:rPr>
            </w:pPr>
            <w:r w:rsidRPr="001616E2">
              <w:rPr>
                <w:bCs/>
              </w:rPr>
              <w:t>Precizēts anotācijas III sadaļas 6. punkts, papildinot to ar iebildumā minēto teikumu.</w:t>
            </w:r>
          </w:p>
        </w:tc>
        <w:tc>
          <w:tcPr>
            <w:tcW w:w="2694" w:type="dxa"/>
            <w:tcBorders>
              <w:top w:val="single" w:sz="4" w:space="0" w:color="auto"/>
              <w:left w:val="single" w:sz="4" w:space="0" w:color="auto"/>
              <w:bottom w:val="single" w:sz="4" w:space="0" w:color="auto"/>
            </w:tcBorders>
          </w:tcPr>
          <w:p w:rsidR="0021548D" w:rsidRPr="001616E2" w:rsidRDefault="004D7C8A" w:rsidP="00037859">
            <w:pPr>
              <w:pStyle w:val="naisc"/>
              <w:spacing w:before="0" w:after="0"/>
              <w:jc w:val="both"/>
            </w:pPr>
            <w:r w:rsidRPr="001616E2">
              <w:t>Noteikumu projekta a</w:t>
            </w:r>
            <w:r w:rsidR="0021548D" w:rsidRPr="001616E2">
              <w:t>notācijas III sadaļas 6.</w:t>
            </w:r>
            <w:r w:rsidR="00A43EE6" w:rsidRPr="001616E2">
              <w:t> </w:t>
            </w:r>
            <w:r w:rsidR="0021548D" w:rsidRPr="001616E2">
              <w:t>punkts.</w:t>
            </w:r>
          </w:p>
          <w:p w:rsidR="0021548D" w:rsidRDefault="0021548D" w:rsidP="00037859">
            <w:pPr>
              <w:jc w:val="both"/>
            </w:pPr>
            <w:r w:rsidRPr="001616E2">
              <w:t xml:space="preserve">Valsts policija izdevumus, kas saistīti ar alkohola ietekmes pārbaudi ar portatīvo mērierīci pārbaužu veikšanu, nodrošinās tai piešķirto finanšu līdzekļu ietvaros. </w:t>
            </w:r>
          </w:p>
          <w:p w:rsidR="00037859" w:rsidRPr="001616E2" w:rsidRDefault="00037859" w:rsidP="00037859">
            <w:pPr>
              <w:jc w:val="both"/>
              <w:rPr>
                <w:b/>
                <w:bCs/>
                <w:i/>
              </w:rPr>
            </w:pPr>
          </w:p>
        </w:tc>
      </w:tr>
      <w:tr w:rsidR="0021548D" w:rsidRPr="00712B66" w:rsidTr="000267A2">
        <w:trPr>
          <w:trHeight w:val="699"/>
        </w:trPr>
        <w:tc>
          <w:tcPr>
            <w:tcW w:w="675" w:type="dxa"/>
            <w:tcBorders>
              <w:left w:val="single" w:sz="6" w:space="0" w:color="000000"/>
              <w:bottom w:val="single" w:sz="4" w:space="0" w:color="auto"/>
              <w:right w:val="single" w:sz="6" w:space="0" w:color="000000"/>
            </w:tcBorders>
          </w:tcPr>
          <w:p w:rsidR="0021548D" w:rsidRPr="001616E2" w:rsidRDefault="0021548D" w:rsidP="00037859">
            <w:pPr>
              <w:pStyle w:val="naisc"/>
              <w:spacing w:before="0" w:after="0"/>
            </w:pPr>
            <w:r w:rsidRPr="001616E2">
              <w:t>8.</w:t>
            </w:r>
          </w:p>
        </w:tc>
        <w:tc>
          <w:tcPr>
            <w:tcW w:w="3119" w:type="dxa"/>
            <w:gridSpan w:val="2"/>
            <w:tcBorders>
              <w:left w:val="single" w:sz="6" w:space="0" w:color="000000"/>
              <w:bottom w:val="single" w:sz="4" w:space="0" w:color="auto"/>
              <w:right w:val="single" w:sz="6" w:space="0" w:color="000000"/>
            </w:tcBorders>
          </w:tcPr>
          <w:p w:rsidR="0021548D" w:rsidRPr="001616E2" w:rsidRDefault="004D7C8A" w:rsidP="00037859">
            <w:pPr>
              <w:pStyle w:val="naisc"/>
              <w:spacing w:before="0" w:after="0"/>
              <w:jc w:val="both"/>
            </w:pPr>
            <w:r w:rsidRPr="001616E2">
              <w:t>Noteikumu projekta a</w:t>
            </w:r>
            <w:r w:rsidR="005C617E" w:rsidRPr="001616E2">
              <w:t>notācijas IV sadaļas 3. punkts.</w:t>
            </w:r>
          </w:p>
        </w:tc>
        <w:tc>
          <w:tcPr>
            <w:tcW w:w="4394" w:type="dxa"/>
            <w:tcBorders>
              <w:left w:val="single" w:sz="6" w:space="0" w:color="000000"/>
              <w:bottom w:val="single" w:sz="4" w:space="0" w:color="auto"/>
              <w:right w:val="single" w:sz="6" w:space="0" w:color="000000"/>
            </w:tcBorders>
          </w:tcPr>
          <w:p w:rsidR="0021548D" w:rsidRPr="001616E2" w:rsidRDefault="0021548D" w:rsidP="00037859">
            <w:pPr>
              <w:pStyle w:val="naisc"/>
              <w:spacing w:before="0" w:after="0"/>
              <w:jc w:val="both"/>
              <w:rPr>
                <w:b/>
                <w:color w:val="000000"/>
              </w:rPr>
            </w:pPr>
            <w:r w:rsidRPr="001616E2">
              <w:rPr>
                <w:b/>
                <w:color w:val="000000"/>
              </w:rPr>
              <w:t>Tieslietu ministrija</w:t>
            </w:r>
          </w:p>
          <w:p w:rsidR="0021548D" w:rsidRPr="001616E2" w:rsidRDefault="00B110CB" w:rsidP="00037859">
            <w:pPr>
              <w:pStyle w:val="naisc"/>
              <w:spacing w:before="0" w:after="0"/>
              <w:jc w:val="both"/>
              <w:rPr>
                <w:color w:val="000000"/>
              </w:rPr>
            </w:pPr>
            <w:r w:rsidRPr="001616E2">
              <w:rPr>
                <w:color w:val="000000"/>
              </w:rPr>
              <w:t xml:space="preserve">Lūdzam precizēt anotāciju: </w:t>
            </w:r>
            <w:r w:rsidR="0021548D" w:rsidRPr="001616E2">
              <w:rPr>
                <w:color w:val="000000"/>
              </w:rPr>
              <w:t xml:space="preserve">Ar projektu ir paredzēts atteikties no maksas par alkohola </w:t>
            </w:r>
            <w:r w:rsidR="0021548D" w:rsidRPr="001616E2">
              <w:rPr>
                <w:color w:val="000000"/>
              </w:rPr>
              <w:lastRenderedPageBreak/>
              <w:t>koncentrācijas pārbaudi izelpas gaisā, ko ar portatīvo ierīci veic Valsts policija vai Valsts robežsardze. Vēršam uzmanību, ka Ceļu satiksmes likuma 43.</w:t>
            </w:r>
            <w:r w:rsidR="0021548D" w:rsidRPr="001616E2">
              <w:rPr>
                <w:color w:val="000000"/>
                <w:vertAlign w:val="superscript"/>
              </w:rPr>
              <w:t>5</w:t>
            </w:r>
            <w:r w:rsidR="0021548D" w:rsidRPr="001616E2">
              <w:rPr>
                <w:color w:val="000000"/>
              </w:rPr>
              <w:t> panta pirmajā daļā ir dots pilnvarojums Ministru kabinetam noteikt izdevumu apmēru par alkohola koncentrācijas pārbaudes veikšanu izelpotajā gaisā. Attiecīgi Ministru kabineta noteikumu saturs nedrīkst būt ne šaurāks, ne plašāks par likumā noteikto pilnvarojumu. Tādējādi lūdzam skaidrot, vai ir plānots grozīt minēto pilnvarojumu Ceļu satiksmes likumā, attiecīgi precizējot anotācijas IV sadaļas 3. punktu.</w:t>
            </w:r>
          </w:p>
          <w:p w:rsidR="0021548D" w:rsidRPr="001616E2" w:rsidRDefault="0021548D" w:rsidP="00037859">
            <w:pPr>
              <w:pStyle w:val="naisc"/>
              <w:spacing w:before="0" w:after="0"/>
              <w:jc w:val="both"/>
              <w:rPr>
                <w:b/>
                <w:color w:val="000000"/>
              </w:rPr>
            </w:pPr>
          </w:p>
        </w:tc>
        <w:tc>
          <w:tcPr>
            <w:tcW w:w="3827" w:type="dxa"/>
            <w:gridSpan w:val="2"/>
            <w:tcBorders>
              <w:left w:val="single" w:sz="6" w:space="0" w:color="000000"/>
              <w:bottom w:val="single" w:sz="4" w:space="0" w:color="auto"/>
              <w:right w:val="single" w:sz="6" w:space="0" w:color="000000"/>
            </w:tcBorders>
          </w:tcPr>
          <w:p w:rsidR="00A43EE6" w:rsidRPr="001616E2" w:rsidRDefault="00A43EE6" w:rsidP="00037859">
            <w:pPr>
              <w:pStyle w:val="naisc"/>
              <w:spacing w:before="0" w:after="0"/>
              <w:jc w:val="both"/>
              <w:rPr>
                <w:b/>
                <w:bCs/>
                <w:i/>
              </w:rPr>
            </w:pPr>
            <w:r w:rsidRPr="001616E2">
              <w:rPr>
                <w:b/>
                <w:bCs/>
                <w:i/>
              </w:rPr>
              <w:lastRenderedPageBreak/>
              <w:t>Iebildums ņemts vērā.</w:t>
            </w:r>
          </w:p>
          <w:p w:rsidR="0021548D" w:rsidRPr="001616E2" w:rsidRDefault="00A43EE6" w:rsidP="00037859">
            <w:pPr>
              <w:pStyle w:val="naisc"/>
              <w:spacing w:before="0" w:after="0"/>
              <w:jc w:val="both"/>
              <w:rPr>
                <w:bCs/>
              </w:rPr>
            </w:pPr>
            <w:r w:rsidRPr="001616E2">
              <w:rPr>
                <w:bCs/>
              </w:rPr>
              <w:t xml:space="preserve">Iekšlietu ministrija plāno </w:t>
            </w:r>
            <w:r w:rsidR="00DC238B" w:rsidRPr="001616E2">
              <w:rPr>
                <w:bCs/>
              </w:rPr>
              <w:t>izstrādāt</w:t>
            </w:r>
            <w:r w:rsidRPr="001616E2">
              <w:rPr>
                <w:bCs/>
              </w:rPr>
              <w:t xml:space="preserve"> grozījumus Ceļu satiksmes likuma </w:t>
            </w:r>
            <w:r w:rsidR="00DC238B" w:rsidRPr="001616E2">
              <w:rPr>
                <w:bCs/>
              </w:rPr>
              <w:lastRenderedPageBreak/>
              <w:t>43.</w:t>
            </w:r>
            <w:r w:rsidR="00DC238B" w:rsidRPr="001616E2">
              <w:rPr>
                <w:bCs/>
                <w:vertAlign w:val="superscript"/>
              </w:rPr>
              <w:t>5</w:t>
            </w:r>
            <w:r w:rsidR="00DC238B" w:rsidRPr="001616E2">
              <w:rPr>
                <w:bCs/>
              </w:rPr>
              <w:t xml:space="preserve"> pantā, lai precizētu Ministru kabinetam doto pilnvarojumu.</w:t>
            </w:r>
          </w:p>
        </w:tc>
        <w:tc>
          <w:tcPr>
            <w:tcW w:w="2694" w:type="dxa"/>
            <w:tcBorders>
              <w:top w:val="single" w:sz="4" w:space="0" w:color="auto"/>
              <w:left w:val="single" w:sz="4" w:space="0" w:color="auto"/>
              <w:bottom w:val="single" w:sz="4" w:space="0" w:color="auto"/>
            </w:tcBorders>
          </w:tcPr>
          <w:p w:rsidR="0021548D" w:rsidRPr="001616E2" w:rsidRDefault="004D7C8A" w:rsidP="00037859">
            <w:pPr>
              <w:jc w:val="both"/>
            </w:pPr>
            <w:r w:rsidRPr="001616E2">
              <w:lastRenderedPageBreak/>
              <w:t>Noteikumu projekta a</w:t>
            </w:r>
            <w:r w:rsidR="00C72C2F" w:rsidRPr="001616E2">
              <w:t>notācijas IV sadaļas 3. punkts.</w:t>
            </w:r>
          </w:p>
          <w:p w:rsidR="005C617E" w:rsidRDefault="005C617E" w:rsidP="00037859">
            <w:pPr>
              <w:jc w:val="both"/>
            </w:pPr>
            <w:r w:rsidRPr="001616E2">
              <w:lastRenderedPageBreak/>
              <w:t>Iekšlietu ministrija plāno izstrādāt grozījumus Ceļu satiksmes likuma 43.</w:t>
            </w:r>
            <w:r w:rsidRPr="001616E2">
              <w:rPr>
                <w:vertAlign w:val="superscript"/>
              </w:rPr>
              <w:t>5 </w:t>
            </w:r>
            <w:r w:rsidRPr="001616E2">
              <w:t>pantā, lai precizētu Ministru kabinetam doto pilnvarojumu noteikt kārtību, kādā nosakāma alkohola koncentrācija asinīs un izelpotajā gaisā, izdevumu apmēru par alkohola koncentrācijas pārbaudes veikšanu izelpotajā gaisā, kārtību, kādā sedz izdevumus, kas saistīti ar alkohola koncentrācijas pārbaužu veikšanu, kā arī to personu loku, kuras sedz minētos izdevumus.</w:t>
            </w:r>
          </w:p>
          <w:p w:rsidR="00037859" w:rsidRPr="00712B66" w:rsidRDefault="00037859" w:rsidP="00037859">
            <w:pPr>
              <w:jc w:val="both"/>
            </w:pPr>
          </w:p>
        </w:tc>
      </w:tr>
      <w:tr w:rsidR="0021548D" w:rsidRPr="00712B66" w:rsidTr="008F64F8">
        <w:trPr>
          <w:trHeight w:val="841"/>
        </w:trPr>
        <w:tc>
          <w:tcPr>
            <w:tcW w:w="675" w:type="dxa"/>
            <w:tcBorders>
              <w:left w:val="single" w:sz="6" w:space="0" w:color="000000"/>
              <w:bottom w:val="single" w:sz="4" w:space="0" w:color="auto"/>
              <w:right w:val="single" w:sz="6" w:space="0" w:color="000000"/>
            </w:tcBorders>
          </w:tcPr>
          <w:p w:rsidR="0021548D" w:rsidRPr="001616E2" w:rsidRDefault="0021548D" w:rsidP="00037859">
            <w:pPr>
              <w:pStyle w:val="naisc"/>
              <w:spacing w:before="0" w:after="0"/>
            </w:pPr>
            <w:r w:rsidRPr="001616E2">
              <w:lastRenderedPageBreak/>
              <w:t>9.</w:t>
            </w:r>
          </w:p>
        </w:tc>
        <w:tc>
          <w:tcPr>
            <w:tcW w:w="3119" w:type="dxa"/>
            <w:gridSpan w:val="2"/>
            <w:tcBorders>
              <w:left w:val="single" w:sz="6" w:space="0" w:color="000000"/>
              <w:bottom w:val="single" w:sz="4" w:space="0" w:color="auto"/>
              <w:right w:val="single" w:sz="6" w:space="0" w:color="000000"/>
            </w:tcBorders>
          </w:tcPr>
          <w:p w:rsidR="0021548D" w:rsidRPr="001616E2" w:rsidRDefault="00714C57" w:rsidP="00037859">
            <w:pPr>
              <w:pStyle w:val="naisc"/>
              <w:spacing w:before="0" w:after="0"/>
              <w:jc w:val="both"/>
            </w:pPr>
            <w:r w:rsidRPr="001616E2">
              <w:t>36.</w:t>
            </w:r>
            <w:r w:rsidRPr="001616E2">
              <w:rPr>
                <w:vertAlign w:val="superscript"/>
              </w:rPr>
              <w:t>2</w:t>
            </w:r>
            <w:r w:rsidRPr="001616E2">
              <w:t xml:space="preserve"> Medicīniskās pārbaudes izdevumus sedz iestāde, kuras darbinieks nosūtījis transportlīdzekļa vadītāju uz medicīnisko pārbaudi, un šīs iestādes vadītājs nodrošina līdzekļu ieskaitīšanu attiecīgās ārstniecības iestādes kontā.</w:t>
            </w:r>
          </w:p>
        </w:tc>
        <w:tc>
          <w:tcPr>
            <w:tcW w:w="4394" w:type="dxa"/>
            <w:tcBorders>
              <w:left w:val="single" w:sz="6" w:space="0" w:color="000000"/>
              <w:bottom w:val="single" w:sz="4" w:space="0" w:color="auto"/>
              <w:right w:val="single" w:sz="6" w:space="0" w:color="000000"/>
            </w:tcBorders>
          </w:tcPr>
          <w:p w:rsidR="0021548D" w:rsidRPr="001616E2" w:rsidRDefault="0021548D" w:rsidP="00037859">
            <w:pPr>
              <w:jc w:val="both"/>
              <w:rPr>
                <w:b/>
              </w:rPr>
            </w:pPr>
            <w:r w:rsidRPr="001616E2">
              <w:rPr>
                <w:b/>
              </w:rPr>
              <w:t>Tieslietu ministrija (priekšlikums)</w:t>
            </w:r>
          </w:p>
          <w:p w:rsidR="0021548D" w:rsidRPr="001616E2" w:rsidRDefault="0021548D" w:rsidP="00037859">
            <w:pPr>
              <w:jc w:val="both"/>
            </w:pPr>
            <w:r w:rsidRPr="001616E2">
              <w:t>1. Lūdzam izvērtēt projekta 10. punktā paredzētā MK noteikumu Nr. 719 36.</w:t>
            </w:r>
            <w:r w:rsidRPr="001616E2">
              <w:rPr>
                <w:vertAlign w:val="superscript"/>
              </w:rPr>
              <w:t>2 </w:t>
            </w:r>
            <w:r w:rsidRPr="001616E2">
              <w:t xml:space="preserve">punktā ietvertās vārdkopas "un, šīs iestādes vadītājs nodrošina līdzekļu ieskaitīšanu attiecīgās ārstniecības iestādes kontā" svītrošanu. </w:t>
            </w:r>
          </w:p>
          <w:p w:rsidR="0021548D" w:rsidRPr="001616E2" w:rsidRDefault="0021548D" w:rsidP="00037859">
            <w:pPr>
              <w:ind w:firstLine="720"/>
              <w:jc w:val="both"/>
            </w:pPr>
            <w:r w:rsidRPr="001616E2">
              <w:t xml:space="preserve">Norādām, ka ir ieteicams izvairīties no tādu jautājumu regulēšanas ārējos normatīvajos aktos, kurus var regulēt iekšējā normatīvajā aktā (piemēram, iestādes iekšējās darbības procedūras) vai </w:t>
            </w:r>
            <w:r w:rsidRPr="001616E2">
              <w:lastRenderedPageBreak/>
              <w:t xml:space="preserve">metodiskajos materiālos </w:t>
            </w:r>
            <w:proofErr w:type="gramStart"/>
            <w:r w:rsidRPr="001616E2">
              <w:t>(</w:t>
            </w:r>
            <w:proofErr w:type="gramEnd"/>
            <w:r w:rsidRPr="001616E2">
              <w:rPr>
                <w:i/>
                <w:iCs/>
              </w:rPr>
              <w:t xml:space="preserve">Informatīvais ziņojums "Faktiskā situācija un risinājumi normatīvo aktu skaita samazināšanai", 7. lpp., </w:t>
            </w:r>
            <w:hyperlink r:id="rId10" w:history="1">
              <w:r w:rsidRPr="001616E2">
                <w:rPr>
                  <w:rStyle w:val="Hyperlink"/>
                  <w:i/>
                  <w:iCs/>
                </w:rPr>
                <w:t>http://tap.mk.gov.lv/mk/tap/?pid=40446235</w:t>
              </w:r>
            </w:hyperlink>
            <w:r w:rsidRPr="001616E2">
              <w:t>).</w:t>
            </w:r>
          </w:p>
        </w:tc>
        <w:tc>
          <w:tcPr>
            <w:tcW w:w="3827" w:type="dxa"/>
            <w:gridSpan w:val="2"/>
            <w:tcBorders>
              <w:left w:val="single" w:sz="6" w:space="0" w:color="000000"/>
              <w:bottom w:val="single" w:sz="4" w:space="0" w:color="auto"/>
              <w:right w:val="single" w:sz="6" w:space="0" w:color="000000"/>
            </w:tcBorders>
          </w:tcPr>
          <w:p w:rsidR="0021548D" w:rsidRPr="00F71F95" w:rsidRDefault="00714C57" w:rsidP="00037859">
            <w:pPr>
              <w:pStyle w:val="naisc"/>
              <w:spacing w:before="0" w:after="0"/>
              <w:jc w:val="both"/>
              <w:rPr>
                <w:b/>
                <w:bCs/>
                <w:i/>
              </w:rPr>
            </w:pPr>
            <w:r w:rsidRPr="001616E2">
              <w:rPr>
                <w:b/>
                <w:bCs/>
                <w:i/>
              </w:rPr>
              <w:lastRenderedPageBreak/>
              <w:t>Priekšlikums ņemts vērā.</w:t>
            </w:r>
          </w:p>
        </w:tc>
        <w:tc>
          <w:tcPr>
            <w:tcW w:w="2694" w:type="dxa"/>
            <w:tcBorders>
              <w:top w:val="single" w:sz="4" w:space="0" w:color="auto"/>
              <w:left w:val="single" w:sz="4" w:space="0" w:color="auto"/>
              <w:bottom w:val="single" w:sz="4" w:space="0" w:color="auto"/>
            </w:tcBorders>
          </w:tcPr>
          <w:p w:rsidR="0021548D" w:rsidRPr="00714C57" w:rsidRDefault="00714C57" w:rsidP="00037859">
            <w:pPr>
              <w:shd w:val="clear" w:color="auto" w:fill="FFFFFF"/>
              <w:jc w:val="both"/>
            </w:pPr>
            <w:r w:rsidRPr="001616E2">
              <w:rPr>
                <w:szCs w:val="28"/>
                <w:lang w:eastAsia="en-US"/>
              </w:rPr>
              <w:t>36.</w:t>
            </w:r>
            <w:r w:rsidRPr="001616E2">
              <w:rPr>
                <w:szCs w:val="28"/>
                <w:vertAlign w:val="superscript"/>
                <w:lang w:eastAsia="en-US"/>
              </w:rPr>
              <w:t>2</w:t>
            </w:r>
            <w:r w:rsidRPr="001616E2">
              <w:rPr>
                <w:szCs w:val="28"/>
                <w:lang w:eastAsia="en-US"/>
              </w:rPr>
              <w:t xml:space="preserve"> </w:t>
            </w:r>
            <w:r w:rsidRPr="001616E2">
              <w:rPr>
                <w:szCs w:val="28"/>
                <w:shd w:val="clear" w:color="auto" w:fill="FFFFFF"/>
              </w:rPr>
              <w:t>Medicīniskās pārbaudes izdevumus sedz iestāde, kuras darbinieks nosūtījis transportlīdzekļa vadītāju uz medicīnisko pārbaudi.</w:t>
            </w:r>
          </w:p>
        </w:tc>
      </w:tr>
      <w:tr w:rsidR="00037859" w:rsidRPr="00712B66" w:rsidTr="008F64F8">
        <w:trPr>
          <w:trHeight w:val="841"/>
        </w:trPr>
        <w:tc>
          <w:tcPr>
            <w:tcW w:w="675" w:type="dxa"/>
            <w:tcBorders>
              <w:left w:val="single" w:sz="6" w:space="0" w:color="000000"/>
              <w:bottom w:val="single" w:sz="4" w:space="0" w:color="auto"/>
              <w:right w:val="single" w:sz="6" w:space="0" w:color="000000"/>
            </w:tcBorders>
          </w:tcPr>
          <w:p w:rsidR="00037859" w:rsidRPr="001616E2" w:rsidRDefault="00037859" w:rsidP="00037859">
            <w:pPr>
              <w:pStyle w:val="naisc"/>
              <w:spacing w:before="0" w:after="0"/>
            </w:pPr>
            <w:r>
              <w:t>10.</w:t>
            </w:r>
          </w:p>
        </w:tc>
        <w:tc>
          <w:tcPr>
            <w:tcW w:w="3119" w:type="dxa"/>
            <w:gridSpan w:val="2"/>
            <w:tcBorders>
              <w:left w:val="single" w:sz="6" w:space="0" w:color="000000"/>
              <w:bottom w:val="single" w:sz="4" w:space="0" w:color="auto"/>
              <w:right w:val="single" w:sz="6" w:space="0" w:color="000000"/>
            </w:tcBorders>
          </w:tcPr>
          <w:p w:rsidR="00037859" w:rsidRPr="001616E2" w:rsidRDefault="00037859" w:rsidP="00037859">
            <w:pPr>
              <w:pStyle w:val="naisc"/>
              <w:spacing w:before="0" w:after="0"/>
              <w:jc w:val="both"/>
            </w:pPr>
            <w:r w:rsidRPr="00037859">
              <w:t>36.</w:t>
            </w:r>
            <w:r w:rsidRPr="00037859">
              <w:rPr>
                <w:vertAlign w:val="superscript"/>
              </w:rPr>
              <w:t>3 </w:t>
            </w:r>
            <w:r w:rsidRPr="00037859">
              <w:t>Ja iestāde, kuras darbinieks nosūtīja transportlīdzekļa vadītāju uz medicīnisko pārbaudi, nosūta materiālus par iespējamo administratīvo pārkāpumu pēc piekritības citai iestādei, tā materiāliem pievieno šo noteikumu 36.</w:t>
            </w:r>
            <w:r w:rsidRPr="00037859">
              <w:rPr>
                <w:vertAlign w:val="superscript"/>
              </w:rPr>
              <w:t>1 </w:t>
            </w:r>
            <w:r w:rsidRPr="00037859">
              <w:t>punktā minētos procesuālos izdevumus apliecinošos dokumentus un informāciju par valsts budžeta kontu, kurā transportlīdzekļa vadītājam jāiemaksā procesuālajiem izdevumiem atbilstošā summa.</w:t>
            </w:r>
          </w:p>
        </w:tc>
        <w:tc>
          <w:tcPr>
            <w:tcW w:w="4394" w:type="dxa"/>
            <w:tcBorders>
              <w:left w:val="single" w:sz="6" w:space="0" w:color="000000"/>
              <w:bottom w:val="single" w:sz="4" w:space="0" w:color="auto"/>
              <w:right w:val="single" w:sz="6" w:space="0" w:color="000000"/>
            </w:tcBorders>
          </w:tcPr>
          <w:p w:rsidR="00037859" w:rsidRPr="00037859" w:rsidRDefault="00037859" w:rsidP="00037859">
            <w:pPr>
              <w:jc w:val="both"/>
              <w:rPr>
                <w:b/>
              </w:rPr>
            </w:pPr>
            <w:r w:rsidRPr="00037859">
              <w:rPr>
                <w:b/>
              </w:rPr>
              <w:t>Tieslietu ministrija (priekšlikums)</w:t>
            </w:r>
          </w:p>
          <w:p w:rsidR="00037859" w:rsidRPr="001616E2" w:rsidRDefault="00037859" w:rsidP="00037859">
            <w:pPr>
              <w:jc w:val="both"/>
              <w:rPr>
                <w:b/>
              </w:rPr>
            </w:pPr>
            <w:r w:rsidRPr="00EB45FA">
              <w:t>Lai nodrošinātu projekta vienību atbilstību likumdevēja dotajam pilnvarojumam Administratīvās atbildības likuma 75. panta otrajā daļā, aicinām precizēt projektā paredzēto noteikumu 36.</w:t>
            </w:r>
            <w:r w:rsidRPr="00EB45FA">
              <w:rPr>
                <w:vertAlign w:val="superscript"/>
              </w:rPr>
              <w:t>3</w:t>
            </w:r>
            <w:r w:rsidRPr="00EB45FA">
              <w:t xml:space="preserve">. punktu, proti, aizstājot vārdus </w:t>
            </w:r>
            <w:r w:rsidRPr="00EB45FA">
              <w:rPr>
                <w:i/>
                <w:iCs/>
              </w:rPr>
              <w:t>"kurā transportlīdzekļa vadītajam jāiemaksā procesuālajiem izdevumiem atbilstošā summa"</w:t>
            </w:r>
            <w:r w:rsidRPr="00EB45FA">
              <w:t xml:space="preserve"> ar vārdiem </w:t>
            </w:r>
            <w:r w:rsidRPr="00EB45FA">
              <w:rPr>
                <w:i/>
                <w:iCs/>
              </w:rPr>
              <w:t>"kurā iemaksājami procesuālie izdevumi".</w:t>
            </w:r>
          </w:p>
        </w:tc>
        <w:tc>
          <w:tcPr>
            <w:tcW w:w="3827" w:type="dxa"/>
            <w:gridSpan w:val="2"/>
            <w:tcBorders>
              <w:left w:val="single" w:sz="6" w:space="0" w:color="000000"/>
              <w:bottom w:val="single" w:sz="4" w:space="0" w:color="auto"/>
              <w:right w:val="single" w:sz="6" w:space="0" w:color="000000"/>
            </w:tcBorders>
          </w:tcPr>
          <w:p w:rsidR="00037859" w:rsidRPr="001616E2" w:rsidRDefault="00037859" w:rsidP="00037859">
            <w:pPr>
              <w:pStyle w:val="naisc"/>
              <w:spacing w:before="0" w:after="0"/>
              <w:jc w:val="both"/>
              <w:rPr>
                <w:b/>
                <w:bCs/>
                <w:i/>
              </w:rPr>
            </w:pPr>
            <w:r w:rsidRPr="00037859">
              <w:rPr>
                <w:b/>
                <w:bCs/>
                <w:i/>
              </w:rPr>
              <w:t>Priekšlikums ņemts vērā.</w:t>
            </w:r>
          </w:p>
        </w:tc>
        <w:tc>
          <w:tcPr>
            <w:tcW w:w="2694" w:type="dxa"/>
            <w:tcBorders>
              <w:top w:val="single" w:sz="4" w:space="0" w:color="auto"/>
              <w:left w:val="single" w:sz="4" w:space="0" w:color="auto"/>
              <w:bottom w:val="single" w:sz="4" w:space="0" w:color="auto"/>
            </w:tcBorders>
          </w:tcPr>
          <w:p w:rsidR="00037859" w:rsidRPr="001616E2" w:rsidRDefault="00037859" w:rsidP="00037859">
            <w:pPr>
              <w:shd w:val="clear" w:color="auto" w:fill="FFFFFF"/>
              <w:jc w:val="both"/>
              <w:rPr>
                <w:szCs w:val="28"/>
                <w:lang w:eastAsia="en-US"/>
              </w:rPr>
            </w:pPr>
            <w:r w:rsidRPr="00037859">
              <w:rPr>
                <w:szCs w:val="28"/>
                <w:lang w:eastAsia="en-US"/>
              </w:rPr>
              <w:t>36.</w:t>
            </w:r>
            <w:r w:rsidRPr="00037859">
              <w:rPr>
                <w:szCs w:val="28"/>
                <w:vertAlign w:val="superscript"/>
                <w:lang w:eastAsia="en-US"/>
              </w:rPr>
              <w:t>3</w:t>
            </w:r>
            <w:r w:rsidRPr="00037859">
              <w:rPr>
                <w:szCs w:val="28"/>
                <w:lang w:eastAsia="en-US"/>
              </w:rPr>
              <w:t xml:space="preserve"> Ja iestāde, kuras darbinieks nosūtīja transportlīdzekļa vadītāju uz medicīnisko pārbaudi, nosūta materiālus par iespējamo administratīvo pārkāpumu pēc piekritības citai iestādei, tā materiāliem pievieno šo noteikumu 36.</w:t>
            </w:r>
            <w:r w:rsidRPr="00037859">
              <w:rPr>
                <w:szCs w:val="28"/>
                <w:vertAlign w:val="superscript"/>
                <w:lang w:eastAsia="en-US"/>
              </w:rPr>
              <w:t>1</w:t>
            </w:r>
            <w:r w:rsidRPr="00037859">
              <w:rPr>
                <w:szCs w:val="28"/>
                <w:lang w:eastAsia="en-US"/>
              </w:rPr>
              <w:t xml:space="preserve"> punktā minētos procesuālos izdevumus apliecinošos dokumentus un informāciju par valsts budžeta kontu, kurā iemaksājami procesuālie izdevumi.</w:t>
            </w:r>
          </w:p>
        </w:tc>
      </w:tr>
      <w:tr w:rsidR="0021548D" w:rsidRPr="00712B66" w:rsidTr="000267A2">
        <w:trPr>
          <w:trHeight w:val="1842"/>
        </w:trPr>
        <w:tc>
          <w:tcPr>
            <w:tcW w:w="675" w:type="dxa"/>
            <w:tcBorders>
              <w:left w:val="single" w:sz="6" w:space="0" w:color="000000"/>
              <w:bottom w:val="single" w:sz="4" w:space="0" w:color="auto"/>
              <w:right w:val="single" w:sz="6" w:space="0" w:color="000000"/>
            </w:tcBorders>
          </w:tcPr>
          <w:p w:rsidR="0021548D" w:rsidRPr="001616E2" w:rsidRDefault="0021548D" w:rsidP="00037859">
            <w:pPr>
              <w:pStyle w:val="naisc"/>
              <w:spacing w:before="0" w:after="0"/>
            </w:pPr>
            <w:r w:rsidRPr="001616E2">
              <w:t>1</w:t>
            </w:r>
            <w:r w:rsidR="00037859">
              <w:t>1</w:t>
            </w:r>
            <w:r w:rsidRPr="001616E2">
              <w:t>.</w:t>
            </w:r>
          </w:p>
        </w:tc>
        <w:tc>
          <w:tcPr>
            <w:tcW w:w="3119" w:type="dxa"/>
            <w:gridSpan w:val="2"/>
            <w:tcBorders>
              <w:left w:val="single" w:sz="6" w:space="0" w:color="000000"/>
              <w:bottom w:val="single" w:sz="4" w:space="0" w:color="auto"/>
              <w:right w:val="single" w:sz="6" w:space="0" w:color="000000"/>
            </w:tcBorders>
          </w:tcPr>
          <w:p w:rsidR="0021548D" w:rsidRPr="001616E2" w:rsidRDefault="004D7C8A" w:rsidP="00037859">
            <w:pPr>
              <w:pStyle w:val="naisc"/>
              <w:spacing w:before="0" w:after="0"/>
              <w:jc w:val="both"/>
            </w:pPr>
            <w:r w:rsidRPr="001616E2">
              <w:t>Noteikumu projekta a</w:t>
            </w:r>
            <w:r w:rsidR="005C617E" w:rsidRPr="001616E2">
              <w:t>notācijas II sadaļas 1.</w:t>
            </w:r>
            <w:r w:rsidR="00B747C3" w:rsidRPr="001616E2">
              <w:t> </w:t>
            </w:r>
            <w:r w:rsidR="005C617E" w:rsidRPr="001616E2">
              <w:t>punkts</w:t>
            </w:r>
            <w:r w:rsidR="00B747C3" w:rsidRPr="001616E2">
              <w:t>.</w:t>
            </w:r>
          </w:p>
          <w:p w:rsidR="005C617E" w:rsidRPr="001616E2" w:rsidRDefault="005C617E" w:rsidP="00037859">
            <w:pPr>
              <w:jc w:val="both"/>
              <w:rPr>
                <w:szCs w:val="28"/>
              </w:rPr>
            </w:pPr>
            <w:r w:rsidRPr="001616E2">
              <w:rPr>
                <w:szCs w:val="28"/>
              </w:rPr>
              <w:t xml:space="preserve">Transportlīdzekļu vadītāji, attiecībā pret kuriem tiek uzsākta administratīvā pārkāpuma lietvedība saistībā ar transportlīdzekļa vadīšanu apreibinošo vielu ietekmē. </w:t>
            </w:r>
            <w:r w:rsidRPr="001616E2">
              <w:rPr>
                <w:szCs w:val="28"/>
              </w:rPr>
              <w:lastRenderedPageBreak/>
              <w:t>Valsts policijas vai Valsts robežsardzes darbinieki, kas ar portatīvo ierīci veic alkohola koncentrācijas pārbaudi izelpas gaisā.</w:t>
            </w:r>
          </w:p>
          <w:p w:rsidR="005C617E" w:rsidRPr="001616E2" w:rsidRDefault="005C617E" w:rsidP="00037859">
            <w:pPr>
              <w:pStyle w:val="naisc"/>
              <w:spacing w:before="0" w:after="0"/>
              <w:jc w:val="both"/>
            </w:pPr>
          </w:p>
        </w:tc>
        <w:tc>
          <w:tcPr>
            <w:tcW w:w="4394" w:type="dxa"/>
            <w:tcBorders>
              <w:left w:val="single" w:sz="6" w:space="0" w:color="000000"/>
              <w:bottom w:val="single" w:sz="4" w:space="0" w:color="auto"/>
              <w:right w:val="single" w:sz="6" w:space="0" w:color="000000"/>
            </w:tcBorders>
          </w:tcPr>
          <w:p w:rsidR="0021548D" w:rsidRPr="001616E2" w:rsidRDefault="0021548D" w:rsidP="00037859">
            <w:pPr>
              <w:jc w:val="both"/>
              <w:rPr>
                <w:b/>
              </w:rPr>
            </w:pPr>
            <w:r w:rsidRPr="001616E2">
              <w:rPr>
                <w:b/>
              </w:rPr>
              <w:lastRenderedPageBreak/>
              <w:t>Tieslietu ministrija (priekšlikums)</w:t>
            </w:r>
          </w:p>
          <w:p w:rsidR="0021548D" w:rsidRPr="001616E2" w:rsidRDefault="0021548D" w:rsidP="00037859">
            <w:pPr>
              <w:jc w:val="both"/>
              <w:rPr>
                <w:b/>
              </w:rPr>
            </w:pPr>
            <w:r w:rsidRPr="001616E2">
              <w:t>Lūdzam anotācijā lietot AAL lietoto terminoloģiju. Norādām, ka, piemēram, AAL tiek lietota vārdkopa "administratīvā pārkāpuma procesa uzsākšana" (AAL 116. pants), nevis "administratīvā pārkāpuma lietvedības uzsākšana".</w:t>
            </w:r>
          </w:p>
        </w:tc>
        <w:tc>
          <w:tcPr>
            <w:tcW w:w="3827" w:type="dxa"/>
            <w:gridSpan w:val="2"/>
            <w:tcBorders>
              <w:left w:val="single" w:sz="6" w:space="0" w:color="000000"/>
              <w:bottom w:val="single" w:sz="4" w:space="0" w:color="auto"/>
              <w:right w:val="single" w:sz="6" w:space="0" w:color="000000"/>
            </w:tcBorders>
          </w:tcPr>
          <w:p w:rsidR="0021548D" w:rsidRDefault="00B747C3" w:rsidP="00037859">
            <w:pPr>
              <w:pStyle w:val="naisc"/>
              <w:spacing w:before="0" w:after="0"/>
              <w:jc w:val="both"/>
              <w:rPr>
                <w:b/>
                <w:bCs/>
                <w:i/>
              </w:rPr>
            </w:pPr>
            <w:r w:rsidRPr="001616E2">
              <w:rPr>
                <w:b/>
                <w:bCs/>
                <w:i/>
              </w:rPr>
              <w:t>Priekšlikums ņemts vērā.</w:t>
            </w:r>
          </w:p>
          <w:p w:rsidR="00F71F95" w:rsidRPr="00F71F95" w:rsidRDefault="00F71F95" w:rsidP="00037859">
            <w:pPr>
              <w:pStyle w:val="naisc"/>
              <w:spacing w:before="0" w:after="0"/>
              <w:jc w:val="both"/>
              <w:rPr>
                <w:bCs/>
              </w:rPr>
            </w:pPr>
            <w:r>
              <w:rPr>
                <w:bCs/>
              </w:rPr>
              <w:t>P</w:t>
            </w:r>
            <w:r w:rsidRPr="001616E2">
              <w:rPr>
                <w:bCs/>
              </w:rPr>
              <w:t xml:space="preserve">recizēta </w:t>
            </w:r>
            <w:r>
              <w:rPr>
                <w:bCs/>
              </w:rPr>
              <w:t>a</w:t>
            </w:r>
            <w:r w:rsidRPr="001616E2">
              <w:rPr>
                <w:bCs/>
              </w:rPr>
              <w:t>notācija.</w:t>
            </w:r>
          </w:p>
        </w:tc>
        <w:tc>
          <w:tcPr>
            <w:tcW w:w="2694" w:type="dxa"/>
            <w:tcBorders>
              <w:top w:val="single" w:sz="4" w:space="0" w:color="auto"/>
              <w:left w:val="single" w:sz="4" w:space="0" w:color="auto"/>
              <w:bottom w:val="single" w:sz="4" w:space="0" w:color="auto"/>
            </w:tcBorders>
          </w:tcPr>
          <w:p w:rsidR="0021548D" w:rsidRDefault="004D7C8A" w:rsidP="00037859">
            <w:pPr>
              <w:jc w:val="both"/>
              <w:rPr>
                <w:szCs w:val="28"/>
              </w:rPr>
            </w:pPr>
            <w:r w:rsidRPr="001616E2">
              <w:t>Noteikumu projekta a</w:t>
            </w:r>
            <w:r w:rsidR="005C617E" w:rsidRPr="001616E2">
              <w:t>notācijas II sadaļas 1.</w:t>
            </w:r>
            <w:r w:rsidR="00B747C3" w:rsidRPr="001616E2">
              <w:t> </w:t>
            </w:r>
            <w:r w:rsidR="005C617E" w:rsidRPr="001616E2">
              <w:t>punkts</w:t>
            </w:r>
            <w:r w:rsidR="00B747C3" w:rsidRPr="001616E2">
              <w:t>.</w:t>
            </w:r>
            <w:r w:rsidR="005C617E" w:rsidRPr="001616E2">
              <w:rPr>
                <w:szCs w:val="28"/>
              </w:rPr>
              <w:t xml:space="preserve"> Transportlīdzekļu </w:t>
            </w:r>
            <w:r w:rsidR="005C617E" w:rsidRPr="00037859">
              <w:rPr>
                <w:szCs w:val="28"/>
              </w:rPr>
              <w:t xml:space="preserve">vadītāji, attiecībā pret kuriem tiek uzsākts administratīvā pārkāpuma process saistībā ar </w:t>
            </w:r>
            <w:r w:rsidR="005C617E" w:rsidRPr="00037859">
              <w:rPr>
                <w:szCs w:val="28"/>
              </w:rPr>
              <w:lastRenderedPageBreak/>
              <w:t>transportlīdzekļa</w:t>
            </w:r>
            <w:r w:rsidR="005C617E" w:rsidRPr="001616E2">
              <w:rPr>
                <w:szCs w:val="28"/>
              </w:rPr>
              <w:t xml:space="preserve"> vadīšanu apreibinošo vielu ietekmē. Valsts policijas vai Valsts robežsardzes darbinieki, kas ar portatīvo ierīci veic alkohola koncentrācijas pārbaudi izelpas gaisā.</w:t>
            </w:r>
          </w:p>
          <w:p w:rsidR="00037859" w:rsidRPr="00712B66" w:rsidRDefault="00037859" w:rsidP="00037859">
            <w:pPr>
              <w:jc w:val="both"/>
            </w:pPr>
          </w:p>
        </w:tc>
      </w:tr>
      <w:tr w:rsidR="0021548D" w:rsidRPr="00712B66" w:rsidTr="001B3A1C">
        <w:trPr>
          <w:trHeight w:val="699"/>
        </w:trPr>
        <w:tc>
          <w:tcPr>
            <w:tcW w:w="675" w:type="dxa"/>
            <w:tcBorders>
              <w:left w:val="single" w:sz="6" w:space="0" w:color="000000"/>
              <w:bottom w:val="single" w:sz="4" w:space="0" w:color="auto"/>
              <w:right w:val="single" w:sz="6" w:space="0" w:color="000000"/>
            </w:tcBorders>
          </w:tcPr>
          <w:p w:rsidR="0021548D" w:rsidRPr="001616E2" w:rsidRDefault="0021548D" w:rsidP="00037859">
            <w:pPr>
              <w:pStyle w:val="naisc"/>
              <w:spacing w:before="0" w:after="0"/>
            </w:pPr>
            <w:r w:rsidRPr="001616E2">
              <w:lastRenderedPageBreak/>
              <w:t>1</w:t>
            </w:r>
            <w:r w:rsidR="00037859">
              <w:t>2</w:t>
            </w:r>
            <w:r w:rsidRPr="001616E2">
              <w:t>.</w:t>
            </w:r>
          </w:p>
        </w:tc>
        <w:tc>
          <w:tcPr>
            <w:tcW w:w="3119" w:type="dxa"/>
            <w:gridSpan w:val="2"/>
            <w:tcBorders>
              <w:left w:val="single" w:sz="6" w:space="0" w:color="000000"/>
              <w:bottom w:val="single" w:sz="4" w:space="0" w:color="auto"/>
              <w:right w:val="single" w:sz="6" w:space="0" w:color="000000"/>
            </w:tcBorders>
          </w:tcPr>
          <w:p w:rsidR="00B747C3" w:rsidRPr="001616E2" w:rsidRDefault="004D7C8A" w:rsidP="00037859">
            <w:pPr>
              <w:pStyle w:val="naisc"/>
              <w:spacing w:before="0" w:after="0"/>
              <w:jc w:val="both"/>
            </w:pPr>
            <w:r w:rsidRPr="001616E2">
              <w:t>Noteikumu projekta a</w:t>
            </w:r>
            <w:r w:rsidR="00B747C3" w:rsidRPr="001616E2">
              <w:t>notācijas VI sadaļas 2. punkts.</w:t>
            </w:r>
          </w:p>
          <w:p w:rsidR="0021548D" w:rsidRPr="001616E2" w:rsidRDefault="00B747C3" w:rsidP="00037859">
            <w:pPr>
              <w:pStyle w:val="naisc"/>
              <w:spacing w:before="0" w:after="0"/>
              <w:jc w:val="both"/>
            </w:pPr>
            <w:r w:rsidRPr="001616E2">
              <w:t>Ministru kabineta noteikumu projekts 2018. gada 10. decembra publicēts Iekšlietu ministrijas tīmekļa vietnē. Sabiedrībai viedokli bija iespējams iesniegt līdz 2018. gada 24. decembrim.</w:t>
            </w:r>
          </w:p>
        </w:tc>
        <w:tc>
          <w:tcPr>
            <w:tcW w:w="4394" w:type="dxa"/>
            <w:tcBorders>
              <w:left w:val="single" w:sz="6" w:space="0" w:color="000000"/>
              <w:bottom w:val="single" w:sz="4" w:space="0" w:color="auto"/>
              <w:right w:val="single" w:sz="6" w:space="0" w:color="000000"/>
            </w:tcBorders>
          </w:tcPr>
          <w:p w:rsidR="0021548D" w:rsidRPr="001616E2" w:rsidRDefault="0021548D" w:rsidP="00037859">
            <w:pPr>
              <w:jc w:val="both"/>
              <w:rPr>
                <w:b/>
              </w:rPr>
            </w:pPr>
            <w:r w:rsidRPr="001616E2">
              <w:rPr>
                <w:b/>
              </w:rPr>
              <w:t>Tieslietu ministrija (priekšlikums)</w:t>
            </w:r>
          </w:p>
          <w:p w:rsidR="0021548D" w:rsidRPr="001616E2" w:rsidRDefault="0021548D" w:rsidP="00037859">
            <w:pPr>
              <w:jc w:val="both"/>
              <w:rPr>
                <w:b/>
              </w:rPr>
            </w:pPr>
            <w:r w:rsidRPr="001616E2">
              <w:t xml:space="preserve">Lūdzam precizēt anotācijas VI sadaļas 2. punktu atbilstoši instrukcijas 61.3. apakšpunktam. </w:t>
            </w:r>
          </w:p>
        </w:tc>
        <w:tc>
          <w:tcPr>
            <w:tcW w:w="3827" w:type="dxa"/>
            <w:gridSpan w:val="2"/>
            <w:tcBorders>
              <w:left w:val="single" w:sz="6" w:space="0" w:color="000000"/>
              <w:bottom w:val="single" w:sz="4" w:space="0" w:color="auto"/>
              <w:right w:val="single" w:sz="6" w:space="0" w:color="000000"/>
            </w:tcBorders>
          </w:tcPr>
          <w:p w:rsidR="0021548D" w:rsidRDefault="00B747C3" w:rsidP="00037859">
            <w:pPr>
              <w:pStyle w:val="naisc"/>
              <w:spacing w:before="0" w:after="0"/>
              <w:jc w:val="both"/>
              <w:rPr>
                <w:b/>
                <w:bCs/>
                <w:i/>
              </w:rPr>
            </w:pPr>
            <w:r w:rsidRPr="001616E2">
              <w:rPr>
                <w:b/>
                <w:bCs/>
                <w:i/>
              </w:rPr>
              <w:t>Priekšlikums ņemts vērā.</w:t>
            </w:r>
          </w:p>
          <w:p w:rsidR="00F71F95" w:rsidRPr="00F71F95" w:rsidRDefault="00F71F95" w:rsidP="00037859">
            <w:pPr>
              <w:pStyle w:val="naisc"/>
              <w:spacing w:before="0" w:after="0"/>
              <w:jc w:val="both"/>
              <w:rPr>
                <w:bCs/>
              </w:rPr>
            </w:pPr>
            <w:r>
              <w:rPr>
                <w:bCs/>
              </w:rPr>
              <w:t>P</w:t>
            </w:r>
            <w:r w:rsidRPr="001616E2">
              <w:rPr>
                <w:bCs/>
              </w:rPr>
              <w:t xml:space="preserve">recizēta </w:t>
            </w:r>
            <w:r>
              <w:rPr>
                <w:bCs/>
              </w:rPr>
              <w:t>a</w:t>
            </w:r>
            <w:r w:rsidRPr="001616E2">
              <w:rPr>
                <w:bCs/>
              </w:rPr>
              <w:t>notācija.</w:t>
            </w:r>
          </w:p>
        </w:tc>
        <w:tc>
          <w:tcPr>
            <w:tcW w:w="2694" w:type="dxa"/>
            <w:tcBorders>
              <w:top w:val="single" w:sz="4" w:space="0" w:color="auto"/>
              <w:left w:val="single" w:sz="4" w:space="0" w:color="auto"/>
              <w:bottom w:val="single" w:sz="4" w:space="0" w:color="auto"/>
            </w:tcBorders>
          </w:tcPr>
          <w:p w:rsidR="00B747C3" w:rsidRPr="001616E2" w:rsidRDefault="004D7C8A" w:rsidP="00037859">
            <w:pPr>
              <w:jc w:val="both"/>
              <w:rPr>
                <w:szCs w:val="28"/>
              </w:rPr>
            </w:pPr>
            <w:r w:rsidRPr="001616E2">
              <w:t>Noteikumu projekta a</w:t>
            </w:r>
            <w:r w:rsidR="00B747C3" w:rsidRPr="001616E2">
              <w:rPr>
                <w:szCs w:val="28"/>
              </w:rPr>
              <w:t>notācijas VI sadaļas 2. punkts.</w:t>
            </w:r>
          </w:p>
          <w:p w:rsidR="0021548D" w:rsidRDefault="00C61DF6" w:rsidP="00037859">
            <w:pPr>
              <w:jc w:val="both"/>
              <w:rPr>
                <w:szCs w:val="28"/>
              </w:rPr>
            </w:pPr>
            <w:r w:rsidRPr="001616E2">
              <w:rPr>
                <w:szCs w:val="28"/>
              </w:rPr>
              <w:t xml:space="preserve">Ministru kabineta noteikumu projekts 2018. gada </w:t>
            </w:r>
            <w:r w:rsidRPr="006B0E1F">
              <w:rPr>
                <w:szCs w:val="28"/>
              </w:rPr>
              <w:t>11. decembrī publicēts Iekšlietu ministrijas tīmekļ</w:t>
            </w:r>
            <w:r w:rsidR="007A5780" w:rsidRPr="006B0E1F">
              <w:rPr>
                <w:szCs w:val="28"/>
              </w:rPr>
              <w:t xml:space="preserve">a </w:t>
            </w:r>
            <w:r w:rsidRPr="006B0E1F">
              <w:rPr>
                <w:szCs w:val="28"/>
              </w:rPr>
              <w:t xml:space="preserve">vietnē </w:t>
            </w:r>
            <w:proofErr w:type="spellStart"/>
            <w:r w:rsidRPr="006B0E1F">
              <w:rPr>
                <w:szCs w:val="28"/>
              </w:rPr>
              <w:t>www.iem.gov.lv</w:t>
            </w:r>
            <w:proofErr w:type="spellEnd"/>
            <w:r w:rsidRPr="006B0E1F">
              <w:rPr>
                <w:szCs w:val="28"/>
              </w:rPr>
              <w:t xml:space="preserve"> sadaļas “Sabiedrības līdzdalība” apakšsadaļā “Publiskās apspriešanas” http://www.iem.gov.lv/lat/sadarbiba_ar_nvo/publiskas_ </w:t>
            </w:r>
            <w:proofErr w:type="spellStart"/>
            <w:r w:rsidRPr="006B0E1F">
              <w:rPr>
                <w:szCs w:val="28"/>
              </w:rPr>
              <w:t>apspriesanas</w:t>
            </w:r>
            <w:proofErr w:type="spellEnd"/>
            <w:r w:rsidRPr="006B0E1F">
              <w:rPr>
                <w:szCs w:val="28"/>
              </w:rPr>
              <w:t>/?doc=41316</w:t>
            </w:r>
            <w:r w:rsidR="00037859">
              <w:rPr>
                <w:szCs w:val="28"/>
              </w:rPr>
              <w:t xml:space="preserve"> </w:t>
            </w:r>
          </w:p>
          <w:p w:rsidR="00037859" w:rsidRPr="00712B66" w:rsidRDefault="00037859" w:rsidP="00037859">
            <w:pPr>
              <w:jc w:val="both"/>
            </w:pPr>
          </w:p>
        </w:tc>
      </w:tr>
      <w:tr w:rsidR="0021548D" w:rsidRPr="00712B66" w:rsidTr="000267A2">
        <w:trPr>
          <w:trHeight w:val="1956"/>
        </w:trPr>
        <w:tc>
          <w:tcPr>
            <w:tcW w:w="675" w:type="dxa"/>
            <w:tcBorders>
              <w:left w:val="single" w:sz="6" w:space="0" w:color="000000"/>
              <w:bottom w:val="single" w:sz="4" w:space="0" w:color="auto"/>
              <w:right w:val="single" w:sz="6" w:space="0" w:color="000000"/>
            </w:tcBorders>
          </w:tcPr>
          <w:p w:rsidR="0021548D" w:rsidRPr="001616E2" w:rsidRDefault="0021548D" w:rsidP="00037859">
            <w:pPr>
              <w:pStyle w:val="naisc"/>
              <w:spacing w:before="0" w:after="0"/>
            </w:pPr>
            <w:r w:rsidRPr="001616E2">
              <w:lastRenderedPageBreak/>
              <w:t>1</w:t>
            </w:r>
            <w:r w:rsidR="00037859">
              <w:t>3</w:t>
            </w:r>
            <w:r w:rsidRPr="001616E2">
              <w:t>.</w:t>
            </w:r>
          </w:p>
        </w:tc>
        <w:tc>
          <w:tcPr>
            <w:tcW w:w="3119" w:type="dxa"/>
            <w:gridSpan w:val="2"/>
            <w:tcBorders>
              <w:left w:val="single" w:sz="6" w:space="0" w:color="000000"/>
              <w:bottom w:val="single" w:sz="4" w:space="0" w:color="auto"/>
              <w:right w:val="single" w:sz="6" w:space="0" w:color="000000"/>
            </w:tcBorders>
          </w:tcPr>
          <w:p w:rsidR="0021548D" w:rsidRPr="001616E2" w:rsidRDefault="004D7C8A" w:rsidP="00037859">
            <w:pPr>
              <w:pStyle w:val="naisc"/>
              <w:spacing w:before="0" w:after="0"/>
              <w:jc w:val="both"/>
            </w:pPr>
            <w:r w:rsidRPr="001616E2">
              <w:t>Noteikumu projekta a</w:t>
            </w:r>
            <w:r w:rsidR="005439D9" w:rsidRPr="001616E2">
              <w:t>notācija.</w:t>
            </w:r>
          </w:p>
        </w:tc>
        <w:tc>
          <w:tcPr>
            <w:tcW w:w="4394" w:type="dxa"/>
            <w:tcBorders>
              <w:left w:val="single" w:sz="6" w:space="0" w:color="000000"/>
              <w:bottom w:val="single" w:sz="4" w:space="0" w:color="auto"/>
              <w:right w:val="single" w:sz="6" w:space="0" w:color="000000"/>
            </w:tcBorders>
          </w:tcPr>
          <w:p w:rsidR="0021548D" w:rsidRPr="001616E2" w:rsidRDefault="0021548D" w:rsidP="00037859">
            <w:pPr>
              <w:jc w:val="both"/>
              <w:rPr>
                <w:b/>
              </w:rPr>
            </w:pPr>
            <w:r w:rsidRPr="001616E2">
              <w:rPr>
                <w:b/>
              </w:rPr>
              <w:t>Tieslietu ministrija (priekšlikums)</w:t>
            </w:r>
          </w:p>
          <w:p w:rsidR="0021548D" w:rsidRPr="001616E2" w:rsidRDefault="0021548D" w:rsidP="00037859">
            <w:pPr>
              <w:jc w:val="both"/>
            </w:pPr>
            <w:r w:rsidRPr="001616E2">
              <w:t>Norādām, ka, ja projekts neskar kādu no aspektiem, ko paredzēts atspoguļot anotācijas sadaļā, attiecīgajā ailē ieraksta "Projekts šo jomu neskar" vai citu šim jautājumam atbilstošu informāciju saskaņā ar instrukcijas 8. punktu.</w:t>
            </w:r>
          </w:p>
          <w:p w:rsidR="0021548D" w:rsidRPr="001616E2" w:rsidRDefault="0021548D" w:rsidP="00037859">
            <w:pPr>
              <w:ind w:firstLine="720"/>
              <w:jc w:val="both"/>
            </w:pPr>
          </w:p>
        </w:tc>
        <w:tc>
          <w:tcPr>
            <w:tcW w:w="3827" w:type="dxa"/>
            <w:gridSpan w:val="2"/>
            <w:tcBorders>
              <w:left w:val="single" w:sz="6" w:space="0" w:color="000000"/>
              <w:bottom w:val="single" w:sz="4" w:space="0" w:color="auto"/>
              <w:right w:val="single" w:sz="6" w:space="0" w:color="000000"/>
            </w:tcBorders>
          </w:tcPr>
          <w:p w:rsidR="0021548D" w:rsidRPr="001616E2" w:rsidRDefault="005439D9" w:rsidP="00037859">
            <w:pPr>
              <w:pStyle w:val="naisc"/>
              <w:spacing w:before="0" w:after="0"/>
              <w:jc w:val="both"/>
              <w:rPr>
                <w:b/>
                <w:bCs/>
                <w:i/>
              </w:rPr>
            </w:pPr>
            <w:r w:rsidRPr="001616E2">
              <w:rPr>
                <w:b/>
                <w:bCs/>
                <w:i/>
              </w:rPr>
              <w:t>Priekšlikums ņemts vērā.</w:t>
            </w:r>
          </w:p>
          <w:p w:rsidR="005439D9" w:rsidRPr="001616E2" w:rsidRDefault="00F71F95" w:rsidP="00037859">
            <w:pPr>
              <w:pStyle w:val="naisc"/>
              <w:spacing w:before="0" w:after="0"/>
              <w:jc w:val="both"/>
              <w:rPr>
                <w:bCs/>
              </w:rPr>
            </w:pPr>
            <w:r>
              <w:rPr>
                <w:bCs/>
              </w:rPr>
              <w:t>P</w:t>
            </w:r>
            <w:r w:rsidRPr="001616E2">
              <w:rPr>
                <w:bCs/>
              </w:rPr>
              <w:t xml:space="preserve">recizēta </w:t>
            </w:r>
            <w:r>
              <w:rPr>
                <w:bCs/>
              </w:rPr>
              <w:t>a</w:t>
            </w:r>
            <w:r w:rsidR="005439D9" w:rsidRPr="001616E2">
              <w:rPr>
                <w:bCs/>
              </w:rPr>
              <w:t>notācija.</w:t>
            </w:r>
          </w:p>
        </w:tc>
        <w:tc>
          <w:tcPr>
            <w:tcW w:w="2694" w:type="dxa"/>
            <w:tcBorders>
              <w:top w:val="single" w:sz="4" w:space="0" w:color="auto"/>
              <w:left w:val="single" w:sz="4" w:space="0" w:color="auto"/>
              <w:bottom w:val="single" w:sz="4" w:space="0" w:color="auto"/>
            </w:tcBorders>
          </w:tcPr>
          <w:p w:rsidR="0021548D" w:rsidRPr="00712B66" w:rsidRDefault="004D7C8A" w:rsidP="00037859">
            <w:pPr>
              <w:jc w:val="both"/>
            </w:pPr>
            <w:r w:rsidRPr="001616E2">
              <w:t>Noteikumu projekta a</w:t>
            </w:r>
            <w:r w:rsidR="005439D9" w:rsidRPr="001616E2">
              <w:t>notācija.</w:t>
            </w:r>
          </w:p>
        </w:tc>
      </w:tr>
      <w:tr w:rsidR="0021548D" w:rsidRPr="00712B66" w:rsidTr="00BE5B2B">
        <w:tblPrEx>
          <w:tblBorders>
            <w:top w:val="none" w:sz="0" w:space="0" w:color="auto"/>
            <w:left w:val="none" w:sz="0" w:space="0" w:color="auto"/>
            <w:bottom w:val="none" w:sz="0" w:space="0" w:color="auto"/>
            <w:right w:val="none" w:sz="0" w:space="0" w:color="auto"/>
          </w:tblBorders>
        </w:tblPrEx>
        <w:trPr>
          <w:gridAfter w:val="2"/>
          <w:wAfter w:w="5422" w:type="dxa"/>
        </w:trPr>
        <w:tc>
          <w:tcPr>
            <w:tcW w:w="3108" w:type="dxa"/>
            <w:gridSpan w:val="2"/>
          </w:tcPr>
          <w:p w:rsidR="0021548D" w:rsidRDefault="0021548D" w:rsidP="00037859">
            <w:pPr>
              <w:pStyle w:val="naiskr"/>
              <w:spacing w:before="0" w:after="0"/>
              <w:ind w:left="360"/>
              <w:jc w:val="center"/>
            </w:pPr>
          </w:p>
          <w:p w:rsidR="0021548D" w:rsidRPr="00712B66" w:rsidRDefault="0021548D" w:rsidP="00037859">
            <w:pPr>
              <w:pStyle w:val="naiskr"/>
              <w:spacing w:before="0" w:after="0"/>
              <w:ind w:left="360"/>
              <w:jc w:val="center"/>
            </w:pPr>
            <w:r w:rsidRPr="00712B66">
              <w:t>Atbildīgā amatpersona</w:t>
            </w:r>
          </w:p>
        </w:tc>
        <w:tc>
          <w:tcPr>
            <w:tcW w:w="6179" w:type="dxa"/>
            <w:gridSpan w:val="3"/>
          </w:tcPr>
          <w:p w:rsidR="0021548D" w:rsidRPr="00712B66" w:rsidRDefault="0021548D" w:rsidP="00037859">
            <w:pPr>
              <w:pStyle w:val="naiskr"/>
              <w:spacing w:before="0" w:after="0"/>
              <w:ind w:firstLine="720"/>
            </w:pPr>
          </w:p>
        </w:tc>
      </w:tr>
      <w:tr w:rsidR="0021548D" w:rsidRPr="00712B66" w:rsidTr="00BE5B2B">
        <w:tblPrEx>
          <w:tblBorders>
            <w:top w:val="none" w:sz="0" w:space="0" w:color="auto"/>
            <w:left w:val="none" w:sz="0" w:space="0" w:color="auto"/>
            <w:bottom w:val="none" w:sz="0" w:space="0" w:color="auto"/>
            <w:right w:val="none" w:sz="0" w:space="0" w:color="auto"/>
          </w:tblBorders>
        </w:tblPrEx>
        <w:trPr>
          <w:gridAfter w:val="2"/>
          <w:wAfter w:w="5422" w:type="dxa"/>
        </w:trPr>
        <w:tc>
          <w:tcPr>
            <w:tcW w:w="3108" w:type="dxa"/>
            <w:gridSpan w:val="2"/>
          </w:tcPr>
          <w:p w:rsidR="0021548D" w:rsidRPr="00712B66" w:rsidRDefault="0021548D" w:rsidP="00037859">
            <w:pPr>
              <w:pStyle w:val="naiskr"/>
              <w:spacing w:before="0" w:after="0"/>
              <w:ind w:left="1080"/>
              <w:jc w:val="center"/>
            </w:pPr>
          </w:p>
        </w:tc>
        <w:tc>
          <w:tcPr>
            <w:tcW w:w="6179" w:type="dxa"/>
            <w:gridSpan w:val="3"/>
            <w:tcBorders>
              <w:top w:val="single" w:sz="6" w:space="0" w:color="000000"/>
            </w:tcBorders>
          </w:tcPr>
          <w:p w:rsidR="0021548D" w:rsidRPr="00712B66" w:rsidRDefault="0021548D" w:rsidP="00037859">
            <w:pPr>
              <w:pStyle w:val="naisc"/>
              <w:spacing w:before="0" w:after="0"/>
              <w:ind w:firstLine="720"/>
            </w:pPr>
            <w:r w:rsidRPr="00712B66">
              <w:t>(paraksts)</w:t>
            </w:r>
          </w:p>
        </w:tc>
      </w:tr>
    </w:tbl>
    <w:p w:rsidR="00C0230D" w:rsidRDefault="00C0230D" w:rsidP="00964C6A">
      <w:pPr>
        <w:pStyle w:val="naisf"/>
        <w:spacing w:before="0" w:after="0"/>
        <w:ind w:firstLine="0"/>
        <w:jc w:val="left"/>
        <w:rPr>
          <w:szCs w:val="22"/>
        </w:rPr>
      </w:pPr>
    </w:p>
    <w:p w:rsidR="00964C6A" w:rsidRPr="00964C6A" w:rsidRDefault="00037859" w:rsidP="00964C6A">
      <w:pPr>
        <w:pStyle w:val="naisf"/>
        <w:spacing w:before="0" w:after="0"/>
        <w:ind w:firstLine="0"/>
        <w:jc w:val="left"/>
        <w:rPr>
          <w:szCs w:val="22"/>
        </w:rPr>
      </w:pPr>
      <w:r>
        <w:rPr>
          <w:szCs w:val="22"/>
        </w:rPr>
        <w:t>Imants Zaķis</w:t>
      </w:r>
    </w:p>
    <w:p w:rsidR="00964C6A" w:rsidRDefault="007E7E05" w:rsidP="00964C6A">
      <w:pPr>
        <w:pStyle w:val="naisf"/>
        <w:spacing w:before="0" w:after="0"/>
        <w:ind w:firstLine="0"/>
        <w:jc w:val="left"/>
        <w:rPr>
          <w:szCs w:val="22"/>
        </w:rPr>
      </w:pPr>
      <w:r>
        <w:rPr>
          <w:szCs w:val="22"/>
        </w:rPr>
        <w:t>Nozares politikas departamenta</w:t>
      </w:r>
      <w:r w:rsidR="00964C6A" w:rsidRPr="00964C6A">
        <w:rPr>
          <w:szCs w:val="22"/>
        </w:rPr>
        <w:t xml:space="preserve"> direktor</w:t>
      </w:r>
      <w:r w:rsidR="00371800">
        <w:rPr>
          <w:szCs w:val="22"/>
        </w:rPr>
        <w:t>a vietnieks,</w:t>
      </w:r>
    </w:p>
    <w:p w:rsidR="00371800" w:rsidRPr="00964C6A" w:rsidRDefault="00371800" w:rsidP="00964C6A">
      <w:pPr>
        <w:pStyle w:val="naisf"/>
        <w:spacing w:before="0" w:after="0"/>
        <w:ind w:firstLine="0"/>
        <w:jc w:val="left"/>
        <w:rPr>
          <w:szCs w:val="22"/>
        </w:rPr>
      </w:pPr>
      <w:r>
        <w:rPr>
          <w:szCs w:val="22"/>
        </w:rPr>
        <w:t>Politikas izstrādes nodaļas vadītājs</w:t>
      </w:r>
    </w:p>
    <w:p w:rsidR="00964C6A" w:rsidRPr="00964C6A" w:rsidRDefault="00964C6A" w:rsidP="00964C6A">
      <w:pPr>
        <w:rPr>
          <w:szCs w:val="22"/>
        </w:rPr>
      </w:pPr>
      <w:r w:rsidRPr="00964C6A">
        <w:rPr>
          <w:szCs w:val="22"/>
        </w:rPr>
        <w:t>Tālrunis: 67</w:t>
      </w:r>
      <w:r w:rsidR="007E7E05">
        <w:rPr>
          <w:szCs w:val="22"/>
        </w:rPr>
        <w:t>219355</w:t>
      </w:r>
      <w:r w:rsidRPr="00964C6A">
        <w:rPr>
          <w:szCs w:val="22"/>
        </w:rPr>
        <w:t xml:space="preserve"> </w:t>
      </w:r>
    </w:p>
    <w:p w:rsidR="00964C6A" w:rsidRPr="00964C6A" w:rsidRDefault="00964C6A" w:rsidP="00964C6A">
      <w:pPr>
        <w:rPr>
          <w:szCs w:val="22"/>
        </w:rPr>
      </w:pPr>
      <w:r w:rsidRPr="00964C6A">
        <w:rPr>
          <w:szCs w:val="22"/>
        </w:rPr>
        <w:t xml:space="preserve">E-pasts: </w:t>
      </w:r>
      <w:r w:rsidR="00371800">
        <w:rPr>
          <w:szCs w:val="22"/>
        </w:rPr>
        <w:t>imants.zakis</w:t>
      </w:r>
      <w:r w:rsidR="007E7E05">
        <w:rPr>
          <w:szCs w:val="22"/>
        </w:rPr>
        <w:t>@iem.gov.lv</w:t>
      </w:r>
    </w:p>
    <w:sectPr w:rsidR="00964C6A" w:rsidRPr="00964C6A" w:rsidSect="004017F4">
      <w:headerReference w:type="even" r:id="rId11"/>
      <w:headerReference w:type="default" r:id="rId12"/>
      <w:footerReference w:type="default" r:id="rId13"/>
      <w:footerReference w:type="first" r:id="rId14"/>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4D" w:rsidRDefault="000A2E4D">
      <w:r>
        <w:separator/>
      </w:r>
    </w:p>
  </w:endnote>
  <w:endnote w:type="continuationSeparator" w:id="0">
    <w:p w:rsidR="000A2E4D" w:rsidRDefault="000A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B6" w:rsidRDefault="008601B6" w:rsidP="008601B6">
    <w:pPr>
      <w:rPr>
        <w:sz w:val="22"/>
        <w:szCs w:val="22"/>
      </w:rPr>
    </w:pPr>
  </w:p>
  <w:p w:rsidR="00AB3D34" w:rsidRPr="007E7E05" w:rsidRDefault="007E7E05" w:rsidP="007E7E05">
    <w:pPr>
      <w:rPr>
        <w:sz w:val="22"/>
        <w:szCs w:val="20"/>
      </w:rPr>
    </w:pPr>
    <w:r w:rsidRPr="007E7E05">
      <w:rPr>
        <w:sz w:val="22"/>
        <w:szCs w:val="20"/>
      </w:rPr>
      <w:fldChar w:fldCharType="begin"/>
    </w:r>
    <w:r w:rsidRPr="007E7E05">
      <w:rPr>
        <w:sz w:val="22"/>
        <w:szCs w:val="20"/>
      </w:rPr>
      <w:instrText xml:space="preserve"> FILENAME   \* MERGEFORMAT </w:instrText>
    </w:r>
    <w:r w:rsidRPr="007E7E05">
      <w:rPr>
        <w:sz w:val="22"/>
        <w:szCs w:val="20"/>
      </w:rPr>
      <w:fldChar w:fldCharType="separate"/>
    </w:r>
    <w:r w:rsidR="00037859">
      <w:rPr>
        <w:noProof/>
        <w:sz w:val="22"/>
        <w:szCs w:val="20"/>
      </w:rPr>
      <w:t>IEMIzz_180520_alkohola_parbaude</w:t>
    </w:r>
    <w:r w:rsidRPr="007E7E05">
      <w:rPr>
        <w:sz w:val="22"/>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34" w:rsidRPr="007E7E05" w:rsidRDefault="004017F4" w:rsidP="004017F4">
    <w:pPr>
      <w:pStyle w:val="Footer"/>
      <w:rPr>
        <w:sz w:val="22"/>
      </w:rPr>
    </w:pPr>
    <w:r w:rsidRPr="007E7E05">
      <w:rPr>
        <w:sz w:val="22"/>
      </w:rPr>
      <w:fldChar w:fldCharType="begin"/>
    </w:r>
    <w:r w:rsidRPr="007E7E05">
      <w:rPr>
        <w:sz w:val="22"/>
      </w:rPr>
      <w:instrText xml:space="preserve"> FILENAME   \* MERGEFORMAT </w:instrText>
    </w:r>
    <w:r w:rsidRPr="007E7E05">
      <w:rPr>
        <w:sz w:val="22"/>
      </w:rPr>
      <w:fldChar w:fldCharType="separate"/>
    </w:r>
    <w:r w:rsidR="00037859">
      <w:rPr>
        <w:noProof/>
        <w:sz w:val="22"/>
      </w:rPr>
      <w:t>IEMIzz_180520_alkohola_parbaude</w:t>
    </w:r>
    <w:r w:rsidRPr="007E7E05">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4D" w:rsidRDefault="000A2E4D">
      <w:r>
        <w:separator/>
      </w:r>
    </w:p>
  </w:footnote>
  <w:footnote w:type="continuationSeparator" w:id="0">
    <w:p w:rsidR="000A2E4D" w:rsidRDefault="000A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34" w:rsidRDefault="00AB3D3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D34" w:rsidRDefault="00AB3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34" w:rsidRDefault="00AB3D3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A1E">
      <w:rPr>
        <w:rStyle w:val="PageNumber"/>
        <w:noProof/>
      </w:rPr>
      <w:t>15</w:t>
    </w:r>
    <w:r>
      <w:rPr>
        <w:rStyle w:val="PageNumber"/>
      </w:rPr>
      <w:fldChar w:fldCharType="end"/>
    </w:r>
  </w:p>
  <w:p w:rsidR="00AB3D34" w:rsidRDefault="00AB3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B58"/>
    <w:multiLevelType w:val="hybridMultilevel"/>
    <w:tmpl w:val="1EEA41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223A0F"/>
    <w:multiLevelType w:val="hybridMultilevel"/>
    <w:tmpl w:val="78E2F2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229138C"/>
    <w:multiLevelType w:val="hybridMultilevel"/>
    <w:tmpl w:val="0E029D5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CE4"/>
    <w:rsid w:val="00000FCB"/>
    <w:rsid w:val="00001F89"/>
    <w:rsid w:val="00003C53"/>
    <w:rsid w:val="0000456E"/>
    <w:rsid w:val="000055EA"/>
    <w:rsid w:val="000058B4"/>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2D01"/>
    <w:rsid w:val="00023FD6"/>
    <w:rsid w:val="0002416A"/>
    <w:rsid w:val="00024CCD"/>
    <w:rsid w:val="00024D20"/>
    <w:rsid w:val="000253DB"/>
    <w:rsid w:val="00025E34"/>
    <w:rsid w:val="000267A2"/>
    <w:rsid w:val="000278E7"/>
    <w:rsid w:val="00027A63"/>
    <w:rsid w:val="00027F9D"/>
    <w:rsid w:val="000307B5"/>
    <w:rsid w:val="00032457"/>
    <w:rsid w:val="0003413A"/>
    <w:rsid w:val="00034981"/>
    <w:rsid w:val="000349CA"/>
    <w:rsid w:val="0003557A"/>
    <w:rsid w:val="00035C06"/>
    <w:rsid w:val="000366DF"/>
    <w:rsid w:val="000376CD"/>
    <w:rsid w:val="00037859"/>
    <w:rsid w:val="00037CBD"/>
    <w:rsid w:val="00040A5C"/>
    <w:rsid w:val="00042850"/>
    <w:rsid w:val="00043005"/>
    <w:rsid w:val="0004345F"/>
    <w:rsid w:val="00044026"/>
    <w:rsid w:val="00046075"/>
    <w:rsid w:val="00046CAD"/>
    <w:rsid w:val="00046F5C"/>
    <w:rsid w:val="00047385"/>
    <w:rsid w:val="00050554"/>
    <w:rsid w:val="00053706"/>
    <w:rsid w:val="00053E04"/>
    <w:rsid w:val="00054096"/>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427"/>
    <w:rsid w:val="000A1A02"/>
    <w:rsid w:val="000A2E4D"/>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B7F6B"/>
    <w:rsid w:val="000C0AE6"/>
    <w:rsid w:val="000C0D0D"/>
    <w:rsid w:val="000C2555"/>
    <w:rsid w:val="000C3545"/>
    <w:rsid w:val="000C498A"/>
    <w:rsid w:val="000C4C16"/>
    <w:rsid w:val="000C56FC"/>
    <w:rsid w:val="000C6633"/>
    <w:rsid w:val="000C7907"/>
    <w:rsid w:val="000C7A11"/>
    <w:rsid w:val="000C7F5E"/>
    <w:rsid w:val="000D00AC"/>
    <w:rsid w:val="000D0648"/>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6CCD"/>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16E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0FA7"/>
    <w:rsid w:val="00181BAA"/>
    <w:rsid w:val="00181D2D"/>
    <w:rsid w:val="0018210A"/>
    <w:rsid w:val="00182DE0"/>
    <w:rsid w:val="0018386C"/>
    <w:rsid w:val="00184479"/>
    <w:rsid w:val="0018472C"/>
    <w:rsid w:val="00184838"/>
    <w:rsid w:val="00185755"/>
    <w:rsid w:val="0018723F"/>
    <w:rsid w:val="00187398"/>
    <w:rsid w:val="00187F73"/>
    <w:rsid w:val="00187FB0"/>
    <w:rsid w:val="001902E9"/>
    <w:rsid w:val="00190327"/>
    <w:rsid w:val="00190A0A"/>
    <w:rsid w:val="001926F2"/>
    <w:rsid w:val="0019317E"/>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3A1C"/>
    <w:rsid w:val="001B4388"/>
    <w:rsid w:val="001B463E"/>
    <w:rsid w:val="001B4776"/>
    <w:rsid w:val="001B49E0"/>
    <w:rsid w:val="001B5377"/>
    <w:rsid w:val="001B6553"/>
    <w:rsid w:val="001B6647"/>
    <w:rsid w:val="001B6A47"/>
    <w:rsid w:val="001B6B0A"/>
    <w:rsid w:val="001B6C3C"/>
    <w:rsid w:val="001C0824"/>
    <w:rsid w:val="001C0B83"/>
    <w:rsid w:val="001C0ED6"/>
    <w:rsid w:val="001C1510"/>
    <w:rsid w:val="001C1989"/>
    <w:rsid w:val="001C1EFA"/>
    <w:rsid w:val="001C28FD"/>
    <w:rsid w:val="001C3349"/>
    <w:rsid w:val="001C4ABA"/>
    <w:rsid w:val="001C546B"/>
    <w:rsid w:val="001C5EA2"/>
    <w:rsid w:val="001C6608"/>
    <w:rsid w:val="001C6C7D"/>
    <w:rsid w:val="001D1CB1"/>
    <w:rsid w:val="001D2AC0"/>
    <w:rsid w:val="001D2DBA"/>
    <w:rsid w:val="001D2FD0"/>
    <w:rsid w:val="001D3156"/>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48D"/>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725E"/>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0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8C2"/>
    <w:rsid w:val="002F1A90"/>
    <w:rsid w:val="002F1C2F"/>
    <w:rsid w:val="002F3D1C"/>
    <w:rsid w:val="002F4EA1"/>
    <w:rsid w:val="002F52DE"/>
    <w:rsid w:val="002F55C1"/>
    <w:rsid w:val="002F797A"/>
    <w:rsid w:val="00300483"/>
    <w:rsid w:val="00301C91"/>
    <w:rsid w:val="00302774"/>
    <w:rsid w:val="00303F2B"/>
    <w:rsid w:val="00304607"/>
    <w:rsid w:val="0030467A"/>
    <w:rsid w:val="00304D4E"/>
    <w:rsid w:val="00304FFD"/>
    <w:rsid w:val="00305608"/>
    <w:rsid w:val="00305B72"/>
    <w:rsid w:val="00305E48"/>
    <w:rsid w:val="0030610A"/>
    <w:rsid w:val="00306627"/>
    <w:rsid w:val="00306778"/>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A95"/>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1F73"/>
    <w:rsid w:val="003333D4"/>
    <w:rsid w:val="00334951"/>
    <w:rsid w:val="00336411"/>
    <w:rsid w:val="0033678D"/>
    <w:rsid w:val="0033720D"/>
    <w:rsid w:val="003373E8"/>
    <w:rsid w:val="003443DD"/>
    <w:rsid w:val="00344D5A"/>
    <w:rsid w:val="00346EB6"/>
    <w:rsid w:val="00347EDB"/>
    <w:rsid w:val="00350797"/>
    <w:rsid w:val="00350E27"/>
    <w:rsid w:val="00351A85"/>
    <w:rsid w:val="003522AA"/>
    <w:rsid w:val="003522E8"/>
    <w:rsid w:val="00353989"/>
    <w:rsid w:val="00355B7A"/>
    <w:rsid w:val="0035617C"/>
    <w:rsid w:val="00356E7E"/>
    <w:rsid w:val="00356EB8"/>
    <w:rsid w:val="00357B83"/>
    <w:rsid w:val="003610F9"/>
    <w:rsid w:val="003614A8"/>
    <w:rsid w:val="0036160E"/>
    <w:rsid w:val="00362610"/>
    <w:rsid w:val="00363830"/>
    <w:rsid w:val="00363D2D"/>
    <w:rsid w:val="00364BB6"/>
    <w:rsid w:val="00364D6B"/>
    <w:rsid w:val="00365408"/>
    <w:rsid w:val="00365CC0"/>
    <w:rsid w:val="003668DF"/>
    <w:rsid w:val="00367688"/>
    <w:rsid w:val="00371800"/>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3B57"/>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058"/>
    <w:rsid w:val="003E2A35"/>
    <w:rsid w:val="003E2B56"/>
    <w:rsid w:val="003E2CE1"/>
    <w:rsid w:val="003E2DCB"/>
    <w:rsid w:val="003E4C3F"/>
    <w:rsid w:val="003E4D7C"/>
    <w:rsid w:val="003E4E9E"/>
    <w:rsid w:val="003E5FA8"/>
    <w:rsid w:val="003E6252"/>
    <w:rsid w:val="003F1200"/>
    <w:rsid w:val="003F1421"/>
    <w:rsid w:val="003F1844"/>
    <w:rsid w:val="003F241E"/>
    <w:rsid w:val="003F28C0"/>
    <w:rsid w:val="003F52B2"/>
    <w:rsid w:val="003F716E"/>
    <w:rsid w:val="00400061"/>
    <w:rsid w:val="0040068A"/>
    <w:rsid w:val="00400813"/>
    <w:rsid w:val="004013AD"/>
    <w:rsid w:val="004017F4"/>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4CB"/>
    <w:rsid w:val="00416779"/>
    <w:rsid w:val="00416AA8"/>
    <w:rsid w:val="00416E24"/>
    <w:rsid w:val="0042063D"/>
    <w:rsid w:val="00422B23"/>
    <w:rsid w:val="00423A60"/>
    <w:rsid w:val="0042651C"/>
    <w:rsid w:val="00426E9B"/>
    <w:rsid w:val="00427D55"/>
    <w:rsid w:val="0043233C"/>
    <w:rsid w:val="0043452F"/>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1CBF"/>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9F1"/>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08B1"/>
    <w:rsid w:val="004B3EC7"/>
    <w:rsid w:val="004B5664"/>
    <w:rsid w:val="004C2107"/>
    <w:rsid w:val="004C5FC6"/>
    <w:rsid w:val="004C6435"/>
    <w:rsid w:val="004C649B"/>
    <w:rsid w:val="004C7B9C"/>
    <w:rsid w:val="004C7D55"/>
    <w:rsid w:val="004D089A"/>
    <w:rsid w:val="004D3184"/>
    <w:rsid w:val="004D5030"/>
    <w:rsid w:val="004D6045"/>
    <w:rsid w:val="004D7546"/>
    <w:rsid w:val="004D7C8A"/>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667B"/>
    <w:rsid w:val="005070FF"/>
    <w:rsid w:val="005114E6"/>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39D9"/>
    <w:rsid w:val="00544A49"/>
    <w:rsid w:val="00545106"/>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5B7B"/>
    <w:rsid w:val="005B656B"/>
    <w:rsid w:val="005B71B3"/>
    <w:rsid w:val="005B76A4"/>
    <w:rsid w:val="005C04A7"/>
    <w:rsid w:val="005C17A4"/>
    <w:rsid w:val="005C27CC"/>
    <w:rsid w:val="005C370D"/>
    <w:rsid w:val="005C504E"/>
    <w:rsid w:val="005C6153"/>
    <w:rsid w:val="005C617E"/>
    <w:rsid w:val="005C78B0"/>
    <w:rsid w:val="005C7B95"/>
    <w:rsid w:val="005D01EB"/>
    <w:rsid w:val="005D0DFB"/>
    <w:rsid w:val="005D1112"/>
    <w:rsid w:val="005D237C"/>
    <w:rsid w:val="005D25E2"/>
    <w:rsid w:val="005D25FF"/>
    <w:rsid w:val="005D2632"/>
    <w:rsid w:val="005D38E0"/>
    <w:rsid w:val="005D3F32"/>
    <w:rsid w:val="005D4E3E"/>
    <w:rsid w:val="005D66C4"/>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588D"/>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64AA"/>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1B7"/>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E1F"/>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C57"/>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5780"/>
    <w:rsid w:val="007A60CA"/>
    <w:rsid w:val="007A6F0F"/>
    <w:rsid w:val="007A708C"/>
    <w:rsid w:val="007A75B5"/>
    <w:rsid w:val="007A7985"/>
    <w:rsid w:val="007A7A98"/>
    <w:rsid w:val="007A7ABE"/>
    <w:rsid w:val="007B03C5"/>
    <w:rsid w:val="007B0674"/>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E7E05"/>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8"/>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5E9"/>
    <w:rsid w:val="00851605"/>
    <w:rsid w:val="00852CA0"/>
    <w:rsid w:val="00852D85"/>
    <w:rsid w:val="00852F6C"/>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77C95"/>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3DE5"/>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2FF"/>
    <w:rsid w:val="008E3386"/>
    <w:rsid w:val="008E5410"/>
    <w:rsid w:val="008E5A3F"/>
    <w:rsid w:val="008E7209"/>
    <w:rsid w:val="008E7448"/>
    <w:rsid w:val="008F11BB"/>
    <w:rsid w:val="008F16FF"/>
    <w:rsid w:val="008F182F"/>
    <w:rsid w:val="008F1E95"/>
    <w:rsid w:val="008F2304"/>
    <w:rsid w:val="008F57DD"/>
    <w:rsid w:val="008F5AEE"/>
    <w:rsid w:val="008F64F8"/>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4C6A"/>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5CC"/>
    <w:rsid w:val="009927F1"/>
    <w:rsid w:val="009936C4"/>
    <w:rsid w:val="00994333"/>
    <w:rsid w:val="009948ED"/>
    <w:rsid w:val="00995ADA"/>
    <w:rsid w:val="0099643A"/>
    <w:rsid w:val="00997959"/>
    <w:rsid w:val="009A0BAF"/>
    <w:rsid w:val="009A1431"/>
    <w:rsid w:val="009A153D"/>
    <w:rsid w:val="009A1634"/>
    <w:rsid w:val="009A1A4B"/>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3EE6"/>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AFF"/>
    <w:rsid w:val="00A64B5F"/>
    <w:rsid w:val="00A65EA0"/>
    <w:rsid w:val="00A6618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670"/>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7A82"/>
    <w:rsid w:val="00AD0328"/>
    <w:rsid w:val="00AD0D96"/>
    <w:rsid w:val="00AD11DC"/>
    <w:rsid w:val="00AD1966"/>
    <w:rsid w:val="00AD19E8"/>
    <w:rsid w:val="00AD1F5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314"/>
    <w:rsid w:val="00AE503A"/>
    <w:rsid w:val="00AE68E2"/>
    <w:rsid w:val="00AF0157"/>
    <w:rsid w:val="00AF2EC7"/>
    <w:rsid w:val="00AF3220"/>
    <w:rsid w:val="00AF3AC0"/>
    <w:rsid w:val="00AF4F4A"/>
    <w:rsid w:val="00AF7A62"/>
    <w:rsid w:val="00B00C24"/>
    <w:rsid w:val="00B00F93"/>
    <w:rsid w:val="00B01BBE"/>
    <w:rsid w:val="00B03F92"/>
    <w:rsid w:val="00B055D8"/>
    <w:rsid w:val="00B06CD6"/>
    <w:rsid w:val="00B06EBC"/>
    <w:rsid w:val="00B110CB"/>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6EF"/>
    <w:rsid w:val="00B2583E"/>
    <w:rsid w:val="00B25CA3"/>
    <w:rsid w:val="00B30028"/>
    <w:rsid w:val="00B31E8D"/>
    <w:rsid w:val="00B32740"/>
    <w:rsid w:val="00B3313B"/>
    <w:rsid w:val="00B331E8"/>
    <w:rsid w:val="00B331EA"/>
    <w:rsid w:val="00B34732"/>
    <w:rsid w:val="00B353B8"/>
    <w:rsid w:val="00B35C56"/>
    <w:rsid w:val="00B36691"/>
    <w:rsid w:val="00B36F17"/>
    <w:rsid w:val="00B372ED"/>
    <w:rsid w:val="00B40603"/>
    <w:rsid w:val="00B40AF6"/>
    <w:rsid w:val="00B41071"/>
    <w:rsid w:val="00B425C0"/>
    <w:rsid w:val="00B42A1E"/>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7C3"/>
    <w:rsid w:val="00B765A0"/>
    <w:rsid w:val="00B76C02"/>
    <w:rsid w:val="00B77BD2"/>
    <w:rsid w:val="00B814CB"/>
    <w:rsid w:val="00B81B6A"/>
    <w:rsid w:val="00B820F4"/>
    <w:rsid w:val="00B835E0"/>
    <w:rsid w:val="00B8396D"/>
    <w:rsid w:val="00B90331"/>
    <w:rsid w:val="00B903ED"/>
    <w:rsid w:val="00B90B2D"/>
    <w:rsid w:val="00B92EBE"/>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7ED"/>
    <w:rsid w:val="00BE5B2B"/>
    <w:rsid w:val="00BE5F4F"/>
    <w:rsid w:val="00BE60DB"/>
    <w:rsid w:val="00BE75D9"/>
    <w:rsid w:val="00BF0191"/>
    <w:rsid w:val="00BF13EC"/>
    <w:rsid w:val="00BF1C07"/>
    <w:rsid w:val="00BF3DEE"/>
    <w:rsid w:val="00BF54AC"/>
    <w:rsid w:val="00BF54BD"/>
    <w:rsid w:val="00BF6B8E"/>
    <w:rsid w:val="00C0230D"/>
    <w:rsid w:val="00C025A5"/>
    <w:rsid w:val="00C03087"/>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4F73"/>
    <w:rsid w:val="00C16BE0"/>
    <w:rsid w:val="00C21C39"/>
    <w:rsid w:val="00C2325C"/>
    <w:rsid w:val="00C239ED"/>
    <w:rsid w:val="00C24D9D"/>
    <w:rsid w:val="00C25CF3"/>
    <w:rsid w:val="00C25E29"/>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242"/>
    <w:rsid w:val="00C47DA6"/>
    <w:rsid w:val="00C50986"/>
    <w:rsid w:val="00C50ABF"/>
    <w:rsid w:val="00C50EF2"/>
    <w:rsid w:val="00C511B1"/>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DF6"/>
    <w:rsid w:val="00C61F3A"/>
    <w:rsid w:val="00C629CB"/>
    <w:rsid w:val="00C62B75"/>
    <w:rsid w:val="00C6488A"/>
    <w:rsid w:val="00C657B5"/>
    <w:rsid w:val="00C661E1"/>
    <w:rsid w:val="00C66686"/>
    <w:rsid w:val="00C678C4"/>
    <w:rsid w:val="00C71215"/>
    <w:rsid w:val="00C7216B"/>
    <w:rsid w:val="00C727BE"/>
    <w:rsid w:val="00C72C2F"/>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534F"/>
    <w:rsid w:val="00CE68E2"/>
    <w:rsid w:val="00CE706E"/>
    <w:rsid w:val="00CE70B1"/>
    <w:rsid w:val="00CE7AE4"/>
    <w:rsid w:val="00CF0A4C"/>
    <w:rsid w:val="00CF1103"/>
    <w:rsid w:val="00CF150A"/>
    <w:rsid w:val="00CF2225"/>
    <w:rsid w:val="00CF25E7"/>
    <w:rsid w:val="00CF3C77"/>
    <w:rsid w:val="00CF45A2"/>
    <w:rsid w:val="00CF4856"/>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25C"/>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9B6"/>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A43"/>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38B"/>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A78"/>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6BA0"/>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1B99"/>
    <w:rsid w:val="00EE29A0"/>
    <w:rsid w:val="00EE2CEA"/>
    <w:rsid w:val="00EE3365"/>
    <w:rsid w:val="00EE48DF"/>
    <w:rsid w:val="00EE4AB3"/>
    <w:rsid w:val="00EE7405"/>
    <w:rsid w:val="00EF033E"/>
    <w:rsid w:val="00EF06EC"/>
    <w:rsid w:val="00EF14FF"/>
    <w:rsid w:val="00EF16D5"/>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3BD6"/>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1D7"/>
    <w:rsid w:val="00F51678"/>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1F95"/>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22BE"/>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D6DA3"/>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5D0C70-527B-4791-831C-1FFB90C3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ListParagraph1">
    <w:name w:val="List Paragraph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22740551">
      <w:bodyDiv w:val="1"/>
      <w:marLeft w:val="0"/>
      <w:marRight w:val="0"/>
      <w:marTop w:val="0"/>
      <w:marBottom w:val="0"/>
      <w:divBdr>
        <w:top w:val="none" w:sz="0" w:space="0" w:color="auto"/>
        <w:left w:val="none" w:sz="0" w:space="0" w:color="auto"/>
        <w:bottom w:val="none" w:sz="0" w:space="0" w:color="auto"/>
        <w:right w:val="none" w:sz="0" w:space="0" w:color="auto"/>
      </w:divBdr>
    </w:div>
    <w:div w:id="96967075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68277774">
      <w:bodyDiv w:val="1"/>
      <w:marLeft w:val="0"/>
      <w:marRight w:val="0"/>
      <w:marTop w:val="0"/>
      <w:marBottom w:val="0"/>
      <w:divBdr>
        <w:top w:val="none" w:sz="0" w:space="0" w:color="auto"/>
        <w:left w:val="none" w:sz="0" w:space="0" w:color="auto"/>
        <w:bottom w:val="none" w:sz="0" w:space="0" w:color="auto"/>
        <w:right w:val="none" w:sz="0" w:space="0" w:color="auto"/>
      </w:divBdr>
    </w:div>
    <w:div w:id="152662784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2105037">
      <w:bodyDiv w:val="1"/>
      <w:marLeft w:val="0"/>
      <w:marRight w:val="0"/>
      <w:marTop w:val="0"/>
      <w:marBottom w:val="0"/>
      <w:divBdr>
        <w:top w:val="none" w:sz="0" w:space="0" w:color="auto"/>
        <w:left w:val="none" w:sz="0" w:space="0" w:color="auto"/>
        <w:bottom w:val="none" w:sz="0" w:space="0" w:color="auto"/>
        <w:right w:val="none" w:sz="0" w:space="0" w:color="auto"/>
      </w:divBdr>
    </w:div>
    <w:div w:id="16780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celu-satiksme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ap.mk.gov.lv/mk/tap/?pid=40446235" TargetMode="External"/><Relationship Id="rId4" Type="http://schemas.openxmlformats.org/officeDocument/2006/relationships/settings" Target="settings.xml"/><Relationship Id="rId9" Type="http://schemas.openxmlformats.org/officeDocument/2006/relationships/hyperlink" Target="https://likumi.lv/ta/id/45467-celu-satiksme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CF7D-69DE-420E-9F42-6DD39672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17526</Words>
  <Characters>9990</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2018.gada 27.novembra noteikumos Nr.719 "Kārtība, kādā nosaka alkohola koncentrāciju asinīs un izelpotajā gaisā un konstatē narkotisko vai citu apreibinošo vielu ietekmi"" (VSS-304)</vt:lpstr>
      <vt:lpstr>Izziņa par atzinumos sniegtajiem iebildumiem. Likumprojekts "Grozījumi Krimināllikumā" (VSS-1276)</vt:lpstr>
    </vt:vector>
  </TitlesOfParts>
  <Company>Tieslietu ministrija</Company>
  <LinksUpToDate>false</LinksUpToDate>
  <CharactersWithSpaces>27462</CharactersWithSpaces>
  <SharedDoc>false</SharedDoc>
  <HLinks>
    <vt:vector size="6" baseType="variant">
      <vt:variant>
        <vt:i4>3014680</vt:i4>
      </vt:variant>
      <vt:variant>
        <vt:i4>0</vt:i4>
      </vt:variant>
      <vt:variant>
        <vt:i4>0</vt:i4>
      </vt:variant>
      <vt:variant>
        <vt:i4>5</vt:i4>
      </vt:variant>
      <vt:variant>
        <vt:lpwstr>mailto:Indra.Gratkovska@tm.gov.lv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2018.gada 27.novembra noteikumos Nr.719 "Kārtība, kādā nosaka alkohola koncentrāciju asinīs un izelpotajā gaisā un konstatē narkotisko vai citu apreibinošo vielu ietekmi"" (VSS-304)</dc:title>
  <dc:subject>Izziņa par atzinumos sniegtajiem iebildumiem</dc:subject>
  <dc:creator>Imants Zaķis</dc:creator>
  <cp:keywords/>
  <dc:description>67219587,
imants.zakis@iem.gov.lv</dc:description>
  <cp:lastModifiedBy>Imants Zaķis</cp:lastModifiedBy>
  <cp:revision>7</cp:revision>
  <cp:lastPrinted>2020-05-08T08:24:00Z</cp:lastPrinted>
  <dcterms:created xsi:type="dcterms:W3CDTF">2020-05-11T12:37:00Z</dcterms:created>
  <dcterms:modified xsi:type="dcterms:W3CDTF">2020-05-26T07:40:00Z</dcterms:modified>
</cp:coreProperties>
</file>