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43" w:rsidRPr="0017354C" w:rsidRDefault="00E75543" w:rsidP="00E75543">
      <w:pPr>
        <w:pStyle w:val="NoSpacing"/>
        <w:jc w:val="center"/>
        <w:rPr>
          <w:rFonts w:ascii="Times New Roman" w:eastAsia="Times New Roman" w:hAnsi="Times New Roman"/>
          <w:b/>
          <w:sz w:val="24"/>
          <w:szCs w:val="24"/>
          <w:lang w:val="lv-LV" w:eastAsia="lv-LV"/>
        </w:rPr>
      </w:pPr>
      <w:bookmarkStart w:id="0" w:name="_Hlk38609492"/>
      <w:bookmarkStart w:id="1" w:name="_GoBack"/>
      <w:r w:rsidRPr="0017354C">
        <w:rPr>
          <w:rFonts w:ascii="Times New Roman" w:eastAsia="Times New Roman" w:hAnsi="Times New Roman"/>
          <w:b/>
          <w:sz w:val="24"/>
          <w:szCs w:val="24"/>
          <w:lang w:val="lv-LV" w:eastAsia="lv-LV"/>
        </w:rPr>
        <w:t xml:space="preserve">Ministru kabineta noteikumu projektu </w:t>
      </w:r>
    </w:p>
    <w:p w:rsidR="009B0844" w:rsidRPr="0017354C" w:rsidRDefault="00E75543" w:rsidP="00E75543">
      <w:pPr>
        <w:pStyle w:val="NoSpacing"/>
        <w:jc w:val="center"/>
        <w:rPr>
          <w:rFonts w:ascii="Times New Roman" w:hAnsi="Times New Roman"/>
          <w:b/>
          <w:sz w:val="24"/>
          <w:szCs w:val="24"/>
          <w:lang w:val="lv-LV"/>
        </w:rPr>
      </w:pPr>
      <w:r w:rsidRPr="0017354C">
        <w:rPr>
          <w:rFonts w:ascii="Times New Roman" w:eastAsia="Times New Roman" w:hAnsi="Times New Roman"/>
          <w:b/>
          <w:sz w:val="24"/>
          <w:szCs w:val="24"/>
          <w:lang w:val="lv-LV" w:eastAsia="lv-LV"/>
        </w:rPr>
        <w:t xml:space="preserve">par </w:t>
      </w:r>
      <w:r w:rsidR="00831493" w:rsidRPr="0017354C">
        <w:rPr>
          <w:rFonts w:ascii="Times New Roman" w:eastAsia="Times New Roman" w:hAnsi="Times New Roman"/>
          <w:b/>
          <w:sz w:val="24"/>
          <w:szCs w:val="24"/>
          <w:lang w:val="lv-LV" w:eastAsia="lv-LV"/>
        </w:rPr>
        <w:t xml:space="preserve">mācību gada garumu un </w:t>
      </w:r>
      <w:r w:rsidRPr="0017354C">
        <w:rPr>
          <w:rFonts w:ascii="Times New Roman" w:eastAsia="Times New Roman" w:hAnsi="Times New Roman"/>
          <w:b/>
          <w:sz w:val="24"/>
          <w:szCs w:val="24"/>
          <w:lang w:val="lv-LV" w:eastAsia="lv-LV"/>
        </w:rPr>
        <w:t>valsts pārbaudes darbu norisi 2019./2020. mācību gadā</w:t>
      </w:r>
      <w:r w:rsidR="00DA609F" w:rsidRPr="0017354C">
        <w:rPr>
          <w:rFonts w:ascii="Times New Roman" w:hAnsi="Times New Roman"/>
          <w:b/>
          <w:sz w:val="24"/>
          <w:szCs w:val="24"/>
          <w:lang w:val="lv-LV"/>
        </w:rPr>
        <w:t xml:space="preserve"> </w:t>
      </w:r>
      <w:r w:rsidR="009B0844" w:rsidRPr="0017354C">
        <w:rPr>
          <w:rFonts w:ascii="Times New Roman" w:eastAsia="Times New Roman" w:hAnsi="Times New Roman"/>
          <w:b/>
          <w:sz w:val="24"/>
          <w:szCs w:val="24"/>
          <w:lang w:val="lv-LV" w:eastAsia="lv-LV"/>
        </w:rPr>
        <w:t>sākotnējās ietekmes novērtējuma ziņojums (anotācija)</w:t>
      </w:r>
    </w:p>
    <w:bookmarkEnd w:id="0"/>
    <w:p w:rsidR="00874215" w:rsidRPr="0017354C" w:rsidRDefault="00874215" w:rsidP="00D1637E">
      <w:pPr>
        <w:jc w:val="center"/>
        <w:outlineLvl w:val="0"/>
        <w:rPr>
          <w:rFonts w:eastAsia="Times New Roman" w:cs="Times New Roman"/>
          <w:b/>
          <w:szCs w:val="24"/>
          <w:lang w:eastAsia="lv-LV"/>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521686" w:rsidRPr="0017354C" w:rsidTr="00C67A84">
        <w:trPr>
          <w:cantSplit/>
        </w:trPr>
        <w:tc>
          <w:tcPr>
            <w:tcW w:w="8806" w:type="dxa"/>
            <w:gridSpan w:val="2"/>
            <w:tcBorders>
              <w:top w:val="single" w:sz="4" w:space="0" w:color="000000" w:themeColor="text1"/>
            </w:tcBorders>
            <w:shd w:val="clear" w:color="auto" w:fill="FFFFFF"/>
            <w:vAlign w:val="center"/>
            <w:hideMark/>
          </w:tcPr>
          <w:p w:rsidR="00874215" w:rsidRPr="0017354C" w:rsidRDefault="00874215" w:rsidP="00874215">
            <w:pPr>
              <w:jc w:val="center"/>
              <w:rPr>
                <w:rFonts w:eastAsia="Times New Roman" w:cs="Times New Roman"/>
                <w:b/>
                <w:iCs/>
                <w:szCs w:val="24"/>
              </w:rPr>
            </w:pPr>
            <w:r w:rsidRPr="0017354C">
              <w:rPr>
                <w:rFonts w:eastAsia="Times New Roman" w:cs="Times New Roman"/>
                <w:b/>
                <w:iCs/>
                <w:szCs w:val="24"/>
              </w:rPr>
              <w:t>Tiesību akta projekta anotācijas kopsavilkums</w:t>
            </w:r>
          </w:p>
        </w:tc>
      </w:tr>
      <w:tr w:rsidR="00521686" w:rsidRPr="0017354C" w:rsidTr="00F85295">
        <w:trPr>
          <w:cantSplit/>
        </w:trPr>
        <w:tc>
          <w:tcPr>
            <w:tcW w:w="3119" w:type="dxa"/>
            <w:shd w:val="clear" w:color="auto" w:fill="FFFFFF"/>
            <w:hideMark/>
          </w:tcPr>
          <w:p w:rsidR="00874215" w:rsidRPr="0017354C" w:rsidRDefault="00874215" w:rsidP="00874215">
            <w:pPr>
              <w:rPr>
                <w:rFonts w:eastAsia="Times New Roman" w:cs="Times New Roman"/>
                <w:iCs/>
                <w:szCs w:val="24"/>
              </w:rPr>
            </w:pPr>
            <w:r w:rsidRPr="0017354C">
              <w:rPr>
                <w:rFonts w:eastAsia="Times New Roman" w:cs="Times New Roman"/>
                <w:iCs/>
                <w:szCs w:val="24"/>
              </w:rPr>
              <w:t>Mērķis, risinājums un projekta spēkā stāšanās laiks</w:t>
            </w:r>
          </w:p>
        </w:tc>
        <w:tc>
          <w:tcPr>
            <w:tcW w:w="5687" w:type="dxa"/>
            <w:shd w:val="clear" w:color="auto" w:fill="FFFFFF"/>
            <w:hideMark/>
          </w:tcPr>
          <w:p w:rsidR="00874215" w:rsidRPr="0017354C" w:rsidRDefault="00D1637E" w:rsidP="00D1637E">
            <w:pPr>
              <w:jc w:val="both"/>
              <w:rPr>
                <w:rFonts w:cs="Times New Roman"/>
                <w:szCs w:val="24"/>
              </w:rPr>
            </w:pPr>
            <w:r w:rsidRPr="0017354C">
              <w:rPr>
                <w:rFonts w:eastAsia="Times New Roman" w:cs="Times New Roman"/>
                <w:iCs/>
                <w:szCs w:val="24"/>
              </w:rPr>
              <w:t xml:space="preserve">Atbilstoši </w:t>
            </w:r>
            <w:r w:rsidRPr="0017354C">
              <w:rPr>
                <w:rFonts w:cs="Times New Roman"/>
                <w:szCs w:val="24"/>
              </w:rPr>
              <w:t>Ministru kabineta 2009.</w:t>
            </w:r>
            <w:r w:rsidR="004D0C3B" w:rsidRPr="0017354C">
              <w:rPr>
                <w:rFonts w:cs="Times New Roman"/>
                <w:szCs w:val="24"/>
              </w:rPr>
              <w:t> </w:t>
            </w:r>
            <w:r w:rsidRPr="0017354C">
              <w:rPr>
                <w:rFonts w:cs="Times New Roman"/>
                <w:szCs w:val="24"/>
              </w:rPr>
              <w:t>gada 15.</w:t>
            </w:r>
            <w:r w:rsidR="004D0C3B" w:rsidRPr="0017354C">
              <w:rPr>
                <w:rFonts w:cs="Times New Roman"/>
                <w:szCs w:val="24"/>
              </w:rPr>
              <w:t> </w:t>
            </w:r>
            <w:r w:rsidRPr="0017354C">
              <w:rPr>
                <w:rFonts w:cs="Times New Roman"/>
                <w:szCs w:val="24"/>
              </w:rPr>
              <w:t>decembra instrukcijas Nr.19 “Tiesību akta projekta sākotnējās ietekmes izvērtēšanas kārtība” 5.</w:t>
            </w:r>
            <w:r w:rsidRPr="0017354C">
              <w:rPr>
                <w:rFonts w:cs="Times New Roman"/>
                <w:szCs w:val="24"/>
                <w:vertAlign w:val="superscript"/>
              </w:rPr>
              <w:t>1</w:t>
            </w:r>
            <w:r w:rsidR="004D0C3B" w:rsidRPr="0017354C">
              <w:rPr>
                <w:rFonts w:cs="Times New Roman"/>
                <w:szCs w:val="24"/>
                <w:vertAlign w:val="superscript"/>
              </w:rPr>
              <w:t> </w:t>
            </w:r>
            <w:r w:rsidRPr="0017354C">
              <w:rPr>
                <w:rFonts w:cs="Times New Roman"/>
                <w:szCs w:val="24"/>
              </w:rPr>
              <w:t>punktā noteiktajam</w:t>
            </w:r>
            <w:r w:rsidR="005C3B24" w:rsidRPr="0017354C">
              <w:rPr>
                <w:rFonts w:cs="Times New Roman"/>
                <w:szCs w:val="24"/>
              </w:rPr>
              <w:t xml:space="preserve"> anotācijas kopsavilkumu </w:t>
            </w:r>
            <w:r w:rsidRPr="0017354C">
              <w:rPr>
                <w:rFonts w:cs="Times New Roman"/>
                <w:szCs w:val="24"/>
              </w:rPr>
              <w:t>nav nepieciešams aizpildīt.</w:t>
            </w:r>
          </w:p>
        </w:tc>
      </w:tr>
    </w:tbl>
    <w:p w:rsidR="00C67A84" w:rsidRPr="0017354C" w:rsidRDefault="00C67A8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521686" w:rsidRPr="0017354C" w:rsidTr="00B85A55">
        <w:tc>
          <w:tcPr>
            <w:tcW w:w="8806" w:type="dxa"/>
            <w:gridSpan w:val="3"/>
            <w:shd w:val="clear" w:color="auto" w:fill="FFFFFF"/>
          </w:tcPr>
          <w:p w:rsidR="00C67A84" w:rsidRPr="0017354C" w:rsidRDefault="00265E37" w:rsidP="00265E37">
            <w:pPr>
              <w:jc w:val="center"/>
              <w:rPr>
                <w:rFonts w:eastAsia="Times New Roman" w:cs="Times New Roman"/>
                <w:b/>
                <w:bCs/>
                <w:szCs w:val="24"/>
                <w:lang w:eastAsia="lv-LV"/>
              </w:rPr>
            </w:pPr>
            <w:r w:rsidRPr="0017354C">
              <w:rPr>
                <w:rFonts w:eastAsia="Times New Roman" w:cs="Times New Roman"/>
                <w:b/>
                <w:bCs/>
                <w:szCs w:val="24"/>
                <w:lang w:eastAsia="lv-LV"/>
              </w:rPr>
              <w:t>I Tiesību akta projekta izstrādes nepieciešamība</w:t>
            </w:r>
          </w:p>
        </w:tc>
      </w:tr>
      <w:tr w:rsidR="00521686" w:rsidRPr="0017354C" w:rsidTr="00F85295">
        <w:tc>
          <w:tcPr>
            <w:tcW w:w="426" w:type="dxa"/>
            <w:shd w:val="clear" w:color="auto" w:fill="FFFFFF"/>
          </w:tcPr>
          <w:p w:rsidR="00265E37" w:rsidRPr="0017354C" w:rsidRDefault="00265E37" w:rsidP="00265E37">
            <w:pPr>
              <w:ind w:left="180" w:hanging="180"/>
              <w:jc w:val="center"/>
              <w:rPr>
                <w:rFonts w:eastAsia="Times New Roman" w:cs="Times New Roman"/>
                <w:szCs w:val="24"/>
                <w:lang w:eastAsia="lv-LV"/>
              </w:rPr>
            </w:pPr>
            <w:r w:rsidRPr="0017354C">
              <w:rPr>
                <w:rFonts w:eastAsia="Times New Roman" w:cs="Times New Roman"/>
                <w:szCs w:val="24"/>
                <w:lang w:eastAsia="lv-LV"/>
              </w:rPr>
              <w:t>1.</w:t>
            </w:r>
          </w:p>
        </w:tc>
        <w:tc>
          <w:tcPr>
            <w:tcW w:w="2693" w:type="dxa"/>
            <w:shd w:val="clear" w:color="auto" w:fill="FFFFFF"/>
          </w:tcPr>
          <w:p w:rsidR="00265E37" w:rsidRPr="0017354C" w:rsidRDefault="00265E37" w:rsidP="00265E37">
            <w:pPr>
              <w:ind w:firstLine="17"/>
              <w:rPr>
                <w:rFonts w:eastAsia="Times New Roman" w:cs="Times New Roman"/>
                <w:szCs w:val="24"/>
                <w:lang w:eastAsia="lv-LV"/>
              </w:rPr>
            </w:pPr>
            <w:r w:rsidRPr="0017354C">
              <w:rPr>
                <w:rFonts w:eastAsia="Times New Roman" w:cs="Times New Roman"/>
                <w:szCs w:val="24"/>
                <w:lang w:eastAsia="lv-LV"/>
              </w:rPr>
              <w:t>Pamatojums</w:t>
            </w:r>
          </w:p>
        </w:tc>
        <w:tc>
          <w:tcPr>
            <w:tcW w:w="5687" w:type="dxa"/>
            <w:shd w:val="clear" w:color="auto" w:fill="FFFFFF"/>
          </w:tcPr>
          <w:p w:rsidR="009B0844" w:rsidRPr="0017354C" w:rsidRDefault="00E75543" w:rsidP="009B0844">
            <w:pPr>
              <w:pStyle w:val="Heading3"/>
              <w:shd w:val="clear" w:color="auto" w:fill="FFFFFF"/>
              <w:spacing w:before="0" w:beforeAutospacing="0" w:after="0" w:afterAutospacing="0"/>
              <w:jc w:val="both"/>
              <w:rPr>
                <w:b w:val="0"/>
                <w:bCs w:val="0"/>
                <w:sz w:val="24"/>
                <w:szCs w:val="24"/>
              </w:rPr>
            </w:pPr>
            <w:r w:rsidRPr="0017354C">
              <w:rPr>
                <w:b w:val="0"/>
                <w:bCs w:val="0"/>
                <w:sz w:val="24"/>
                <w:szCs w:val="24"/>
              </w:rPr>
              <w:t>Ministru kabineta noteikumu projekt</w:t>
            </w:r>
            <w:r w:rsidR="00831493" w:rsidRPr="0017354C">
              <w:rPr>
                <w:b w:val="0"/>
                <w:bCs w:val="0"/>
                <w:sz w:val="24"/>
                <w:szCs w:val="24"/>
              </w:rPr>
              <w:t xml:space="preserve">i </w:t>
            </w:r>
            <w:r w:rsidR="00831493" w:rsidRPr="0017354C">
              <w:rPr>
                <w:b w:val="0"/>
                <w:sz w:val="24"/>
                <w:szCs w:val="24"/>
              </w:rPr>
              <w:t>“Grozījumi Ministru kabineta 2018. gada 11. decembra noteikumos Nr. 777 “Noteikumi par 2019./2020. mācību gada un mācību semestru sākuma un beigu laiku un brīvdienu laiku””</w:t>
            </w:r>
            <w:r w:rsidR="00831493" w:rsidRPr="0017354C">
              <w:rPr>
                <w:b w:val="0"/>
                <w:sz w:val="24"/>
                <w:szCs w:val="24"/>
              </w:rPr>
              <w:t>,</w:t>
            </w:r>
            <w:r w:rsidR="00831493" w:rsidRPr="0017354C">
              <w:rPr>
                <w:sz w:val="24"/>
                <w:szCs w:val="24"/>
              </w:rPr>
              <w:t xml:space="preserve"> </w:t>
            </w:r>
            <w:r w:rsidRPr="0017354C">
              <w:rPr>
                <w:b w:val="0"/>
                <w:bCs w:val="0"/>
                <w:sz w:val="24"/>
                <w:szCs w:val="24"/>
              </w:rPr>
              <w:t xml:space="preserve"> “Grozījumi Ministru kabineta 2010.</w:t>
            </w:r>
            <w:r w:rsidR="00521686" w:rsidRPr="0017354C">
              <w:rPr>
                <w:b w:val="0"/>
                <w:bCs w:val="0"/>
                <w:sz w:val="24"/>
                <w:szCs w:val="24"/>
              </w:rPr>
              <w:t> </w:t>
            </w:r>
            <w:r w:rsidRPr="0017354C">
              <w:rPr>
                <w:b w:val="0"/>
                <w:bCs w:val="0"/>
                <w:sz w:val="24"/>
                <w:szCs w:val="24"/>
              </w:rPr>
              <w:t>gada 6.</w:t>
            </w:r>
            <w:r w:rsidR="00521686" w:rsidRPr="0017354C">
              <w:rPr>
                <w:b w:val="0"/>
                <w:bCs w:val="0"/>
                <w:sz w:val="24"/>
                <w:szCs w:val="24"/>
              </w:rPr>
              <w:t> </w:t>
            </w:r>
            <w:r w:rsidRPr="0017354C">
              <w:rPr>
                <w:b w:val="0"/>
                <w:bCs w:val="0"/>
                <w:sz w:val="24"/>
                <w:szCs w:val="24"/>
              </w:rPr>
              <w:t>aprīļa noteikumos Nr.</w:t>
            </w:r>
            <w:r w:rsidR="00521686" w:rsidRPr="0017354C">
              <w:rPr>
                <w:b w:val="0"/>
                <w:bCs w:val="0"/>
                <w:sz w:val="24"/>
                <w:szCs w:val="24"/>
              </w:rPr>
              <w:t> </w:t>
            </w:r>
            <w:r w:rsidRPr="0017354C">
              <w:rPr>
                <w:b w:val="0"/>
                <w:bCs w:val="0"/>
                <w:sz w:val="24"/>
                <w:szCs w:val="24"/>
              </w:rPr>
              <w:t>335 "Noteikumi par centralizēto eksāmenu saturu un norises kārtību” un “Grozījums Ministru kabineta 2013.</w:t>
            </w:r>
            <w:r w:rsidR="00521686" w:rsidRPr="0017354C">
              <w:rPr>
                <w:b w:val="0"/>
                <w:bCs w:val="0"/>
                <w:sz w:val="24"/>
                <w:szCs w:val="24"/>
              </w:rPr>
              <w:t> </w:t>
            </w:r>
            <w:r w:rsidRPr="0017354C">
              <w:rPr>
                <w:b w:val="0"/>
                <w:bCs w:val="0"/>
                <w:sz w:val="24"/>
                <w:szCs w:val="24"/>
              </w:rPr>
              <w:t>gada 17.</w:t>
            </w:r>
            <w:r w:rsidR="00521686" w:rsidRPr="0017354C">
              <w:rPr>
                <w:b w:val="0"/>
                <w:bCs w:val="0"/>
                <w:sz w:val="24"/>
                <w:szCs w:val="24"/>
              </w:rPr>
              <w:t> </w:t>
            </w:r>
            <w:r w:rsidRPr="0017354C">
              <w:rPr>
                <w:b w:val="0"/>
                <w:bCs w:val="0"/>
                <w:sz w:val="24"/>
                <w:szCs w:val="24"/>
              </w:rPr>
              <w:t>decembra noteikumos Nr.</w:t>
            </w:r>
            <w:r w:rsidR="00521686" w:rsidRPr="0017354C">
              <w:rPr>
                <w:b w:val="0"/>
                <w:bCs w:val="0"/>
                <w:sz w:val="24"/>
                <w:szCs w:val="24"/>
              </w:rPr>
              <w:t> </w:t>
            </w:r>
            <w:r w:rsidRPr="0017354C">
              <w:rPr>
                <w:b w:val="0"/>
                <w:bCs w:val="0"/>
                <w:sz w:val="24"/>
                <w:szCs w:val="24"/>
              </w:rPr>
              <w:t>1510 "Valsts pārbaudījumu norises kārtība””</w:t>
            </w:r>
            <w:r w:rsidR="00824E8E" w:rsidRPr="0017354C">
              <w:rPr>
                <w:b w:val="0"/>
                <w:bCs w:val="0"/>
                <w:sz w:val="24"/>
                <w:szCs w:val="24"/>
              </w:rPr>
              <w:t xml:space="preserve"> </w:t>
            </w:r>
            <w:r w:rsidR="00DA6E76" w:rsidRPr="0017354C">
              <w:rPr>
                <w:b w:val="0"/>
                <w:bCs w:val="0"/>
                <w:sz w:val="24"/>
                <w:szCs w:val="24"/>
              </w:rPr>
              <w:t xml:space="preserve">(turpmāk kopā </w:t>
            </w:r>
            <w:r w:rsidR="0047162F" w:rsidRPr="0017354C">
              <w:rPr>
                <w:b w:val="0"/>
                <w:bCs w:val="0"/>
                <w:sz w:val="24"/>
                <w:szCs w:val="24"/>
              </w:rPr>
              <w:t xml:space="preserve">arī </w:t>
            </w:r>
            <w:r w:rsidR="00DA6E76" w:rsidRPr="0017354C">
              <w:rPr>
                <w:b w:val="0"/>
                <w:bCs w:val="0"/>
                <w:sz w:val="24"/>
                <w:szCs w:val="24"/>
              </w:rPr>
              <w:t xml:space="preserve">– projekti) </w:t>
            </w:r>
            <w:r w:rsidR="00265E37" w:rsidRPr="0017354C">
              <w:rPr>
                <w:b w:val="0"/>
                <w:bCs w:val="0"/>
                <w:sz w:val="24"/>
                <w:szCs w:val="24"/>
              </w:rPr>
              <w:t>izstrādāt</w:t>
            </w:r>
            <w:r w:rsidRPr="0017354C">
              <w:rPr>
                <w:b w:val="0"/>
                <w:bCs w:val="0"/>
                <w:sz w:val="24"/>
                <w:szCs w:val="24"/>
              </w:rPr>
              <w:t>s</w:t>
            </w:r>
            <w:r w:rsidR="00265E37" w:rsidRPr="0017354C">
              <w:rPr>
                <w:b w:val="0"/>
                <w:bCs w:val="0"/>
                <w:sz w:val="24"/>
                <w:szCs w:val="24"/>
              </w:rPr>
              <w:t>, pamatojoties uz</w:t>
            </w:r>
            <w:r w:rsidR="009B0844" w:rsidRPr="0017354C">
              <w:rPr>
                <w:b w:val="0"/>
                <w:bCs w:val="0"/>
                <w:sz w:val="24"/>
                <w:szCs w:val="24"/>
              </w:rPr>
              <w:t>:</w:t>
            </w:r>
          </w:p>
          <w:p w:rsidR="00E75543" w:rsidRPr="0017354C" w:rsidRDefault="00E75543" w:rsidP="00E75543">
            <w:pPr>
              <w:jc w:val="both"/>
              <w:rPr>
                <w:rFonts w:cs="Times New Roman"/>
                <w:szCs w:val="24"/>
              </w:rPr>
            </w:pPr>
            <w:r w:rsidRPr="0017354C">
              <w:rPr>
                <w:rFonts w:cs="Times New Roman"/>
                <w:szCs w:val="24"/>
              </w:rPr>
              <w:t xml:space="preserve">1) Izglītības likuma 9. panta trešo daļu un 14. panta 33. punktu un Vispārējās izglītības likuma 4. panta 12. punktu (Grozījums Ministru kabineta 2013. gada 17. decembra noteikumos Nr. 1510 "Valsts pārbaudījumu norises kārtība”); </w:t>
            </w:r>
          </w:p>
          <w:p w:rsidR="00265E37" w:rsidRPr="0017354C" w:rsidRDefault="00E75543" w:rsidP="00E75543">
            <w:pPr>
              <w:pStyle w:val="Heading3"/>
              <w:shd w:val="clear" w:color="auto" w:fill="FFFFFF"/>
              <w:spacing w:before="0" w:beforeAutospacing="0" w:after="0" w:afterAutospacing="0"/>
              <w:jc w:val="both"/>
              <w:rPr>
                <w:b w:val="0"/>
                <w:bCs w:val="0"/>
                <w:sz w:val="24"/>
                <w:szCs w:val="24"/>
              </w:rPr>
            </w:pPr>
            <w:r w:rsidRPr="0017354C">
              <w:rPr>
                <w:b w:val="0"/>
                <w:bCs w:val="0"/>
                <w:sz w:val="24"/>
                <w:szCs w:val="24"/>
              </w:rPr>
              <w:t>2) Augstskolu likuma 46. panta trešo daļu, Izglītības likuma 9. panta trešo daļu, 14. panta 33. punktu un Vispārējās izglītības likuma 4. panta 12. punktu (Grozījumi Ministru kabineta 2010. gada 6. aprīļa noteikumos Nr. 335 "Noteikumi par centralizēto eksāmenu saturu un norises kārtību).</w:t>
            </w:r>
          </w:p>
        </w:tc>
      </w:tr>
      <w:tr w:rsidR="00521686" w:rsidRPr="0017354C" w:rsidTr="00F85295">
        <w:tc>
          <w:tcPr>
            <w:tcW w:w="426" w:type="dxa"/>
            <w:shd w:val="clear" w:color="auto" w:fill="FFFFFF"/>
          </w:tcPr>
          <w:p w:rsidR="00265E37" w:rsidRPr="0017354C" w:rsidRDefault="00265E37" w:rsidP="00265E37">
            <w:pPr>
              <w:jc w:val="center"/>
              <w:rPr>
                <w:rFonts w:eastAsia="Times New Roman" w:cs="Times New Roman"/>
                <w:szCs w:val="24"/>
                <w:lang w:eastAsia="lv-LV"/>
              </w:rPr>
            </w:pPr>
            <w:r w:rsidRPr="0017354C">
              <w:rPr>
                <w:rFonts w:eastAsia="Times New Roman" w:cs="Times New Roman"/>
                <w:szCs w:val="24"/>
                <w:lang w:eastAsia="lv-LV"/>
              </w:rPr>
              <w:t>2.</w:t>
            </w:r>
          </w:p>
        </w:tc>
        <w:tc>
          <w:tcPr>
            <w:tcW w:w="2693" w:type="dxa"/>
            <w:shd w:val="clear" w:color="auto" w:fill="FFFFFF"/>
          </w:tcPr>
          <w:p w:rsidR="00265E37" w:rsidRPr="0017354C" w:rsidRDefault="00265E37" w:rsidP="00265E37">
            <w:pPr>
              <w:tabs>
                <w:tab w:val="left" w:pos="170"/>
              </w:tabs>
              <w:ind w:firstLine="17"/>
              <w:rPr>
                <w:rFonts w:eastAsia="Times New Roman" w:cs="Times New Roman"/>
                <w:szCs w:val="24"/>
                <w:lang w:eastAsia="lv-LV"/>
              </w:rPr>
            </w:pPr>
            <w:r w:rsidRPr="0017354C">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rsidR="00831493" w:rsidRPr="0017354C" w:rsidRDefault="00831493" w:rsidP="00831493">
            <w:pPr>
              <w:ind w:firstLine="709"/>
              <w:jc w:val="both"/>
              <w:rPr>
                <w:szCs w:val="24"/>
              </w:rPr>
            </w:pPr>
            <w:r w:rsidRPr="0017354C">
              <w:rPr>
                <w:szCs w:val="24"/>
              </w:rPr>
              <w:t>Šobrīd ir spēkā Ministru kabineta 2018. gada 11. decembra noteikumi Nr. 777 “Noteikumi par 2019./2020. mācību gada un mācību semestru sākuma un beigu laiku un brīvdienu laiku”, kuru 4. punkts paredz, ka 9. klases izglītojamiem mācības beidzas 2020. gada 15. maijā, bet mācību gads beidzas 2020. gada 12. jūnijā, savukārt 5. punkts paredz, ka  12. klases izglītojamiem mācības beidzas 2020. gada 15. maijā, bet mācību gads beidzas 2020. gada 19. jūnijā.</w:t>
            </w:r>
          </w:p>
          <w:p w:rsidR="00831493" w:rsidRPr="0017354C" w:rsidRDefault="00831493" w:rsidP="00831493">
            <w:pPr>
              <w:ind w:firstLine="709"/>
              <w:jc w:val="both"/>
              <w:rPr>
                <w:szCs w:val="24"/>
              </w:rPr>
            </w:pPr>
            <w:r w:rsidRPr="0017354C">
              <w:rPr>
                <w:szCs w:val="24"/>
              </w:rPr>
              <w:t xml:space="preserve">Saeimas Izglītības, kultūras un zinātnes komisijas 2020. gada 5. maija sēdē pirms likumprojekta “Grozījumi Vispārējās izglītības likumā” (Nr. 407/Lp13) 3. lasījuma tika atbalstīti Izglītības un zinātnes ministrijas sagatavotie priekšlikumi par Vispārējās izglītības likuma pārejas noteikumu papildināšanu ar diviem pārejas punktiem, paredzot, ka 2019./2020. mācību gads 12. klases izglītojamiem ilgst līdz 2020. gada 7. jūlijam, kā arī </w:t>
            </w:r>
            <w:r w:rsidRPr="0017354C">
              <w:rPr>
                <w:szCs w:val="24"/>
              </w:rPr>
              <w:lastRenderedPageBreak/>
              <w:t xml:space="preserve">paredzot to, ka 2019./2020. mācību gadā valsts pārbaudes darbi par vispārējās pamatizglītības ieguvi nenotiek, izņemot centralizēto eksāmenu latviešu valodā mazākumtautību izglītības programmās izglītojamiem, kuri šo eksāmenu vēlas kārtot. Vienlaikus minētajā sēdē priekšlikumi ir papildināti, nosakot, ka izglītojamajiem par vispārējās pamatizglītības ieguvi 2019./2020. mācību gadā tiek izsniegta apliecība par vispārējo pamatizglītību un sekmju izraksts. Izrietoši Ministru kabinets 2020. gada 30. aprīļa sēdē atbalstīja noteikumu projektu “Grozījums Ministru kabineta 2019. gada 30. aprīļa noteikumos Nr. 183 “Noteikumi par valsts pārbaudes darbu norises laiku 2019./2020. mācību gadā””, paredzot, ka 2019./2020. mācību gadā valsts pārbaudes darbi, beidzot 9. klasi, nenotiek, izņemot </w:t>
            </w:r>
            <w:r w:rsidRPr="0017354C">
              <w:rPr>
                <w:rFonts w:eastAsia="Times New Roman"/>
                <w:szCs w:val="24"/>
                <w:shd w:val="clear" w:color="auto" w:fill="FFFFFF"/>
              </w:rPr>
              <w:t>centralizēto eksāmenu latviešu valodā mazākumtautību pamatizglītības programmā</w:t>
            </w:r>
            <w:r w:rsidRPr="0017354C">
              <w:rPr>
                <w:szCs w:val="24"/>
              </w:rPr>
              <w:t xml:space="preserve">. Šo eksāmenu izglītojamais varēs kārtot, ja to vēlēsies. Šāds izņēmums – centralizētā eksāmena latviešu valodā rīkošana mazākumtautību pamatizglītības programmā – ir noteikts, ievērojot Ministru kabineta 2009. gada 7. jūlija noteikumos Nr. 733 “Noteikumi par valsts valodas zināšanu apjomu, valsts valodas prasmes pārbaudes kārtību un valsts nodevu par valsts valodas prasmes pārbaudi” noteikto, ka valsts valodas prasmes pārbaudi nekārto personas, kuras apguvušas akreditētu mazākumtautību izglītības programmu un kārtojušas centralizēto eksāmenu latviešu valodā (mazākumtautību izglītības programmās 9.klasei) vai centralizēto eksāmenu latviešu valodā 12.klasei, ko apliecina pamatizglītības vai vispārējās vidējās izglītības sertifikāts. Tādējādi izglītojamie, kuri izvēlēsies kārtot centralizēto eksāmenu latviešu valodā mazākumtautību pamatizglītības programmā, varēs nekārtot valsts valodas pārbaudījumu, kas nepieciešams, lai apliecinātu nepieciešamās valsts valodas prasmes, piemēram, profesionālo un amata pienākumu veikšanai. Ņemot vērā, minēto 9.klašu izglītojamiem turpinās mācību process.  </w:t>
            </w:r>
          </w:p>
          <w:p w:rsidR="00831493" w:rsidRPr="0017354C" w:rsidRDefault="00831493" w:rsidP="00831493">
            <w:pPr>
              <w:ind w:firstLine="709"/>
              <w:jc w:val="both"/>
              <w:rPr>
                <w:szCs w:val="24"/>
              </w:rPr>
            </w:pPr>
            <w:r w:rsidRPr="0017354C">
              <w:rPr>
                <w:szCs w:val="24"/>
              </w:rPr>
              <w:t>Valsts pārbaudes darbi, beidzot 12. klasi, netiek atcelti. Taču, tā kā 2019./2020. mācību gadā nav iespējams ievērot Vispārējās izglītības likuma 46. panta 2. punktā noteikto mācību gada ilgumu 12. klasei (38 nedēļas), projekts, izrietoši no likumprojekta “Grozījumi Vispārējās izglītības likumā” (Nr. 407/Lp13), paredz pagarināt mācību gada ilgumu 12. klasei par 10 darbdienām.</w:t>
            </w:r>
          </w:p>
          <w:p w:rsidR="00831493" w:rsidRPr="0017354C" w:rsidRDefault="00831493" w:rsidP="00831493">
            <w:pPr>
              <w:ind w:firstLine="709"/>
              <w:jc w:val="both"/>
              <w:rPr>
                <w:szCs w:val="24"/>
              </w:rPr>
            </w:pPr>
            <w:r w:rsidRPr="0017354C">
              <w:rPr>
                <w:szCs w:val="24"/>
              </w:rPr>
              <w:t>Ņemot vērā visu iepriekš minēto, projekts paredz, ka  9. klases izglītojamiem mācības beidzas 2020. gada 29. maijā, jo mācību process netiek pārtraukts, bet 12. klases izglītojamiem mācību gads beidzas 2020. gada 7. jūlijā, un 12. klašu izglītojamiem otrais semestris beidzas 2020. gada 7. jūlijā.   </w:t>
            </w:r>
          </w:p>
          <w:p w:rsidR="00E75543" w:rsidRPr="0017354C" w:rsidRDefault="00831493" w:rsidP="00831493">
            <w:pPr>
              <w:jc w:val="both"/>
              <w:rPr>
                <w:rFonts w:eastAsia="Times New Roman" w:cs="Times New Roman"/>
                <w:szCs w:val="24"/>
                <w:lang w:eastAsia="lv-LV"/>
              </w:rPr>
            </w:pPr>
            <w:r w:rsidRPr="0017354C">
              <w:rPr>
                <w:szCs w:val="24"/>
              </w:rPr>
              <w:lastRenderedPageBreak/>
              <w:t xml:space="preserve">Gan iepriekš minētajā Ministru kabineta noteikumu projektā “Grozījums Ministru kabineta 2019. gada 30. aprīļa noteikumos Nr. 183 “Noteikumi par valsts pārbaudes darbu norises laiku 2019./2020. mācību gadā””, gan šajā projektā ir ietvertas normas, kas paredz, ka grozījumi stāsies spēkā vienlaikus ar attiecīgiem grozījumiem Vispārējās izglītības likumā, kas paredz valsts pārbaudes darbu par vispārējās pamatizglītības ieguvi atcelšanu un 2019./2020. mācību gada 12. klasei pagarinājumu </w:t>
            </w:r>
            <w:r w:rsidR="00E75543" w:rsidRPr="0017354C">
              <w:rPr>
                <w:rFonts w:eastAsia="Times New Roman" w:cs="Times New Roman"/>
                <w:szCs w:val="24"/>
                <w:lang w:eastAsia="lv-LV"/>
              </w:rPr>
              <w:t xml:space="preserve">Projekti </w:t>
            </w:r>
            <w:r w:rsidR="003C6C8F" w:rsidRPr="0017354C">
              <w:rPr>
                <w:szCs w:val="24"/>
              </w:rPr>
              <w:t>“Grozījumi Ministru kabineta 2010. gada 6. aprīļa noteikumos Nr. 335 "Noteikumi par centralizēto eksāmenu saturu un norises kārtību” un “Grozījums Ministru kabineta 2013. gada 17. decembra noteikumos Nr. 1510 "Valsts pārbaudījumu norises kārtība””</w:t>
            </w:r>
            <w:r w:rsidR="003C6C8F" w:rsidRPr="0017354C">
              <w:rPr>
                <w:szCs w:val="24"/>
              </w:rPr>
              <w:t xml:space="preserve"> </w:t>
            </w:r>
            <w:r w:rsidR="00E75543" w:rsidRPr="0017354C">
              <w:rPr>
                <w:rFonts w:eastAsia="Times New Roman" w:cs="Times New Roman"/>
                <w:szCs w:val="24"/>
                <w:lang w:eastAsia="lv-LV"/>
              </w:rPr>
              <w:t>paredz</w:t>
            </w:r>
            <w:r w:rsidR="00326D70" w:rsidRPr="0017354C">
              <w:rPr>
                <w:rFonts w:eastAsia="Times New Roman" w:cs="Times New Roman"/>
                <w:szCs w:val="24"/>
                <w:lang w:eastAsia="lv-LV"/>
              </w:rPr>
              <w:t>,</w:t>
            </w:r>
            <w:r w:rsidR="00E75543" w:rsidRPr="0017354C">
              <w:rPr>
                <w:rFonts w:eastAsia="Times New Roman" w:cs="Times New Roman"/>
                <w:szCs w:val="24"/>
                <w:lang w:eastAsia="lv-LV"/>
              </w:rPr>
              <w:t xml:space="preserve"> </w:t>
            </w:r>
            <w:r w:rsidR="00BC6D3C" w:rsidRPr="0017354C">
              <w:rPr>
                <w:rFonts w:eastAsia="Times New Roman" w:cs="Times New Roman"/>
                <w:szCs w:val="24"/>
                <w:lang w:eastAsia="lv-LV"/>
              </w:rPr>
              <w:t>ka darbības, kas saistītas ar sagatavošanos 2019./2020.</w:t>
            </w:r>
            <w:r w:rsidR="00521686" w:rsidRPr="0017354C">
              <w:rPr>
                <w:rFonts w:eastAsia="Times New Roman" w:cs="Times New Roman"/>
                <w:szCs w:val="24"/>
                <w:lang w:eastAsia="lv-LV"/>
              </w:rPr>
              <w:t> </w:t>
            </w:r>
            <w:r w:rsidR="00BC6D3C" w:rsidRPr="0017354C">
              <w:rPr>
                <w:rFonts w:eastAsia="Times New Roman" w:cs="Times New Roman"/>
                <w:szCs w:val="24"/>
                <w:lang w:eastAsia="lv-LV"/>
              </w:rPr>
              <w:t xml:space="preserve">mācību gada </w:t>
            </w:r>
            <w:r w:rsidR="00326D70" w:rsidRPr="0017354C">
              <w:rPr>
                <w:rFonts w:eastAsia="Times New Roman" w:cs="Times New Roman"/>
                <w:szCs w:val="24"/>
                <w:lang w:eastAsia="lv-LV"/>
              </w:rPr>
              <w:t xml:space="preserve">valsts pārbaudes darbu norisei </w:t>
            </w:r>
            <w:r w:rsidR="00BC6D3C" w:rsidRPr="0017354C">
              <w:rPr>
                <w:rFonts w:eastAsia="Times New Roman" w:cs="Times New Roman"/>
                <w:szCs w:val="24"/>
                <w:lang w:eastAsia="lv-LV"/>
              </w:rPr>
              <w:t xml:space="preserve">un </w:t>
            </w:r>
            <w:r w:rsidR="009F0753" w:rsidRPr="0017354C">
              <w:rPr>
                <w:rFonts w:eastAsia="Times New Roman" w:cs="Times New Roman"/>
                <w:szCs w:val="24"/>
                <w:lang w:eastAsia="lv-LV"/>
              </w:rPr>
              <w:t xml:space="preserve">netika </w:t>
            </w:r>
            <w:r w:rsidR="00BC6D3C" w:rsidRPr="0017354C">
              <w:rPr>
                <w:rFonts w:eastAsia="Times New Roman" w:cs="Times New Roman"/>
                <w:szCs w:val="24"/>
                <w:lang w:eastAsia="lv-LV"/>
              </w:rPr>
              <w:t>veiktas 2020.</w:t>
            </w:r>
            <w:r w:rsidR="00521686" w:rsidRPr="0017354C">
              <w:rPr>
                <w:rFonts w:eastAsia="Times New Roman" w:cs="Times New Roman"/>
                <w:szCs w:val="24"/>
                <w:lang w:eastAsia="lv-LV"/>
              </w:rPr>
              <w:t> </w:t>
            </w:r>
            <w:r w:rsidR="00BC6D3C" w:rsidRPr="0017354C">
              <w:rPr>
                <w:rFonts w:eastAsia="Times New Roman" w:cs="Times New Roman"/>
                <w:szCs w:val="24"/>
                <w:lang w:eastAsia="lv-LV"/>
              </w:rPr>
              <w:t>gadā Latvijā izsludinātās ārkārtējās situācijas laikā saistībā ar Covid-19 izplatību, attiecīgās amatpersonas veic nekavējoties,</w:t>
            </w:r>
            <w:r w:rsidR="00BC6D3C" w:rsidRPr="0017354C">
              <w:rPr>
                <w:rFonts w:cs="Times New Roman"/>
                <w:szCs w:val="24"/>
                <w:lang w:eastAsia="lv-LV"/>
              </w:rPr>
              <w:t xml:space="preserve"> </w:t>
            </w:r>
            <w:r w:rsidR="00326D70" w:rsidRPr="0017354C">
              <w:rPr>
                <w:rFonts w:cs="Times New Roman"/>
                <w:szCs w:val="24"/>
                <w:lang w:eastAsia="lv-LV"/>
              </w:rPr>
              <w:t xml:space="preserve">bet ne </w:t>
            </w:r>
            <w:r w:rsidR="00BC6D3C" w:rsidRPr="0017354C">
              <w:rPr>
                <w:rFonts w:eastAsia="Times New Roman" w:cs="Times New Roman"/>
                <w:szCs w:val="24"/>
                <w:lang w:eastAsia="lv-LV"/>
              </w:rPr>
              <w:t>vēlā</w:t>
            </w:r>
            <w:r w:rsidR="00326D70" w:rsidRPr="0017354C">
              <w:rPr>
                <w:rFonts w:eastAsia="Times New Roman" w:cs="Times New Roman"/>
                <w:szCs w:val="24"/>
                <w:lang w:eastAsia="lv-LV"/>
              </w:rPr>
              <w:t>k</w:t>
            </w:r>
            <w:r w:rsidR="00BC6D3C" w:rsidRPr="0017354C">
              <w:rPr>
                <w:rFonts w:eastAsia="Times New Roman" w:cs="Times New Roman"/>
                <w:szCs w:val="24"/>
                <w:lang w:eastAsia="lv-LV"/>
              </w:rPr>
              <w:t xml:space="preserve"> kā divas nedēļas līdz attiecīgā eksāmena norises dienai</w:t>
            </w:r>
            <w:r w:rsidR="00081BB3" w:rsidRPr="0017354C">
              <w:rPr>
                <w:rFonts w:eastAsia="Times New Roman" w:cs="Times New Roman"/>
                <w:szCs w:val="24"/>
                <w:lang w:eastAsia="lv-LV"/>
              </w:rPr>
              <w:t xml:space="preserve"> </w:t>
            </w:r>
            <w:r w:rsidR="00326D70" w:rsidRPr="0017354C">
              <w:rPr>
                <w:rFonts w:eastAsia="Times New Roman" w:cs="Times New Roman"/>
                <w:szCs w:val="24"/>
                <w:lang w:eastAsia="lv-LV"/>
              </w:rPr>
              <w:t xml:space="preserve">– </w:t>
            </w:r>
            <w:r w:rsidR="00BC6D3C" w:rsidRPr="0017354C">
              <w:rPr>
                <w:rFonts w:eastAsia="Times New Roman" w:cs="Times New Roman"/>
                <w:szCs w:val="24"/>
                <w:lang w:eastAsia="lv-LV"/>
              </w:rPr>
              <w:t>attiecībā uz centralizētajiem eksāmeniem</w:t>
            </w:r>
            <w:r w:rsidR="00326D70" w:rsidRPr="0017354C">
              <w:rPr>
                <w:rFonts w:eastAsia="Times New Roman" w:cs="Times New Roman"/>
                <w:szCs w:val="24"/>
                <w:lang w:eastAsia="lv-LV"/>
              </w:rPr>
              <w:t xml:space="preserve"> – </w:t>
            </w:r>
            <w:r w:rsidR="00BC6D3C" w:rsidRPr="0017354C">
              <w:rPr>
                <w:rFonts w:eastAsia="Times New Roman" w:cs="Times New Roman"/>
                <w:szCs w:val="24"/>
                <w:lang w:eastAsia="lv-LV"/>
              </w:rPr>
              <w:t>vai ne vēlā</w:t>
            </w:r>
            <w:r w:rsidR="00326D70" w:rsidRPr="0017354C">
              <w:rPr>
                <w:rFonts w:eastAsia="Times New Roman" w:cs="Times New Roman"/>
                <w:szCs w:val="24"/>
                <w:lang w:eastAsia="lv-LV"/>
              </w:rPr>
              <w:t>k</w:t>
            </w:r>
            <w:r w:rsidR="00BC6D3C" w:rsidRPr="0017354C">
              <w:rPr>
                <w:rFonts w:eastAsia="Times New Roman" w:cs="Times New Roman"/>
                <w:szCs w:val="24"/>
                <w:lang w:eastAsia="lv-LV"/>
              </w:rPr>
              <w:t xml:space="preserve"> kā līdz 2020. gada 15. maijam </w:t>
            </w:r>
            <w:r w:rsidR="00326D70" w:rsidRPr="0017354C">
              <w:rPr>
                <w:rFonts w:eastAsia="Times New Roman" w:cs="Times New Roman"/>
                <w:szCs w:val="24"/>
                <w:lang w:eastAsia="lv-LV"/>
              </w:rPr>
              <w:t>–</w:t>
            </w:r>
            <w:r w:rsidR="00081BB3" w:rsidRPr="0017354C">
              <w:rPr>
                <w:rFonts w:eastAsia="Times New Roman" w:cs="Times New Roman"/>
                <w:szCs w:val="24"/>
                <w:lang w:eastAsia="lv-LV"/>
              </w:rPr>
              <w:t xml:space="preserve"> </w:t>
            </w:r>
            <w:r w:rsidR="00BC6D3C" w:rsidRPr="0017354C">
              <w:rPr>
                <w:rFonts w:eastAsia="Times New Roman" w:cs="Times New Roman"/>
                <w:szCs w:val="24"/>
                <w:lang w:eastAsia="lv-LV"/>
              </w:rPr>
              <w:t>attiecībā uz pārējiem eksāmeniem.</w:t>
            </w:r>
          </w:p>
          <w:p w:rsidR="009E2CED" w:rsidRPr="0017354C" w:rsidRDefault="00521686" w:rsidP="001F0FAC">
            <w:pPr>
              <w:jc w:val="both"/>
              <w:rPr>
                <w:rFonts w:eastAsia="Times New Roman" w:cs="Times New Roman"/>
                <w:szCs w:val="24"/>
                <w:lang w:eastAsia="lv-LV"/>
              </w:rPr>
            </w:pPr>
            <w:r w:rsidRPr="0017354C">
              <w:rPr>
                <w:rFonts w:cs="Times New Roman"/>
                <w:szCs w:val="24"/>
              </w:rPr>
              <w:t>Ministru kabineta 2010. gada 6. aprīļa noteikumi Nr. 335 "Noteikumi par centralizēto eksāmenu saturu un norises kārtību” nosaka, ka</w:t>
            </w:r>
            <w:r w:rsidR="00081BB3" w:rsidRPr="0017354C">
              <w:rPr>
                <w:rFonts w:cs="Times New Roman"/>
                <w:szCs w:val="24"/>
              </w:rPr>
              <w:t xml:space="preserve"> </w:t>
            </w:r>
            <w:r w:rsidRPr="0017354C">
              <w:rPr>
                <w:rFonts w:cs="Times New Roman"/>
                <w:szCs w:val="24"/>
              </w:rPr>
              <w:t>eksāmena n</w:t>
            </w:r>
            <w:r w:rsidRPr="0017354C">
              <w:rPr>
                <w:rFonts w:cs="Times New Roman"/>
                <w:szCs w:val="24"/>
                <w:shd w:val="clear" w:color="auto" w:fill="FFFFFF"/>
              </w:rPr>
              <w:t>ovērotājs ir pedagogs no citas izglītības iestādes, augstskolas mācībspēks vai pašvaldības atbildīgā amatpersona, kura uzrauga eksāmena norisi. Lai varētu paplašināt personu loku, kas var būt novērotājs eksāmenā</w:t>
            </w:r>
            <w:r w:rsidR="00326D70" w:rsidRPr="0017354C">
              <w:rPr>
                <w:rFonts w:cs="Times New Roman"/>
                <w:szCs w:val="24"/>
                <w:shd w:val="clear" w:color="auto" w:fill="FFFFFF"/>
              </w:rPr>
              <w:t>,</w:t>
            </w:r>
            <w:r w:rsidRPr="0017354C">
              <w:rPr>
                <w:rFonts w:cs="Times New Roman"/>
                <w:szCs w:val="24"/>
                <w:shd w:val="clear" w:color="auto" w:fill="FFFFFF"/>
              </w:rPr>
              <w:t xml:space="preserve"> </w:t>
            </w:r>
            <w:r w:rsidRPr="0017354C">
              <w:rPr>
                <w:rFonts w:cs="Times New Roman"/>
                <w:szCs w:val="24"/>
              </w:rPr>
              <w:t>Ministru kabineta noteikumu projekts “Grozījumi Ministru kabineta 2010. gada 6. aprīļa noteikumos Nr. 335 “Noteikumi par centralizēto eksāmenu saturu un norises kārtību” paredz noteikt, ka par novērotāju var būt arī persona, ar kuru pašvaldība ir noslēgusi attiecīgu līgumu.</w:t>
            </w:r>
          </w:p>
        </w:tc>
      </w:tr>
      <w:tr w:rsidR="00521686" w:rsidRPr="0017354C" w:rsidTr="00F85295">
        <w:tc>
          <w:tcPr>
            <w:tcW w:w="426" w:type="dxa"/>
            <w:shd w:val="clear" w:color="auto" w:fill="FFFFFF"/>
          </w:tcPr>
          <w:p w:rsidR="00080E9F" w:rsidRPr="0017354C" w:rsidRDefault="00080E9F" w:rsidP="00080E9F">
            <w:pPr>
              <w:jc w:val="center"/>
              <w:rPr>
                <w:rFonts w:eastAsia="Times New Roman" w:cs="Times New Roman"/>
                <w:szCs w:val="24"/>
                <w:lang w:eastAsia="lv-LV"/>
              </w:rPr>
            </w:pPr>
            <w:r w:rsidRPr="0017354C">
              <w:rPr>
                <w:rFonts w:eastAsia="Times New Roman" w:cs="Times New Roman"/>
                <w:szCs w:val="24"/>
                <w:lang w:eastAsia="lv-LV"/>
              </w:rPr>
              <w:lastRenderedPageBreak/>
              <w:t>3.</w:t>
            </w:r>
          </w:p>
        </w:tc>
        <w:tc>
          <w:tcPr>
            <w:tcW w:w="2693" w:type="dxa"/>
            <w:shd w:val="clear" w:color="auto" w:fill="FFFFFF"/>
          </w:tcPr>
          <w:p w:rsidR="00080E9F" w:rsidRPr="0017354C" w:rsidRDefault="00080E9F" w:rsidP="00080E9F">
            <w:pPr>
              <w:rPr>
                <w:rFonts w:eastAsia="Times New Roman" w:cs="Times New Roman"/>
                <w:szCs w:val="24"/>
                <w:lang w:eastAsia="lv-LV"/>
              </w:rPr>
            </w:pPr>
            <w:r w:rsidRPr="0017354C">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rsidR="00080E9F" w:rsidRPr="0017354C" w:rsidRDefault="00E7346F" w:rsidP="00080E9F">
            <w:pPr>
              <w:jc w:val="both"/>
              <w:rPr>
                <w:rFonts w:eastAsia="Times New Roman" w:cs="Times New Roman"/>
                <w:szCs w:val="24"/>
                <w:lang w:eastAsia="lv-LV"/>
              </w:rPr>
            </w:pPr>
            <w:r w:rsidRPr="0017354C">
              <w:rPr>
                <w:rFonts w:cs="Times New Roman"/>
                <w:szCs w:val="24"/>
              </w:rPr>
              <w:t>Valsts izglītības satura centrs</w:t>
            </w:r>
            <w:r w:rsidR="00046A4E" w:rsidRPr="0017354C">
              <w:rPr>
                <w:rFonts w:cs="Times New Roman"/>
                <w:szCs w:val="24"/>
              </w:rPr>
              <w:t xml:space="preserve"> (turpmāk </w:t>
            </w:r>
            <w:r w:rsidR="00046A4E" w:rsidRPr="0017354C">
              <w:rPr>
                <w:rFonts w:eastAsia="Times New Roman" w:cs="Times New Roman"/>
                <w:iCs/>
                <w:szCs w:val="24"/>
                <w:lang w:eastAsia="lv-LV"/>
              </w:rPr>
              <w:t>–</w:t>
            </w:r>
            <w:r w:rsidR="00046A4E" w:rsidRPr="0017354C">
              <w:rPr>
                <w:rFonts w:cs="Times New Roman"/>
                <w:szCs w:val="24"/>
              </w:rPr>
              <w:t xml:space="preserve"> Centrs)</w:t>
            </w:r>
            <w:r w:rsidR="00B3497C" w:rsidRPr="0017354C">
              <w:rPr>
                <w:rFonts w:cs="Times New Roman"/>
                <w:szCs w:val="24"/>
              </w:rPr>
              <w:t xml:space="preserve"> un Izglītības un zinātnes ministrija</w:t>
            </w:r>
            <w:r w:rsidR="00080E9F" w:rsidRPr="0017354C">
              <w:rPr>
                <w:rFonts w:eastAsia="Times New Roman" w:cs="Times New Roman"/>
                <w:iCs/>
                <w:szCs w:val="24"/>
                <w:lang w:eastAsia="lv-LV"/>
              </w:rPr>
              <w:t>.</w:t>
            </w:r>
          </w:p>
        </w:tc>
      </w:tr>
      <w:tr w:rsidR="00521686" w:rsidRPr="0017354C" w:rsidTr="00F85295">
        <w:tc>
          <w:tcPr>
            <w:tcW w:w="426" w:type="dxa"/>
            <w:shd w:val="clear" w:color="auto" w:fill="FFFFFF"/>
          </w:tcPr>
          <w:p w:rsidR="00080E9F" w:rsidRPr="0017354C" w:rsidRDefault="00AF4FD5" w:rsidP="00080E9F">
            <w:pPr>
              <w:jc w:val="center"/>
              <w:rPr>
                <w:rFonts w:eastAsia="Times New Roman" w:cs="Times New Roman"/>
                <w:szCs w:val="24"/>
                <w:lang w:eastAsia="lv-LV"/>
              </w:rPr>
            </w:pPr>
            <w:r w:rsidRPr="0017354C">
              <w:rPr>
                <w:rFonts w:eastAsia="Times New Roman" w:cs="Times New Roman"/>
                <w:szCs w:val="24"/>
                <w:lang w:eastAsia="lv-LV"/>
              </w:rPr>
              <w:t>4</w:t>
            </w:r>
            <w:r w:rsidR="00080E9F" w:rsidRPr="0017354C">
              <w:rPr>
                <w:rFonts w:eastAsia="Times New Roman" w:cs="Times New Roman"/>
                <w:szCs w:val="24"/>
                <w:lang w:eastAsia="lv-LV"/>
              </w:rPr>
              <w:t>.</w:t>
            </w:r>
          </w:p>
        </w:tc>
        <w:tc>
          <w:tcPr>
            <w:tcW w:w="2693" w:type="dxa"/>
            <w:shd w:val="clear" w:color="auto" w:fill="FFFFFF"/>
          </w:tcPr>
          <w:p w:rsidR="00080E9F" w:rsidRPr="0017354C" w:rsidRDefault="00080E9F" w:rsidP="00080E9F">
            <w:pPr>
              <w:rPr>
                <w:rFonts w:eastAsia="Times New Roman" w:cs="Times New Roman"/>
                <w:szCs w:val="24"/>
                <w:lang w:eastAsia="lv-LV"/>
              </w:rPr>
            </w:pPr>
            <w:r w:rsidRPr="0017354C">
              <w:rPr>
                <w:rFonts w:eastAsia="Times New Roman" w:cs="Times New Roman"/>
                <w:szCs w:val="24"/>
                <w:lang w:eastAsia="lv-LV"/>
              </w:rPr>
              <w:t>Cita informācija</w:t>
            </w:r>
          </w:p>
        </w:tc>
        <w:tc>
          <w:tcPr>
            <w:tcW w:w="5687" w:type="dxa"/>
            <w:shd w:val="clear" w:color="auto" w:fill="FFFFFF"/>
          </w:tcPr>
          <w:p w:rsidR="00080E9F" w:rsidRPr="0017354C" w:rsidRDefault="00080E9F" w:rsidP="00080E9F">
            <w:pPr>
              <w:jc w:val="both"/>
              <w:rPr>
                <w:rFonts w:eastAsia="Times New Roman" w:cs="Times New Roman"/>
                <w:szCs w:val="24"/>
                <w:lang w:eastAsia="lv-LV"/>
              </w:rPr>
            </w:pPr>
            <w:r w:rsidRPr="0017354C">
              <w:rPr>
                <w:rFonts w:eastAsia="Times New Roman" w:cs="Times New Roman"/>
                <w:iCs/>
                <w:szCs w:val="24"/>
                <w:lang w:eastAsia="lv-LV"/>
              </w:rPr>
              <w:t>Nav</w:t>
            </w:r>
            <w:r w:rsidR="00B3497C" w:rsidRPr="0017354C">
              <w:rPr>
                <w:rFonts w:eastAsia="Times New Roman" w:cs="Times New Roman"/>
                <w:iCs/>
                <w:szCs w:val="24"/>
                <w:lang w:eastAsia="lv-LV"/>
              </w:rPr>
              <w:t>.</w:t>
            </w:r>
          </w:p>
        </w:tc>
      </w:tr>
    </w:tbl>
    <w:p w:rsidR="00080E9F" w:rsidRPr="0017354C" w:rsidRDefault="00080E9F">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521686" w:rsidRPr="0017354C" w:rsidTr="00E93215">
        <w:tc>
          <w:tcPr>
            <w:tcW w:w="8806" w:type="dxa"/>
            <w:gridSpan w:val="3"/>
            <w:shd w:val="clear" w:color="auto" w:fill="FFFFFF"/>
          </w:tcPr>
          <w:p w:rsidR="00080E9F" w:rsidRPr="0017354C" w:rsidRDefault="00080E9F" w:rsidP="00080E9F">
            <w:pPr>
              <w:jc w:val="center"/>
              <w:rPr>
                <w:rFonts w:eastAsia="Times New Roman" w:cs="Times New Roman"/>
                <w:iCs/>
                <w:szCs w:val="24"/>
                <w:lang w:eastAsia="lv-LV"/>
              </w:rPr>
            </w:pPr>
            <w:r w:rsidRPr="0017354C">
              <w:rPr>
                <w:rFonts w:eastAsia="Times New Roman" w:cs="Times New Roman"/>
                <w:b/>
                <w:bCs/>
                <w:szCs w:val="24"/>
                <w:lang w:eastAsia="lv-LV"/>
              </w:rPr>
              <w:t>II Tiesību akta projekta ietekme uz sabiedrību, tautsaimniecības attīstību un administratīvo slogu</w:t>
            </w:r>
          </w:p>
        </w:tc>
      </w:tr>
      <w:tr w:rsidR="00521686" w:rsidRPr="0017354C" w:rsidTr="00F85295">
        <w:tc>
          <w:tcPr>
            <w:tcW w:w="426" w:type="dxa"/>
            <w:shd w:val="clear" w:color="auto" w:fill="FFFFFF"/>
          </w:tcPr>
          <w:p w:rsidR="00080E9F" w:rsidRPr="0017354C" w:rsidRDefault="00080E9F" w:rsidP="00080E9F">
            <w:pPr>
              <w:ind w:left="181" w:hanging="181"/>
              <w:jc w:val="center"/>
              <w:rPr>
                <w:rFonts w:eastAsia="Times New Roman" w:cs="Times New Roman"/>
                <w:szCs w:val="24"/>
                <w:lang w:eastAsia="lv-LV"/>
              </w:rPr>
            </w:pPr>
            <w:r w:rsidRPr="0017354C">
              <w:rPr>
                <w:rFonts w:eastAsia="Times New Roman" w:cs="Times New Roman"/>
                <w:szCs w:val="24"/>
                <w:lang w:eastAsia="lv-LV"/>
              </w:rPr>
              <w:t>1.</w:t>
            </w:r>
          </w:p>
        </w:tc>
        <w:tc>
          <w:tcPr>
            <w:tcW w:w="2693" w:type="dxa"/>
            <w:shd w:val="clear" w:color="auto" w:fill="FFFFFF"/>
          </w:tcPr>
          <w:p w:rsidR="00080E9F" w:rsidRPr="0017354C" w:rsidRDefault="00080E9F" w:rsidP="00080E9F">
            <w:pPr>
              <w:ind w:left="17"/>
              <w:rPr>
                <w:rFonts w:eastAsia="Times New Roman" w:cs="Times New Roman"/>
                <w:szCs w:val="24"/>
                <w:lang w:eastAsia="lv-LV"/>
              </w:rPr>
            </w:pPr>
            <w:r w:rsidRPr="0017354C">
              <w:rPr>
                <w:rFonts w:eastAsia="Times New Roman" w:cs="Times New Roman"/>
                <w:szCs w:val="24"/>
                <w:lang w:eastAsia="lv-LV"/>
              </w:rPr>
              <w:t xml:space="preserve">Sabiedrības </w:t>
            </w:r>
            <w:proofErr w:type="spellStart"/>
            <w:r w:rsidRPr="0017354C">
              <w:rPr>
                <w:rFonts w:eastAsia="Times New Roman" w:cs="Times New Roman"/>
                <w:szCs w:val="24"/>
                <w:lang w:eastAsia="lv-LV"/>
              </w:rPr>
              <w:t>mērķgrupas</w:t>
            </w:r>
            <w:proofErr w:type="spellEnd"/>
            <w:r w:rsidRPr="0017354C">
              <w:rPr>
                <w:rFonts w:eastAsia="Times New Roman" w:cs="Times New Roman"/>
                <w:szCs w:val="24"/>
                <w:lang w:eastAsia="lv-LV"/>
              </w:rPr>
              <w:t>, kuras tiesiskais regulējums ietekmē vai varētu ietekmēt</w:t>
            </w:r>
          </w:p>
        </w:tc>
        <w:tc>
          <w:tcPr>
            <w:tcW w:w="5687" w:type="dxa"/>
            <w:shd w:val="clear" w:color="auto" w:fill="FFFFFF"/>
          </w:tcPr>
          <w:p w:rsidR="00080E9F" w:rsidRPr="0017354C" w:rsidRDefault="003C6C8F" w:rsidP="003C6C8F">
            <w:pPr>
              <w:jc w:val="both"/>
              <w:rPr>
                <w:rFonts w:eastAsia="Times New Roman" w:cs="Times New Roman"/>
                <w:i/>
                <w:szCs w:val="24"/>
                <w:lang w:eastAsia="lv-LV"/>
              </w:rPr>
            </w:pPr>
            <w:r w:rsidRPr="0017354C">
              <w:rPr>
                <w:szCs w:val="24"/>
              </w:rPr>
              <w:t>Izglītības iestādes, kas īsteno vispārējās pamatizglītības programmas un vispārējās vidējās izglītības programmas</w:t>
            </w:r>
            <w:r w:rsidRPr="0017354C">
              <w:rPr>
                <w:szCs w:val="24"/>
              </w:rPr>
              <w:t xml:space="preserve"> (714)</w:t>
            </w:r>
            <w:r w:rsidRPr="0017354C">
              <w:rPr>
                <w:szCs w:val="24"/>
              </w:rPr>
              <w:t>, šo izglītības iestāžu pedagogi un dibinātāji, 9. un 12.  klašu</w:t>
            </w:r>
            <w:r w:rsidRPr="0017354C">
              <w:rPr>
                <w:szCs w:val="24"/>
              </w:rPr>
              <w:t xml:space="preserve"> un</w:t>
            </w:r>
            <w:r w:rsidRPr="0017354C">
              <w:rPr>
                <w:szCs w:val="24"/>
              </w:rPr>
              <w:t xml:space="preserve"> </w:t>
            </w:r>
            <w:r w:rsidRPr="0017354C">
              <w:rPr>
                <w:rFonts w:eastAsia="Times New Roman" w:cs="Times New Roman"/>
                <w:iCs/>
                <w:szCs w:val="24"/>
                <w:lang w:eastAsia="lv-LV"/>
              </w:rPr>
              <w:t>profesionālās izglītības iestā</w:t>
            </w:r>
            <w:r w:rsidRPr="0017354C">
              <w:rPr>
                <w:rFonts w:eastAsia="Times New Roman" w:cs="Times New Roman"/>
                <w:iCs/>
                <w:szCs w:val="24"/>
                <w:lang w:eastAsia="lv-LV"/>
              </w:rPr>
              <w:t>žu</w:t>
            </w:r>
            <w:r w:rsidRPr="0017354C">
              <w:rPr>
                <w:szCs w:val="24"/>
              </w:rPr>
              <w:t xml:space="preserve"> </w:t>
            </w:r>
            <w:r w:rsidRPr="0017354C">
              <w:rPr>
                <w:szCs w:val="24"/>
              </w:rPr>
              <w:t>izglītojamie</w:t>
            </w:r>
            <w:r w:rsidRPr="0017354C">
              <w:rPr>
                <w:szCs w:val="24"/>
              </w:rPr>
              <w:t xml:space="preserve"> </w:t>
            </w:r>
            <w:r w:rsidRPr="0017354C">
              <w:rPr>
                <w:rFonts w:eastAsia="Times New Roman" w:cs="Times New Roman"/>
                <w:iCs/>
                <w:szCs w:val="24"/>
                <w:lang w:eastAsia="lv-LV"/>
              </w:rPr>
              <w:t>(45800</w:t>
            </w:r>
            <w:r w:rsidRPr="0017354C">
              <w:rPr>
                <w:rFonts w:eastAsia="Times New Roman" w:cs="Times New Roman"/>
                <w:iCs/>
                <w:szCs w:val="24"/>
                <w:lang w:eastAsia="lv-LV"/>
              </w:rPr>
              <w:t>)</w:t>
            </w:r>
            <w:r w:rsidRPr="0017354C">
              <w:rPr>
                <w:rFonts w:eastAsia="Times New Roman" w:cs="Times New Roman"/>
                <w:iCs/>
                <w:szCs w:val="24"/>
                <w:lang w:eastAsia="lv-LV"/>
              </w:rPr>
              <w:t>,</w:t>
            </w:r>
            <w:r w:rsidRPr="0017354C">
              <w:rPr>
                <w:szCs w:val="24"/>
              </w:rPr>
              <w:t xml:space="preserve"> izglītojamo vecāki. </w:t>
            </w:r>
            <w:r w:rsidR="00080E9F" w:rsidRPr="0017354C">
              <w:rPr>
                <w:rFonts w:eastAsia="Times New Roman" w:cs="Times New Roman"/>
                <w:iCs/>
                <w:szCs w:val="24"/>
                <w:lang w:eastAsia="lv-LV"/>
              </w:rPr>
              <w:t>Augstākās izglītības iestādes – 4, p</w:t>
            </w:r>
            <w:r w:rsidR="00080E9F" w:rsidRPr="0017354C">
              <w:rPr>
                <w:rFonts w:eastAsia="Times New Roman" w:cs="Times New Roman"/>
                <w:szCs w:val="24"/>
                <w:lang w:eastAsia="lv-LV"/>
              </w:rPr>
              <w:t>ašvaldības izglītības speciālisti vai izglītības pārvaldes iestādes – 109</w:t>
            </w:r>
            <w:r w:rsidR="008D3EDE" w:rsidRPr="0017354C">
              <w:rPr>
                <w:rFonts w:eastAsia="Times New Roman" w:cs="Times New Roman"/>
                <w:szCs w:val="24"/>
                <w:lang w:eastAsia="lv-LV"/>
              </w:rPr>
              <w:t>, centra darbinieki</w:t>
            </w:r>
            <w:r w:rsidR="003D2B82" w:rsidRPr="0017354C">
              <w:rPr>
                <w:rFonts w:eastAsia="Times New Roman" w:cs="Times New Roman"/>
                <w:szCs w:val="24"/>
                <w:lang w:eastAsia="lv-LV"/>
              </w:rPr>
              <w:t>, kas iesaistīti valsts pārbaudes darbu nodrošināšanā</w:t>
            </w:r>
            <w:r w:rsidR="008D3EDE" w:rsidRPr="0017354C">
              <w:rPr>
                <w:rFonts w:eastAsia="Times New Roman" w:cs="Times New Roman"/>
                <w:szCs w:val="24"/>
                <w:lang w:eastAsia="lv-LV"/>
              </w:rPr>
              <w:t>.</w:t>
            </w:r>
          </w:p>
        </w:tc>
      </w:tr>
      <w:tr w:rsidR="00521686" w:rsidRPr="0017354C" w:rsidTr="00F85295">
        <w:tc>
          <w:tcPr>
            <w:tcW w:w="426" w:type="dxa"/>
            <w:shd w:val="clear" w:color="auto" w:fill="FFFFFF"/>
          </w:tcPr>
          <w:p w:rsidR="00080E9F" w:rsidRPr="0017354C" w:rsidRDefault="00080E9F" w:rsidP="00080E9F">
            <w:pPr>
              <w:jc w:val="center"/>
              <w:rPr>
                <w:rFonts w:eastAsia="Times New Roman" w:cs="Times New Roman"/>
                <w:szCs w:val="24"/>
                <w:lang w:eastAsia="lv-LV"/>
              </w:rPr>
            </w:pPr>
            <w:r w:rsidRPr="0017354C">
              <w:rPr>
                <w:rFonts w:eastAsia="Times New Roman" w:cs="Times New Roman"/>
                <w:szCs w:val="24"/>
                <w:lang w:eastAsia="lv-LV"/>
              </w:rPr>
              <w:lastRenderedPageBreak/>
              <w:t>2.</w:t>
            </w:r>
          </w:p>
        </w:tc>
        <w:tc>
          <w:tcPr>
            <w:tcW w:w="2693" w:type="dxa"/>
            <w:shd w:val="clear" w:color="auto" w:fill="FFFFFF"/>
          </w:tcPr>
          <w:p w:rsidR="00080E9F" w:rsidRPr="0017354C" w:rsidRDefault="00080E9F" w:rsidP="00080E9F">
            <w:pPr>
              <w:ind w:left="17"/>
              <w:rPr>
                <w:rFonts w:eastAsia="Times New Roman" w:cs="Times New Roman"/>
                <w:szCs w:val="24"/>
                <w:lang w:eastAsia="lv-LV"/>
              </w:rPr>
            </w:pPr>
            <w:r w:rsidRPr="0017354C">
              <w:rPr>
                <w:rFonts w:eastAsia="Times New Roman" w:cs="Times New Roman"/>
                <w:szCs w:val="24"/>
                <w:lang w:eastAsia="lv-LV"/>
              </w:rPr>
              <w:t>Tiesiskā regulējuma ietekme uz tautsaimniecību un administratīvo slogu</w:t>
            </w:r>
          </w:p>
        </w:tc>
        <w:tc>
          <w:tcPr>
            <w:tcW w:w="5687" w:type="dxa"/>
            <w:shd w:val="clear" w:color="auto" w:fill="FFFFFF"/>
          </w:tcPr>
          <w:p w:rsidR="00080E9F" w:rsidRPr="0017354C" w:rsidRDefault="00080E9F" w:rsidP="00DA6E76">
            <w:pPr>
              <w:jc w:val="both"/>
              <w:rPr>
                <w:rFonts w:eastAsia="Times New Roman" w:cs="Times New Roman"/>
                <w:szCs w:val="24"/>
                <w:lang w:eastAsia="lv-LV"/>
              </w:rPr>
            </w:pPr>
            <w:r w:rsidRPr="0017354C">
              <w:rPr>
                <w:rFonts w:eastAsia="Times New Roman" w:cs="Times New Roman"/>
                <w:szCs w:val="24"/>
                <w:lang w:eastAsia="lv-LV"/>
              </w:rPr>
              <w:t>Sabiedrības grupām un institūcijām projekt</w:t>
            </w:r>
            <w:r w:rsidR="003F07CD" w:rsidRPr="0017354C">
              <w:rPr>
                <w:rFonts w:eastAsia="Times New Roman" w:cs="Times New Roman"/>
                <w:szCs w:val="24"/>
                <w:lang w:eastAsia="lv-LV"/>
              </w:rPr>
              <w:t>u</w:t>
            </w:r>
            <w:r w:rsidRPr="0017354C">
              <w:rPr>
                <w:rFonts w:eastAsia="Times New Roman" w:cs="Times New Roman"/>
                <w:szCs w:val="24"/>
                <w:lang w:eastAsia="lv-LV"/>
              </w:rPr>
              <w:t xml:space="preserve"> tiesiskais regulējums nemaina tiesības un pienākumus, kā arī veicamās darbības.</w:t>
            </w:r>
          </w:p>
        </w:tc>
      </w:tr>
      <w:tr w:rsidR="00521686" w:rsidRPr="0017354C" w:rsidTr="00F85295">
        <w:tc>
          <w:tcPr>
            <w:tcW w:w="426" w:type="dxa"/>
            <w:shd w:val="clear" w:color="auto" w:fill="FFFFFF"/>
          </w:tcPr>
          <w:p w:rsidR="00080E9F" w:rsidRPr="0017354C" w:rsidRDefault="00080E9F" w:rsidP="00080E9F">
            <w:pPr>
              <w:jc w:val="center"/>
              <w:rPr>
                <w:rFonts w:eastAsia="Times New Roman" w:cs="Times New Roman"/>
                <w:szCs w:val="24"/>
                <w:lang w:eastAsia="lv-LV"/>
              </w:rPr>
            </w:pPr>
            <w:r w:rsidRPr="0017354C">
              <w:rPr>
                <w:rFonts w:eastAsia="Times New Roman" w:cs="Times New Roman"/>
                <w:szCs w:val="24"/>
                <w:lang w:eastAsia="lv-LV"/>
              </w:rPr>
              <w:t>3.</w:t>
            </w:r>
          </w:p>
        </w:tc>
        <w:tc>
          <w:tcPr>
            <w:tcW w:w="2693" w:type="dxa"/>
            <w:shd w:val="clear" w:color="auto" w:fill="FFFFFF"/>
          </w:tcPr>
          <w:p w:rsidR="00080E9F" w:rsidRPr="0017354C" w:rsidRDefault="00080E9F" w:rsidP="00080E9F">
            <w:pPr>
              <w:ind w:left="17"/>
              <w:rPr>
                <w:rFonts w:eastAsia="Times New Roman" w:cs="Times New Roman"/>
                <w:szCs w:val="24"/>
                <w:lang w:eastAsia="lv-LV"/>
              </w:rPr>
            </w:pPr>
            <w:r w:rsidRPr="0017354C">
              <w:rPr>
                <w:rFonts w:eastAsia="Times New Roman" w:cs="Times New Roman"/>
                <w:szCs w:val="24"/>
                <w:lang w:eastAsia="lv-LV"/>
              </w:rPr>
              <w:t xml:space="preserve">Administratīvo izmaksu monetārs novērtējums </w:t>
            </w:r>
          </w:p>
        </w:tc>
        <w:tc>
          <w:tcPr>
            <w:tcW w:w="5687" w:type="dxa"/>
            <w:shd w:val="clear" w:color="auto" w:fill="FFFFFF"/>
          </w:tcPr>
          <w:p w:rsidR="00080E9F" w:rsidRPr="0017354C" w:rsidRDefault="0029304E" w:rsidP="00DA6E76">
            <w:pPr>
              <w:rPr>
                <w:rFonts w:eastAsia="Times New Roman" w:cs="Times New Roman"/>
                <w:i/>
                <w:szCs w:val="24"/>
                <w:lang w:eastAsia="lv-LV"/>
              </w:rPr>
            </w:pPr>
            <w:r w:rsidRPr="0017354C">
              <w:rPr>
                <w:rFonts w:eastAsia="Times New Roman" w:cs="Times New Roman"/>
                <w:szCs w:val="24"/>
                <w:lang w:eastAsia="lv-LV"/>
              </w:rPr>
              <w:t>Projekt</w:t>
            </w:r>
            <w:r w:rsidR="00DA6E76" w:rsidRPr="0017354C">
              <w:rPr>
                <w:rFonts w:eastAsia="Times New Roman" w:cs="Times New Roman"/>
                <w:szCs w:val="24"/>
                <w:lang w:eastAsia="lv-LV"/>
              </w:rPr>
              <w:t>i</w:t>
            </w:r>
            <w:r w:rsidRPr="0017354C">
              <w:rPr>
                <w:rFonts w:eastAsia="Times New Roman" w:cs="Times New Roman"/>
                <w:szCs w:val="24"/>
                <w:lang w:eastAsia="lv-LV"/>
              </w:rPr>
              <w:t xml:space="preserve"> šo jomu neskar</w:t>
            </w:r>
            <w:r w:rsidR="00080E9F" w:rsidRPr="0017354C">
              <w:rPr>
                <w:rFonts w:eastAsia="Times New Roman" w:cs="Times New Roman"/>
                <w:szCs w:val="24"/>
                <w:lang w:eastAsia="lv-LV"/>
              </w:rPr>
              <w:t>.</w:t>
            </w:r>
          </w:p>
        </w:tc>
      </w:tr>
      <w:tr w:rsidR="00521686" w:rsidRPr="0017354C" w:rsidTr="00F85295">
        <w:tc>
          <w:tcPr>
            <w:tcW w:w="426" w:type="dxa"/>
            <w:shd w:val="clear" w:color="auto" w:fill="FFFFFF"/>
          </w:tcPr>
          <w:p w:rsidR="00080E9F" w:rsidRPr="0017354C" w:rsidRDefault="00080E9F" w:rsidP="00080E9F">
            <w:pPr>
              <w:jc w:val="center"/>
              <w:rPr>
                <w:rFonts w:eastAsia="Times New Roman" w:cs="Times New Roman"/>
                <w:szCs w:val="24"/>
                <w:lang w:eastAsia="lv-LV"/>
              </w:rPr>
            </w:pPr>
            <w:r w:rsidRPr="0017354C">
              <w:rPr>
                <w:rFonts w:eastAsia="Times New Roman" w:cs="Times New Roman"/>
                <w:szCs w:val="24"/>
                <w:lang w:eastAsia="lv-LV"/>
              </w:rPr>
              <w:t>4.</w:t>
            </w:r>
          </w:p>
        </w:tc>
        <w:tc>
          <w:tcPr>
            <w:tcW w:w="2693" w:type="dxa"/>
            <w:shd w:val="clear" w:color="auto" w:fill="FFFFFF"/>
          </w:tcPr>
          <w:p w:rsidR="00080E9F" w:rsidRPr="0017354C" w:rsidRDefault="00080E9F" w:rsidP="00080E9F">
            <w:pPr>
              <w:ind w:left="17"/>
              <w:rPr>
                <w:rFonts w:eastAsia="Times New Roman" w:cs="Times New Roman"/>
                <w:szCs w:val="24"/>
                <w:lang w:eastAsia="lv-LV"/>
              </w:rPr>
            </w:pPr>
            <w:r w:rsidRPr="0017354C">
              <w:rPr>
                <w:rFonts w:eastAsia="Times New Roman" w:cs="Times New Roman"/>
                <w:szCs w:val="24"/>
                <w:lang w:eastAsia="lv-LV"/>
              </w:rPr>
              <w:t>Atbilstības izmaksu monetārs novērtējums</w:t>
            </w:r>
          </w:p>
        </w:tc>
        <w:tc>
          <w:tcPr>
            <w:tcW w:w="5687" w:type="dxa"/>
            <w:shd w:val="clear" w:color="auto" w:fill="FFFFFF"/>
          </w:tcPr>
          <w:p w:rsidR="00080E9F" w:rsidRPr="0017354C" w:rsidRDefault="00080E9F" w:rsidP="00DA6E76">
            <w:pPr>
              <w:rPr>
                <w:rFonts w:eastAsia="Times New Roman" w:cs="Times New Roman"/>
                <w:szCs w:val="24"/>
                <w:lang w:eastAsia="lv-LV"/>
              </w:rPr>
            </w:pPr>
            <w:r w:rsidRPr="0017354C">
              <w:rPr>
                <w:rFonts w:eastAsia="Times New Roman" w:cs="Times New Roman"/>
                <w:bCs/>
                <w:szCs w:val="24"/>
              </w:rPr>
              <w:t>Projekt</w:t>
            </w:r>
            <w:r w:rsidR="00DA6E76" w:rsidRPr="0017354C">
              <w:rPr>
                <w:rFonts w:eastAsia="Times New Roman" w:cs="Times New Roman"/>
                <w:bCs/>
                <w:szCs w:val="24"/>
              </w:rPr>
              <w:t>i</w:t>
            </w:r>
            <w:r w:rsidRPr="0017354C">
              <w:rPr>
                <w:rFonts w:eastAsia="Times New Roman" w:cs="Times New Roman"/>
                <w:bCs/>
                <w:szCs w:val="24"/>
              </w:rPr>
              <w:t xml:space="preserve"> šo jomu neskar.</w:t>
            </w:r>
          </w:p>
        </w:tc>
      </w:tr>
      <w:tr w:rsidR="00521686" w:rsidRPr="0017354C" w:rsidTr="00F85295">
        <w:tc>
          <w:tcPr>
            <w:tcW w:w="426" w:type="dxa"/>
            <w:shd w:val="clear" w:color="auto" w:fill="FFFFFF"/>
          </w:tcPr>
          <w:p w:rsidR="00080E9F" w:rsidRPr="0017354C" w:rsidRDefault="00080E9F" w:rsidP="00080E9F">
            <w:pPr>
              <w:jc w:val="center"/>
              <w:rPr>
                <w:rFonts w:eastAsia="Times New Roman" w:cs="Times New Roman"/>
                <w:szCs w:val="24"/>
                <w:lang w:eastAsia="lv-LV"/>
              </w:rPr>
            </w:pPr>
            <w:r w:rsidRPr="0017354C">
              <w:rPr>
                <w:rFonts w:eastAsia="Times New Roman" w:cs="Times New Roman"/>
                <w:szCs w:val="24"/>
                <w:lang w:eastAsia="lv-LV"/>
              </w:rPr>
              <w:t>5.</w:t>
            </w:r>
          </w:p>
        </w:tc>
        <w:tc>
          <w:tcPr>
            <w:tcW w:w="2693" w:type="dxa"/>
            <w:shd w:val="clear" w:color="auto" w:fill="FFFFFF"/>
          </w:tcPr>
          <w:p w:rsidR="00080E9F" w:rsidRPr="0017354C" w:rsidRDefault="00080E9F" w:rsidP="00080E9F">
            <w:pPr>
              <w:ind w:left="17"/>
              <w:rPr>
                <w:rFonts w:eastAsia="Times New Roman" w:cs="Times New Roman"/>
                <w:szCs w:val="24"/>
                <w:lang w:eastAsia="lv-LV"/>
              </w:rPr>
            </w:pPr>
            <w:r w:rsidRPr="0017354C">
              <w:rPr>
                <w:rFonts w:eastAsia="Times New Roman" w:cs="Times New Roman"/>
                <w:szCs w:val="24"/>
                <w:lang w:eastAsia="lv-LV"/>
              </w:rPr>
              <w:t>Cita informācija.</w:t>
            </w:r>
          </w:p>
        </w:tc>
        <w:tc>
          <w:tcPr>
            <w:tcW w:w="5687" w:type="dxa"/>
            <w:shd w:val="clear" w:color="auto" w:fill="FFFFFF"/>
          </w:tcPr>
          <w:p w:rsidR="00080E9F" w:rsidRPr="0017354C" w:rsidRDefault="00080E9F" w:rsidP="00080E9F">
            <w:pPr>
              <w:rPr>
                <w:rFonts w:eastAsia="Times New Roman" w:cs="Times New Roman"/>
                <w:i/>
                <w:szCs w:val="24"/>
                <w:lang w:eastAsia="lv-LV"/>
              </w:rPr>
            </w:pPr>
            <w:r w:rsidRPr="0017354C">
              <w:rPr>
                <w:rFonts w:eastAsia="Times New Roman" w:cs="Times New Roman"/>
                <w:iCs/>
                <w:szCs w:val="24"/>
                <w:lang w:eastAsia="lv-LV"/>
              </w:rPr>
              <w:t>Nav</w:t>
            </w:r>
            <w:r w:rsidR="00B3497C" w:rsidRPr="0017354C">
              <w:rPr>
                <w:rFonts w:eastAsia="Times New Roman" w:cs="Times New Roman"/>
                <w:iCs/>
                <w:szCs w:val="24"/>
                <w:lang w:eastAsia="lv-LV"/>
              </w:rPr>
              <w:t>.</w:t>
            </w:r>
          </w:p>
        </w:tc>
      </w:tr>
    </w:tbl>
    <w:p w:rsidR="00080E9F" w:rsidRPr="0017354C" w:rsidRDefault="00080E9F">
      <w:pPr>
        <w:rPr>
          <w:rFonts w:cs="Times New Roman"/>
          <w:szCs w:val="24"/>
        </w:rPr>
      </w:pPr>
    </w:p>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521686" w:rsidRPr="0017354C" w:rsidTr="000373F9">
        <w:tc>
          <w:tcPr>
            <w:tcW w:w="8839" w:type="dxa"/>
            <w:shd w:val="clear" w:color="auto" w:fill="FFFFFF"/>
          </w:tcPr>
          <w:p w:rsidR="00080E9F" w:rsidRPr="0017354C" w:rsidRDefault="00080E9F" w:rsidP="00080E9F">
            <w:pPr>
              <w:jc w:val="center"/>
              <w:rPr>
                <w:rFonts w:eastAsia="Times New Roman" w:cs="Times New Roman"/>
                <w:iCs/>
                <w:szCs w:val="24"/>
                <w:lang w:eastAsia="lv-LV"/>
              </w:rPr>
            </w:pPr>
            <w:r w:rsidRPr="0017354C">
              <w:rPr>
                <w:rFonts w:cs="Times New Roman"/>
                <w:b/>
                <w:bCs/>
                <w:szCs w:val="24"/>
              </w:rPr>
              <w:t>III. Tiesību akta projekta ietekme uz valsts budžetu un pašvaldību budžetiem</w:t>
            </w:r>
          </w:p>
        </w:tc>
      </w:tr>
      <w:tr w:rsidR="00521686" w:rsidRPr="0017354C" w:rsidTr="000373F9">
        <w:tc>
          <w:tcPr>
            <w:tcW w:w="8839" w:type="dxa"/>
            <w:shd w:val="clear" w:color="auto" w:fill="FFFFFF"/>
          </w:tcPr>
          <w:p w:rsidR="00080E9F" w:rsidRPr="0017354C" w:rsidRDefault="00080E9F" w:rsidP="00DA6E76">
            <w:pPr>
              <w:jc w:val="center"/>
              <w:rPr>
                <w:rFonts w:eastAsia="Times New Roman" w:cs="Times New Roman"/>
                <w:iCs/>
                <w:szCs w:val="24"/>
                <w:lang w:eastAsia="lv-LV"/>
              </w:rPr>
            </w:pPr>
            <w:r w:rsidRPr="0017354C">
              <w:rPr>
                <w:rFonts w:cs="Times New Roman"/>
                <w:bCs/>
                <w:szCs w:val="24"/>
              </w:rPr>
              <w:t>Projekt</w:t>
            </w:r>
            <w:r w:rsidR="00DA6E76" w:rsidRPr="0017354C">
              <w:rPr>
                <w:rFonts w:cs="Times New Roman"/>
                <w:bCs/>
                <w:szCs w:val="24"/>
              </w:rPr>
              <w:t>i</w:t>
            </w:r>
            <w:r w:rsidRPr="0017354C">
              <w:rPr>
                <w:rFonts w:cs="Times New Roman"/>
                <w:bCs/>
                <w:szCs w:val="24"/>
              </w:rPr>
              <w:t xml:space="preserve"> šo jomu neskar.</w:t>
            </w:r>
          </w:p>
        </w:tc>
      </w:tr>
    </w:tbl>
    <w:p w:rsidR="00DA609F" w:rsidRPr="0017354C" w:rsidRDefault="00DA609F">
      <w:pPr>
        <w:rPr>
          <w:rFonts w:cs="Times New Roman"/>
          <w:szCs w:val="24"/>
        </w:rPr>
      </w:pPr>
    </w:p>
    <w:tbl>
      <w:tblPr>
        <w:tblStyle w:val="TableGrid"/>
        <w:tblW w:w="8834" w:type="dxa"/>
        <w:tblInd w:w="-289" w:type="dxa"/>
        <w:tblLook w:val="04A0" w:firstRow="1" w:lastRow="0" w:firstColumn="1" w:lastColumn="0" w:noHBand="0" w:noVBand="1"/>
      </w:tblPr>
      <w:tblGrid>
        <w:gridCol w:w="426"/>
        <w:gridCol w:w="2693"/>
        <w:gridCol w:w="5715"/>
      </w:tblGrid>
      <w:tr w:rsidR="00521686" w:rsidRPr="0017354C" w:rsidTr="000373F9">
        <w:tc>
          <w:tcPr>
            <w:tcW w:w="8834" w:type="dxa"/>
            <w:gridSpan w:val="3"/>
          </w:tcPr>
          <w:p w:rsidR="0047162F" w:rsidRPr="0017354C" w:rsidRDefault="0047162F" w:rsidP="0047162F">
            <w:pPr>
              <w:jc w:val="center"/>
              <w:rPr>
                <w:rFonts w:cs="Times New Roman"/>
                <w:i/>
                <w:szCs w:val="24"/>
              </w:rPr>
            </w:pPr>
            <w:r w:rsidRPr="0017354C">
              <w:rPr>
                <w:rFonts w:cs="Times New Roman"/>
                <w:b/>
                <w:bCs/>
                <w:szCs w:val="24"/>
              </w:rPr>
              <w:t>IV. Tiesību akta projekta ietekme uz spēkā esošo tiesību normu sistēmu</w:t>
            </w:r>
          </w:p>
        </w:tc>
      </w:tr>
      <w:tr w:rsidR="0017354C" w:rsidRPr="0017354C" w:rsidTr="0017354C">
        <w:tc>
          <w:tcPr>
            <w:tcW w:w="426" w:type="dxa"/>
          </w:tcPr>
          <w:p w:rsidR="0017354C" w:rsidRPr="0017354C" w:rsidRDefault="0017354C" w:rsidP="0017354C">
            <w:pPr>
              <w:pStyle w:val="ListParagraph"/>
              <w:ind w:hanging="828"/>
              <w:rPr>
                <w:rFonts w:cs="Times New Roman"/>
                <w:bCs/>
                <w:szCs w:val="24"/>
              </w:rPr>
            </w:pPr>
            <w:r w:rsidRPr="0017354C">
              <w:rPr>
                <w:rFonts w:eastAsia="Times New Roman" w:cs="Times New Roman"/>
                <w:szCs w:val="24"/>
                <w:lang w:eastAsia="lv-LV"/>
              </w:rPr>
              <w:t>1.</w:t>
            </w:r>
          </w:p>
        </w:tc>
        <w:tc>
          <w:tcPr>
            <w:tcW w:w="2693" w:type="dxa"/>
          </w:tcPr>
          <w:p w:rsidR="0017354C" w:rsidRPr="0017354C" w:rsidRDefault="0017354C" w:rsidP="0017354C">
            <w:pPr>
              <w:rPr>
                <w:rFonts w:cs="Times New Roman"/>
                <w:b/>
                <w:bCs/>
                <w:szCs w:val="24"/>
              </w:rPr>
            </w:pPr>
            <w:r w:rsidRPr="0017354C">
              <w:rPr>
                <w:szCs w:val="24"/>
              </w:rPr>
              <w:t>Saistītie tiesību aktu projekti</w:t>
            </w:r>
          </w:p>
        </w:tc>
        <w:tc>
          <w:tcPr>
            <w:tcW w:w="5715" w:type="dxa"/>
          </w:tcPr>
          <w:p w:rsidR="0017354C" w:rsidRPr="0017354C" w:rsidRDefault="0017354C" w:rsidP="0017354C">
            <w:pPr>
              <w:jc w:val="both"/>
              <w:rPr>
                <w:rFonts w:cs="Times New Roman"/>
                <w:b/>
                <w:bCs/>
                <w:szCs w:val="24"/>
              </w:rPr>
            </w:pPr>
            <w:r w:rsidRPr="0017354C">
              <w:rPr>
                <w:szCs w:val="24"/>
              </w:rPr>
              <w:t>Saeimas Izglītības, kultūras un zinātnes komisijas 2020. gada 5. maija sēdē pirms likumprojekta “Grozījumi Vispārējās izglītības likumā” (Nr. 407/Lp13) 3. lasījuma tika atbalstīti Izglītības un zinātnes ministrijas sagatavotie priekšlikumi par Vispārējās izglītības likuma pārejas noteikumu papildināšanu ar diviem pārejas punktiem, paredzot, ka 2019./2020. mācību gads 12. klases izglītojamiem ilgst līdz 2020. gada 7. jūlijam, kā arī paredzot to, ka 2019./2020. mācību gadā valsts pārbaudes darbi par vispārējās pamatizglītības ieguvi nenotiek, izņemot centralizēto eksāmenu latviešu valodā mazākumtautību izglītības programmās izglītojamiem, kuri šo eksāmenu vēlas kārtot. Sēdē priekšlikumi ir papildināti, nosakot, ka izglītojamajiem par vispārējās pamatizglītības ieguvi 2019./2020. mācību gadā tiek izsniegta apliecība par vispārējo pamatizglītību un sekmju izraksts.</w:t>
            </w:r>
          </w:p>
        </w:tc>
      </w:tr>
    </w:tbl>
    <w:p w:rsidR="00DA609F" w:rsidRPr="0017354C" w:rsidRDefault="00DA609F">
      <w:pPr>
        <w:rPr>
          <w:rFonts w:cs="Times New Roman"/>
          <w:szCs w:val="24"/>
        </w:rPr>
      </w:pPr>
    </w:p>
    <w:tbl>
      <w:tblPr>
        <w:tblStyle w:val="TableGrid"/>
        <w:tblW w:w="8789" w:type="dxa"/>
        <w:tblInd w:w="-289" w:type="dxa"/>
        <w:tblLook w:val="04A0" w:firstRow="1" w:lastRow="0" w:firstColumn="1" w:lastColumn="0" w:noHBand="0" w:noVBand="1"/>
      </w:tblPr>
      <w:tblGrid>
        <w:gridCol w:w="8789"/>
      </w:tblGrid>
      <w:tr w:rsidR="00521686" w:rsidRPr="0017354C" w:rsidTr="00DA6E76">
        <w:tc>
          <w:tcPr>
            <w:tcW w:w="8789" w:type="dxa"/>
          </w:tcPr>
          <w:p w:rsidR="00DA6E76" w:rsidRPr="0017354C" w:rsidRDefault="00DA6E76" w:rsidP="00DA6E76">
            <w:pPr>
              <w:jc w:val="center"/>
              <w:rPr>
                <w:rFonts w:cs="Times New Roman"/>
                <w:b/>
                <w:szCs w:val="24"/>
              </w:rPr>
            </w:pPr>
            <w:r w:rsidRPr="0017354C">
              <w:rPr>
                <w:rFonts w:cs="Times New Roman"/>
                <w:b/>
                <w:szCs w:val="24"/>
              </w:rPr>
              <w:t>V. Tiesību akta projekta atbilstība Latvijas Republikas starptautiskajām saistībām</w:t>
            </w:r>
          </w:p>
        </w:tc>
      </w:tr>
      <w:tr w:rsidR="00521686" w:rsidRPr="0017354C" w:rsidTr="00DA6E76">
        <w:tc>
          <w:tcPr>
            <w:tcW w:w="8789" w:type="dxa"/>
          </w:tcPr>
          <w:p w:rsidR="00DA6E76" w:rsidRPr="0017354C" w:rsidRDefault="00DA6E76" w:rsidP="00DA6E76">
            <w:pPr>
              <w:jc w:val="center"/>
              <w:rPr>
                <w:rFonts w:cs="Times New Roman"/>
                <w:szCs w:val="24"/>
              </w:rPr>
            </w:pPr>
            <w:r w:rsidRPr="0017354C">
              <w:rPr>
                <w:rFonts w:cs="Times New Roman"/>
                <w:szCs w:val="24"/>
              </w:rPr>
              <w:t>Projekti šo jomu neskar</w:t>
            </w:r>
          </w:p>
        </w:tc>
      </w:tr>
    </w:tbl>
    <w:p w:rsidR="00DA6E76" w:rsidRPr="0017354C" w:rsidRDefault="00DA6E76">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521686" w:rsidRPr="0017354C" w:rsidTr="007D0BD7">
        <w:tc>
          <w:tcPr>
            <w:tcW w:w="8806" w:type="dxa"/>
            <w:shd w:val="clear" w:color="auto" w:fill="FFFFFF"/>
          </w:tcPr>
          <w:p w:rsidR="00080E9F" w:rsidRPr="0017354C" w:rsidRDefault="00080E9F" w:rsidP="00080E9F">
            <w:pPr>
              <w:jc w:val="center"/>
              <w:rPr>
                <w:rFonts w:eastAsia="Times New Roman" w:cs="Times New Roman"/>
                <w:iCs/>
                <w:szCs w:val="24"/>
                <w:lang w:eastAsia="lv-LV"/>
              </w:rPr>
            </w:pPr>
            <w:r w:rsidRPr="0017354C">
              <w:rPr>
                <w:rFonts w:eastAsia="Times New Roman" w:cs="Times New Roman"/>
                <w:b/>
                <w:bCs/>
                <w:szCs w:val="24"/>
                <w:lang w:eastAsia="lv-LV"/>
              </w:rPr>
              <w:t>VI</w:t>
            </w:r>
            <w:r w:rsidR="00DA609F" w:rsidRPr="0017354C">
              <w:rPr>
                <w:rFonts w:eastAsia="Times New Roman" w:cs="Times New Roman"/>
                <w:b/>
                <w:bCs/>
                <w:szCs w:val="24"/>
                <w:lang w:eastAsia="lv-LV"/>
              </w:rPr>
              <w:t>.</w:t>
            </w:r>
            <w:r w:rsidRPr="0017354C">
              <w:rPr>
                <w:rFonts w:eastAsia="Times New Roman" w:cs="Times New Roman"/>
                <w:b/>
                <w:bCs/>
                <w:szCs w:val="24"/>
                <w:lang w:eastAsia="lv-LV"/>
              </w:rPr>
              <w:t xml:space="preserve"> Sabiedrības līdzdalība un komunikācijas aktivitātes</w:t>
            </w:r>
          </w:p>
        </w:tc>
      </w:tr>
      <w:tr w:rsidR="00521686" w:rsidRPr="0017354C" w:rsidTr="007D0BD7">
        <w:tc>
          <w:tcPr>
            <w:tcW w:w="8806" w:type="dxa"/>
            <w:shd w:val="clear" w:color="auto" w:fill="FFFFFF"/>
          </w:tcPr>
          <w:p w:rsidR="009B0844" w:rsidRPr="0017354C" w:rsidRDefault="009B0844" w:rsidP="00080E9F">
            <w:pPr>
              <w:jc w:val="center"/>
              <w:rPr>
                <w:rFonts w:eastAsia="Times New Roman" w:cs="Times New Roman"/>
                <w:b/>
                <w:bCs/>
                <w:szCs w:val="24"/>
                <w:lang w:eastAsia="lv-LV"/>
              </w:rPr>
            </w:pPr>
            <w:r w:rsidRPr="0017354C">
              <w:rPr>
                <w:rFonts w:cs="Times New Roman"/>
                <w:szCs w:val="24"/>
              </w:rPr>
              <w:t>Projekti šo jomu neskar</w:t>
            </w:r>
          </w:p>
        </w:tc>
      </w:tr>
    </w:tbl>
    <w:p w:rsidR="00080E9F" w:rsidRPr="0017354C" w:rsidRDefault="00080E9F">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705"/>
        <w:gridCol w:w="5675"/>
      </w:tblGrid>
      <w:tr w:rsidR="00521686" w:rsidRPr="0017354C" w:rsidTr="00301F83">
        <w:tc>
          <w:tcPr>
            <w:tcW w:w="8806" w:type="dxa"/>
            <w:gridSpan w:val="3"/>
            <w:shd w:val="clear" w:color="auto" w:fill="FFFFFF"/>
          </w:tcPr>
          <w:p w:rsidR="00080E9F" w:rsidRPr="0017354C" w:rsidRDefault="00080E9F" w:rsidP="00080E9F">
            <w:pPr>
              <w:jc w:val="center"/>
              <w:rPr>
                <w:rFonts w:eastAsia="Times New Roman" w:cs="Times New Roman"/>
                <w:iCs/>
                <w:szCs w:val="24"/>
                <w:lang w:eastAsia="lv-LV"/>
              </w:rPr>
            </w:pPr>
            <w:r w:rsidRPr="0017354C">
              <w:rPr>
                <w:rFonts w:eastAsia="Times New Roman" w:cs="Times New Roman"/>
                <w:b/>
                <w:bCs/>
                <w:szCs w:val="24"/>
                <w:lang w:eastAsia="lv-LV"/>
              </w:rPr>
              <w:t>VII Tiesību akta projekta izpildes nodrošināšana un tās ietekme uz institūcijām</w:t>
            </w:r>
          </w:p>
        </w:tc>
      </w:tr>
      <w:tr w:rsidR="00521686" w:rsidRPr="0017354C" w:rsidTr="00081BB3">
        <w:tc>
          <w:tcPr>
            <w:tcW w:w="426" w:type="dxa"/>
            <w:shd w:val="clear" w:color="auto" w:fill="FFFFFF"/>
          </w:tcPr>
          <w:p w:rsidR="00080E9F" w:rsidRPr="0017354C" w:rsidRDefault="00080E9F" w:rsidP="00080E9F">
            <w:pPr>
              <w:ind w:left="181" w:hanging="181"/>
              <w:jc w:val="center"/>
              <w:rPr>
                <w:rFonts w:eastAsia="Times New Roman" w:cs="Times New Roman"/>
                <w:bCs/>
                <w:szCs w:val="24"/>
                <w:lang w:eastAsia="lv-LV"/>
              </w:rPr>
            </w:pPr>
            <w:r w:rsidRPr="0017354C">
              <w:rPr>
                <w:rFonts w:eastAsia="Times New Roman" w:cs="Times New Roman"/>
                <w:bCs/>
                <w:szCs w:val="24"/>
                <w:lang w:eastAsia="lv-LV"/>
              </w:rPr>
              <w:t>1.</w:t>
            </w:r>
          </w:p>
        </w:tc>
        <w:tc>
          <w:tcPr>
            <w:tcW w:w="2705" w:type="dxa"/>
            <w:shd w:val="clear" w:color="auto" w:fill="FFFFFF"/>
          </w:tcPr>
          <w:p w:rsidR="00080E9F" w:rsidRPr="0017354C" w:rsidRDefault="00080E9F" w:rsidP="00080E9F">
            <w:pPr>
              <w:rPr>
                <w:rFonts w:eastAsia="Times New Roman" w:cs="Times New Roman"/>
                <w:szCs w:val="24"/>
                <w:lang w:eastAsia="lv-LV"/>
              </w:rPr>
            </w:pPr>
            <w:r w:rsidRPr="0017354C">
              <w:rPr>
                <w:rFonts w:eastAsia="Times New Roman" w:cs="Times New Roman"/>
                <w:szCs w:val="24"/>
                <w:lang w:eastAsia="lv-LV"/>
              </w:rPr>
              <w:t xml:space="preserve">Projekta izpildē iesaistītās institūcijas </w:t>
            </w:r>
          </w:p>
        </w:tc>
        <w:tc>
          <w:tcPr>
            <w:tcW w:w="5675" w:type="dxa"/>
            <w:shd w:val="clear" w:color="auto" w:fill="FFFFFF"/>
          </w:tcPr>
          <w:p w:rsidR="00080E9F" w:rsidRPr="0017354C" w:rsidRDefault="00EE330D" w:rsidP="001F3C0A">
            <w:pPr>
              <w:jc w:val="both"/>
              <w:rPr>
                <w:rFonts w:eastAsia="Times New Roman" w:cs="Times New Roman"/>
                <w:bCs/>
                <w:szCs w:val="24"/>
                <w:lang w:eastAsia="lv-LV"/>
              </w:rPr>
            </w:pPr>
            <w:r w:rsidRPr="0017354C">
              <w:rPr>
                <w:rFonts w:eastAsia="Times New Roman" w:cs="Times New Roman"/>
                <w:bCs/>
                <w:iCs/>
                <w:szCs w:val="24"/>
                <w:lang w:eastAsia="lv-LV"/>
              </w:rPr>
              <w:t>Centrs, i</w:t>
            </w:r>
            <w:r w:rsidR="00080E9F" w:rsidRPr="0017354C">
              <w:rPr>
                <w:rFonts w:eastAsia="Times New Roman" w:cs="Times New Roman"/>
                <w:bCs/>
                <w:iCs/>
                <w:szCs w:val="24"/>
                <w:lang w:eastAsia="lv-LV"/>
              </w:rPr>
              <w:t xml:space="preserve">zglītības iestādes – </w:t>
            </w:r>
            <w:r w:rsidR="001F3C0A" w:rsidRPr="0017354C">
              <w:rPr>
                <w:rFonts w:eastAsia="Times New Roman" w:cs="Times New Roman"/>
                <w:bCs/>
                <w:iCs/>
                <w:szCs w:val="24"/>
                <w:lang w:eastAsia="lv-LV"/>
              </w:rPr>
              <w:t>714</w:t>
            </w:r>
            <w:r w:rsidR="00080E9F" w:rsidRPr="0017354C">
              <w:rPr>
                <w:rFonts w:eastAsia="Times New Roman" w:cs="Times New Roman"/>
                <w:bCs/>
                <w:iCs/>
                <w:szCs w:val="24"/>
                <w:lang w:eastAsia="lv-LV"/>
              </w:rPr>
              <w:t xml:space="preserve">, kuras īsteno vispārējās </w:t>
            </w:r>
            <w:r w:rsidR="000905B2" w:rsidRPr="0017354C">
              <w:rPr>
                <w:rFonts w:eastAsia="Times New Roman" w:cs="Times New Roman"/>
                <w:bCs/>
                <w:iCs/>
                <w:szCs w:val="24"/>
                <w:lang w:eastAsia="lv-LV"/>
              </w:rPr>
              <w:t xml:space="preserve">vidējās </w:t>
            </w:r>
            <w:r w:rsidR="00080E9F" w:rsidRPr="0017354C">
              <w:rPr>
                <w:rFonts w:eastAsia="Times New Roman" w:cs="Times New Roman"/>
                <w:bCs/>
                <w:iCs/>
                <w:szCs w:val="24"/>
                <w:lang w:eastAsia="lv-LV"/>
              </w:rPr>
              <w:t>izglītības programmas, profesionālās vidējās izglītības un arodizglītības programmas, p</w:t>
            </w:r>
            <w:r w:rsidR="00080E9F" w:rsidRPr="0017354C">
              <w:rPr>
                <w:rFonts w:eastAsia="Times New Roman" w:cs="Times New Roman"/>
                <w:bCs/>
                <w:szCs w:val="24"/>
                <w:lang w:eastAsia="lv-LV"/>
              </w:rPr>
              <w:t>ašvaldības izglītības speciālisti vai izglītības pārvaldes iestādes – 109, augstākās izg</w:t>
            </w:r>
            <w:r w:rsidR="0081527B" w:rsidRPr="0017354C">
              <w:rPr>
                <w:rFonts w:eastAsia="Times New Roman" w:cs="Times New Roman"/>
                <w:bCs/>
                <w:szCs w:val="24"/>
                <w:lang w:eastAsia="lv-LV"/>
              </w:rPr>
              <w:t>lītības iestādes – 4, ar kurām c</w:t>
            </w:r>
            <w:r w:rsidR="00080E9F" w:rsidRPr="0017354C">
              <w:rPr>
                <w:rFonts w:eastAsia="Times New Roman" w:cs="Times New Roman"/>
                <w:bCs/>
                <w:szCs w:val="24"/>
                <w:lang w:eastAsia="lv-LV"/>
              </w:rPr>
              <w:t>entrs ir noslēdzis līgumu par valsts pārbaudījumu norises organizēšanu.</w:t>
            </w:r>
          </w:p>
        </w:tc>
      </w:tr>
      <w:tr w:rsidR="00521686" w:rsidRPr="0017354C" w:rsidTr="00081BB3">
        <w:tc>
          <w:tcPr>
            <w:tcW w:w="426" w:type="dxa"/>
            <w:shd w:val="clear" w:color="auto" w:fill="FFFFFF"/>
          </w:tcPr>
          <w:p w:rsidR="00080E9F" w:rsidRPr="0017354C" w:rsidRDefault="00080E9F" w:rsidP="00080E9F">
            <w:pPr>
              <w:jc w:val="center"/>
              <w:rPr>
                <w:rFonts w:eastAsia="Times New Roman" w:cs="Times New Roman"/>
                <w:bCs/>
                <w:szCs w:val="24"/>
                <w:lang w:eastAsia="lv-LV"/>
              </w:rPr>
            </w:pPr>
            <w:r w:rsidRPr="0017354C">
              <w:rPr>
                <w:rFonts w:eastAsia="Times New Roman" w:cs="Times New Roman"/>
                <w:bCs/>
                <w:szCs w:val="24"/>
                <w:lang w:eastAsia="lv-LV"/>
              </w:rPr>
              <w:lastRenderedPageBreak/>
              <w:t>2.</w:t>
            </w:r>
          </w:p>
        </w:tc>
        <w:tc>
          <w:tcPr>
            <w:tcW w:w="2705" w:type="dxa"/>
            <w:shd w:val="clear" w:color="auto" w:fill="FFFFFF"/>
          </w:tcPr>
          <w:p w:rsidR="00080E9F" w:rsidRPr="0017354C" w:rsidRDefault="00080E9F" w:rsidP="00080E9F">
            <w:pPr>
              <w:rPr>
                <w:rFonts w:eastAsia="Times New Roman" w:cs="Times New Roman"/>
                <w:szCs w:val="24"/>
                <w:lang w:eastAsia="lv-LV"/>
              </w:rPr>
            </w:pPr>
            <w:r w:rsidRPr="0017354C">
              <w:rPr>
                <w:rFonts w:eastAsia="Times New Roman" w:cs="Times New Roman"/>
                <w:szCs w:val="24"/>
                <w:lang w:eastAsia="lv-LV"/>
              </w:rPr>
              <w:t>Projekta izpildes ietekme uz pārvaldes funkcijām un institucionālo struktūru.</w:t>
            </w:r>
          </w:p>
          <w:p w:rsidR="00080E9F" w:rsidRPr="0017354C" w:rsidRDefault="00080E9F" w:rsidP="00080E9F">
            <w:pPr>
              <w:rPr>
                <w:rFonts w:eastAsia="Times New Roman" w:cs="Times New Roman"/>
                <w:szCs w:val="24"/>
                <w:lang w:eastAsia="lv-LV"/>
              </w:rPr>
            </w:pPr>
            <w:r w:rsidRPr="0017354C">
              <w:rPr>
                <w:rFonts w:eastAsia="Times New Roman" w:cs="Times New Roman"/>
                <w:szCs w:val="24"/>
                <w:lang w:eastAsia="lv-LV"/>
              </w:rPr>
              <w:t>Jaunu institūciju izveide, esošu institūciju likvidācija vai reorganizācija, to ietekme uz institūcijas cilvēkresursiem</w:t>
            </w:r>
          </w:p>
        </w:tc>
        <w:tc>
          <w:tcPr>
            <w:tcW w:w="5675" w:type="dxa"/>
            <w:shd w:val="clear" w:color="auto" w:fill="FFFFFF"/>
          </w:tcPr>
          <w:p w:rsidR="00080E9F" w:rsidRPr="0017354C" w:rsidRDefault="00080E9F" w:rsidP="00080E9F">
            <w:pPr>
              <w:jc w:val="both"/>
              <w:rPr>
                <w:rFonts w:eastAsia="Times New Roman" w:cs="Times New Roman"/>
                <w:bCs/>
                <w:szCs w:val="24"/>
                <w:lang w:eastAsia="lv-LV"/>
              </w:rPr>
            </w:pPr>
            <w:r w:rsidRPr="0017354C">
              <w:rPr>
                <w:rFonts w:eastAsia="Times New Roman" w:cs="Times New Roman"/>
                <w:bCs/>
                <w:iCs/>
                <w:szCs w:val="24"/>
                <w:lang w:eastAsia="lv-LV"/>
              </w:rPr>
              <w:t>Projekta izpilde nepaplašina un nesašaurina iesaistīto institūciju funkcijas.</w:t>
            </w:r>
          </w:p>
          <w:p w:rsidR="00080E9F" w:rsidRPr="0017354C" w:rsidRDefault="00080E9F" w:rsidP="00080E9F">
            <w:pPr>
              <w:jc w:val="both"/>
              <w:rPr>
                <w:rFonts w:eastAsia="Times New Roman" w:cs="Times New Roman"/>
                <w:bCs/>
                <w:szCs w:val="24"/>
                <w:lang w:eastAsia="lv-LV"/>
              </w:rPr>
            </w:pPr>
            <w:r w:rsidRPr="0017354C">
              <w:rPr>
                <w:rFonts w:eastAsia="Times New Roman" w:cs="Times New Roman"/>
                <w:szCs w:val="24"/>
                <w:lang w:eastAsia="lv-LV"/>
              </w:rPr>
              <w:t>Projekta izpilde tiks nodrošināta esošo institūciju ietvaros.</w:t>
            </w:r>
          </w:p>
        </w:tc>
      </w:tr>
      <w:tr w:rsidR="00521686" w:rsidRPr="0017354C" w:rsidTr="00081BB3">
        <w:tc>
          <w:tcPr>
            <w:tcW w:w="426" w:type="dxa"/>
            <w:tcBorders>
              <w:bottom w:val="single" w:sz="4" w:space="0" w:color="000000" w:themeColor="text1"/>
            </w:tcBorders>
            <w:shd w:val="clear" w:color="auto" w:fill="FFFFFF"/>
          </w:tcPr>
          <w:p w:rsidR="00080E9F" w:rsidRPr="0017354C" w:rsidRDefault="00080E9F" w:rsidP="00080E9F">
            <w:pPr>
              <w:jc w:val="center"/>
              <w:rPr>
                <w:rFonts w:eastAsia="Times New Roman" w:cs="Times New Roman"/>
                <w:szCs w:val="24"/>
                <w:lang w:eastAsia="lv-LV"/>
              </w:rPr>
            </w:pPr>
            <w:r w:rsidRPr="0017354C">
              <w:rPr>
                <w:rFonts w:eastAsia="Times New Roman" w:cs="Times New Roman"/>
                <w:szCs w:val="24"/>
                <w:lang w:eastAsia="lv-LV"/>
              </w:rPr>
              <w:t>3.</w:t>
            </w:r>
          </w:p>
        </w:tc>
        <w:tc>
          <w:tcPr>
            <w:tcW w:w="2705" w:type="dxa"/>
            <w:tcBorders>
              <w:bottom w:val="single" w:sz="4" w:space="0" w:color="000000" w:themeColor="text1"/>
            </w:tcBorders>
            <w:shd w:val="clear" w:color="auto" w:fill="FFFFFF"/>
          </w:tcPr>
          <w:p w:rsidR="00080E9F" w:rsidRPr="0017354C" w:rsidRDefault="00080E9F" w:rsidP="00080E9F">
            <w:pPr>
              <w:rPr>
                <w:rFonts w:eastAsia="Times New Roman" w:cs="Times New Roman"/>
                <w:szCs w:val="24"/>
                <w:lang w:eastAsia="lv-LV"/>
              </w:rPr>
            </w:pPr>
            <w:r w:rsidRPr="0017354C">
              <w:rPr>
                <w:rFonts w:eastAsia="Times New Roman" w:cs="Times New Roman"/>
                <w:szCs w:val="24"/>
                <w:lang w:eastAsia="lv-LV"/>
              </w:rPr>
              <w:t>Cita informācija.</w:t>
            </w:r>
          </w:p>
        </w:tc>
        <w:tc>
          <w:tcPr>
            <w:tcW w:w="5675" w:type="dxa"/>
            <w:shd w:val="clear" w:color="auto" w:fill="FFFFFF"/>
          </w:tcPr>
          <w:p w:rsidR="00080E9F" w:rsidRPr="0017354C" w:rsidRDefault="00080E9F" w:rsidP="00080E9F">
            <w:pPr>
              <w:jc w:val="both"/>
              <w:rPr>
                <w:rFonts w:eastAsia="Times New Roman" w:cs="Times New Roman"/>
                <w:szCs w:val="24"/>
                <w:lang w:eastAsia="lv-LV"/>
              </w:rPr>
            </w:pPr>
            <w:r w:rsidRPr="0017354C">
              <w:rPr>
                <w:rFonts w:eastAsia="Times New Roman" w:cs="Times New Roman"/>
                <w:szCs w:val="24"/>
                <w:lang w:eastAsia="lv-LV"/>
              </w:rPr>
              <w:t>Nav</w:t>
            </w:r>
            <w:r w:rsidR="00B3497C" w:rsidRPr="0017354C">
              <w:rPr>
                <w:rFonts w:eastAsia="Times New Roman" w:cs="Times New Roman"/>
                <w:szCs w:val="24"/>
                <w:lang w:eastAsia="lv-LV"/>
              </w:rPr>
              <w:t>.</w:t>
            </w:r>
          </w:p>
        </w:tc>
      </w:tr>
    </w:tbl>
    <w:p w:rsidR="001B4291" w:rsidRPr="0017354C" w:rsidRDefault="001B4291" w:rsidP="001B4291">
      <w:pPr>
        <w:keepNext/>
        <w:tabs>
          <w:tab w:val="right" w:pos="8789"/>
        </w:tabs>
        <w:outlineLvl w:val="4"/>
        <w:rPr>
          <w:rFonts w:eastAsia="Times New Roman" w:cs="Times New Roman"/>
          <w:szCs w:val="24"/>
        </w:rPr>
      </w:pPr>
    </w:p>
    <w:p w:rsidR="001B2801" w:rsidRPr="0017354C" w:rsidRDefault="001B2801" w:rsidP="00DA4456">
      <w:pPr>
        <w:keepNext/>
        <w:tabs>
          <w:tab w:val="right" w:pos="8364"/>
        </w:tabs>
        <w:ind w:firstLine="426"/>
        <w:jc w:val="both"/>
        <w:outlineLvl w:val="4"/>
        <w:rPr>
          <w:rFonts w:eastAsia="Times New Roman" w:cs="Times New Roman"/>
          <w:szCs w:val="24"/>
        </w:rPr>
      </w:pPr>
    </w:p>
    <w:p w:rsidR="00874215" w:rsidRPr="0017354C" w:rsidRDefault="00874215" w:rsidP="00DA4456">
      <w:pPr>
        <w:keepNext/>
        <w:tabs>
          <w:tab w:val="right" w:pos="8364"/>
        </w:tabs>
        <w:ind w:firstLine="426"/>
        <w:jc w:val="both"/>
        <w:outlineLvl w:val="4"/>
        <w:rPr>
          <w:rFonts w:eastAsia="Times New Roman" w:cs="Times New Roman"/>
          <w:szCs w:val="24"/>
        </w:rPr>
      </w:pPr>
      <w:r w:rsidRPr="0017354C">
        <w:rPr>
          <w:rFonts w:eastAsia="Times New Roman" w:cs="Times New Roman"/>
          <w:szCs w:val="24"/>
        </w:rPr>
        <w:t xml:space="preserve">Izglītības </w:t>
      </w:r>
      <w:r w:rsidR="0089112C" w:rsidRPr="0017354C">
        <w:rPr>
          <w:rFonts w:eastAsia="Times New Roman" w:cs="Times New Roman"/>
          <w:szCs w:val="24"/>
        </w:rPr>
        <w:t>un zinātnes ministre</w:t>
      </w:r>
      <w:r w:rsidR="00347F23" w:rsidRPr="0017354C">
        <w:rPr>
          <w:rFonts w:eastAsia="Times New Roman" w:cs="Times New Roman"/>
          <w:szCs w:val="24"/>
        </w:rPr>
        <w:tab/>
      </w:r>
      <w:proofErr w:type="spellStart"/>
      <w:r w:rsidR="00347F23" w:rsidRPr="0017354C">
        <w:rPr>
          <w:rFonts w:eastAsia="Times New Roman" w:cs="Times New Roman"/>
          <w:szCs w:val="24"/>
        </w:rPr>
        <w:t>I.Šuplinska</w:t>
      </w:r>
      <w:proofErr w:type="spellEnd"/>
    </w:p>
    <w:p w:rsidR="005D1491" w:rsidRPr="0017354C" w:rsidRDefault="005D1491" w:rsidP="00DA4456">
      <w:pPr>
        <w:tabs>
          <w:tab w:val="right" w:pos="8789"/>
        </w:tabs>
        <w:ind w:firstLine="426"/>
        <w:jc w:val="both"/>
        <w:rPr>
          <w:rFonts w:eastAsia="Times New Roman" w:cs="Times New Roman"/>
          <w:szCs w:val="24"/>
          <w:lang w:eastAsia="lv-LV"/>
        </w:rPr>
      </w:pPr>
    </w:p>
    <w:p w:rsidR="001B2801" w:rsidRPr="0017354C" w:rsidRDefault="001B2801" w:rsidP="00DA4456">
      <w:pPr>
        <w:tabs>
          <w:tab w:val="right" w:pos="8364"/>
        </w:tabs>
        <w:ind w:firstLine="426"/>
        <w:jc w:val="both"/>
        <w:rPr>
          <w:rFonts w:eastAsia="Times New Roman" w:cs="Times New Roman"/>
          <w:szCs w:val="24"/>
          <w:lang w:eastAsia="lv-LV"/>
        </w:rPr>
      </w:pPr>
    </w:p>
    <w:p w:rsidR="001B2801" w:rsidRPr="0017354C" w:rsidRDefault="001B2801" w:rsidP="00DA4456">
      <w:pPr>
        <w:tabs>
          <w:tab w:val="right" w:pos="8364"/>
        </w:tabs>
        <w:ind w:firstLine="426"/>
        <w:jc w:val="both"/>
        <w:rPr>
          <w:rFonts w:eastAsia="Times New Roman" w:cs="Times New Roman"/>
          <w:szCs w:val="24"/>
          <w:lang w:eastAsia="lv-LV"/>
        </w:rPr>
      </w:pPr>
    </w:p>
    <w:p w:rsidR="00C871F7" w:rsidRPr="0017354C" w:rsidRDefault="00874215" w:rsidP="00DA4456">
      <w:pPr>
        <w:tabs>
          <w:tab w:val="right" w:pos="8364"/>
        </w:tabs>
        <w:ind w:firstLine="426"/>
        <w:jc w:val="both"/>
        <w:rPr>
          <w:rFonts w:eastAsia="Calibri" w:cs="Times New Roman"/>
          <w:szCs w:val="24"/>
        </w:rPr>
      </w:pPr>
      <w:r w:rsidRPr="0017354C">
        <w:rPr>
          <w:rFonts w:eastAsia="Times New Roman" w:cs="Times New Roman"/>
          <w:szCs w:val="24"/>
          <w:lang w:eastAsia="lv-LV"/>
        </w:rPr>
        <w:t xml:space="preserve">Vizē: </w:t>
      </w:r>
      <w:r w:rsidRPr="0017354C">
        <w:rPr>
          <w:rFonts w:eastAsia="Calibri" w:cs="Times New Roman"/>
          <w:szCs w:val="24"/>
        </w:rPr>
        <w:t>Valsts sekretāre</w:t>
      </w:r>
      <w:r w:rsidRPr="0017354C">
        <w:rPr>
          <w:rFonts w:eastAsia="Calibri" w:cs="Times New Roman"/>
          <w:szCs w:val="24"/>
        </w:rPr>
        <w:tab/>
      </w:r>
      <w:proofErr w:type="spellStart"/>
      <w:r w:rsidRPr="0017354C">
        <w:rPr>
          <w:rFonts w:eastAsia="Times New Roman" w:cs="Times New Roman"/>
          <w:bCs/>
          <w:szCs w:val="24"/>
        </w:rPr>
        <w:t>L.Lejiņa</w:t>
      </w:r>
      <w:proofErr w:type="spellEnd"/>
    </w:p>
    <w:p w:rsidR="00F85295" w:rsidRPr="0017354C" w:rsidRDefault="00F85295" w:rsidP="00DA4456">
      <w:pPr>
        <w:jc w:val="both"/>
        <w:rPr>
          <w:rFonts w:eastAsia="Times New Roman" w:cs="Times New Roman"/>
          <w:szCs w:val="24"/>
          <w:lang w:eastAsia="lv-LV"/>
        </w:rPr>
      </w:pPr>
    </w:p>
    <w:p w:rsidR="0017354C" w:rsidRPr="0017354C" w:rsidRDefault="0017354C" w:rsidP="00DA4456">
      <w:pPr>
        <w:jc w:val="both"/>
        <w:rPr>
          <w:rFonts w:eastAsia="Times New Roman" w:cs="Times New Roman"/>
          <w:szCs w:val="24"/>
          <w:lang w:eastAsia="lv-LV"/>
        </w:rPr>
      </w:pPr>
    </w:p>
    <w:p w:rsidR="0017354C" w:rsidRPr="0017354C" w:rsidRDefault="0017354C" w:rsidP="0017354C">
      <w:pPr>
        <w:rPr>
          <w:szCs w:val="24"/>
        </w:rPr>
      </w:pPr>
      <w:r w:rsidRPr="0017354C">
        <w:rPr>
          <w:szCs w:val="24"/>
        </w:rPr>
        <w:t>Mergupe-Kutraite 67047817</w:t>
      </w:r>
    </w:p>
    <w:p w:rsidR="0017354C" w:rsidRPr="0017354C" w:rsidRDefault="0017354C" w:rsidP="0017354C">
      <w:pPr>
        <w:rPr>
          <w:szCs w:val="24"/>
        </w:rPr>
      </w:pPr>
      <w:r w:rsidRPr="0017354C">
        <w:rPr>
          <w:szCs w:val="24"/>
        </w:rPr>
        <w:t>dzintra.mergupe-kutraite@izm.gov.lv</w:t>
      </w:r>
      <w:bookmarkStart w:id="2" w:name="str06"/>
      <w:bookmarkEnd w:id="2"/>
    </w:p>
    <w:p w:rsidR="00DA4456" w:rsidRPr="0017354C" w:rsidRDefault="00C256A5" w:rsidP="00DA4456">
      <w:pPr>
        <w:jc w:val="both"/>
        <w:rPr>
          <w:rFonts w:eastAsia="Times New Roman" w:cs="Times New Roman"/>
          <w:szCs w:val="24"/>
          <w:lang w:eastAsia="lv-LV"/>
        </w:rPr>
      </w:pPr>
      <w:r w:rsidRPr="0017354C">
        <w:rPr>
          <w:rFonts w:eastAsia="Times New Roman" w:cs="Times New Roman"/>
          <w:szCs w:val="24"/>
          <w:lang w:eastAsia="lv-LV"/>
        </w:rPr>
        <w:t>Špūle</w:t>
      </w:r>
      <w:r w:rsidR="00DA4456" w:rsidRPr="0017354C">
        <w:rPr>
          <w:rFonts w:eastAsia="Times New Roman" w:cs="Times New Roman"/>
          <w:szCs w:val="24"/>
          <w:lang w:eastAsia="lv-LV"/>
        </w:rPr>
        <w:t xml:space="preserve"> </w:t>
      </w:r>
      <w:r w:rsidRPr="0017354C">
        <w:rPr>
          <w:rFonts w:eastAsia="Times New Roman" w:cs="Times New Roman"/>
          <w:szCs w:val="24"/>
          <w:lang w:eastAsia="lv-LV"/>
        </w:rPr>
        <w:t>60001606</w:t>
      </w:r>
    </w:p>
    <w:p w:rsidR="00874215" w:rsidRPr="0017354C" w:rsidRDefault="00C256A5" w:rsidP="00DA4456">
      <w:pPr>
        <w:jc w:val="both"/>
        <w:rPr>
          <w:rFonts w:eastAsia="Times New Roman" w:cs="Times New Roman"/>
          <w:szCs w:val="24"/>
          <w:lang w:eastAsia="lv-LV"/>
        </w:rPr>
      </w:pPr>
      <w:r w:rsidRPr="0017354C">
        <w:rPr>
          <w:rFonts w:eastAsia="Times New Roman" w:cs="Times New Roman"/>
          <w:szCs w:val="24"/>
          <w:lang w:eastAsia="lv-LV"/>
        </w:rPr>
        <w:t>kaspars.spule</w:t>
      </w:r>
      <w:r w:rsidR="00874215" w:rsidRPr="0017354C">
        <w:rPr>
          <w:rFonts w:eastAsia="Times New Roman" w:cs="Times New Roman"/>
          <w:szCs w:val="24"/>
          <w:lang w:eastAsia="lv-LV"/>
        </w:rPr>
        <w:t>@visc.gov.lv</w:t>
      </w:r>
      <w:bookmarkEnd w:id="1"/>
    </w:p>
    <w:sectPr w:rsidR="00874215" w:rsidRPr="0017354C" w:rsidSect="00C0623E">
      <w:headerReference w:type="default" r:id="rId7"/>
      <w:footerReference w:type="default" r:id="rId8"/>
      <w:footerReference w:type="first" r:id="rId9"/>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CE" w:rsidRDefault="007024CE" w:rsidP="00874215">
      <w:r>
        <w:separator/>
      </w:r>
    </w:p>
  </w:endnote>
  <w:endnote w:type="continuationSeparator" w:id="0">
    <w:p w:rsidR="007024CE" w:rsidRDefault="007024CE"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874215" w:rsidRDefault="00DA6E76" w:rsidP="00874215">
    <w:pPr>
      <w:tabs>
        <w:tab w:val="center" w:pos="4153"/>
        <w:tab w:val="right" w:pos="8306"/>
      </w:tabs>
      <w:jc w:val="both"/>
      <w:rPr>
        <w:rFonts w:eastAsia="Times New Roman" w:cs="Times New Roman"/>
        <w:szCs w:val="24"/>
        <w:lang w:eastAsia="lv-LV"/>
      </w:rPr>
    </w:pPr>
    <w:r>
      <w:rPr>
        <w:rFonts w:eastAsia="Times New Roman" w:cs="Times New Roman"/>
        <w:szCs w:val="24"/>
        <w:lang w:eastAsia="lv-LV"/>
      </w:rPr>
      <w:t>IZMAnot_</w:t>
    </w:r>
    <w:r w:rsidR="00E75543">
      <w:rPr>
        <w:rFonts w:eastAsia="Times New Roman" w:cs="Times New Roman"/>
        <w:szCs w:val="24"/>
        <w:lang w:eastAsia="lv-LV"/>
      </w:rPr>
      <w:t>0505</w:t>
    </w:r>
    <w:r w:rsidR="009B0844">
      <w:rPr>
        <w:rFonts w:eastAsia="Times New Roman" w:cs="Times New Roman"/>
        <w:szCs w:val="24"/>
        <w:lang w:eastAsia="lv-LV"/>
      </w:rPr>
      <w:t>20_apvienot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9B0844" w:rsidRDefault="009B0844" w:rsidP="009B0844">
    <w:pPr>
      <w:tabs>
        <w:tab w:val="center" w:pos="4153"/>
        <w:tab w:val="right" w:pos="8306"/>
      </w:tabs>
      <w:jc w:val="both"/>
      <w:rPr>
        <w:rFonts w:eastAsia="Times New Roman" w:cs="Times New Roman"/>
        <w:szCs w:val="24"/>
        <w:lang w:eastAsia="lv-LV"/>
      </w:rPr>
    </w:pPr>
    <w:r>
      <w:rPr>
        <w:rFonts w:eastAsia="Times New Roman" w:cs="Times New Roman"/>
        <w:szCs w:val="24"/>
        <w:lang w:eastAsia="lv-LV"/>
      </w:rPr>
      <w:t>IZMAnot_</w:t>
    </w:r>
    <w:r w:rsidR="00E75543">
      <w:rPr>
        <w:rFonts w:eastAsia="Times New Roman" w:cs="Times New Roman"/>
        <w:szCs w:val="24"/>
        <w:lang w:eastAsia="lv-LV"/>
      </w:rPr>
      <w:t>0505</w:t>
    </w:r>
    <w:r>
      <w:rPr>
        <w:rFonts w:eastAsia="Times New Roman" w:cs="Times New Roman"/>
        <w:szCs w:val="24"/>
        <w:lang w:eastAsia="lv-LV"/>
      </w:rPr>
      <w:t>20_apvienot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CE" w:rsidRDefault="007024CE" w:rsidP="00874215">
      <w:r>
        <w:separator/>
      </w:r>
    </w:p>
  </w:footnote>
  <w:footnote w:type="continuationSeparator" w:id="0">
    <w:p w:rsidR="007024CE" w:rsidRDefault="007024CE"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2498"/>
      <w:docPartObj>
        <w:docPartGallery w:val="Page Numbers (Top of Page)"/>
        <w:docPartUnique/>
      </w:docPartObj>
    </w:sdtPr>
    <w:sdtEndPr>
      <w:rPr>
        <w:noProof/>
      </w:rPr>
    </w:sdtEndPr>
    <w:sdtContent>
      <w:p w:rsidR="00DA6E76" w:rsidRDefault="00E578B8">
        <w:pPr>
          <w:pStyle w:val="Header"/>
          <w:jc w:val="center"/>
        </w:pPr>
        <w:r>
          <w:fldChar w:fldCharType="begin"/>
        </w:r>
        <w:r w:rsidR="00DA6E76">
          <w:instrText xml:space="preserve"> PAGE   \* MERGEFORMAT </w:instrText>
        </w:r>
        <w:r>
          <w:fldChar w:fldCharType="separate"/>
        </w:r>
        <w:r w:rsidR="0017354C">
          <w:rPr>
            <w:noProof/>
          </w:rPr>
          <w:t>2</w:t>
        </w:r>
        <w:r>
          <w:rPr>
            <w:noProof/>
          </w:rPr>
          <w:fldChar w:fldCharType="end"/>
        </w:r>
      </w:p>
    </w:sdtContent>
  </w:sdt>
  <w:p w:rsidR="00874215" w:rsidRDefault="0087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66DB3"/>
    <w:multiLevelType w:val="hybridMultilevel"/>
    <w:tmpl w:val="D3889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373F9"/>
    <w:rsid w:val="00041EB1"/>
    <w:rsid w:val="00046A4E"/>
    <w:rsid w:val="00047BE8"/>
    <w:rsid w:val="00080E9F"/>
    <w:rsid w:val="00081BB3"/>
    <w:rsid w:val="00086D83"/>
    <w:rsid w:val="000905B2"/>
    <w:rsid w:val="000905E7"/>
    <w:rsid w:val="00125852"/>
    <w:rsid w:val="00140E48"/>
    <w:rsid w:val="001450E3"/>
    <w:rsid w:val="0017354C"/>
    <w:rsid w:val="0018259F"/>
    <w:rsid w:val="00184CD7"/>
    <w:rsid w:val="00186024"/>
    <w:rsid w:val="00196C1D"/>
    <w:rsid w:val="001A70F9"/>
    <w:rsid w:val="001B2801"/>
    <w:rsid w:val="001B3A15"/>
    <w:rsid w:val="001B4291"/>
    <w:rsid w:val="001C0C0E"/>
    <w:rsid w:val="001E7A3D"/>
    <w:rsid w:val="001F0384"/>
    <w:rsid w:val="001F0FAC"/>
    <w:rsid w:val="001F3C0A"/>
    <w:rsid w:val="0020289C"/>
    <w:rsid w:val="00243F6E"/>
    <w:rsid w:val="002565E6"/>
    <w:rsid w:val="002657B8"/>
    <w:rsid w:val="00265E37"/>
    <w:rsid w:val="00274EBB"/>
    <w:rsid w:val="0028622A"/>
    <w:rsid w:val="00292128"/>
    <w:rsid w:val="0029304E"/>
    <w:rsid w:val="002A563D"/>
    <w:rsid w:val="002B2889"/>
    <w:rsid w:val="002B2BDD"/>
    <w:rsid w:val="002B5825"/>
    <w:rsid w:val="002C061F"/>
    <w:rsid w:val="002D22B7"/>
    <w:rsid w:val="002E4A26"/>
    <w:rsid w:val="00315D67"/>
    <w:rsid w:val="0031724F"/>
    <w:rsid w:val="00326D70"/>
    <w:rsid w:val="00341133"/>
    <w:rsid w:val="003421D9"/>
    <w:rsid w:val="00347F23"/>
    <w:rsid w:val="00353061"/>
    <w:rsid w:val="00393005"/>
    <w:rsid w:val="003A2143"/>
    <w:rsid w:val="003B57AD"/>
    <w:rsid w:val="003B77E2"/>
    <w:rsid w:val="003C6C8F"/>
    <w:rsid w:val="003D2B82"/>
    <w:rsid w:val="003F07CD"/>
    <w:rsid w:val="003F7896"/>
    <w:rsid w:val="00446434"/>
    <w:rsid w:val="00467B45"/>
    <w:rsid w:val="0047162F"/>
    <w:rsid w:val="00474F1D"/>
    <w:rsid w:val="004900B4"/>
    <w:rsid w:val="004912A5"/>
    <w:rsid w:val="0049310D"/>
    <w:rsid w:val="004B398B"/>
    <w:rsid w:val="004C4D2E"/>
    <w:rsid w:val="004D0C3B"/>
    <w:rsid w:val="004D1D9D"/>
    <w:rsid w:val="004D380E"/>
    <w:rsid w:val="004F6BAE"/>
    <w:rsid w:val="00521686"/>
    <w:rsid w:val="005230C8"/>
    <w:rsid w:val="0054268B"/>
    <w:rsid w:val="00571B3E"/>
    <w:rsid w:val="00572164"/>
    <w:rsid w:val="00576B32"/>
    <w:rsid w:val="00577E50"/>
    <w:rsid w:val="0059238B"/>
    <w:rsid w:val="00593718"/>
    <w:rsid w:val="005A0168"/>
    <w:rsid w:val="005A68C1"/>
    <w:rsid w:val="005C3B24"/>
    <w:rsid w:val="005D1491"/>
    <w:rsid w:val="005F1A70"/>
    <w:rsid w:val="00606072"/>
    <w:rsid w:val="006066DF"/>
    <w:rsid w:val="00606925"/>
    <w:rsid w:val="006073BA"/>
    <w:rsid w:val="006250DD"/>
    <w:rsid w:val="00626083"/>
    <w:rsid w:val="00655828"/>
    <w:rsid w:val="00657228"/>
    <w:rsid w:val="00657892"/>
    <w:rsid w:val="006844C5"/>
    <w:rsid w:val="00690FD4"/>
    <w:rsid w:val="0069579D"/>
    <w:rsid w:val="006B3803"/>
    <w:rsid w:val="006B4960"/>
    <w:rsid w:val="006D0C42"/>
    <w:rsid w:val="006D47BE"/>
    <w:rsid w:val="006D56BA"/>
    <w:rsid w:val="006E42B6"/>
    <w:rsid w:val="006F594D"/>
    <w:rsid w:val="007024CE"/>
    <w:rsid w:val="00702C42"/>
    <w:rsid w:val="00727CBD"/>
    <w:rsid w:val="0076077F"/>
    <w:rsid w:val="0077437E"/>
    <w:rsid w:val="00781B70"/>
    <w:rsid w:val="007A1D2A"/>
    <w:rsid w:val="007B08AD"/>
    <w:rsid w:val="007B5C37"/>
    <w:rsid w:val="007D494A"/>
    <w:rsid w:val="007E69FE"/>
    <w:rsid w:val="0081527B"/>
    <w:rsid w:val="00824E8E"/>
    <w:rsid w:val="00831493"/>
    <w:rsid w:val="0083728C"/>
    <w:rsid w:val="0084621D"/>
    <w:rsid w:val="00874215"/>
    <w:rsid w:val="008744F0"/>
    <w:rsid w:val="0089112C"/>
    <w:rsid w:val="008972C3"/>
    <w:rsid w:val="008B1388"/>
    <w:rsid w:val="008D1E70"/>
    <w:rsid w:val="008D3EDE"/>
    <w:rsid w:val="008E392E"/>
    <w:rsid w:val="008E4C9B"/>
    <w:rsid w:val="008E6512"/>
    <w:rsid w:val="008F739C"/>
    <w:rsid w:val="00900C1C"/>
    <w:rsid w:val="00911A5F"/>
    <w:rsid w:val="00946AA3"/>
    <w:rsid w:val="00946DCD"/>
    <w:rsid w:val="009479D6"/>
    <w:rsid w:val="00967EC9"/>
    <w:rsid w:val="00976869"/>
    <w:rsid w:val="009A3FE8"/>
    <w:rsid w:val="009A496C"/>
    <w:rsid w:val="009A5C02"/>
    <w:rsid w:val="009B0844"/>
    <w:rsid w:val="009B0DFB"/>
    <w:rsid w:val="009B6CCA"/>
    <w:rsid w:val="009B73BA"/>
    <w:rsid w:val="009D2120"/>
    <w:rsid w:val="009E2CED"/>
    <w:rsid w:val="009F0753"/>
    <w:rsid w:val="00A06E55"/>
    <w:rsid w:val="00A07244"/>
    <w:rsid w:val="00A108FC"/>
    <w:rsid w:val="00A15D87"/>
    <w:rsid w:val="00A30D2D"/>
    <w:rsid w:val="00A41D91"/>
    <w:rsid w:val="00A47CAC"/>
    <w:rsid w:val="00A8517D"/>
    <w:rsid w:val="00AD658B"/>
    <w:rsid w:val="00AF0C6D"/>
    <w:rsid w:val="00AF4FD5"/>
    <w:rsid w:val="00AF6B47"/>
    <w:rsid w:val="00B2392B"/>
    <w:rsid w:val="00B3497C"/>
    <w:rsid w:val="00B35A3F"/>
    <w:rsid w:val="00B45A3A"/>
    <w:rsid w:val="00B63903"/>
    <w:rsid w:val="00B85A55"/>
    <w:rsid w:val="00B85E8C"/>
    <w:rsid w:val="00B90930"/>
    <w:rsid w:val="00B94BDD"/>
    <w:rsid w:val="00BA2486"/>
    <w:rsid w:val="00BA4228"/>
    <w:rsid w:val="00BC6D3C"/>
    <w:rsid w:val="00BF5C70"/>
    <w:rsid w:val="00C0623E"/>
    <w:rsid w:val="00C20ABF"/>
    <w:rsid w:val="00C2109C"/>
    <w:rsid w:val="00C24CC6"/>
    <w:rsid w:val="00C256A5"/>
    <w:rsid w:val="00C278D8"/>
    <w:rsid w:val="00C42002"/>
    <w:rsid w:val="00C453AC"/>
    <w:rsid w:val="00C67A84"/>
    <w:rsid w:val="00C871F7"/>
    <w:rsid w:val="00CA2389"/>
    <w:rsid w:val="00CA5F78"/>
    <w:rsid w:val="00CA66CB"/>
    <w:rsid w:val="00CB2F22"/>
    <w:rsid w:val="00CC0A3B"/>
    <w:rsid w:val="00CF71CD"/>
    <w:rsid w:val="00D04CF3"/>
    <w:rsid w:val="00D061D3"/>
    <w:rsid w:val="00D1637E"/>
    <w:rsid w:val="00D42016"/>
    <w:rsid w:val="00D755EA"/>
    <w:rsid w:val="00D83EF0"/>
    <w:rsid w:val="00DA4456"/>
    <w:rsid w:val="00DA609F"/>
    <w:rsid w:val="00DA6E76"/>
    <w:rsid w:val="00DA7FD4"/>
    <w:rsid w:val="00DD0157"/>
    <w:rsid w:val="00DD7F0E"/>
    <w:rsid w:val="00E057CF"/>
    <w:rsid w:val="00E05AB1"/>
    <w:rsid w:val="00E06E60"/>
    <w:rsid w:val="00E1694E"/>
    <w:rsid w:val="00E207B1"/>
    <w:rsid w:val="00E372AD"/>
    <w:rsid w:val="00E52D97"/>
    <w:rsid w:val="00E54B3D"/>
    <w:rsid w:val="00E56D9A"/>
    <w:rsid w:val="00E578B8"/>
    <w:rsid w:val="00E7313B"/>
    <w:rsid w:val="00E7346F"/>
    <w:rsid w:val="00E75543"/>
    <w:rsid w:val="00E85882"/>
    <w:rsid w:val="00ED4C43"/>
    <w:rsid w:val="00ED7DBC"/>
    <w:rsid w:val="00EE330D"/>
    <w:rsid w:val="00EF6BAD"/>
    <w:rsid w:val="00EF6F41"/>
    <w:rsid w:val="00F030F7"/>
    <w:rsid w:val="00F03400"/>
    <w:rsid w:val="00F13EEE"/>
    <w:rsid w:val="00F25610"/>
    <w:rsid w:val="00F25A08"/>
    <w:rsid w:val="00F558C4"/>
    <w:rsid w:val="00F575F3"/>
    <w:rsid w:val="00F70C3A"/>
    <w:rsid w:val="00F72753"/>
    <w:rsid w:val="00F84D30"/>
    <w:rsid w:val="00F85295"/>
    <w:rsid w:val="00F877F7"/>
    <w:rsid w:val="00F87C1D"/>
    <w:rsid w:val="00FA6EE7"/>
    <w:rsid w:val="00FC2754"/>
    <w:rsid w:val="00FD2A4E"/>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B8"/>
  </w:style>
  <w:style w:type="paragraph" w:styleId="Heading3">
    <w:name w:val="heading 3"/>
    <w:basedOn w:val="Normal"/>
    <w:link w:val="Heading3Char"/>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 w:type="character" w:customStyle="1" w:styleId="Heading3Char">
    <w:name w:val="Heading 3 Char"/>
    <w:basedOn w:val="DefaultParagraphFont"/>
    <w:link w:val="Heading3"/>
    <w:uiPriority w:val="9"/>
    <w:rsid w:val="00BA4228"/>
    <w:rPr>
      <w:rFonts w:eastAsia="Times New Roman" w:cs="Times New Roman"/>
      <w:b/>
      <w:bCs/>
      <w:sz w:val="27"/>
      <w:szCs w:val="27"/>
      <w:lang w:eastAsia="lv-LV"/>
    </w:rPr>
  </w:style>
  <w:style w:type="table" w:styleId="TableGrid">
    <w:name w:val="Table Grid"/>
    <w:basedOn w:val="TableNormal"/>
    <w:uiPriority w:val="59"/>
    <w:rsid w:val="00DA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456"/>
    <w:rPr>
      <w:rFonts w:ascii="Calibri" w:hAnsi="Calibri"/>
      <w:sz w:val="18"/>
      <w:szCs w:val="18"/>
    </w:rPr>
  </w:style>
  <w:style w:type="character" w:customStyle="1" w:styleId="BalloonTextChar">
    <w:name w:val="Balloon Text Char"/>
    <w:basedOn w:val="DefaultParagraphFont"/>
    <w:link w:val="BalloonText"/>
    <w:uiPriority w:val="99"/>
    <w:semiHidden/>
    <w:rsid w:val="00DA4456"/>
    <w:rPr>
      <w:rFonts w:ascii="Calibri" w:hAnsi="Calibri"/>
      <w:sz w:val="18"/>
      <w:szCs w:val="18"/>
    </w:rPr>
  </w:style>
  <w:style w:type="paragraph" w:styleId="NoSpacing">
    <w:name w:val="No Spacing"/>
    <w:uiPriority w:val="1"/>
    <w:qFormat/>
    <w:rsid w:val="009B0844"/>
    <w:pPr>
      <w:widowControl w:val="0"/>
    </w:pPr>
    <w:rPr>
      <w:rFonts w:ascii="Calibri" w:eastAsia="Calibri" w:hAnsi="Calibri" w:cs="Times New Roman"/>
      <w:sz w:val="22"/>
      <w:lang w:val="en-US"/>
    </w:rPr>
  </w:style>
  <w:style w:type="paragraph" w:customStyle="1" w:styleId="tvhtml">
    <w:name w:val="tv_html"/>
    <w:basedOn w:val="Normal"/>
    <w:rsid w:val="000373F9"/>
    <w:pPr>
      <w:spacing w:before="100" w:beforeAutospacing="1" w:after="100" w:afterAutospacing="1"/>
    </w:pPr>
    <w:rPr>
      <w:rFonts w:eastAsia="Times New Roman" w:cs="Times New Roman"/>
      <w:szCs w:val="24"/>
      <w:lang w:val="en-US"/>
    </w:rPr>
  </w:style>
  <w:style w:type="paragraph" w:customStyle="1" w:styleId="tv213">
    <w:name w:val="tv213"/>
    <w:basedOn w:val="Normal"/>
    <w:rsid w:val="000373F9"/>
    <w:pPr>
      <w:spacing w:before="100" w:beforeAutospacing="1" w:after="100" w:afterAutospacing="1"/>
    </w:pPr>
    <w:rPr>
      <w:rFonts w:eastAsia="Times New Roman" w:cs="Times New Roman"/>
      <w:szCs w:val="24"/>
      <w:lang w:val="en-US"/>
    </w:rPr>
  </w:style>
  <w:style w:type="paragraph" w:customStyle="1" w:styleId="labojumupamats">
    <w:name w:val="labojumu_pamats"/>
    <w:basedOn w:val="Normal"/>
    <w:rsid w:val="000373F9"/>
    <w:pPr>
      <w:spacing w:before="100" w:beforeAutospacing="1" w:after="100" w:afterAutospacing="1"/>
    </w:pPr>
    <w:rPr>
      <w:rFonts w:eastAsia="Times New Roman" w:cs="Times New Roman"/>
      <w:szCs w:val="24"/>
      <w:lang w:val="en-US"/>
    </w:rPr>
  </w:style>
  <w:style w:type="paragraph" w:styleId="ListParagraph">
    <w:name w:val="List Paragraph"/>
    <w:basedOn w:val="Normal"/>
    <w:uiPriority w:val="34"/>
    <w:qFormat/>
    <w:rsid w:val="00173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9831">
      <w:bodyDiv w:val="1"/>
      <w:marLeft w:val="0"/>
      <w:marRight w:val="0"/>
      <w:marTop w:val="0"/>
      <w:marBottom w:val="0"/>
      <w:divBdr>
        <w:top w:val="none" w:sz="0" w:space="0" w:color="auto"/>
        <w:left w:val="none" w:sz="0" w:space="0" w:color="auto"/>
        <w:bottom w:val="none" w:sz="0" w:space="0" w:color="auto"/>
        <w:right w:val="none" w:sz="0" w:space="0" w:color="auto"/>
      </w:divBdr>
      <w:divsChild>
        <w:div w:id="338654118">
          <w:marLeft w:val="0"/>
          <w:marRight w:val="0"/>
          <w:marTop w:val="0"/>
          <w:marBottom w:val="0"/>
          <w:divBdr>
            <w:top w:val="none" w:sz="0" w:space="0" w:color="auto"/>
            <w:left w:val="none" w:sz="0" w:space="0" w:color="auto"/>
            <w:bottom w:val="none" w:sz="0" w:space="0" w:color="auto"/>
            <w:right w:val="none" w:sz="0" w:space="0" w:color="auto"/>
          </w:divBdr>
        </w:div>
        <w:div w:id="1599632059">
          <w:marLeft w:val="0"/>
          <w:marRight w:val="0"/>
          <w:marTop w:val="0"/>
          <w:marBottom w:val="0"/>
          <w:divBdr>
            <w:top w:val="none" w:sz="0" w:space="0" w:color="auto"/>
            <w:left w:val="none" w:sz="0" w:space="0" w:color="auto"/>
            <w:bottom w:val="none" w:sz="0" w:space="0" w:color="auto"/>
            <w:right w:val="none" w:sz="0" w:space="0" w:color="auto"/>
          </w:divBdr>
        </w:div>
      </w:divsChild>
    </w:div>
    <w:div w:id="602110919">
      <w:bodyDiv w:val="1"/>
      <w:marLeft w:val="0"/>
      <w:marRight w:val="0"/>
      <w:marTop w:val="0"/>
      <w:marBottom w:val="0"/>
      <w:divBdr>
        <w:top w:val="none" w:sz="0" w:space="0" w:color="auto"/>
        <w:left w:val="none" w:sz="0" w:space="0" w:color="auto"/>
        <w:bottom w:val="none" w:sz="0" w:space="0" w:color="auto"/>
        <w:right w:val="none" w:sz="0" w:space="0" w:color="auto"/>
      </w:divBdr>
    </w:div>
    <w:div w:id="874268251">
      <w:bodyDiv w:val="1"/>
      <w:marLeft w:val="0"/>
      <w:marRight w:val="0"/>
      <w:marTop w:val="0"/>
      <w:marBottom w:val="0"/>
      <w:divBdr>
        <w:top w:val="none" w:sz="0" w:space="0" w:color="auto"/>
        <w:left w:val="none" w:sz="0" w:space="0" w:color="auto"/>
        <w:bottom w:val="none" w:sz="0" w:space="0" w:color="auto"/>
        <w:right w:val="none" w:sz="0" w:space="0" w:color="auto"/>
      </w:divBdr>
    </w:div>
    <w:div w:id="1053845097">
      <w:bodyDiv w:val="1"/>
      <w:marLeft w:val="0"/>
      <w:marRight w:val="0"/>
      <w:marTop w:val="0"/>
      <w:marBottom w:val="0"/>
      <w:divBdr>
        <w:top w:val="none" w:sz="0" w:space="0" w:color="auto"/>
        <w:left w:val="none" w:sz="0" w:space="0" w:color="auto"/>
        <w:bottom w:val="none" w:sz="0" w:space="0" w:color="auto"/>
        <w:right w:val="none" w:sz="0" w:space="0" w:color="auto"/>
      </w:divBdr>
    </w:div>
    <w:div w:id="1654487355">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6750</Words>
  <Characters>3848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vt:lpstr>
      <vt:lpstr>Ministru kabineta noteikumu projekta “Grozījums Ministru kabineta 2019. gada 30. aprīļa noteikumos Nr. 183 “Noteikumi par valsts pārbaudes darbu norises laiku 2019./2020. mācību gadā””, “Grozījums Ministru kabineta 2014. gada 12. augusta noteikumos Nr. 46</vt:lpstr>
    </vt:vector>
  </TitlesOfParts>
  <Manager>Valsts izglītības satura centrs</Manager>
  <Company>Izglītības un zinātnes ministrija</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dc:title>
  <dc:subject>anotācija</dc:subject>
  <dc:creator>Kaspars Špūle</dc:creator>
  <cp:lastModifiedBy>Kaspars Špūle</cp:lastModifiedBy>
  <cp:revision>4</cp:revision>
  <cp:lastPrinted>2020-04-28T13:45:00Z</cp:lastPrinted>
  <dcterms:created xsi:type="dcterms:W3CDTF">2020-05-05T13:01:00Z</dcterms:created>
  <dcterms:modified xsi:type="dcterms:W3CDTF">2020-05-05T13:26:00Z</dcterms:modified>
</cp:coreProperties>
</file>