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5B7B05" w:rsidR="000A531F" w:rsidP="005B7B05" w:rsidRDefault="000A531F" w14:paraId="458B585A" w14:textId="42FE8A90">
      <w:pPr>
        <w:jc w:val="center"/>
        <w:rPr>
          <w:b/>
          <w:sz w:val="28"/>
          <w:szCs w:val="28"/>
        </w:rPr>
      </w:pPr>
      <w:r w:rsidRPr="00AA30C8">
        <w:rPr>
          <w:b/>
          <w:sz w:val="28"/>
          <w:szCs w:val="28"/>
        </w:rPr>
        <w:t>„</w:t>
      </w:r>
      <w:r w:rsidRPr="00E43DA2" w:rsidR="00E43DA2">
        <w:rPr>
          <w:b/>
          <w:sz w:val="28"/>
          <w:szCs w:val="28"/>
        </w:rPr>
        <w:t>Par valstij piederošo nekustamo īpašumu Krāslavas novadā nodošanu Krāslavas novada pašvaldības īpašumā</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2C44F5" w:rsidP="00390339" w:rsidRDefault="002C44F5" w14:paraId="34139763" w14:textId="77777777">
      <w:pPr>
        <w:jc w:val="center"/>
        <w:rPr>
          <w:b/>
        </w:rPr>
      </w:pPr>
    </w:p>
    <w:p w:rsidRPr="0053729A" w:rsidR="000A531F" w:rsidP="00390339" w:rsidRDefault="000A531F" w14:paraId="0C266C57" w14:textId="2DB28135">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3BA95370">
            <w:r w:rsidRPr="003E112E">
              <w:t xml:space="preserve"> </w:t>
            </w:r>
            <w:r w:rsidR="00D201AD">
              <w:t xml:space="preserve">2020.gada </w:t>
            </w:r>
            <w:r w:rsidR="00E43DA2">
              <w:t>30.marts</w:t>
            </w:r>
            <w:r w:rsidR="00D201AD">
              <w:t xml:space="preserve"> (elektroniskās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D201AD" w:rsidP="00E43DA2" w:rsidRDefault="00B14512" w14:paraId="3031FB99" w14:textId="77777777">
            <w:r>
              <w:t>Finanšu ministrijas 20</w:t>
            </w:r>
            <w:r w:rsidR="005B7B05">
              <w:t>20</w:t>
            </w:r>
            <w:r>
              <w:t xml:space="preserve">.gada </w:t>
            </w:r>
            <w:r w:rsidR="002C44F5">
              <w:t>27.marta</w:t>
            </w:r>
            <w:r>
              <w:t xml:space="preserve"> atzinums Nr.12/A-7/</w:t>
            </w:r>
            <w:r w:rsidR="002C44F5">
              <w:t>1468</w:t>
            </w:r>
          </w:p>
          <w:p w:rsidRPr="003A7944" w:rsidR="002C44F5" w:rsidP="00E43DA2" w:rsidRDefault="002C44F5" w14:paraId="11A709A3" w14:textId="294EF8E9">
            <w:r>
              <w:t>Tieslietu ministrijas 2020.gada 26.marta atzinums Nr.1-9.1/312</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5B7B05" w:rsidP="00390339" w:rsidRDefault="005B7B05" w14:paraId="2F6422A3" w14:textId="6EA36F3A">
      <w:pPr>
        <w:pStyle w:val="naisf"/>
        <w:spacing w:before="0" w:after="0"/>
        <w:ind w:firstLine="0"/>
        <w:jc w:val="center"/>
        <w:rPr>
          <w:b/>
          <w:sz w:val="28"/>
          <w:szCs w:val="28"/>
        </w:rPr>
      </w:pPr>
    </w:p>
    <w:p w:rsidR="002C44F5" w:rsidP="00390339" w:rsidRDefault="002C44F5" w14:paraId="0EEF021A" w14:textId="77777777">
      <w:pPr>
        <w:pStyle w:val="naisf"/>
        <w:spacing w:before="0" w:after="0"/>
        <w:ind w:firstLine="0"/>
        <w:jc w:val="center"/>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491E1F" w:rsidP="00491E1F" w:rsidRDefault="00957C3D" w14:paraId="34D36443" w14:textId="77777777">
            <w:pPr>
              <w:jc w:val="both"/>
              <w:rPr>
                <w:lang w:eastAsia="ko-KR"/>
              </w:rPr>
            </w:pPr>
            <w:r>
              <w:rPr>
                <w:lang w:eastAsia="ko-KR"/>
              </w:rPr>
              <w:t>Rīkojuma projekta 2.punkts</w:t>
            </w:r>
          </w:p>
          <w:p w:rsidR="00957C3D" w:rsidP="00491E1F" w:rsidRDefault="00957C3D" w14:paraId="1A4FA300" w14:textId="7D131289">
            <w:pPr>
              <w:jc w:val="both"/>
              <w:rPr>
                <w:lang w:eastAsia="ko-KR"/>
              </w:rPr>
            </w:pPr>
            <w:r w:rsidRPr="00957C3D">
              <w:rPr>
                <w:lang w:eastAsia="ko-KR"/>
              </w:rPr>
              <w:t>2. Krāslavas novada pašvaldībai nekustamos īpašumus nodot valstij, ja tie vairs netiek izmantoti šā rīkojuma 1. punktā minētās funkcijas īstenošanai.</w:t>
            </w:r>
          </w:p>
        </w:tc>
        <w:tc>
          <w:tcPr>
            <w:tcW w:w="4678" w:type="dxa"/>
          </w:tcPr>
          <w:p w:rsidR="005B7B05" w:rsidP="007F5237" w:rsidRDefault="002C44F5" w14:paraId="54D54E52" w14:textId="77777777">
            <w:pPr>
              <w:widowControl w:val="0"/>
              <w:jc w:val="both"/>
            </w:pPr>
            <w:r w:rsidRPr="002C44F5">
              <w:rPr>
                <w:b/>
                <w:bCs/>
              </w:rPr>
              <w:t>Finanšu ministrijas</w:t>
            </w:r>
            <w:r w:rsidRPr="002C44F5">
              <w:t xml:space="preserve"> 2020.gada 27.marta atzinums Nr.12/A-7/1468</w:t>
            </w:r>
            <w:r>
              <w:t>.</w:t>
            </w:r>
          </w:p>
          <w:p w:rsidR="002C44F5" w:rsidP="002C44F5" w:rsidRDefault="00957C3D" w14:paraId="41859FB8" w14:textId="742A5054">
            <w:pPr>
              <w:widowControl w:val="0"/>
              <w:jc w:val="both"/>
            </w:pPr>
            <w:r>
              <w:t xml:space="preserve"> </w:t>
            </w:r>
            <w:r w:rsidR="002C44F5">
              <w:t>Publiskas personas mantas atsavināšanas likuma 42.panta pirmajā daļā cita starpā ir noteikts, ka,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rsidRPr="00B14512" w:rsidR="002C44F5" w:rsidP="002C44F5" w:rsidRDefault="002C44F5" w14:paraId="724A8C63" w14:textId="3E4D2378">
            <w:pPr>
              <w:widowControl w:val="0"/>
              <w:jc w:val="both"/>
            </w:pPr>
            <w:r>
              <w:t>Ņemot vērā minēto, lūdzam papildināt rīkojuma projekta 2.punktu paredzot, ka Krāslavas novada pašvaldībai nekustamos īpašumus bez atlīdzības jānodod valstij, ja tie vairs netiek izmantoti rīkojuma projekta 1.punktā minētās funkcijas īstenošanai.</w:t>
            </w:r>
          </w:p>
        </w:tc>
        <w:tc>
          <w:tcPr>
            <w:tcW w:w="2722" w:type="dxa"/>
          </w:tcPr>
          <w:p w:rsidR="00AE212F" w:rsidP="00D47019" w:rsidRDefault="00AE212F" w14:paraId="05EB11D7" w14:textId="3B0ED4A0">
            <w:pPr>
              <w:pStyle w:val="naisf"/>
              <w:spacing w:before="0" w:after="0"/>
              <w:ind w:firstLine="0"/>
              <w:rPr>
                <w:b/>
                <w:bCs/>
              </w:rPr>
            </w:pPr>
            <w:r>
              <w:rPr>
                <w:b/>
                <w:bCs/>
              </w:rPr>
              <w:t>Panākta vienošanās.</w:t>
            </w:r>
          </w:p>
          <w:p w:rsidRPr="00AE212F" w:rsidR="00955F6B" w:rsidP="00D47019" w:rsidRDefault="002C44F5" w14:paraId="4F11965E" w14:textId="793A94C1">
            <w:pPr>
              <w:pStyle w:val="naisf"/>
              <w:spacing w:before="0" w:after="0"/>
              <w:ind w:firstLine="0"/>
            </w:pPr>
            <w:r w:rsidRPr="00AE212F">
              <w:t>Vērtējot iebildumu, konstatēts, ka rīkojuma projekt</w:t>
            </w:r>
            <w:r w:rsidRPr="00AE212F" w:rsidR="00957C3D">
              <w:t xml:space="preserve">ā ir iekļauts 2.punkts ar attiecīgu saturu. Salīdzinot 2.punkta redakciju ar Finanšu ministrijas iebilduma saturu, 2.punkts papildināts ar vārdiem: bez atlīdzības.  </w:t>
            </w:r>
          </w:p>
        </w:tc>
        <w:tc>
          <w:tcPr>
            <w:tcW w:w="2980" w:type="dxa"/>
          </w:tcPr>
          <w:p w:rsidRPr="00957C3D" w:rsidR="00957C3D" w:rsidP="00957C3D" w:rsidRDefault="00957C3D" w14:paraId="140C4C00" w14:textId="77777777">
            <w:pPr>
              <w:jc w:val="both"/>
              <w:rPr>
                <w:bCs/>
              </w:rPr>
            </w:pPr>
            <w:r w:rsidRPr="00957C3D">
              <w:rPr>
                <w:bCs/>
              </w:rPr>
              <w:t>Rīkojuma projekta 2.punkts</w:t>
            </w:r>
          </w:p>
          <w:p w:rsidRPr="00957C3D" w:rsidR="005B7B05" w:rsidP="00957C3D" w:rsidRDefault="00957C3D" w14:paraId="6C730B88" w14:textId="3D7584E9">
            <w:pPr>
              <w:jc w:val="both"/>
              <w:rPr>
                <w:bCs/>
              </w:rPr>
            </w:pPr>
            <w:r w:rsidRPr="00957C3D">
              <w:rPr>
                <w:bCs/>
              </w:rPr>
              <w:t xml:space="preserve">2. Krāslavas novada pašvaldībai nekustamos īpašumus </w:t>
            </w:r>
            <w:r w:rsidRPr="00957C3D">
              <w:rPr>
                <w:b/>
              </w:rPr>
              <w:t>bez atlīdzības</w:t>
            </w:r>
            <w:r>
              <w:rPr>
                <w:bCs/>
              </w:rPr>
              <w:t xml:space="preserve"> </w:t>
            </w:r>
            <w:r w:rsidRPr="00957C3D">
              <w:rPr>
                <w:bCs/>
              </w:rPr>
              <w:t>nodot valstij, ja tie vairs netiek izmantoti šā rīkojuma 1. punktā minētās funkcijas īstenošanai.</w:t>
            </w:r>
          </w:p>
          <w:p w:rsidRPr="00491E1F" w:rsidR="005B7B05" w:rsidP="00491E1F" w:rsidRDefault="005B7B05" w14:paraId="2BB4635D" w14:textId="762C8EFE">
            <w:pPr>
              <w:jc w:val="both"/>
              <w:rPr>
                <w:b/>
              </w:rPr>
            </w:pP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t>2.</w:t>
            </w:r>
          </w:p>
        </w:tc>
        <w:tc>
          <w:tcPr>
            <w:tcW w:w="3119" w:type="dxa"/>
          </w:tcPr>
          <w:p w:rsidRPr="005B7B05" w:rsidR="005B7B05" w:rsidP="004021B9" w:rsidRDefault="005B7B05" w14:paraId="71F2A4BD" w14:textId="412B9924">
            <w:pPr>
              <w:jc w:val="both"/>
              <w:rPr>
                <w:szCs w:val="28"/>
              </w:rPr>
            </w:pPr>
          </w:p>
        </w:tc>
        <w:tc>
          <w:tcPr>
            <w:tcW w:w="4678" w:type="dxa"/>
          </w:tcPr>
          <w:p w:rsidR="00957C3D" w:rsidP="005B7B05" w:rsidRDefault="00957C3D" w14:paraId="6C461EE6" w14:textId="581B4524">
            <w:pPr>
              <w:jc w:val="both"/>
              <w:rPr>
                <w:lang w:eastAsia="en-US"/>
              </w:rPr>
            </w:pPr>
            <w:r w:rsidRPr="00957C3D">
              <w:rPr>
                <w:b/>
                <w:bCs/>
                <w:lang w:eastAsia="en-US"/>
              </w:rPr>
              <w:t>Finanšu ministrijas</w:t>
            </w:r>
            <w:r w:rsidRPr="00957C3D">
              <w:rPr>
                <w:lang w:eastAsia="en-US"/>
              </w:rPr>
              <w:t xml:space="preserve"> 2020.gada 27.marta atzinums Nr.12/A-7/1468</w:t>
            </w:r>
            <w:r>
              <w:rPr>
                <w:lang w:eastAsia="en-US"/>
              </w:rPr>
              <w:t xml:space="preserve"> (priekšlikums).</w:t>
            </w:r>
          </w:p>
          <w:p w:rsidRPr="00BA5981" w:rsidR="005B7B05" w:rsidP="005B7B05" w:rsidRDefault="00957C3D" w14:paraId="0E3C08C4" w14:textId="2938693F">
            <w:pPr>
              <w:jc w:val="both"/>
              <w:rPr>
                <w:lang w:eastAsia="en-US"/>
              </w:rPr>
            </w:pPr>
            <w:r>
              <w:rPr>
                <w:lang w:eastAsia="en-US"/>
              </w:rPr>
              <w:t xml:space="preserve"> </w:t>
            </w:r>
            <w:r w:rsidRPr="00957C3D">
              <w:rPr>
                <w:lang w:eastAsia="en-US"/>
              </w:rPr>
              <w:t xml:space="preserve">Papildus izsakām priekšlikumu anotācijas III sadaļā 2023.gada ailē precizēt “n+2” vērtību, tās vietā norādot attiecīgo gadu, proti, vārdus “izmaiņas, salīdzinot ar vidēja termiņa budžeta ietvaru 2020. gadam” aizstāt ar vārdiem </w:t>
            </w:r>
            <w:r w:rsidRPr="00957C3D">
              <w:rPr>
                <w:lang w:eastAsia="en-US"/>
              </w:rPr>
              <w:lastRenderedPageBreak/>
              <w:t>“izmaiņas, salīdzinot ar vidēja termiņa budžeta ietvaru 2022. gadam”.</w:t>
            </w:r>
          </w:p>
        </w:tc>
        <w:tc>
          <w:tcPr>
            <w:tcW w:w="2722" w:type="dxa"/>
          </w:tcPr>
          <w:p w:rsidR="005B7B05" w:rsidP="00FE5C77" w:rsidRDefault="007F0A92" w14:paraId="342E7D14" w14:textId="77777777">
            <w:pPr>
              <w:pStyle w:val="naisf"/>
              <w:spacing w:before="0" w:after="0"/>
              <w:ind w:firstLine="0"/>
              <w:rPr>
                <w:rFonts w:eastAsia="Calibri"/>
                <w:b/>
                <w:lang w:eastAsia="en-US"/>
              </w:rPr>
            </w:pPr>
            <w:r w:rsidRPr="007F0A92">
              <w:rPr>
                <w:rFonts w:eastAsia="Calibri"/>
                <w:b/>
                <w:lang w:eastAsia="en-US"/>
              </w:rPr>
              <w:lastRenderedPageBreak/>
              <w:t xml:space="preserve">Priekšlikums ir ņemts vērā. </w:t>
            </w:r>
          </w:p>
          <w:p w:rsidRPr="007F0A92" w:rsidR="001914B9" w:rsidP="00FE5C77" w:rsidRDefault="007F0A92" w14:paraId="3247B2CD" w14:textId="2D85F855">
            <w:pPr>
              <w:pStyle w:val="naisf"/>
              <w:spacing w:before="0" w:after="0"/>
              <w:ind w:firstLine="0"/>
              <w:rPr>
                <w:rFonts w:eastAsia="Calibri"/>
                <w:b/>
                <w:lang w:eastAsia="en-US"/>
              </w:rPr>
            </w:pPr>
            <w:r>
              <w:rPr>
                <w:rFonts w:eastAsia="Calibri"/>
                <w:b/>
                <w:lang w:eastAsia="en-US"/>
              </w:rPr>
              <w:t>Attiecīgi precizēt</w:t>
            </w:r>
            <w:r w:rsidR="005B7B05">
              <w:rPr>
                <w:rFonts w:eastAsia="Calibri"/>
                <w:b/>
                <w:lang w:eastAsia="en-US"/>
              </w:rPr>
              <w:t>a anotācija</w:t>
            </w:r>
            <w:r>
              <w:rPr>
                <w:rFonts w:eastAsia="Calibri"/>
                <w:b/>
                <w:lang w:eastAsia="en-US"/>
              </w:rPr>
              <w:t>.</w:t>
            </w:r>
          </w:p>
        </w:tc>
        <w:tc>
          <w:tcPr>
            <w:tcW w:w="2980" w:type="dxa"/>
          </w:tcPr>
          <w:p w:rsidRPr="00EE4B10" w:rsidR="005B7B05" w:rsidP="007F0A92" w:rsidRDefault="005B7B05" w14:paraId="24AFB0B4" w14:textId="26B38160">
            <w:pPr>
              <w:jc w:val="both"/>
              <w:rPr>
                <w:b/>
                <w:bCs/>
                <w:iCs/>
                <w:color w:val="000000"/>
              </w:rPr>
            </w:pPr>
          </w:p>
        </w:tc>
      </w:tr>
      <w:tr w:rsidR="005B7B05" w:rsidTr="0091003F" w14:paraId="7E91E647" w14:textId="77777777">
        <w:tc>
          <w:tcPr>
            <w:tcW w:w="675" w:type="dxa"/>
          </w:tcPr>
          <w:p w:rsidR="005B7B05" w:rsidP="005D403F" w:rsidRDefault="006A2F79" w14:paraId="7E66C5AA" w14:textId="1EF77E90">
            <w:pPr>
              <w:pStyle w:val="naisf"/>
              <w:spacing w:before="0" w:after="0"/>
              <w:ind w:firstLine="0"/>
              <w:jc w:val="center"/>
            </w:pPr>
            <w:r>
              <w:t>3.</w:t>
            </w:r>
          </w:p>
        </w:tc>
        <w:tc>
          <w:tcPr>
            <w:tcW w:w="3119" w:type="dxa"/>
          </w:tcPr>
          <w:p w:rsidRPr="002E3DBA" w:rsidR="005B7B05" w:rsidP="004021B9" w:rsidRDefault="005B7B05" w14:paraId="47BA0C89" w14:textId="1905B64F">
            <w:pPr>
              <w:jc w:val="both"/>
              <w:rPr>
                <w:szCs w:val="28"/>
              </w:rPr>
            </w:pPr>
          </w:p>
        </w:tc>
        <w:tc>
          <w:tcPr>
            <w:tcW w:w="4678" w:type="dxa"/>
          </w:tcPr>
          <w:p w:rsidR="005B7B05" w:rsidP="005B7B05" w:rsidRDefault="00957C3D" w14:paraId="71153230" w14:textId="77777777">
            <w:pPr>
              <w:jc w:val="both"/>
              <w:rPr>
                <w:lang w:eastAsia="en-US"/>
              </w:rPr>
            </w:pPr>
            <w:r w:rsidRPr="00957C3D">
              <w:rPr>
                <w:b/>
                <w:bCs/>
                <w:lang w:eastAsia="en-US"/>
              </w:rPr>
              <w:t>Tieslietu ministrijas</w:t>
            </w:r>
            <w:r w:rsidRPr="00957C3D">
              <w:rPr>
                <w:lang w:eastAsia="en-US"/>
              </w:rPr>
              <w:t xml:space="preserve"> 2020.gada 26.marta atzinums Nr.1-9.1/312</w:t>
            </w:r>
            <w:r>
              <w:rPr>
                <w:lang w:eastAsia="en-US"/>
              </w:rPr>
              <w:t>.</w:t>
            </w:r>
          </w:p>
          <w:p w:rsidRPr="005B7B05" w:rsidR="00957C3D" w:rsidP="005B7B05" w:rsidRDefault="00957C3D" w14:paraId="477FAE53" w14:textId="5F565A99">
            <w:pPr>
              <w:jc w:val="both"/>
              <w:rPr>
                <w:lang w:eastAsia="en-US"/>
              </w:rPr>
            </w:pPr>
            <w:r>
              <w:rPr>
                <w:lang w:eastAsia="en-US"/>
              </w:rPr>
              <w:t xml:space="preserve">  </w:t>
            </w:r>
            <w:r w:rsidRPr="00957C3D">
              <w:rPr>
                <w:lang w:eastAsia="en-US"/>
              </w:rPr>
              <w:t>Ņemot vērā, ka projekts paredz nodot pašvaldības īpašumā atsevišķus valsts vietējā autoceļa V630 "Indra-</w:t>
            </w:r>
            <w:proofErr w:type="spellStart"/>
            <w:r w:rsidRPr="00957C3D">
              <w:rPr>
                <w:lang w:eastAsia="en-US"/>
              </w:rPr>
              <w:t>Patarnieki</w:t>
            </w:r>
            <w:proofErr w:type="spellEnd"/>
            <w:r w:rsidRPr="00957C3D">
              <w:rPr>
                <w:lang w:eastAsia="en-US"/>
              </w:rPr>
              <w:t>-</w:t>
            </w:r>
            <w:proofErr w:type="spellStart"/>
            <w:r w:rsidRPr="00957C3D">
              <w:rPr>
                <w:lang w:eastAsia="en-US"/>
              </w:rPr>
              <w:t>Koškovci</w:t>
            </w:r>
            <w:proofErr w:type="spellEnd"/>
            <w:r w:rsidRPr="00957C3D">
              <w:rPr>
                <w:lang w:eastAsia="en-US"/>
              </w:rPr>
              <w:t>" posmus un tā zemes ar visām šī autoceļa kompleksā ietilpstošajām būvēm un nodibināto praksi analoģisku Ministru kabineta rīkojumu izstrādē, vēršam uzmanību uz nepieciešamību pēc projektā minēto nekustamo īpašumu nodošanas Krāslavas novada pašvaldībai izstrādāt attiecīgus grozījumus Ministru kabineta 2009. gada 29. septembra noteikumos Nr.1104 “Noteikumi par valsts autoceļu un valsts autoceļu maršrutā ietverto pašvaldībām piederošo autoceļu posmu sarakstiem”. Ņemot vērā minēto, lūdzam ar attiecīgu informāciju papildināt projekta sākotnējās ietekmes novērtējuma ziņojumu (anotāciju) (sk., piemēram, Ministru kabineta 2020. gada 4. marta rīkojuma Nr. 89 "Par valstij piederošā valsts vietējā autoceļa V1005 "Kundziņi-Bauska" posma 0,990.-1,335. km nodošanu Bauskas novada pašvaldības īpašumā" sākotnējās ietekmes novērtējuma ziņojuma (anotācijas) IV sadaļu).</w:t>
            </w:r>
          </w:p>
        </w:tc>
        <w:tc>
          <w:tcPr>
            <w:tcW w:w="2722" w:type="dxa"/>
          </w:tcPr>
          <w:p w:rsidR="005B7B05" w:rsidP="00FE5C77" w:rsidRDefault="00EB53C8" w14:paraId="6D0FEDD7" w14:textId="77777777">
            <w:pPr>
              <w:pStyle w:val="naisf"/>
              <w:spacing w:before="0" w:after="0"/>
              <w:ind w:firstLine="0"/>
              <w:rPr>
                <w:rFonts w:eastAsia="Calibri"/>
                <w:b/>
                <w:lang w:eastAsia="en-US"/>
              </w:rPr>
            </w:pPr>
            <w:r>
              <w:rPr>
                <w:rFonts w:eastAsia="Calibri"/>
                <w:b/>
                <w:lang w:eastAsia="en-US"/>
              </w:rPr>
              <w:t xml:space="preserve">Iebildums </w:t>
            </w:r>
            <w:r w:rsidR="007A439B">
              <w:rPr>
                <w:rFonts w:eastAsia="Calibri"/>
                <w:b/>
                <w:lang w:eastAsia="en-US"/>
              </w:rPr>
              <w:t xml:space="preserve">ir </w:t>
            </w:r>
            <w:r w:rsidR="0085341D">
              <w:rPr>
                <w:rFonts w:eastAsia="Calibri"/>
                <w:b/>
                <w:lang w:eastAsia="en-US"/>
              </w:rPr>
              <w:t>ņemts vērā</w:t>
            </w:r>
            <w:r w:rsidR="007A439B">
              <w:rPr>
                <w:rFonts w:eastAsia="Calibri"/>
                <w:b/>
                <w:lang w:eastAsia="en-US"/>
              </w:rPr>
              <w:t>.</w:t>
            </w:r>
          </w:p>
          <w:p w:rsidRPr="007F0A92" w:rsidR="00EB53C8" w:rsidP="00FE5C77" w:rsidRDefault="00EB53C8" w14:paraId="084F75BB" w14:textId="77EFF2B6">
            <w:pPr>
              <w:pStyle w:val="naisf"/>
              <w:spacing w:before="0" w:after="0"/>
              <w:ind w:firstLine="0"/>
              <w:rPr>
                <w:rFonts w:eastAsia="Calibri"/>
                <w:b/>
                <w:lang w:eastAsia="en-US"/>
              </w:rPr>
            </w:pPr>
            <w:r>
              <w:rPr>
                <w:rFonts w:eastAsia="Calibri"/>
                <w:b/>
                <w:lang w:eastAsia="en-US"/>
              </w:rPr>
              <w:t>Attiecīgi papildināta anotācija.</w:t>
            </w:r>
          </w:p>
        </w:tc>
        <w:tc>
          <w:tcPr>
            <w:tcW w:w="2980" w:type="dxa"/>
          </w:tcPr>
          <w:p w:rsidRPr="00EB53C8" w:rsidR="00EB53C8" w:rsidP="003712CD" w:rsidRDefault="00EB53C8" w14:paraId="44D03DF9" w14:textId="51C61031">
            <w:pPr>
              <w:widowControl w:val="0"/>
              <w:jc w:val="both"/>
              <w:rPr>
                <w:szCs w:val="28"/>
              </w:rPr>
            </w:pPr>
            <w:r w:rsidRPr="00EB53C8">
              <w:rPr>
                <w:szCs w:val="28"/>
              </w:rPr>
              <w:t>Anotācijas IV sadaļas 1.punkts.</w:t>
            </w:r>
          </w:p>
          <w:p w:rsidRPr="00836D01" w:rsidR="00180E9A" w:rsidP="003712CD" w:rsidRDefault="00EB53C8" w14:paraId="6B6436A9" w14:textId="4500A53F">
            <w:pPr>
              <w:widowControl w:val="0"/>
              <w:jc w:val="both"/>
              <w:rPr>
                <w:b/>
                <w:bCs/>
                <w:szCs w:val="28"/>
              </w:rPr>
            </w:pPr>
            <w:r w:rsidRPr="00EB53C8">
              <w:rPr>
                <w:b/>
                <w:bCs/>
                <w:szCs w:val="28"/>
              </w:rPr>
              <w:t>Grozījumi Ministru kabineta 2009.gada 29.septembra noteikumos Nr.1104 “Noteikumi par valsts autoceļu un valsts autoceļu maršrutā ietverto pašvaldībām piederošo autoceļu posmu sarakstiem”, lai precizētu norādes par rīkojuma projektā minēto nekustamo īpašumu piederību Krāslavas novada pašvaldībai. Noteikumu grozījumu projekts tiks sagatavots pēc nekustamo īpašumu nodošanas Krāslavas novada pašvaldības īpašumā.</w:t>
            </w:r>
          </w:p>
        </w:tc>
      </w:tr>
    </w:tbl>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187E5E90" w:rsidR="00FC51C5" w:rsidRPr="00FC51C5" w:rsidRDefault="008D3595" w:rsidP="00FC51C5">
    <w:pPr>
      <w:jc w:val="both"/>
      <w:rPr>
        <w:bCs/>
        <w:sz w:val="20"/>
        <w:szCs w:val="20"/>
        <w:lang w:eastAsia="ko-KR"/>
      </w:rPr>
    </w:pPr>
    <w:r>
      <w:rPr>
        <w:sz w:val="20"/>
        <w:szCs w:val="20"/>
      </w:rPr>
      <w:t>SMi</w:t>
    </w:r>
    <w:r w:rsidR="00AA30C8">
      <w:rPr>
        <w:sz w:val="20"/>
        <w:szCs w:val="20"/>
      </w:rPr>
      <w:t>zz_</w:t>
    </w:r>
    <w:r w:rsidR="00E43DA2">
      <w:rPr>
        <w:sz w:val="20"/>
        <w:szCs w:val="20"/>
      </w:rPr>
      <w:t>300320_VSS216</w:t>
    </w:r>
  </w:p>
  <w:p w14:paraId="0E9B010F" w14:textId="77777777" w:rsidR="00013AD7" w:rsidRPr="00570BB9" w:rsidRDefault="00AE212F"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22A36F35" w:rsidR="00EA4FB1" w:rsidRPr="00FC51C5" w:rsidRDefault="008D3595" w:rsidP="00EA4FB1">
    <w:pPr>
      <w:jc w:val="both"/>
      <w:rPr>
        <w:bCs/>
        <w:sz w:val="20"/>
        <w:szCs w:val="20"/>
        <w:lang w:eastAsia="ko-KR"/>
      </w:rPr>
    </w:pPr>
    <w:r>
      <w:rPr>
        <w:sz w:val="20"/>
        <w:szCs w:val="20"/>
      </w:rPr>
      <w:t>SMi</w:t>
    </w:r>
    <w:r w:rsidR="00E9372F">
      <w:rPr>
        <w:sz w:val="20"/>
        <w:szCs w:val="20"/>
      </w:rPr>
      <w:t>zz_</w:t>
    </w:r>
    <w:r w:rsidR="00E43DA2">
      <w:rPr>
        <w:sz w:val="20"/>
        <w:szCs w:val="20"/>
      </w:rPr>
      <w:t>300320_VSS216</w:t>
    </w:r>
  </w:p>
  <w:p w14:paraId="71D70F49" w14:textId="77777777" w:rsidR="00E65AF3" w:rsidRPr="00E15A76" w:rsidRDefault="00E65AF3" w:rsidP="00E65AF3">
    <w:pPr>
      <w:jc w:val="both"/>
      <w:rPr>
        <w:bCs/>
        <w:sz w:val="20"/>
        <w:szCs w:val="20"/>
      </w:rPr>
    </w:pPr>
  </w:p>
  <w:p w14:paraId="627254F6" w14:textId="77777777" w:rsidR="00013AD7" w:rsidRPr="0022701B" w:rsidRDefault="00AE212F"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AE212F"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AE212F"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6139E"/>
    <w:rsid w:val="000A39DD"/>
    <w:rsid w:val="000A531F"/>
    <w:rsid w:val="000B045E"/>
    <w:rsid w:val="000B5ECF"/>
    <w:rsid w:val="00120338"/>
    <w:rsid w:val="00120A54"/>
    <w:rsid w:val="0013486B"/>
    <w:rsid w:val="001616A0"/>
    <w:rsid w:val="00161C98"/>
    <w:rsid w:val="00180E9A"/>
    <w:rsid w:val="00185895"/>
    <w:rsid w:val="001914B9"/>
    <w:rsid w:val="001B0C1E"/>
    <w:rsid w:val="001B4F15"/>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C44F5"/>
    <w:rsid w:val="002D588B"/>
    <w:rsid w:val="002D7A98"/>
    <w:rsid w:val="002E3DBA"/>
    <w:rsid w:val="002E51C4"/>
    <w:rsid w:val="00302611"/>
    <w:rsid w:val="00304936"/>
    <w:rsid w:val="00307E7E"/>
    <w:rsid w:val="003101D8"/>
    <w:rsid w:val="00326543"/>
    <w:rsid w:val="003501C0"/>
    <w:rsid w:val="003712CD"/>
    <w:rsid w:val="00390339"/>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87052"/>
    <w:rsid w:val="00490480"/>
    <w:rsid w:val="004911C0"/>
    <w:rsid w:val="00491E1F"/>
    <w:rsid w:val="0049672C"/>
    <w:rsid w:val="004A3325"/>
    <w:rsid w:val="004A4217"/>
    <w:rsid w:val="004F65A9"/>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5C10"/>
    <w:rsid w:val="005B7B05"/>
    <w:rsid w:val="005C28F5"/>
    <w:rsid w:val="005D403F"/>
    <w:rsid w:val="005F3723"/>
    <w:rsid w:val="005F3BB5"/>
    <w:rsid w:val="005F437F"/>
    <w:rsid w:val="005F4B79"/>
    <w:rsid w:val="00602FC3"/>
    <w:rsid w:val="00606571"/>
    <w:rsid w:val="00640D28"/>
    <w:rsid w:val="006523CA"/>
    <w:rsid w:val="00664A66"/>
    <w:rsid w:val="006854E4"/>
    <w:rsid w:val="00693260"/>
    <w:rsid w:val="006A2F79"/>
    <w:rsid w:val="006A335A"/>
    <w:rsid w:val="006B04E7"/>
    <w:rsid w:val="006B3025"/>
    <w:rsid w:val="006C196E"/>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D01"/>
    <w:rsid w:val="00840AC1"/>
    <w:rsid w:val="008454B7"/>
    <w:rsid w:val="00845C31"/>
    <w:rsid w:val="0085341D"/>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57C3D"/>
    <w:rsid w:val="009637BC"/>
    <w:rsid w:val="009702A1"/>
    <w:rsid w:val="00971B02"/>
    <w:rsid w:val="00974FA1"/>
    <w:rsid w:val="00975516"/>
    <w:rsid w:val="00977DFB"/>
    <w:rsid w:val="009903D9"/>
    <w:rsid w:val="009D0DE2"/>
    <w:rsid w:val="009D6B36"/>
    <w:rsid w:val="009E765A"/>
    <w:rsid w:val="009E7D11"/>
    <w:rsid w:val="00A34347"/>
    <w:rsid w:val="00A36F3C"/>
    <w:rsid w:val="00A67E47"/>
    <w:rsid w:val="00A91A94"/>
    <w:rsid w:val="00AA30C8"/>
    <w:rsid w:val="00AA4796"/>
    <w:rsid w:val="00AA6CE9"/>
    <w:rsid w:val="00AB2D31"/>
    <w:rsid w:val="00AC59EC"/>
    <w:rsid w:val="00AD0322"/>
    <w:rsid w:val="00AD080E"/>
    <w:rsid w:val="00AD3972"/>
    <w:rsid w:val="00AE212F"/>
    <w:rsid w:val="00AF7C82"/>
    <w:rsid w:val="00B06A0E"/>
    <w:rsid w:val="00B13F24"/>
    <w:rsid w:val="00B14512"/>
    <w:rsid w:val="00B44F89"/>
    <w:rsid w:val="00B45DE0"/>
    <w:rsid w:val="00B641E0"/>
    <w:rsid w:val="00B65773"/>
    <w:rsid w:val="00B87422"/>
    <w:rsid w:val="00B93C32"/>
    <w:rsid w:val="00BA5981"/>
    <w:rsid w:val="00BA5B5C"/>
    <w:rsid w:val="00BB5CE6"/>
    <w:rsid w:val="00BC0E1F"/>
    <w:rsid w:val="00BF46D9"/>
    <w:rsid w:val="00BF56C6"/>
    <w:rsid w:val="00C03748"/>
    <w:rsid w:val="00C24317"/>
    <w:rsid w:val="00C319A3"/>
    <w:rsid w:val="00C6361E"/>
    <w:rsid w:val="00C708D6"/>
    <w:rsid w:val="00C73711"/>
    <w:rsid w:val="00C759D4"/>
    <w:rsid w:val="00C77313"/>
    <w:rsid w:val="00C80A32"/>
    <w:rsid w:val="00C908F5"/>
    <w:rsid w:val="00CA0484"/>
    <w:rsid w:val="00CA590E"/>
    <w:rsid w:val="00CC0355"/>
    <w:rsid w:val="00CD3D34"/>
    <w:rsid w:val="00CD59D2"/>
    <w:rsid w:val="00CD5ABC"/>
    <w:rsid w:val="00CF228A"/>
    <w:rsid w:val="00D17E2B"/>
    <w:rsid w:val="00D201AD"/>
    <w:rsid w:val="00D47019"/>
    <w:rsid w:val="00D56DC4"/>
    <w:rsid w:val="00D66F4C"/>
    <w:rsid w:val="00D84BD2"/>
    <w:rsid w:val="00DA2FA4"/>
    <w:rsid w:val="00DA5A2A"/>
    <w:rsid w:val="00DC28A7"/>
    <w:rsid w:val="00DF3EEC"/>
    <w:rsid w:val="00DF59E7"/>
    <w:rsid w:val="00DF5CFC"/>
    <w:rsid w:val="00E15A76"/>
    <w:rsid w:val="00E41B15"/>
    <w:rsid w:val="00E43DA2"/>
    <w:rsid w:val="00E51EB0"/>
    <w:rsid w:val="00E5280C"/>
    <w:rsid w:val="00E65AF3"/>
    <w:rsid w:val="00E71BDB"/>
    <w:rsid w:val="00E90C3C"/>
    <w:rsid w:val="00E9372F"/>
    <w:rsid w:val="00E97C36"/>
    <w:rsid w:val="00EA0FF1"/>
    <w:rsid w:val="00EA19C2"/>
    <w:rsid w:val="00EA2237"/>
    <w:rsid w:val="00EA35D7"/>
    <w:rsid w:val="00EA4FB1"/>
    <w:rsid w:val="00EA5070"/>
    <w:rsid w:val="00EA671E"/>
    <w:rsid w:val="00EB2FCF"/>
    <w:rsid w:val="00EB53C8"/>
    <w:rsid w:val="00ED020A"/>
    <w:rsid w:val="00ED02EA"/>
    <w:rsid w:val="00ED471F"/>
    <w:rsid w:val="00EE4B10"/>
    <w:rsid w:val="00EE7A2F"/>
    <w:rsid w:val="00EF21E1"/>
    <w:rsid w:val="00EF5852"/>
    <w:rsid w:val="00F07B97"/>
    <w:rsid w:val="00F5533C"/>
    <w:rsid w:val="00F57C7D"/>
    <w:rsid w:val="00F62623"/>
    <w:rsid w:val="00F6373F"/>
    <w:rsid w:val="00F73D99"/>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5884-BD3D-4EBE-8F69-6C365281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3436</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Par valstij piederošo nekustamo īpašumu Krāslavas novadā nodošanu Krāslavas novada pašvaldības īpašumā</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Krāslavas novadā nodošanu Krāslavas novada pašvaldības īpašumā</dc:title>
  <dc:creator>Sandra.Silina@sam.gov.lv;Satiksmes ministrijas Juridiskā departamenta Nekustamo īpašumu nodaļas vecākā referente;tālr. 67028031;VAS "Latvijas Valsts ceļi" juriste Anita Bojāre;67028380;anita.bojare@lvceli.lv</dc:creator>
  <cp:keywords>MK rīkojuma projekts</cp:keywords>
  <dc:description>anita.bojare@lvceli.lv, 67028380; sandra.silina@sam.gov.lv, 67028031</dc:description>
  <cp:lastModifiedBy>Baiba Jirgena</cp:lastModifiedBy>
  <cp:revision>38</cp:revision>
  <cp:lastPrinted>2018-07-23T10:08:00Z</cp:lastPrinted>
  <dcterms:created xsi:type="dcterms:W3CDTF">2019-12-09T14:00:00Z</dcterms:created>
  <dcterms:modified xsi:type="dcterms:W3CDTF">2020-04-14T15:04:00Z</dcterms:modified>
</cp:coreProperties>
</file>