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5287" w:rsidR="000D5A88" w:rsidP="00E81CFD" w:rsidRDefault="006059BF" w14:paraId="50C2829E" w14:textId="77777777">
      <w:pPr>
        <w:widowControl w:val="0"/>
        <w:spacing w:after="0" w:line="240" w:lineRule="auto"/>
        <w:jc w:val="center"/>
        <w:rPr>
          <w:rFonts w:ascii="Times New Roman" w:hAnsi="Times New Roman" w:eastAsia="Times New Roman" w:cs="Times New Roman"/>
          <w:b/>
          <w:bCs/>
          <w:sz w:val="26"/>
          <w:szCs w:val="26"/>
          <w:lang w:val="lv-LV"/>
        </w:rPr>
      </w:pPr>
      <w:bookmarkStart w:name="_GoBack" w:id="0"/>
      <w:bookmarkEnd w:id="0"/>
      <w:r w:rsidRPr="00455287">
        <w:rPr>
          <w:rFonts w:ascii="Times New Roman" w:hAnsi="Times New Roman" w:cs="Times New Roman"/>
          <w:b/>
          <w:bCs/>
          <w:sz w:val="26"/>
          <w:szCs w:val="26"/>
          <w:lang w:val="lv-LV"/>
        </w:rPr>
        <w:t>Informatīvais ziņojums</w:t>
      </w:r>
    </w:p>
    <w:p w:rsidRPr="00095F8C" w:rsidR="000D5A88" w:rsidP="00E81CFD" w:rsidRDefault="00095F8C" w14:paraId="67AC0993" w14:textId="5B4E61C0">
      <w:pPr>
        <w:widowControl w:val="0"/>
        <w:spacing w:after="0" w:line="240" w:lineRule="auto"/>
        <w:jc w:val="center"/>
        <w:rPr>
          <w:rFonts w:ascii="Times New Roman" w:hAnsi="Times New Roman" w:eastAsia="Times New Roman" w:cs="Times New Roman"/>
          <w:b/>
          <w:bCs/>
          <w:sz w:val="26"/>
          <w:szCs w:val="26"/>
          <w:lang w:val="lv-LV"/>
        </w:rPr>
      </w:pPr>
      <w:r w:rsidRPr="00095F8C">
        <w:rPr>
          <w:rFonts w:ascii="Times New Roman" w:hAnsi="Times New Roman" w:cs="Times New Roman"/>
          <w:b/>
          <w:bCs/>
          <w:sz w:val="26"/>
          <w:szCs w:val="26"/>
          <w:lang w:val="lv-LV"/>
        </w:rPr>
        <w:t>"</w:t>
      </w:r>
      <w:r w:rsidRPr="00455287" w:rsidR="006059BF">
        <w:rPr>
          <w:rFonts w:ascii="Times New Roman" w:hAnsi="Times New Roman" w:cs="Times New Roman"/>
          <w:b/>
          <w:bCs/>
          <w:sz w:val="26"/>
          <w:szCs w:val="26"/>
          <w:lang w:val="lv-LV"/>
        </w:rPr>
        <w:t>Par Ekonomiskās sadarbības un attīstības organizācijas Kukuļošanas apkarošanas starptautiskajos biznesa darījumos darba grupas 3.</w:t>
      </w:r>
      <w:r>
        <w:rPr>
          <w:rFonts w:ascii="Times New Roman" w:hAnsi="Times New Roman" w:cs="Times New Roman"/>
          <w:b/>
          <w:bCs/>
          <w:sz w:val="26"/>
          <w:szCs w:val="26"/>
          <w:lang w:val="lv-LV"/>
        </w:rPr>
        <w:t> </w:t>
      </w:r>
      <w:r w:rsidRPr="00455287" w:rsidR="006059BF">
        <w:rPr>
          <w:rFonts w:ascii="Times New Roman" w:hAnsi="Times New Roman" w:cs="Times New Roman"/>
          <w:b/>
          <w:bCs/>
          <w:sz w:val="26"/>
          <w:szCs w:val="26"/>
          <w:lang w:val="lv-LV"/>
        </w:rPr>
        <w:t>fāzes Latvijas novērtējuma ziņojumu, tajā izteiktajām rekomendācijām un to</w:t>
      </w:r>
      <w:r>
        <w:rPr>
          <w:rFonts w:ascii="Times New Roman" w:hAnsi="Times New Roman" w:eastAsia="Times New Roman" w:cs="Times New Roman"/>
          <w:b/>
          <w:bCs/>
          <w:sz w:val="26"/>
          <w:szCs w:val="26"/>
          <w:lang w:val="lv-LV"/>
        </w:rPr>
        <w:t xml:space="preserve"> </w:t>
      </w:r>
      <w:r w:rsidRPr="00455287" w:rsidR="006059BF">
        <w:rPr>
          <w:rFonts w:ascii="Times New Roman" w:hAnsi="Times New Roman" w:cs="Times New Roman"/>
          <w:b/>
          <w:bCs/>
          <w:sz w:val="26"/>
          <w:szCs w:val="26"/>
          <w:lang w:val="lv-LV"/>
        </w:rPr>
        <w:t>izpildes nodrošināšanu</w:t>
      </w:r>
      <w:r w:rsidRPr="00095F8C">
        <w:rPr>
          <w:rFonts w:ascii="Times New Roman" w:hAnsi="Times New Roman" w:cs="Times New Roman"/>
          <w:b/>
          <w:bCs/>
          <w:sz w:val="26"/>
          <w:szCs w:val="26"/>
          <w:lang w:val="lv-LV"/>
        </w:rPr>
        <w:t>"</w:t>
      </w:r>
    </w:p>
    <w:p w:rsidRPr="00455287" w:rsidR="00455287" w:rsidP="00455287" w:rsidRDefault="00455287" w14:paraId="438E6A64" w14:textId="77777777">
      <w:pPr>
        <w:widowControl w:val="0"/>
        <w:spacing w:after="0" w:line="240" w:lineRule="auto"/>
        <w:ind w:firstLine="720"/>
        <w:jc w:val="center"/>
        <w:rPr>
          <w:rFonts w:ascii="Times New Roman" w:hAnsi="Times New Roman" w:eastAsia="Times New Roman" w:cs="Times New Roman"/>
          <w:b/>
          <w:bCs/>
          <w:sz w:val="26"/>
          <w:szCs w:val="26"/>
          <w:lang w:val="lv-LV"/>
        </w:rPr>
      </w:pPr>
    </w:p>
    <w:p w:rsidRPr="00455287" w:rsidR="000D5A88" w:rsidP="001C42B3" w:rsidRDefault="006059BF" w14:paraId="4DF841E4" w14:textId="3E958ACF">
      <w:pPr>
        <w:spacing w:after="0" w:line="240" w:lineRule="auto"/>
        <w:ind w:firstLine="720"/>
        <w:jc w:val="both"/>
        <w:rPr>
          <w:rFonts w:ascii="Times New Roman" w:hAnsi="Times New Roman" w:eastAsia="Times New Roman" w:cs="Times New Roman"/>
          <w:sz w:val="26"/>
          <w:szCs w:val="26"/>
          <w:lang w:val="lv-LV"/>
        </w:rPr>
      </w:pPr>
      <w:r w:rsidRPr="00455287">
        <w:rPr>
          <w:rFonts w:ascii="Times New Roman" w:hAnsi="Times New Roman" w:cs="Times New Roman"/>
          <w:sz w:val="26"/>
          <w:szCs w:val="26"/>
          <w:lang w:val="lv-LV"/>
        </w:rPr>
        <w:t>Informatīvais ziņojums ir sagatavots, lai informētu par Ekonomiskās sadarbības un attīstības organizācijas (</w:t>
      </w:r>
      <w:r w:rsidRPr="00455287">
        <w:rPr>
          <w:rFonts w:ascii="Times New Roman" w:hAnsi="Times New Roman" w:cs="Times New Roman"/>
          <w:i/>
          <w:iCs/>
          <w:sz w:val="26"/>
          <w:szCs w:val="26"/>
          <w:lang w:val="lv-LV"/>
        </w:rPr>
        <w:t>Organisation for Economic Cooperation and Devolepment</w:t>
      </w:r>
      <w:r w:rsidRPr="00455287">
        <w:rPr>
          <w:rFonts w:ascii="Times New Roman" w:hAnsi="Times New Roman" w:cs="Times New Roman"/>
          <w:sz w:val="26"/>
          <w:szCs w:val="26"/>
          <w:lang w:val="lv-LV"/>
        </w:rPr>
        <w:t>, turpmāk – OECD) Kukuļošanas apkarošanas starptautiskajos biznesa darījumos darba grupas (</w:t>
      </w:r>
      <w:r w:rsidRPr="00455287">
        <w:rPr>
          <w:rFonts w:ascii="Times New Roman" w:hAnsi="Times New Roman" w:cs="Times New Roman"/>
          <w:i/>
          <w:iCs/>
          <w:sz w:val="26"/>
          <w:szCs w:val="26"/>
          <w:lang w:val="lv-LV"/>
        </w:rPr>
        <w:t>Working Group on Bribery in International Business Transactions</w:t>
      </w:r>
      <w:r w:rsidRPr="00455287">
        <w:rPr>
          <w:rFonts w:ascii="Times New Roman" w:hAnsi="Times New Roman" w:cs="Times New Roman"/>
          <w:sz w:val="26"/>
          <w:szCs w:val="26"/>
          <w:lang w:val="lv-LV"/>
        </w:rPr>
        <w:t>, turpmāk – WGB) veikto Latvijas 3.</w:t>
      </w:r>
      <w:r w:rsidR="00095F8C">
        <w:rPr>
          <w:rFonts w:ascii="Times New Roman" w:hAnsi="Times New Roman" w:cs="Times New Roman"/>
          <w:sz w:val="26"/>
          <w:szCs w:val="26"/>
          <w:lang w:val="lv-LV"/>
        </w:rPr>
        <w:t> </w:t>
      </w:r>
      <w:r w:rsidRPr="00455287">
        <w:rPr>
          <w:rFonts w:ascii="Times New Roman" w:hAnsi="Times New Roman" w:cs="Times New Roman"/>
          <w:sz w:val="26"/>
          <w:szCs w:val="26"/>
          <w:lang w:val="lv-LV"/>
        </w:rPr>
        <w:t xml:space="preserve">fāzes novērtēšanu, izteiktajām rekomendācijām un nodrošinātu to izpildi. </w:t>
      </w:r>
    </w:p>
    <w:p w:rsidRPr="00455287" w:rsidR="000D5A88" w:rsidP="00095F8C" w:rsidRDefault="006059BF" w14:paraId="48049A79" w14:textId="32A3BB7B">
      <w:pPr>
        <w:spacing w:after="0" w:line="240" w:lineRule="auto"/>
        <w:ind w:firstLine="720"/>
        <w:jc w:val="both"/>
        <w:rPr>
          <w:rFonts w:ascii="Times New Roman" w:hAnsi="Times New Roman" w:eastAsia="Times New Roman" w:cs="Times New Roman"/>
          <w:sz w:val="26"/>
          <w:szCs w:val="26"/>
          <w:lang w:val="lv-LV"/>
        </w:rPr>
      </w:pPr>
      <w:r w:rsidRPr="00455287">
        <w:rPr>
          <w:rFonts w:ascii="Times New Roman" w:hAnsi="Times New Roman" w:cs="Times New Roman"/>
          <w:sz w:val="26"/>
          <w:szCs w:val="26"/>
          <w:lang w:val="lv-LV"/>
        </w:rPr>
        <w:t>Atbilstoši Ministru kabineta 2016.</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gada 25.</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augusta rīkojuma Nr.</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 xml:space="preserve">482 </w:t>
      </w:r>
      <w:r w:rsidRPr="00095F8C" w:rsidR="00095F8C">
        <w:rPr>
          <w:rFonts w:ascii="Times New Roman" w:hAnsi="Times New Roman" w:cs="Times New Roman"/>
          <w:sz w:val="26"/>
          <w:szCs w:val="26"/>
          <w:lang w:val="lv-LV"/>
        </w:rPr>
        <w:t>"</w:t>
      </w:r>
      <w:r w:rsidRPr="00455287">
        <w:rPr>
          <w:rFonts w:ascii="Times New Roman" w:hAnsi="Times New Roman" w:cs="Times New Roman"/>
          <w:sz w:val="26"/>
          <w:szCs w:val="26"/>
          <w:lang w:val="lv-LV"/>
        </w:rPr>
        <w:t>Par kompetenču sadalījumu Latvijas interešu pārstāvēšanā Ekonomiskās sadarbības un attīstības organizācijas komitejās un darba grupās</w:t>
      </w:r>
      <w:r w:rsidRPr="00095F8C" w:rsidR="00095F8C">
        <w:rPr>
          <w:rFonts w:ascii="Times New Roman" w:hAnsi="Times New Roman" w:cs="Times New Roman"/>
          <w:sz w:val="26"/>
          <w:szCs w:val="26"/>
          <w:lang w:val="lv-LV"/>
        </w:rPr>
        <w:t>"</w:t>
      </w:r>
      <w:r w:rsidRPr="00455287">
        <w:rPr>
          <w:rFonts w:ascii="Times New Roman" w:hAnsi="Times New Roman" w:cs="Times New Roman"/>
          <w:sz w:val="26"/>
          <w:szCs w:val="26"/>
          <w:lang w:val="lv-LV"/>
        </w:rPr>
        <w:t xml:space="preserve"> 2.</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punktam Latvijas intereses OECD WGB pārstāv Tieslietu ministrija.</w:t>
      </w:r>
    </w:p>
    <w:p w:rsidRPr="00455287" w:rsidR="000D5A88" w:rsidP="00095F8C" w:rsidRDefault="006059BF" w14:paraId="73A6FB35" w14:textId="0F3EC64D">
      <w:pPr>
        <w:pStyle w:val="Style29"/>
        <w:widowControl/>
        <w:tabs>
          <w:tab w:val="left" w:pos="854"/>
        </w:tabs>
        <w:spacing w:line="240" w:lineRule="auto"/>
        <w:ind w:firstLine="720"/>
        <w:rPr>
          <w:sz w:val="26"/>
          <w:szCs w:val="26"/>
        </w:rPr>
      </w:pPr>
      <w:r w:rsidRPr="00455287">
        <w:rPr>
          <w:sz w:val="26"/>
          <w:szCs w:val="26"/>
        </w:rPr>
        <w:t>Latvijas 3.</w:t>
      </w:r>
      <w:r w:rsidRPr="00455287" w:rsidR="00455287">
        <w:rPr>
          <w:sz w:val="26"/>
          <w:szCs w:val="26"/>
        </w:rPr>
        <w:t> </w:t>
      </w:r>
      <w:r w:rsidRPr="00455287">
        <w:rPr>
          <w:sz w:val="26"/>
          <w:szCs w:val="26"/>
        </w:rPr>
        <w:t>fāzes novērtējuma process tika uzsākts 2019.</w:t>
      </w:r>
      <w:r w:rsidRPr="00455287" w:rsidR="00455287">
        <w:rPr>
          <w:sz w:val="26"/>
          <w:szCs w:val="26"/>
        </w:rPr>
        <w:t> </w:t>
      </w:r>
      <w:r w:rsidRPr="00455287">
        <w:rPr>
          <w:sz w:val="26"/>
          <w:szCs w:val="26"/>
        </w:rPr>
        <w:t>gada janvārī. Tā ietvaros tika vērtēta gan Latvijas 2.</w:t>
      </w:r>
      <w:r w:rsidRPr="00455287" w:rsidR="00455287">
        <w:rPr>
          <w:sz w:val="26"/>
          <w:szCs w:val="26"/>
        </w:rPr>
        <w:t> </w:t>
      </w:r>
      <w:r w:rsidRPr="00455287">
        <w:rPr>
          <w:sz w:val="26"/>
          <w:szCs w:val="26"/>
        </w:rPr>
        <w:t xml:space="preserve">fāzes ziņojumā iekļauto rekomendāciju izpilde, gan Latvijas normatīvo aktu atbilstība </w:t>
      </w:r>
      <w:r w:rsidR="00B20F37">
        <w:rPr>
          <w:sz w:val="26"/>
          <w:szCs w:val="26"/>
        </w:rPr>
        <w:t xml:space="preserve">OECD </w:t>
      </w:r>
      <w:r w:rsidR="0089639F">
        <w:rPr>
          <w:sz w:val="26"/>
          <w:szCs w:val="26"/>
        </w:rPr>
        <w:t xml:space="preserve">1997. gada 21. novembra </w:t>
      </w:r>
      <w:r w:rsidR="00B20F37">
        <w:rPr>
          <w:sz w:val="26"/>
          <w:szCs w:val="26"/>
        </w:rPr>
        <w:t>Konvencijas par ārvalstu amatpersonu kukuļošanas apkarošanu starptautiskajos biznesa darījumos</w:t>
      </w:r>
      <w:r w:rsidRPr="00455287">
        <w:rPr>
          <w:sz w:val="26"/>
          <w:szCs w:val="26"/>
        </w:rPr>
        <w:t>, 2009.</w:t>
      </w:r>
      <w:r w:rsidRPr="00455287" w:rsidR="00455287">
        <w:rPr>
          <w:sz w:val="26"/>
          <w:szCs w:val="26"/>
        </w:rPr>
        <w:t> </w:t>
      </w:r>
      <w:r w:rsidR="00B20F37">
        <w:rPr>
          <w:sz w:val="26"/>
          <w:szCs w:val="26"/>
        </w:rPr>
        <w:t>gada Rekomendācijas</w:t>
      </w:r>
      <w:r w:rsidRPr="00455287">
        <w:rPr>
          <w:sz w:val="26"/>
          <w:szCs w:val="26"/>
        </w:rPr>
        <w:t xml:space="preserve"> </w:t>
      </w:r>
      <w:r w:rsidR="00B20F37">
        <w:rPr>
          <w:sz w:val="26"/>
          <w:szCs w:val="26"/>
        </w:rPr>
        <w:t>par turpmāku cīņu ar ārvalstu amatpersonu kukuļošanas apkarošanu starptautiskajos biznesa darījumos (</w:t>
      </w:r>
      <w:r w:rsidR="00B20F37">
        <w:rPr>
          <w:i/>
          <w:sz w:val="26"/>
          <w:szCs w:val="26"/>
        </w:rPr>
        <w:t>2009</w:t>
      </w:r>
      <w:r w:rsidRPr="00B20F37" w:rsidR="00B20F37">
        <w:rPr>
          <w:i/>
          <w:sz w:val="26"/>
          <w:szCs w:val="26"/>
        </w:rPr>
        <w:t xml:space="preserve"> </w:t>
      </w:r>
      <w:proofErr w:type="spellStart"/>
      <w:r w:rsidRPr="00B20F37" w:rsidR="00B20F37">
        <w:rPr>
          <w:i/>
          <w:sz w:val="26"/>
          <w:szCs w:val="26"/>
        </w:rPr>
        <w:t>Recommendation</w:t>
      </w:r>
      <w:proofErr w:type="spellEnd"/>
      <w:r w:rsidR="00B20F37">
        <w:rPr>
          <w:i/>
          <w:sz w:val="26"/>
          <w:szCs w:val="26"/>
        </w:rPr>
        <w:t xml:space="preserve"> </w:t>
      </w:r>
      <w:proofErr w:type="spellStart"/>
      <w:r w:rsidR="00B20F37">
        <w:rPr>
          <w:i/>
          <w:sz w:val="26"/>
          <w:szCs w:val="26"/>
        </w:rPr>
        <w:t>of</w:t>
      </w:r>
      <w:proofErr w:type="spellEnd"/>
      <w:r w:rsidR="00B20F37">
        <w:rPr>
          <w:i/>
          <w:sz w:val="26"/>
          <w:szCs w:val="26"/>
        </w:rPr>
        <w:t xml:space="preserve"> </w:t>
      </w:r>
      <w:proofErr w:type="spellStart"/>
      <w:r w:rsidR="00B20F37">
        <w:rPr>
          <w:i/>
          <w:sz w:val="26"/>
          <w:szCs w:val="26"/>
        </w:rPr>
        <w:t>the</w:t>
      </w:r>
      <w:proofErr w:type="spellEnd"/>
      <w:r w:rsidR="00B20F37">
        <w:rPr>
          <w:i/>
          <w:sz w:val="26"/>
          <w:szCs w:val="26"/>
        </w:rPr>
        <w:t xml:space="preserve"> </w:t>
      </w:r>
      <w:proofErr w:type="spellStart"/>
      <w:r w:rsidR="00B20F37">
        <w:rPr>
          <w:i/>
          <w:sz w:val="26"/>
          <w:szCs w:val="26"/>
        </w:rPr>
        <w:t>Council</w:t>
      </w:r>
      <w:proofErr w:type="spellEnd"/>
      <w:r w:rsidR="00B20F37">
        <w:rPr>
          <w:i/>
          <w:sz w:val="26"/>
          <w:szCs w:val="26"/>
        </w:rPr>
        <w:t xml:space="preserve"> </w:t>
      </w:r>
      <w:proofErr w:type="spellStart"/>
      <w:r w:rsidRPr="00B20F37" w:rsidR="00B20F37">
        <w:rPr>
          <w:i/>
          <w:sz w:val="26"/>
          <w:szCs w:val="26"/>
        </w:rPr>
        <w:t>for</w:t>
      </w:r>
      <w:proofErr w:type="spellEnd"/>
      <w:r w:rsidRPr="00B20F37" w:rsidR="00B20F37">
        <w:rPr>
          <w:i/>
          <w:sz w:val="26"/>
          <w:szCs w:val="26"/>
        </w:rPr>
        <w:t xml:space="preserve"> </w:t>
      </w:r>
      <w:proofErr w:type="spellStart"/>
      <w:r w:rsidRPr="00B20F37" w:rsidR="00B20F37">
        <w:rPr>
          <w:i/>
          <w:sz w:val="26"/>
          <w:szCs w:val="26"/>
        </w:rPr>
        <w:t>Further</w:t>
      </w:r>
      <w:proofErr w:type="spellEnd"/>
      <w:r w:rsidRPr="00B20F37" w:rsidR="00B20F37">
        <w:rPr>
          <w:i/>
          <w:sz w:val="26"/>
          <w:szCs w:val="26"/>
        </w:rPr>
        <w:t xml:space="preserve"> </w:t>
      </w:r>
      <w:proofErr w:type="spellStart"/>
      <w:r w:rsidRPr="00B20F37" w:rsidR="00B20F37">
        <w:rPr>
          <w:i/>
          <w:sz w:val="26"/>
          <w:szCs w:val="26"/>
        </w:rPr>
        <w:t>Combating</w:t>
      </w:r>
      <w:proofErr w:type="spellEnd"/>
      <w:r w:rsidRPr="00B20F37" w:rsidR="00B20F37">
        <w:rPr>
          <w:i/>
          <w:sz w:val="26"/>
          <w:szCs w:val="26"/>
        </w:rPr>
        <w:t xml:space="preserve"> </w:t>
      </w:r>
      <w:proofErr w:type="spellStart"/>
      <w:r w:rsidRPr="00B20F37" w:rsidR="00B20F37">
        <w:rPr>
          <w:i/>
          <w:sz w:val="26"/>
          <w:szCs w:val="26"/>
        </w:rPr>
        <w:t>Bribery</w:t>
      </w:r>
      <w:proofErr w:type="spellEnd"/>
      <w:r w:rsidRPr="00B20F37" w:rsidR="00B20F37">
        <w:rPr>
          <w:i/>
          <w:sz w:val="26"/>
          <w:szCs w:val="26"/>
        </w:rPr>
        <w:t xml:space="preserve"> </w:t>
      </w:r>
      <w:proofErr w:type="spellStart"/>
      <w:r w:rsidRPr="00B20F37" w:rsidR="00B20F37">
        <w:rPr>
          <w:i/>
          <w:sz w:val="26"/>
          <w:szCs w:val="26"/>
        </w:rPr>
        <w:t>of</w:t>
      </w:r>
      <w:proofErr w:type="spellEnd"/>
      <w:r w:rsidRPr="00B20F37" w:rsidR="00B20F37">
        <w:rPr>
          <w:i/>
          <w:sz w:val="26"/>
          <w:szCs w:val="26"/>
        </w:rPr>
        <w:t xml:space="preserve"> </w:t>
      </w:r>
      <w:proofErr w:type="spellStart"/>
      <w:r w:rsidRPr="00B20F37" w:rsidR="00B20F37">
        <w:rPr>
          <w:i/>
          <w:sz w:val="26"/>
          <w:szCs w:val="26"/>
        </w:rPr>
        <w:t>Foreign</w:t>
      </w:r>
      <w:proofErr w:type="spellEnd"/>
      <w:r w:rsidRPr="00B20F37" w:rsidR="00B20F37">
        <w:rPr>
          <w:i/>
          <w:sz w:val="26"/>
          <w:szCs w:val="26"/>
        </w:rPr>
        <w:t xml:space="preserve"> </w:t>
      </w:r>
      <w:proofErr w:type="spellStart"/>
      <w:r w:rsidRPr="00B20F37" w:rsidR="00B20F37">
        <w:rPr>
          <w:i/>
          <w:sz w:val="26"/>
          <w:szCs w:val="26"/>
        </w:rPr>
        <w:t>Public</w:t>
      </w:r>
      <w:proofErr w:type="spellEnd"/>
      <w:r w:rsidRPr="00B20F37" w:rsidR="00B20F37">
        <w:rPr>
          <w:i/>
          <w:sz w:val="26"/>
          <w:szCs w:val="26"/>
        </w:rPr>
        <w:t xml:space="preserve"> </w:t>
      </w:r>
      <w:proofErr w:type="spellStart"/>
      <w:r w:rsidRPr="00B20F37" w:rsidR="00B20F37">
        <w:rPr>
          <w:i/>
          <w:sz w:val="26"/>
          <w:szCs w:val="26"/>
        </w:rPr>
        <w:t>Officials</w:t>
      </w:r>
      <w:proofErr w:type="spellEnd"/>
      <w:r w:rsidRPr="00B20F37" w:rsidR="00B20F37">
        <w:rPr>
          <w:i/>
          <w:sz w:val="26"/>
          <w:szCs w:val="26"/>
        </w:rPr>
        <w:t xml:space="preserve"> </w:t>
      </w:r>
      <w:proofErr w:type="spellStart"/>
      <w:r w:rsidRPr="00B20F37" w:rsidR="00B20F37">
        <w:rPr>
          <w:i/>
          <w:sz w:val="26"/>
          <w:szCs w:val="26"/>
        </w:rPr>
        <w:t>in</w:t>
      </w:r>
      <w:proofErr w:type="spellEnd"/>
      <w:r w:rsidRPr="00B20F37" w:rsidR="00B20F37">
        <w:rPr>
          <w:i/>
          <w:sz w:val="26"/>
          <w:szCs w:val="26"/>
        </w:rPr>
        <w:t xml:space="preserve"> </w:t>
      </w:r>
      <w:proofErr w:type="spellStart"/>
      <w:r w:rsidRPr="00B20F37" w:rsidR="00B20F37">
        <w:rPr>
          <w:i/>
          <w:sz w:val="26"/>
          <w:szCs w:val="26"/>
        </w:rPr>
        <w:t>International</w:t>
      </w:r>
      <w:proofErr w:type="spellEnd"/>
      <w:r w:rsidRPr="00B20F37" w:rsidR="00B20F37">
        <w:rPr>
          <w:i/>
          <w:sz w:val="26"/>
          <w:szCs w:val="26"/>
        </w:rPr>
        <w:t xml:space="preserve"> </w:t>
      </w:r>
      <w:proofErr w:type="spellStart"/>
      <w:r w:rsidRPr="00B20F37" w:rsidR="00B20F37">
        <w:rPr>
          <w:i/>
          <w:sz w:val="26"/>
          <w:szCs w:val="26"/>
        </w:rPr>
        <w:t>Business</w:t>
      </w:r>
      <w:proofErr w:type="spellEnd"/>
      <w:r w:rsidRPr="00B20F37" w:rsidR="00B20F37">
        <w:rPr>
          <w:i/>
          <w:sz w:val="26"/>
          <w:szCs w:val="26"/>
        </w:rPr>
        <w:t xml:space="preserve"> </w:t>
      </w:r>
      <w:proofErr w:type="spellStart"/>
      <w:r w:rsidRPr="00B20F37" w:rsidR="00B20F37">
        <w:rPr>
          <w:i/>
          <w:sz w:val="26"/>
          <w:szCs w:val="26"/>
        </w:rPr>
        <w:t>Transactions</w:t>
      </w:r>
      <w:proofErr w:type="spellEnd"/>
      <w:r w:rsidR="00B20F37">
        <w:rPr>
          <w:sz w:val="26"/>
          <w:szCs w:val="26"/>
        </w:rPr>
        <w:t>)</w:t>
      </w:r>
      <w:r w:rsidR="00B20F37">
        <w:rPr>
          <w:rStyle w:val="Vresatsauce"/>
          <w:sz w:val="26"/>
          <w:szCs w:val="26"/>
        </w:rPr>
        <w:footnoteReference w:id="1"/>
      </w:r>
      <w:r w:rsidR="00B20F37">
        <w:rPr>
          <w:sz w:val="26"/>
          <w:szCs w:val="26"/>
        </w:rPr>
        <w:t xml:space="preserve"> </w:t>
      </w:r>
      <w:r w:rsidRPr="00455287">
        <w:rPr>
          <w:sz w:val="26"/>
          <w:szCs w:val="26"/>
        </w:rPr>
        <w:t>un 2009.</w:t>
      </w:r>
      <w:r w:rsidRPr="00455287" w:rsidR="00455287">
        <w:rPr>
          <w:sz w:val="26"/>
          <w:szCs w:val="26"/>
        </w:rPr>
        <w:t> </w:t>
      </w:r>
      <w:r w:rsidRPr="00455287">
        <w:rPr>
          <w:sz w:val="26"/>
          <w:szCs w:val="26"/>
        </w:rPr>
        <w:t>gada Rekomendācijas par nodokļu pasākumiem turpmākai ārvalstu amatpersonu kukuļošanas apkarošanai starptautiskajos biznesa darījumos (</w:t>
      </w:r>
      <w:r w:rsidRPr="00455287">
        <w:rPr>
          <w:i/>
          <w:iCs/>
          <w:sz w:val="26"/>
          <w:szCs w:val="26"/>
        </w:rPr>
        <w:t xml:space="preserve">2009 </w:t>
      </w:r>
      <w:proofErr w:type="spellStart"/>
      <w:r w:rsidRPr="00455287">
        <w:rPr>
          <w:i/>
          <w:iCs/>
          <w:sz w:val="26"/>
          <w:szCs w:val="26"/>
        </w:rPr>
        <w:t>Recommendation</w:t>
      </w:r>
      <w:proofErr w:type="spellEnd"/>
      <w:r w:rsidRPr="00455287">
        <w:rPr>
          <w:i/>
          <w:iCs/>
          <w:sz w:val="26"/>
          <w:szCs w:val="26"/>
        </w:rPr>
        <w:t xml:space="preserve"> </w:t>
      </w:r>
      <w:proofErr w:type="spellStart"/>
      <w:r w:rsidRPr="00455287">
        <w:rPr>
          <w:i/>
          <w:iCs/>
          <w:sz w:val="26"/>
          <w:szCs w:val="26"/>
        </w:rPr>
        <w:t>of</w:t>
      </w:r>
      <w:proofErr w:type="spellEnd"/>
      <w:r w:rsidRPr="00455287">
        <w:rPr>
          <w:i/>
          <w:iCs/>
          <w:sz w:val="26"/>
          <w:szCs w:val="26"/>
        </w:rPr>
        <w:t xml:space="preserve"> </w:t>
      </w:r>
      <w:proofErr w:type="spellStart"/>
      <w:r w:rsidRPr="00455287">
        <w:rPr>
          <w:i/>
          <w:iCs/>
          <w:sz w:val="26"/>
          <w:szCs w:val="26"/>
        </w:rPr>
        <w:t>the</w:t>
      </w:r>
      <w:proofErr w:type="spellEnd"/>
      <w:r w:rsidRPr="00455287">
        <w:rPr>
          <w:i/>
          <w:iCs/>
          <w:sz w:val="26"/>
          <w:szCs w:val="26"/>
        </w:rPr>
        <w:t xml:space="preserve"> </w:t>
      </w:r>
      <w:proofErr w:type="spellStart"/>
      <w:r w:rsidRPr="00455287">
        <w:rPr>
          <w:i/>
          <w:iCs/>
          <w:sz w:val="26"/>
          <w:szCs w:val="26"/>
        </w:rPr>
        <w:t>Council</w:t>
      </w:r>
      <w:proofErr w:type="spellEnd"/>
      <w:r w:rsidRPr="00455287">
        <w:rPr>
          <w:i/>
          <w:iCs/>
          <w:sz w:val="26"/>
          <w:szCs w:val="26"/>
        </w:rPr>
        <w:t xml:space="preserve"> </w:t>
      </w:r>
      <w:proofErr w:type="spellStart"/>
      <w:r w:rsidRPr="00455287">
        <w:rPr>
          <w:i/>
          <w:iCs/>
          <w:sz w:val="26"/>
          <w:szCs w:val="26"/>
        </w:rPr>
        <w:t>on</w:t>
      </w:r>
      <w:proofErr w:type="spellEnd"/>
      <w:r w:rsidRPr="00455287">
        <w:rPr>
          <w:i/>
          <w:iCs/>
          <w:sz w:val="26"/>
          <w:szCs w:val="26"/>
        </w:rPr>
        <w:t xml:space="preserve"> </w:t>
      </w:r>
      <w:proofErr w:type="spellStart"/>
      <w:r w:rsidRPr="00455287">
        <w:rPr>
          <w:i/>
          <w:iCs/>
          <w:sz w:val="26"/>
          <w:szCs w:val="26"/>
        </w:rPr>
        <w:t>Tax</w:t>
      </w:r>
      <w:proofErr w:type="spellEnd"/>
      <w:r w:rsidRPr="00455287">
        <w:rPr>
          <w:i/>
          <w:iCs/>
          <w:sz w:val="26"/>
          <w:szCs w:val="26"/>
        </w:rPr>
        <w:t xml:space="preserve"> </w:t>
      </w:r>
      <w:proofErr w:type="spellStart"/>
      <w:r w:rsidRPr="00455287">
        <w:rPr>
          <w:i/>
          <w:iCs/>
          <w:sz w:val="26"/>
          <w:szCs w:val="26"/>
        </w:rPr>
        <w:t>Measures</w:t>
      </w:r>
      <w:proofErr w:type="spellEnd"/>
      <w:r w:rsidRPr="00455287">
        <w:rPr>
          <w:i/>
          <w:iCs/>
          <w:sz w:val="26"/>
          <w:szCs w:val="26"/>
        </w:rPr>
        <w:t xml:space="preserve"> </w:t>
      </w:r>
      <w:proofErr w:type="spellStart"/>
      <w:r w:rsidRPr="00455287">
        <w:rPr>
          <w:i/>
          <w:iCs/>
          <w:sz w:val="26"/>
          <w:szCs w:val="26"/>
        </w:rPr>
        <w:t>for</w:t>
      </w:r>
      <w:proofErr w:type="spellEnd"/>
      <w:r w:rsidRPr="00455287">
        <w:rPr>
          <w:i/>
          <w:iCs/>
          <w:sz w:val="26"/>
          <w:szCs w:val="26"/>
        </w:rPr>
        <w:t xml:space="preserve"> </w:t>
      </w:r>
      <w:proofErr w:type="spellStart"/>
      <w:r w:rsidRPr="00455287">
        <w:rPr>
          <w:i/>
          <w:iCs/>
          <w:sz w:val="26"/>
          <w:szCs w:val="26"/>
        </w:rPr>
        <w:t>Further</w:t>
      </w:r>
      <w:proofErr w:type="spellEnd"/>
      <w:r w:rsidRPr="00455287">
        <w:rPr>
          <w:i/>
          <w:iCs/>
          <w:sz w:val="26"/>
          <w:szCs w:val="26"/>
        </w:rPr>
        <w:t xml:space="preserve"> </w:t>
      </w:r>
      <w:proofErr w:type="spellStart"/>
      <w:r w:rsidRPr="00455287">
        <w:rPr>
          <w:i/>
          <w:iCs/>
          <w:sz w:val="26"/>
          <w:szCs w:val="26"/>
        </w:rPr>
        <w:t>Combating</w:t>
      </w:r>
      <w:proofErr w:type="spellEnd"/>
      <w:r w:rsidRPr="00455287">
        <w:rPr>
          <w:i/>
          <w:iCs/>
          <w:sz w:val="26"/>
          <w:szCs w:val="26"/>
        </w:rPr>
        <w:t xml:space="preserve"> </w:t>
      </w:r>
      <w:proofErr w:type="spellStart"/>
      <w:r w:rsidRPr="00455287">
        <w:rPr>
          <w:i/>
          <w:iCs/>
          <w:sz w:val="26"/>
          <w:szCs w:val="26"/>
        </w:rPr>
        <w:t>the</w:t>
      </w:r>
      <w:proofErr w:type="spellEnd"/>
      <w:r w:rsidRPr="00455287">
        <w:rPr>
          <w:i/>
          <w:iCs/>
          <w:sz w:val="26"/>
          <w:szCs w:val="26"/>
        </w:rPr>
        <w:t xml:space="preserve"> </w:t>
      </w:r>
      <w:proofErr w:type="spellStart"/>
      <w:r w:rsidRPr="00455287">
        <w:rPr>
          <w:i/>
          <w:iCs/>
          <w:sz w:val="26"/>
          <w:szCs w:val="26"/>
        </w:rPr>
        <w:t>Bribery</w:t>
      </w:r>
      <w:proofErr w:type="spellEnd"/>
      <w:r w:rsidRPr="00455287">
        <w:rPr>
          <w:i/>
          <w:iCs/>
          <w:sz w:val="26"/>
          <w:szCs w:val="26"/>
        </w:rPr>
        <w:t xml:space="preserve"> </w:t>
      </w:r>
      <w:proofErr w:type="spellStart"/>
      <w:r w:rsidRPr="00455287">
        <w:rPr>
          <w:i/>
          <w:iCs/>
          <w:sz w:val="26"/>
          <w:szCs w:val="26"/>
        </w:rPr>
        <w:t>of</w:t>
      </w:r>
      <w:proofErr w:type="spellEnd"/>
      <w:r w:rsidRPr="00455287">
        <w:rPr>
          <w:i/>
          <w:iCs/>
          <w:sz w:val="26"/>
          <w:szCs w:val="26"/>
        </w:rPr>
        <w:t xml:space="preserve"> </w:t>
      </w:r>
      <w:proofErr w:type="spellStart"/>
      <w:r w:rsidRPr="00455287">
        <w:rPr>
          <w:i/>
          <w:iCs/>
          <w:sz w:val="26"/>
          <w:szCs w:val="26"/>
        </w:rPr>
        <w:t>Foreign</w:t>
      </w:r>
      <w:proofErr w:type="spellEnd"/>
      <w:r w:rsidRPr="00455287">
        <w:rPr>
          <w:i/>
          <w:iCs/>
          <w:sz w:val="26"/>
          <w:szCs w:val="26"/>
        </w:rPr>
        <w:t xml:space="preserve"> </w:t>
      </w:r>
      <w:proofErr w:type="spellStart"/>
      <w:r w:rsidRPr="00455287">
        <w:rPr>
          <w:i/>
          <w:iCs/>
          <w:sz w:val="26"/>
          <w:szCs w:val="26"/>
        </w:rPr>
        <w:t>Public</w:t>
      </w:r>
      <w:proofErr w:type="spellEnd"/>
      <w:r w:rsidRPr="00455287">
        <w:rPr>
          <w:i/>
          <w:iCs/>
          <w:sz w:val="26"/>
          <w:szCs w:val="26"/>
        </w:rPr>
        <w:t xml:space="preserve"> </w:t>
      </w:r>
      <w:proofErr w:type="spellStart"/>
      <w:r w:rsidRPr="00455287">
        <w:rPr>
          <w:i/>
          <w:iCs/>
          <w:sz w:val="26"/>
          <w:szCs w:val="26"/>
        </w:rPr>
        <w:t>Officials</w:t>
      </w:r>
      <w:proofErr w:type="spellEnd"/>
      <w:r w:rsidRPr="00455287">
        <w:rPr>
          <w:i/>
          <w:iCs/>
          <w:sz w:val="26"/>
          <w:szCs w:val="26"/>
        </w:rPr>
        <w:t xml:space="preserve"> </w:t>
      </w:r>
      <w:proofErr w:type="spellStart"/>
      <w:r w:rsidRPr="00455287">
        <w:rPr>
          <w:i/>
          <w:iCs/>
          <w:sz w:val="26"/>
          <w:szCs w:val="26"/>
        </w:rPr>
        <w:t>in</w:t>
      </w:r>
      <w:proofErr w:type="spellEnd"/>
      <w:r w:rsidRPr="00455287">
        <w:rPr>
          <w:i/>
          <w:iCs/>
          <w:sz w:val="26"/>
          <w:szCs w:val="26"/>
        </w:rPr>
        <w:t xml:space="preserve"> </w:t>
      </w:r>
      <w:proofErr w:type="spellStart"/>
      <w:r w:rsidRPr="00455287">
        <w:rPr>
          <w:i/>
          <w:iCs/>
          <w:sz w:val="26"/>
          <w:szCs w:val="26"/>
        </w:rPr>
        <w:t>International</w:t>
      </w:r>
      <w:proofErr w:type="spellEnd"/>
      <w:r w:rsidRPr="00455287">
        <w:rPr>
          <w:i/>
          <w:iCs/>
          <w:sz w:val="26"/>
          <w:szCs w:val="26"/>
        </w:rPr>
        <w:t xml:space="preserve"> </w:t>
      </w:r>
      <w:proofErr w:type="spellStart"/>
      <w:r w:rsidRPr="00455287">
        <w:rPr>
          <w:i/>
          <w:iCs/>
          <w:sz w:val="26"/>
          <w:szCs w:val="26"/>
        </w:rPr>
        <w:t>Business</w:t>
      </w:r>
      <w:proofErr w:type="spellEnd"/>
      <w:r w:rsidRPr="00455287">
        <w:rPr>
          <w:i/>
          <w:iCs/>
          <w:sz w:val="26"/>
          <w:szCs w:val="26"/>
        </w:rPr>
        <w:t xml:space="preserve"> </w:t>
      </w:r>
      <w:proofErr w:type="spellStart"/>
      <w:r w:rsidRPr="00455287">
        <w:rPr>
          <w:i/>
          <w:iCs/>
          <w:sz w:val="26"/>
          <w:szCs w:val="26"/>
        </w:rPr>
        <w:t>Transactions</w:t>
      </w:r>
      <w:proofErr w:type="spellEnd"/>
      <w:r w:rsidRPr="00455287">
        <w:rPr>
          <w:sz w:val="26"/>
          <w:szCs w:val="26"/>
        </w:rPr>
        <w:t>)</w:t>
      </w:r>
      <w:r w:rsidR="00B20F37">
        <w:rPr>
          <w:rStyle w:val="Vresatsauce"/>
          <w:sz w:val="26"/>
          <w:szCs w:val="26"/>
        </w:rPr>
        <w:footnoteReference w:id="2"/>
      </w:r>
      <w:r w:rsidRPr="00455287">
        <w:rPr>
          <w:sz w:val="26"/>
          <w:szCs w:val="26"/>
        </w:rPr>
        <w:t xml:space="preserve"> prasībām, kā arī noteikto prasību efektīva izpilde attiecībā uz ārvalstu amatpersonu kukuļošanas apkarošanu starptautiskajos biznesa darījumos, izmeklēšanas, prokuratūras un tiesas iestāžu spējas izmeklēt un iztiesāt šādus noziedzīgos nodarījumus, amatpersonu un sabiedrības informētības līmeni</w:t>
      </w:r>
      <w:r w:rsidR="009873B2">
        <w:rPr>
          <w:sz w:val="26"/>
          <w:szCs w:val="26"/>
        </w:rPr>
        <w:t>s</w:t>
      </w:r>
      <w:r w:rsidRPr="00455287">
        <w:rPr>
          <w:sz w:val="26"/>
          <w:szCs w:val="26"/>
        </w:rPr>
        <w:t xml:space="preserve"> par ārvalstu amatpersonu kukuļošanas negatīvajām sekām un paveikt</w:t>
      </w:r>
      <w:r w:rsidR="009873B2">
        <w:rPr>
          <w:sz w:val="26"/>
          <w:szCs w:val="26"/>
        </w:rPr>
        <w:t>ais</w:t>
      </w:r>
      <w:r w:rsidRPr="00455287">
        <w:rPr>
          <w:sz w:val="26"/>
          <w:szCs w:val="26"/>
        </w:rPr>
        <w:t xml:space="preserve"> noziedzīgi iegūtu līdzekļu legalizācijas novēršanā un apkarošanā.</w:t>
      </w:r>
    </w:p>
    <w:p w:rsidRPr="00455287" w:rsidR="000D5A88" w:rsidP="00095F8C" w:rsidRDefault="006059BF" w14:paraId="680005A1" w14:textId="7E0F23AB">
      <w:pPr>
        <w:pStyle w:val="Style29"/>
        <w:tabs>
          <w:tab w:val="left" w:pos="854"/>
        </w:tabs>
        <w:spacing w:line="240" w:lineRule="auto"/>
        <w:ind w:firstLine="720"/>
        <w:rPr>
          <w:sz w:val="26"/>
          <w:szCs w:val="26"/>
        </w:rPr>
      </w:pPr>
      <w:r w:rsidRPr="00455287">
        <w:rPr>
          <w:sz w:val="26"/>
          <w:szCs w:val="26"/>
        </w:rPr>
        <w:t>Latvijas 3.</w:t>
      </w:r>
      <w:r w:rsidRPr="00455287" w:rsidR="00455287">
        <w:rPr>
          <w:sz w:val="26"/>
          <w:szCs w:val="26"/>
        </w:rPr>
        <w:t> </w:t>
      </w:r>
      <w:r w:rsidRPr="00455287">
        <w:rPr>
          <w:sz w:val="26"/>
          <w:szCs w:val="26"/>
        </w:rPr>
        <w:t>fāzes novērtējumu veica eksperti no Čehijas, Meksikas un OECD sekretariāta (turpmāk – WGB novērtēšanas grupa). 3.</w:t>
      </w:r>
      <w:r w:rsidRPr="00455287" w:rsidR="00455287">
        <w:rPr>
          <w:sz w:val="26"/>
          <w:szCs w:val="26"/>
        </w:rPr>
        <w:t> </w:t>
      </w:r>
      <w:r w:rsidRPr="00455287">
        <w:rPr>
          <w:sz w:val="26"/>
          <w:szCs w:val="26"/>
        </w:rPr>
        <w:t>fāzes novērtējuma ietvaros Latvijas atbildīgās iestādes sniedza rakstveida atbildes uz OECD anketas jautājumiem un papildjautājumiem, kā arī 2019.</w:t>
      </w:r>
      <w:r w:rsidRPr="00455287" w:rsidR="00455287">
        <w:rPr>
          <w:sz w:val="26"/>
          <w:szCs w:val="26"/>
        </w:rPr>
        <w:t> </w:t>
      </w:r>
      <w:r w:rsidRPr="00455287">
        <w:rPr>
          <w:sz w:val="26"/>
          <w:szCs w:val="26"/>
        </w:rPr>
        <w:t>gada 20.–24.</w:t>
      </w:r>
      <w:r w:rsidRPr="00455287" w:rsidR="00455287">
        <w:rPr>
          <w:sz w:val="26"/>
          <w:szCs w:val="26"/>
        </w:rPr>
        <w:t> </w:t>
      </w:r>
      <w:r w:rsidRPr="00455287">
        <w:rPr>
          <w:sz w:val="26"/>
          <w:szCs w:val="26"/>
        </w:rPr>
        <w:t>maijā WGB novērtēšanas grupa apmeklēja Rīgu. Vizītes laikā WGB novērtēšanas grupa tikās ar pārstāvjiem no Tieslietu ministrijas, Finanšu ministrijas, Iekšlietu ministrijas, Ārlietu ministrijas, Ekonomikas ministrijas, Ģenerālprokuratūras, Korupcijas novēršanas un apkarošanas biroja</w:t>
      </w:r>
      <w:r w:rsidR="0089639F">
        <w:rPr>
          <w:sz w:val="26"/>
          <w:szCs w:val="26"/>
        </w:rPr>
        <w:t xml:space="preserve"> </w:t>
      </w:r>
      <w:r w:rsidRPr="001C0385" w:rsidR="0089639F">
        <w:rPr>
          <w:sz w:val="26"/>
          <w:szCs w:val="26"/>
        </w:rPr>
        <w:t>(turpmāk - KNAB)</w:t>
      </w:r>
      <w:r w:rsidRPr="00455287">
        <w:rPr>
          <w:sz w:val="26"/>
          <w:szCs w:val="26"/>
        </w:rPr>
        <w:t xml:space="preserve">, Finanšu un kapitāla tirgus komisijas, Valsts policijas, Iekšējās drošības biroja, Valsts ieņēmumu dienesta, Finanšu izlūkošanas dienesta, Iepirkuma uzraudzības biroja, Valsts kancelejas, Latvijas Tiesnešu mācību centra, biedrības </w:t>
      </w:r>
      <w:r w:rsidRPr="00095F8C" w:rsidR="00FD6910">
        <w:rPr>
          <w:sz w:val="26"/>
          <w:szCs w:val="26"/>
        </w:rPr>
        <w:t>"</w:t>
      </w:r>
      <w:r w:rsidRPr="00455287">
        <w:rPr>
          <w:sz w:val="26"/>
          <w:szCs w:val="26"/>
        </w:rPr>
        <w:t>Sabiedrība par atklātību – Delna</w:t>
      </w:r>
      <w:r w:rsidRPr="00095F8C" w:rsidR="00FD6910">
        <w:rPr>
          <w:sz w:val="26"/>
          <w:szCs w:val="26"/>
        </w:rPr>
        <w:t>"</w:t>
      </w:r>
      <w:r w:rsidRPr="00455287">
        <w:rPr>
          <w:sz w:val="26"/>
          <w:szCs w:val="26"/>
        </w:rPr>
        <w:t xml:space="preserve">, Latvijas Darba devēju konfederācijas, Latvijas Tirdzniecības un rūpniecības kameras, Latvijas Zvērinātu revidentu </w:t>
      </w:r>
      <w:r w:rsidRPr="00455287">
        <w:rPr>
          <w:sz w:val="26"/>
          <w:szCs w:val="26"/>
        </w:rPr>
        <w:lastRenderedPageBreak/>
        <w:t xml:space="preserve">asociācijas, Revīzijas konsultatīvās padomes, Latvijas Republikas Grāmatvežu asociācijas, Latvijas Zvērinātu notāru padomes, Latvijas Zvērinātu advokātu padomes, Latvijas </w:t>
      </w:r>
      <w:r w:rsidR="00FD6910">
        <w:rPr>
          <w:sz w:val="26"/>
          <w:szCs w:val="26"/>
        </w:rPr>
        <w:t>B</w:t>
      </w:r>
      <w:r w:rsidRPr="00455287">
        <w:rPr>
          <w:sz w:val="26"/>
          <w:szCs w:val="26"/>
        </w:rPr>
        <w:t xml:space="preserve">iznesa savienības, Finanšu nozares asociācijas, a/s "Attīstības finanšu institūcija Altum", a/s </w:t>
      </w:r>
      <w:r w:rsidRPr="00095F8C" w:rsidR="00095F8C">
        <w:rPr>
          <w:sz w:val="26"/>
          <w:szCs w:val="26"/>
        </w:rPr>
        <w:t>"</w:t>
      </w:r>
      <w:r w:rsidRPr="00455287">
        <w:rPr>
          <w:sz w:val="26"/>
          <w:szCs w:val="26"/>
        </w:rPr>
        <w:t>SEB banka", a/s "Rietumu banka", a/s "Baltic International Bank", a/s "Swedbank", a/s "Reģionālā investīciju banka", a/s "BlueOrange Bank", a/s "AS Mintos Marketplace", kā arī dažādu uzņēmumu pārstāvjiem, zvērinātiem advokātiem, Saeimas deputātiem, tiesnešiem, Latvijas Universitātes un biznesa augstskolas "Turība" mācībspēkiem un žurnālistiem.</w:t>
      </w:r>
    </w:p>
    <w:p w:rsidRPr="00455287" w:rsidR="000D5A88" w:rsidP="00095F8C" w:rsidRDefault="006059BF" w14:paraId="63E4E88C" w14:textId="25D84172">
      <w:pPr>
        <w:pStyle w:val="Style29"/>
        <w:widowControl/>
        <w:tabs>
          <w:tab w:val="left" w:pos="854"/>
        </w:tabs>
        <w:spacing w:line="240" w:lineRule="auto"/>
        <w:ind w:firstLine="720"/>
        <w:rPr>
          <w:sz w:val="26"/>
          <w:szCs w:val="26"/>
        </w:rPr>
      </w:pPr>
      <w:r w:rsidRPr="00455287">
        <w:rPr>
          <w:sz w:val="26"/>
          <w:szCs w:val="26"/>
        </w:rPr>
        <w:t>Latvijas 3.</w:t>
      </w:r>
      <w:r w:rsidRPr="00455287" w:rsidR="00455287">
        <w:rPr>
          <w:sz w:val="26"/>
          <w:szCs w:val="26"/>
        </w:rPr>
        <w:t> </w:t>
      </w:r>
      <w:r w:rsidRPr="00455287">
        <w:rPr>
          <w:sz w:val="26"/>
          <w:szCs w:val="26"/>
        </w:rPr>
        <w:t>fāzes ziņojums tika izskatīts WGB kārtējās plenārsēdes laikā no 2019.</w:t>
      </w:r>
      <w:r w:rsidRPr="00455287" w:rsidR="00455287">
        <w:rPr>
          <w:sz w:val="26"/>
          <w:szCs w:val="26"/>
        </w:rPr>
        <w:t> </w:t>
      </w:r>
      <w:r w:rsidRPr="00455287">
        <w:rPr>
          <w:sz w:val="26"/>
          <w:szCs w:val="26"/>
        </w:rPr>
        <w:t>gada 8.</w:t>
      </w:r>
      <w:r w:rsidRPr="00455287" w:rsidR="00455287">
        <w:rPr>
          <w:sz w:val="26"/>
          <w:szCs w:val="26"/>
        </w:rPr>
        <w:t> </w:t>
      </w:r>
      <w:r w:rsidRPr="00455287">
        <w:rPr>
          <w:sz w:val="26"/>
          <w:szCs w:val="26"/>
        </w:rPr>
        <w:t>oktobra līdz 10.</w:t>
      </w:r>
      <w:r w:rsidRPr="00455287" w:rsidR="00455287">
        <w:rPr>
          <w:sz w:val="26"/>
          <w:szCs w:val="26"/>
        </w:rPr>
        <w:t> </w:t>
      </w:r>
      <w:r w:rsidRPr="00455287">
        <w:rPr>
          <w:sz w:val="26"/>
          <w:szCs w:val="26"/>
        </w:rPr>
        <w:t xml:space="preserve">oktobrim. Latviju pārstāvēja delegācija Tieslietu ministrijas vadībā, kuras sastāvā bija arī pārstāvji no Finanšu ministrijas, </w:t>
      </w:r>
      <w:r w:rsidR="0089639F">
        <w:rPr>
          <w:sz w:val="26"/>
          <w:szCs w:val="26"/>
        </w:rPr>
        <w:t>KNAB</w:t>
      </w:r>
      <w:r w:rsidRPr="00455287">
        <w:rPr>
          <w:sz w:val="26"/>
          <w:szCs w:val="26"/>
        </w:rPr>
        <w:t>, Ģenerālprokuratūras, Finanšu un kapitāla tirgus komisijas, Finanšu izlūkošanas dienesta, Valsts policijas un Latvijas pārstāvniecības OECD. Latvijas 3.</w:t>
      </w:r>
      <w:r w:rsidRPr="00455287" w:rsidR="00455287">
        <w:rPr>
          <w:sz w:val="26"/>
          <w:szCs w:val="26"/>
        </w:rPr>
        <w:t> </w:t>
      </w:r>
      <w:r w:rsidRPr="00455287">
        <w:rPr>
          <w:sz w:val="26"/>
          <w:szCs w:val="26"/>
        </w:rPr>
        <w:t>fāzes ziņojumu WGB apstiprināja 2019.</w:t>
      </w:r>
      <w:r w:rsidRPr="00455287" w:rsidR="00455287">
        <w:rPr>
          <w:sz w:val="26"/>
          <w:szCs w:val="26"/>
        </w:rPr>
        <w:t> </w:t>
      </w:r>
      <w:r w:rsidRPr="00455287">
        <w:rPr>
          <w:sz w:val="26"/>
          <w:szCs w:val="26"/>
        </w:rPr>
        <w:t>gada 10.</w:t>
      </w:r>
      <w:r w:rsidRPr="00455287" w:rsidR="00455287">
        <w:rPr>
          <w:sz w:val="26"/>
          <w:szCs w:val="26"/>
        </w:rPr>
        <w:t> </w:t>
      </w:r>
      <w:r w:rsidRPr="00455287">
        <w:rPr>
          <w:sz w:val="26"/>
          <w:szCs w:val="26"/>
        </w:rPr>
        <w:t xml:space="preserve">oktobrī un publicēja OECD </w:t>
      </w:r>
      <w:r w:rsidRPr="00455287" w:rsidR="00455287">
        <w:rPr>
          <w:sz w:val="26"/>
          <w:szCs w:val="26"/>
        </w:rPr>
        <w:t>mājaslapā</w:t>
      </w:r>
      <w:r w:rsidRPr="00455287">
        <w:rPr>
          <w:sz w:val="26"/>
          <w:szCs w:val="26"/>
        </w:rPr>
        <w:t xml:space="preserve"> 2019.</w:t>
      </w:r>
      <w:r w:rsidRPr="00455287" w:rsidR="00455287">
        <w:rPr>
          <w:sz w:val="26"/>
          <w:szCs w:val="26"/>
        </w:rPr>
        <w:t> </w:t>
      </w:r>
      <w:r w:rsidRPr="00455287">
        <w:rPr>
          <w:sz w:val="26"/>
          <w:szCs w:val="26"/>
        </w:rPr>
        <w:t>gada 16.</w:t>
      </w:r>
      <w:r w:rsidRPr="00455287" w:rsidR="00455287">
        <w:rPr>
          <w:sz w:val="26"/>
          <w:szCs w:val="26"/>
        </w:rPr>
        <w:t> </w:t>
      </w:r>
      <w:r w:rsidRPr="00455287">
        <w:rPr>
          <w:sz w:val="26"/>
          <w:szCs w:val="26"/>
        </w:rPr>
        <w:t>oktobrī.</w:t>
      </w:r>
    </w:p>
    <w:p w:rsidRPr="00455287" w:rsidR="000D5A88" w:rsidP="00095F8C" w:rsidRDefault="006059BF" w14:paraId="5FBA34C0" w14:textId="5491B38F">
      <w:pPr>
        <w:pStyle w:val="Style29"/>
        <w:tabs>
          <w:tab w:val="left" w:pos="854"/>
        </w:tabs>
        <w:spacing w:line="240" w:lineRule="auto"/>
        <w:ind w:firstLine="720"/>
        <w:rPr>
          <w:sz w:val="26"/>
          <w:szCs w:val="26"/>
        </w:rPr>
      </w:pPr>
      <w:r w:rsidRPr="00455287">
        <w:rPr>
          <w:sz w:val="26"/>
          <w:szCs w:val="26"/>
        </w:rPr>
        <w:t>WGB Latvijas 3.</w:t>
      </w:r>
      <w:r w:rsidRPr="00455287" w:rsidR="00455287">
        <w:rPr>
          <w:sz w:val="26"/>
          <w:szCs w:val="26"/>
        </w:rPr>
        <w:t> </w:t>
      </w:r>
      <w:r w:rsidRPr="00455287">
        <w:rPr>
          <w:sz w:val="26"/>
          <w:szCs w:val="26"/>
        </w:rPr>
        <w:t>fāzes ziņojumā secina, ka Latvija ir turpinājusi uzlabot tiesisko regulējumu, kas kriminalizē ārvalstu valsts amatpersonu kukuļošanu un ar to saistīto noziedzīgi iegūto līdzekļu legalizāciju. Vienlaikus WGB uzsver, ka ir nepieciešams nodrošināt šo tiesību normu efektīvu piemērošanu. Lai sasniegtu labākus rezultātus attiecībā uz cīņu ar ārvalstu amatpersonu kukuļošanu un ar to saistīto noziedzīgi iegūto līdzekļu legalizāciju, WGB Latvijai rekomendē veikt virkni pasākumu, tostarp:</w:t>
      </w:r>
    </w:p>
    <w:p w:rsidRPr="00455287" w:rsidR="000D5A88" w:rsidP="009873B2" w:rsidRDefault="006059BF" w14:paraId="05868731" w14:textId="139FFCC9">
      <w:pPr>
        <w:pStyle w:val="Style29"/>
        <w:numPr>
          <w:ilvl w:val="0"/>
          <w:numId w:val="2"/>
        </w:numPr>
        <w:spacing w:line="240" w:lineRule="auto"/>
        <w:ind w:left="0" w:firstLine="720"/>
        <w:rPr>
          <w:sz w:val="26"/>
          <w:szCs w:val="26"/>
        </w:rPr>
      </w:pPr>
      <w:r w:rsidRPr="00455287">
        <w:rPr>
          <w:sz w:val="26"/>
          <w:szCs w:val="26"/>
        </w:rPr>
        <w:t>nodroši</w:t>
      </w:r>
      <w:r w:rsidRPr="00455287" w:rsidR="00455287">
        <w:rPr>
          <w:sz w:val="26"/>
          <w:szCs w:val="26"/>
        </w:rPr>
        <w:t>nā</w:t>
      </w:r>
      <w:r w:rsidRPr="00455287">
        <w:rPr>
          <w:sz w:val="26"/>
          <w:szCs w:val="26"/>
        </w:rPr>
        <w:t>t pietiekošus resursus un ekspertīzi atbildīgajām iestādēm, lai tās spētu efektīvi izmeklēt un saukt pie atbildības personas par ārvalstu amatpersonu kukuļošanu un ar to saistīto noziedzīgi iegūto līdzekļu legalizāciju</w:t>
      </w:r>
      <w:r w:rsidR="00A03FBC">
        <w:rPr>
          <w:sz w:val="26"/>
          <w:szCs w:val="26"/>
        </w:rPr>
        <w:t>;</w:t>
      </w:r>
    </w:p>
    <w:p w:rsidRPr="00455287" w:rsidR="000D5A88" w:rsidP="009873B2" w:rsidRDefault="00A03FBC" w14:paraId="14FD0353" w14:textId="6265930F">
      <w:pPr>
        <w:pStyle w:val="Style29"/>
        <w:numPr>
          <w:ilvl w:val="0"/>
          <w:numId w:val="2"/>
        </w:numPr>
        <w:spacing w:line="240" w:lineRule="auto"/>
        <w:ind w:left="0" w:firstLine="720"/>
        <w:rPr>
          <w:sz w:val="26"/>
          <w:szCs w:val="26"/>
        </w:rPr>
      </w:pPr>
      <w:r>
        <w:rPr>
          <w:sz w:val="26"/>
          <w:szCs w:val="26"/>
        </w:rPr>
        <w:t>u</w:t>
      </w:r>
      <w:r w:rsidRPr="00455287" w:rsidR="006059BF">
        <w:rPr>
          <w:sz w:val="26"/>
          <w:szCs w:val="26"/>
        </w:rPr>
        <w:t>zlabot kriminālvajāšanu rezultātus attiecībā uz uzņēmumiem, jo īpaši Latvijas finanšu institūcijām un citām juridiskām personām, kas ir iesaistītas ārvalstu amatpersonu kukuļošanas shēmās</w:t>
      </w:r>
      <w:r w:rsidRPr="00455287" w:rsidR="00455287">
        <w:rPr>
          <w:sz w:val="26"/>
          <w:szCs w:val="26"/>
        </w:rPr>
        <w:t>,</w:t>
      </w:r>
      <w:r w:rsidRPr="00455287" w:rsidR="006059BF">
        <w:rPr>
          <w:sz w:val="26"/>
          <w:szCs w:val="26"/>
        </w:rPr>
        <w:t xml:space="preserve"> un ar to saistītā noziedzīgi iegūtu līdzekļu legalizācijā</w:t>
      </w:r>
      <w:r>
        <w:rPr>
          <w:sz w:val="26"/>
          <w:szCs w:val="26"/>
        </w:rPr>
        <w:t>;</w:t>
      </w:r>
    </w:p>
    <w:p w:rsidRPr="00455287" w:rsidR="000D5A88" w:rsidP="009873B2" w:rsidRDefault="00A03FBC" w14:paraId="4975342F" w14:textId="42C87BD7">
      <w:pPr>
        <w:pStyle w:val="Style29"/>
        <w:numPr>
          <w:ilvl w:val="0"/>
          <w:numId w:val="2"/>
        </w:numPr>
        <w:spacing w:line="240" w:lineRule="auto"/>
        <w:ind w:left="0" w:firstLine="720"/>
        <w:rPr>
          <w:sz w:val="26"/>
          <w:szCs w:val="26"/>
        </w:rPr>
      </w:pPr>
      <w:r>
        <w:rPr>
          <w:sz w:val="26"/>
          <w:szCs w:val="26"/>
        </w:rPr>
        <w:t>u</w:t>
      </w:r>
      <w:r w:rsidRPr="00455287" w:rsidR="006059BF">
        <w:rPr>
          <w:sz w:val="26"/>
          <w:szCs w:val="26"/>
        </w:rPr>
        <w:t xml:space="preserve">zlabot sadarbību starp </w:t>
      </w:r>
      <w:r w:rsidR="00F717E1">
        <w:rPr>
          <w:sz w:val="26"/>
          <w:szCs w:val="26"/>
        </w:rPr>
        <w:t>KNAB</w:t>
      </w:r>
      <w:r w:rsidRPr="00455287" w:rsidR="006059BF">
        <w:rPr>
          <w:sz w:val="26"/>
          <w:szCs w:val="26"/>
        </w:rPr>
        <w:t>, Valsts policiju un prokuroriem un ieviest stratēģisku pieeju ārvalstu amatpersonu kukuļošanas lietu un ar to saistītas noziedzīgi iegūtu līdzekļu legalizācijas izmeklēšanā</w:t>
      </w:r>
      <w:r>
        <w:rPr>
          <w:sz w:val="26"/>
          <w:szCs w:val="26"/>
        </w:rPr>
        <w:t>;</w:t>
      </w:r>
    </w:p>
    <w:p w:rsidRPr="00455287" w:rsidR="000D5A88" w:rsidP="009873B2" w:rsidRDefault="00A03FBC" w14:paraId="305FCF49" w14:textId="757E2234">
      <w:pPr>
        <w:pStyle w:val="Style29"/>
        <w:numPr>
          <w:ilvl w:val="0"/>
          <w:numId w:val="3"/>
        </w:numPr>
        <w:spacing w:line="240" w:lineRule="auto"/>
        <w:ind w:left="0" w:firstLine="720"/>
        <w:rPr>
          <w:rFonts w:eastAsia="&amp;quot"/>
          <w:color w:val="333333"/>
          <w:sz w:val="26"/>
          <w:szCs w:val="26"/>
          <w:u w:color="333333"/>
        </w:rPr>
      </w:pPr>
      <w:r>
        <w:rPr>
          <w:rFonts w:eastAsia="&amp;quot"/>
          <w:sz w:val="26"/>
          <w:szCs w:val="26"/>
        </w:rPr>
        <w:t>s</w:t>
      </w:r>
      <w:r w:rsidRPr="00455287" w:rsidR="006059BF">
        <w:rPr>
          <w:rFonts w:eastAsia="&amp;quot"/>
          <w:sz w:val="26"/>
          <w:szCs w:val="26"/>
        </w:rPr>
        <w:t>tiprināt spējas atklāt ārvalstu amatpersonu kukuļošanas gadījumus</w:t>
      </w:r>
      <w:r>
        <w:rPr>
          <w:rFonts w:eastAsia="&amp;quot"/>
          <w:sz w:val="26"/>
          <w:szCs w:val="26"/>
        </w:rPr>
        <w:t>;</w:t>
      </w:r>
    </w:p>
    <w:p w:rsidRPr="00455287" w:rsidR="000D5A88" w:rsidP="009873B2" w:rsidRDefault="00A03FBC" w14:paraId="669FDFAF" w14:textId="02F32818">
      <w:pPr>
        <w:pStyle w:val="Style29"/>
        <w:numPr>
          <w:ilvl w:val="0"/>
          <w:numId w:val="3"/>
        </w:numPr>
        <w:spacing w:line="240" w:lineRule="auto"/>
        <w:ind w:left="0" w:firstLine="720"/>
        <w:rPr>
          <w:rFonts w:eastAsia="&amp;quot"/>
          <w:color w:val="333333"/>
          <w:sz w:val="26"/>
          <w:szCs w:val="26"/>
          <w:u w:color="333333"/>
        </w:rPr>
      </w:pPr>
      <w:r>
        <w:rPr>
          <w:rFonts w:eastAsia="&amp;quot"/>
          <w:sz w:val="26"/>
          <w:szCs w:val="26"/>
        </w:rPr>
        <w:t>n</w:t>
      </w:r>
      <w:r w:rsidRPr="00455287" w:rsidR="006059BF">
        <w:rPr>
          <w:rFonts w:eastAsia="&amp;quot"/>
          <w:sz w:val="26"/>
          <w:szCs w:val="26"/>
        </w:rPr>
        <w:t>odrošināt Finanšu un kapitāla tirgus komisijas efektīvu darbību, tādējādi veicinot ārvalstu amatpersonu kukuļošanas un ar to saistītas noziedzīgi iegūtu līdzekļu legalizācijas novēršanu un atklāšanu.</w:t>
      </w:r>
    </w:p>
    <w:p w:rsidRPr="00455287" w:rsidR="000D5A88" w:rsidRDefault="006059BF" w14:paraId="1E55374F" w14:textId="64908440">
      <w:pPr>
        <w:pStyle w:val="Style29"/>
        <w:widowControl/>
        <w:tabs>
          <w:tab w:val="left" w:pos="854"/>
        </w:tabs>
        <w:spacing w:line="240" w:lineRule="auto"/>
        <w:ind w:firstLine="720"/>
        <w:rPr>
          <w:sz w:val="26"/>
          <w:szCs w:val="26"/>
        </w:rPr>
      </w:pPr>
      <w:r w:rsidRPr="00455287">
        <w:rPr>
          <w:sz w:val="26"/>
          <w:szCs w:val="26"/>
        </w:rPr>
        <w:t xml:space="preserve">Kopumā Latvijas </w:t>
      </w:r>
      <w:r w:rsidRPr="00455287" w:rsidR="00455287">
        <w:rPr>
          <w:sz w:val="26"/>
          <w:szCs w:val="26"/>
        </w:rPr>
        <w:t>3</w:t>
      </w:r>
      <w:r w:rsidRPr="00455287">
        <w:rPr>
          <w:sz w:val="26"/>
          <w:szCs w:val="26"/>
        </w:rPr>
        <w:t>.</w:t>
      </w:r>
      <w:r w:rsidRPr="00455287" w:rsidR="00455287">
        <w:rPr>
          <w:sz w:val="26"/>
          <w:szCs w:val="26"/>
        </w:rPr>
        <w:t> </w:t>
      </w:r>
      <w:r w:rsidRPr="00455287">
        <w:rPr>
          <w:sz w:val="26"/>
          <w:szCs w:val="26"/>
        </w:rPr>
        <w:t xml:space="preserve">fāzes ziņojumā Latvijai izteiktas 44 rekomendācijas, kuras paredz praktiskus pasākumus, kas vērsti uz efektīvāku ārvalstu amatpersonu kukuļošanas un ar to saistītas noziedzīgi iegūtu līdzekļu legalizācijas atklāšanu, izmeklēšanu un saukšanu pie atbildības, nosakot efektīvus, samērīgus un atturošus sodus. </w:t>
      </w:r>
    </w:p>
    <w:p w:rsidRPr="00455287" w:rsidR="000D5A88" w:rsidRDefault="006059BF" w14:paraId="46379968" w14:textId="4B31C769">
      <w:pPr>
        <w:spacing w:after="0" w:line="240" w:lineRule="auto"/>
        <w:ind w:firstLine="720"/>
        <w:jc w:val="both"/>
        <w:rPr>
          <w:rFonts w:ascii="Times New Roman" w:hAnsi="Times New Roman" w:eastAsia="Times New Roman" w:cs="Times New Roman"/>
          <w:sz w:val="26"/>
          <w:szCs w:val="26"/>
          <w:lang w:val="lv-LV"/>
        </w:rPr>
      </w:pPr>
      <w:r w:rsidRPr="00455287">
        <w:rPr>
          <w:rFonts w:ascii="Times New Roman" w:hAnsi="Times New Roman" w:cs="Times New Roman"/>
          <w:sz w:val="26"/>
          <w:szCs w:val="26"/>
          <w:lang w:val="lv-LV"/>
        </w:rPr>
        <w:t xml:space="preserve">Par visām </w:t>
      </w:r>
      <w:r w:rsidRPr="00455287" w:rsidR="00455287">
        <w:rPr>
          <w:rFonts w:ascii="Times New Roman" w:hAnsi="Times New Roman" w:cs="Times New Roman"/>
          <w:sz w:val="26"/>
          <w:szCs w:val="26"/>
          <w:lang w:val="lv-LV"/>
        </w:rPr>
        <w:t>3</w:t>
      </w:r>
      <w:r w:rsidRPr="00455287">
        <w:rPr>
          <w:rFonts w:ascii="Times New Roman" w:hAnsi="Times New Roman" w:cs="Times New Roman"/>
          <w:sz w:val="26"/>
          <w:szCs w:val="26"/>
          <w:lang w:val="lv-LV"/>
        </w:rPr>
        <w:t>.</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fāzes rekomendācijām Latvijai ir jāsniedz rakstisks ziņojums līdz 2021.</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gada oktobrim.</w:t>
      </w:r>
    </w:p>
    <w:p w:rsidRPr="001C0385" w:rsidR="001C0385" w:rsidRDefault="006059BF" w14:paraId="0DBFFDC5" w14:textId="2043B70E">
      <w:pPr>
        <w:spacing w:after="0" w:line="240" w:lineRule="auto"/>
        <w:ind w:firstLine="720"/>
        <w:jc w:val="both"/>
        <w:rPr>
          <w:rFonts w:ascii="Times New Roman" w:hAnsi="Times New Roman" w:eastAsia="Times New Roman" w:cs="Times New Roman"/>
          <w:sz w:val="26"/>
          <w:szCs w:val="26"/>
          <w:lang w:val="lv-LV"/>
        </w:rPr>
      </w:pPr>
      <w:r w:rsidRPr="00455287">
        <w:rPr>
          <w:rFonts w:ascii="Times New Roman" w:hAnsi="Times New Roman" w:cs="Times New Roman"/>
          <w:sz w:val="26"/>
          <w:szCs w:val="26"/>
          <w:lang w:val="lv-LV"/>
        </w:rPr>
        <w:t>Līdz ar to, lai nodrošinātu atbilstošu WGB 3.</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fāzes rekomendāciju izpildi noteiktajos termiņos, nepieciešams noteikt veicamos pasākumus WGB 3.</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 xml:space="preserve">fāzes rekomendāciju izpildei, atbildīgās institūcijas un to izpildes termiņus. Informatīvā ziņojuma pielikumā ir Tieslietu ministrijas sadarbībā ar atbildīgajām iestādēm </w:t>
      </w:r>
      <w:r w:rsidRPr="00455287">
        <w:rPr>
          <w:rFonts w:ascii="Times New Roman" w:hAnsi="Times New Roman" w:cs="Times New Roman"/>
          <w:sz w:val="26"/>
          <w:szCs w:val="26"/>
          <w:lang w:val="lv-LV"/>
        </w:rPr>
        <w:lastRenderedPageBreak/>
        <w:t>izstrādāts pasākumu un uzdevumu plāns ar mērķi nodrošināt WGB 3.</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 xml:space="preserve">fāzes rekomendāciju izpildi, nosakot atbildīgās institūcijas, konkrētus izpildāmos uzdevumus un to izpildes termiņus. </w:t>
      </w:r>
      <w:r w:rsidRPr="001C0385">
        <w:rPr>
          <w:rFonts w:ascii="Times New Roman" w:hAnsi="Times New Roman" w:cs="Times New Roman"/>
          <w:sz w:val="26"/>
          <w:szCs w:val="26"/>
          <w:lang w:val="lv-LV"/>
        </w:rPr>
        <w:t>Pasākumi un uzdevumi plānā ir veicami iestāžu esošā budžeta ietvaros un netiek plānoti papildu līdzekļi WGB 3.</w:t>
      </w:r>
      <w:r w:rsidRPr="001C0385" w:rsidR="00455287">
        <w:rPr>
          <w:rFonts w:ascii="Times New Roman" w:hAnsi="Times New Roman" w:cs="Times New Roman"/>
          <w:sz w:val="26"/>
          <w:szCs w:val="26"/>
          <w:lang w:val="lv-LV"/>
        </w:rPr>
        <w:t> </w:t>
      </w:r>
      <w:r w:rsidRPr="001C0385">
        <w:rPr>
          <w:rFonts w:ascii="Times New Roman" w:hAnsi="Times New Roman" w:cs="Times New Roman"/>
          <w:sz w:val="26"/>
          <w:szCs w:val="26"/>
          <w:lang w:val="lv-LV"/>
        </w:rPr>
        <w:t xml:space="preserve">fāzes rekomendāciju izpildei. </w:t>
      </w:r>
    </w:p>
    <w:p w:rsidR="00A50B84" w:rsidRDefault="006059BF" w14:paraId="4EA19B96" w14:textId="02B91B51">
      <w:pPr>
        <w:spacing w:after="0" w:line="240" w:lineRule="auto"/>
        <w:ind w:firstLine="720"/>
        <w:jc w:val="both"/>
        <w:rPr>
          <w:rFonts w:ascii="Times New Roman" w:hAnsi="Times New Roman" w:cs="Times New Roman"/>
          <w:sz w:val="26"/>
          <w:szCs w:val="26"/>
          <w:lang w:val="lv-LV"/>
        </w:rPr>
      </w:pPr>
      <w:r w:rsidRPr="001C0385">
        <w:rPr>
          <w:rFonts w:ascii="Times New Roman" w:hAnsi="Times New Roman" w:cs="Times New Roman"/>
          <w:sz w:val="26"/>
          <w:szCs w:val="26"/>
          <w:lang w:val="lv-LV"/>
        </w:rPr>
        <w:t xml:space="preserve">Vienlaikus ir jānorāda, ka attiecībā uz OECD WGB rekomendāciju 4 (a), kas paredz nodrošināt, ka </w:t>
      </w:r>
      <w:r w:rsidR="0089639F">
        <w:rPr>
          <w:rFonts w:ascii="Times New Roman" w:hAnsi="Times New Roman" w:cs="Times New Roman"/>
          <w:sz w:val="26"/>
          <w:szCs w:val="26"/>
          <w:lang w:val="lv-LV"/>
        </w:rPr>
        <w:t>KNAB</w:t>
      </w:r>
      <w:r w:rsidRPr="001C0385">
        <w:rPr>
          <w:rFonts w:ascii="Times New Roman" w:hAnsi="Times New Roman" w:cs="Times New Roman"/>
          <w:sz w:val="26"/>
          <w:szCs w:val="26"/>
          <w:lang w:val="lv-LV"/>
        </w:rPr>
        <w:t xml:space="preserve">  tiek piešķirti atbilstoši resursi kukuļošanas apkarošanai, un ka KNAB ārvalstu amatpersonu kukuļošanas apkarošanai piešķir prioritāru raksturu, </w:t>
      </w:r>
      <w:r w:rsidRPr="001C0385" w:rsidR="00740F03">
        <w:rPr>
          <w:rFonts w:ascii="Times New Roman" w:hAnsi="Times New Roman" w:cs="Times New Roman"/>
          <w:sz w:val="26"/>
          <w:szCs w:val="26"/>
          <w:lang w:val="lv-LV"/>
        </w:rPr>
        <w:t>Valdības rīcības plān</w:t>
      </w:r>
      <w:r w:rsidR="00740F03">
        <w:rPr>
          <w:rFonts w:ascii="Times New Roman" w:hAnsi="Times New Roman" w:cs="Times New Roman"/>
          <w:sz w:val="26"/>
          <w:szCs w:val="26"/>
          <w:lang w:val="lv-LV"/>
        </w:rPr>
        <w:t>a</w:t>
      </w:r>
      <w:r w:rsidRPr="001C0385" w:rsidR="00740F03">
        <w:rPr>
          <w:rFonts w:ascii="Times New Roman" w:hAnsi="Times New Roman" w:cs="Times New Roman"/>
          <w:sz w:val="26"/>
          <w:szCs w:val="26"/>
          <w:lang w:val="lv-LV"/>
        </w:rPr>
        <w:t xml:space="preserve"> Deklarācijas par Artura Krišjāņa Kariņa vadītā Ministru kabineta iecerēto darbību īstenošanai</w:t>
      </w:r>
      <w:r w:rsidR="00740F03">
        <w:rPr>
          <w:rFonts w:ascii="Times New Roman" w:hAnsi="Times New Roman" w:cs="Times New Roman"/>
          <w:sz w:val="26"/>
          <w:szCs w:val="26"/>
          <w:lang w:val="lv-LV"/>
        </w:rPr>
        <w:t xml:space="preserve"> (apstiprināts ar </w:t>
      </w:r>
      <w:r w:rsidRPr="001C0385">
        <w:rPr>
          <w:rFonts w:ascii="Times New Roman" w:hAnsi="Times New Roman" w:cs="Times New Roman"/>
          <w:sz w:val="26"/>
          <w:szCs w:val="26"/>
          <w:lang w:val="lv-LV"/>
        </w:rPr>
        <w:t xml:space="preserve">Ministru kabineta </w:t>
      </w:r>
      <w:r w:rsidR="00740F03">
        <w:rPr>
          <w:rFonts w:ascii="Times New Roman" w:hAnsi="Times New Roman" w:cs="Times New Roman"/>
          <w:sz w:val="26"/>
          <w:szCs w:val="26"/>
          <w:lang w:val="lv-LV"/>
        </w:rPr>
        <w:t xml:space="preserve">2019. gada 7. maija </w:t>
      </w:r>
      <w:r w:rsidRPr="001C0385">
        <w:rPr>
          <w:rFonts w:ascii="Times New Roman" w:hAnsi="Times New Roman" w:cs="Times New Roman"/>
          <w:sz w:val="26"/>
          <w:szCs w:val="26"/>
          <w:lang w:val="lv-LV"/>
        </w:rPr>
        <w:t>rīkojum</w:t>
      </w:r>
      <w:r w:rsidR="00740F03">
        <w:rPr>
          <w:rFonts w:ascii="Times New Roman" w:hAnsi="Times New Roman" w:cs="Times New Roman"/>
          <w:sz w:val="26"/>
          <w:szCs w:val="26"/>
          <w:lang w:val="lv-LV"/>
        </w:rPr>
        <w:t>u</w:t>
      </w:r>
      <w:r w:rsidRPr="001C0385">
        <w:rPr>
          <w:rFonts w:ascii="Times New Roman" w:hAnsi="Times New Roman" w:cs="Times New Roman"/>
          <w:sz w:val="26"/>
          <w:szCs w:val="26"/>
          <w:lang w:val="lv-LV"/>
        </w:rPr>
        <w:t xml:space="preserve"> Nr.</w:t>
      </w:r>
      <w:r w:rsidRPr="001C0385" w:rsidR="00455287">
        <w:rPr>
          <w:rFonts w:ascii="Times New Roman" w:hAnsi="Times New Roman" w:cs="Times New Roman"/>
          <w:sz w:val="26"/>
          <w:szCs w:val="26"/>
          <w:lang w:val="lv-LV"/>
        </w:rPr>
        <w:t> </w:t>
      </w:r>
      <w:r w:rsidRPr="001C0385">
        <w:rPr>
          <w:rFonts w:ascii="Times New Roman" w:hAnsi="Times New Roman" w:cs="Times New Roman"/>
          <w:sz w:val="26"/>
          <w:szCs w:val="26"/>
          <w:lang w:val="lv-LV"/>
        </w:rPr>
        <w:t>210</w:t>
      </w:r>
      <w:r w:rsidR="00740F03">
        <w:rPr>
          <w:rFonts w:ascii="Times New Roman" w:hAnsi="Times New Roman" w:cs="Times New Roman"/>
          <w:sz w:val="26"/>
          <w:szCs w:val="26"/>
          <w:lang w:val="lv-LV"/>
        </w:rPr>
        <w:t>)</w:t>
      </w:r>
      <w:r w:rsidRPr="001C0385">
        <w:rPr>
          <w:rFonts w:ascii="Times New Roman" w:hAnsi="Times New Roman" w:cs="Times New Roman"/>
          <w:sz w:val="26"/>
          <w:szCs w:val="26"/>
          <w:lang w:val="lv-LV"/>
        </w:rPr>
        <w:t xml:space="preserve"> 180.2.</w:t>
      </w:r>
      <w:r w:rsidRPr="001C0385" w:rsidR="00455287">
        <w:rPr>
          <w:rFonts w:ascii="Times New Roman" w:hAnsi="Times New Roman" w:cs="Times New Roman"/>
          <w:sz w:val="26"/>
          <w:szCs w:val="26"/>
          <w:lang w:val="lv-LV"/>
        </w:rPr>
        <w:t> </w:t>
      </w:r>
      <w:r w:rsidRPr="001C0385">
        <w:rPr>
          <w:rFonts w:ascii="Times New Roman" w:hAnsi="Times New Roman" w:cs="Times New Roman"/>
          <w:sz w:val="26"/>
          <w:szCs w:val="26"/>
          <w:lang w:val="lv-LV"/>
        </w:rPr>
        <w:t>punkts paredz līdz 2020.</w:t>
      </w:r>
      <w:r w:rsidR="00740F03">
        <w:rPr>
          <w:rFonts w:ascii="Times New Roman" w:hAnsi="Times New Roman" w:cs="Times New Roman"/>
          <w:sz w:val="26"/>
          <w:szCs w:val="26"/>
          <w:lang w:val="lv-LV"/>
        </w:rPr>
        <w:t xml:space="preserve"> gada 31. decembrim </w:t>
      </w:r>
      <w:r w:rsidRPr="001C0385">
        <w:rPr>
          <w:rFonts w:ascii="Times New Roman" w:hAnsi="Times New Roman" w:cs="Times New Roman"/>
          <w:sz w:val="26"/>
          <w:szCs w:val="26"/>
          <w:lang w:val="lv-LV"/>
        </w:rPr>
        <w:t>palielināt KNAB finansējumu un štata vietu skaitu par 23</w:t>
      </w:r>
      <w:r w:rsidR="00095F8C">
        <w:rPr>
          <w:rFonts w:ascii="Times New Roman" w:hAnsi="Times New Roman" w:cs="Times New Roman"/>
          <w:sz w:val="26"/>
          <w:szCs w:val="26"/>
          <w:lang w:val="lv-LV"/>
        </w:rPr>
        <w:t> </w:t>
      </w:r>
      <w:r w:rsidRPr="001C0385">
        <w:rPr>
          <w:rFonts w:ascii="Times New Roman" w:hAnsi="Times New Roman" w:cs="Times New Roman"/>
          <w:sz w:val="26"/>
          <w:szCs w:val="26"/>
          <w:lang w:val="lv-LV"/>
        </w:rPr>
        <w:t>% (33 štata vietas, 2 jau piešķirtas 2020.</w:t>
      </w:r>
      <w:r w:rsidRPr="001C0385" w:rsidR="00455287">
        <w:rPr>
          <w:rFonts w:ascii="Times New Roman" w:hAnsi="Times New Roman" w:cs="Times New Roman"/>
          <w:sz w:val="26"/>
          <w:szCs w:val="26"/>
          <w:lang w:val="lv-LV"/>
        </w:rPr>
        <w:t> </w:t>
      </w:r>
      <w:r w:rsidRPr="001C0385">
        <w:rPr>
          <w:rFonts w:ascii="Times New Roman" w:hAnsi="Times New Roman" w:cs="Times New Roman"/>
          <w:sz w:val="26"/>
          <w:szCs w:val="26"/>
          <w:lang w:val="lv-LV"/>
        </w:rPr>
        <w:t>gada budžeta ietvaros), kuru provizoriskais izmaksu aprēķins ir sekojošs</w:t>
      </w:r>
      <w:r w:rsidR="00A50B84">
        <w:rPr>
          <w:rFonts w:ascii="Times New Roman" w:hAnsi="Times New Roman" w:cs="Times New Roman"/>
          <w:sz w:val="26"/>
          <w:szCs w:val="26"/>
          <w:lang w:val="lv-LV"/>
        </w:rPr>
        <w:t xml:space="preserve">: </w:t>
      </w:r>
    </w:p>
    <w:p w:rsidRPr="00A50B84" w:rsidR="00A50B84" w:rsidP="00E81CFD" w:rsidRDefault="008D325B" w14:paraId="3EED0132" w14:textId="0A425A5F">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Atalgojums (ikgadējs): 982</w:t>
      </w:r>
      <w:r w:rsidR="00095F8C">
        <w:rPr>
          <w:rFonts w:ascii="Times New Roman" w:hAnsi="Times New Roman" w:cs="Times New Roman"/>
          <w:sz w:val="26"/>
          <w:szCs w:val="26"/>
          <w:lang w:val="lv-LV"/>
        </w:rPr>
        <w:t> </w:t>
      </w:r>
      <w:r w:rsidRPr="00A50B84">
        <w:rPr>
          <w:rFonts w:ascii="Times New Roman" w:hAnsi="Times New Roman" w:cs="Times New Roman"/>
          <w:sz w:val="26"/>
          <w:szCs w:val="26"/>
          <w:lang w:val="lv-LV"/>
        </w:rPr>
        <w:t>159,94</w:t>
      </w:r>
      <w:r w:rsidR="00095F8C">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A50B84" w:rsidR="00A50B84" w:rsidP="00E81CFD" w:rsidRDefault="008D325B" w14:paraId="22596C2E" w14:textId="77777777">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Vienreizējie izdevumi darba vietu iekārtošanai: 112</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579,50</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A50B84" w:rsidR="00A50B84" w:rsidP="00E81CFD" w:rsidRDefault="008D325B" w14:paraId="7E5D41DD" w14:textId="77777777">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Vienreizējie izdevumi tehnikas iegādei: 255</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585,07</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A50B84" w:rsidR="00A50B84" w:rsidP="00E81CFD" w:rsidRDefault="008D325B" w14:paraId="1C8B041B" w14:textId="77777777">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Ikgadējie paredzamie tehnikas uzturēšanas izdevumi (licences): 8</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151,00</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A50B84" w:rsidR="00A50B84" w:rsidP="00E81CFD" w:rsidRDefault="008D325B" w14:paraId="43970C45" w14:textId="77777777">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Kopā provizoriski pirmajam gadam: 1</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471</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055,44</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A50B84" w:rsidR="008D325B" w:rsidP="00E81CFD" w:rsidRDefault="008D325B" w14:paraId="51491B07" w14:textId="40C79474">
      <w:pPr>
        <w:pStyle w:val="Sarakstarindkopa"/>
        <w:numPr>
          <w:ilvl w:val="0"/>
          <w:numId w:val="6"/>
        </w:numPr>
        <w:tabs>
          <w:tab w:val="left" w:pos="993"/>
        </w:tabs>
        <w:spacing w:after="0" w:line="240" w:lineRule="auto"/>
        <w:ind w:left="0" w:firstLine="720"/>
        <w:jc w:val="both"/>
        <w:rPr>
          <w:rFonts w:ascii="Times New Roman" w:hAnsi="Times New Roman" w:eastAsia="Times New Roman" w:cs="Times New Roman"/>
          <w:sz w:val="26"/>
          <w:szCs w:val="26"/>
          <w:lang w:val="lv-LV"/>
        </w:rPr>
      </w:pPr>
      <w:r w:rsidRPr="00A50B84">
        <w:rPr>
          <w:rFonts w:ascii="Times New Roman" w:hAnsi="Times New Roman" w:cs="Times New Roman"/>
          <w:sz w:val="26"/>
          <w:szCs w:val="26"/>
          <w:lang w:val="lv-LV"/>
        </w:rPr>
        <w:t>Ikgadējais nepieciešamais budžeta palielinājums: 990</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310,94</w:t>
      </w:r>
      <w:r w:rsidRPr="00A50B84" w:rsidR="000A2D03">
        <w:rPr>
          <w:rFonts w:ascii="Times New Roman" w:hAnsi="Times New Roman" w:cs="Times New Roman"/>
          <w:sz w:val="26"/>
          <w:szCs w:val="26"/>
          <w:lang w:val="lv-LV"/>
        </w:rPr>
        <w:t> </w:t>
      </w:r>
      <w:r w:rsidRPr="00A50B84">
        <w:rPr>
          <w:rFonts w:ascii="Times New Roman" w:hAnsi="Times New Roman" w:cs="Times New Roman"/>
          <w:sz w:val="26"/>
          <w:szCs w:val="26"/>
          <w:lang w:val="lv-LV"/>
        </w:rPr>
        <w:t>EUR.</w:t>
      </w:r>
    </w:p>
    <w:p w:rsidRPr="00455287" w:rsidR="000D5A88" w:rsidP="001C42B3" w:rsidRDefault="006059BF" w14:paraId="3FBD0186" w14:textId="249E5179">
      <w:pPr>
        <w:spacing w:after="0" w:line="240" w:lineRule="auto"/>
        <w:ind w:firstLine="720"/>
        <w:jc w:val="both"/>
        <w:rPr>
          <w:rFonts w:ascii="Times New Roman" w:hAnsi="Times New Roman" w:eastAsia="Times New Roman" w:cs="Times New Roman"/>
          <w:sz w:val="26"/>
          <w:szCs w:val="26"/>
          <w:lang w:val="lv-LV"/>
        </w:rPr>
      </w:pPr>
      <w:r w:rsidRPr="00455287">
        <w:rPr>
          <w:rFonts w:ascii="Times New Roman" w:hAnsi="Times New Roman" w:cs="Times New Roman"/>
          <w:sz w:val="26"/>
          <w:szCs w:val="26"/>
          <w:lang w:val="lv-LV"/>
        </w:rPr>
        <w:t>Augstākminētais provizoriskais aprēķins tika veikts 2020.</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gada 14.</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februārī un atkarībā no likumprojekta "Valsts un pašvaldību institūciju amatpersonu un darbinieku atlīdzības likums</w:t>
      </w:r>
      <w:r w:rsidRPr="00095F8C" w:rsidR="00095F8C">
        <w:rPr>
          <w:rFonts w:ascii="Times New Roman" w:hAnsi="Times New Roman" w:cs="Times New Roman"/>
          <w:sz w:val="26"/>
          <w:szCs w:val="26"/>
          <w:lang w:val="lv-LV"/>
        </w:rPr>
        <w:t>"</w:t>
      </w:r>
      <w:r w:rsidRPr="00455287">
        <w:rPr>
          <w:rFonts w:ascii="Times New Roman" w:hAnsi="Times New Roman" w:cs="Times New Roman"/>
          <w:sz w:val="26"/>
          <w:szCs w:val="26"/>
          <w:lang w:val="lv-LV"/>
        </w:rPr>
        <w:t xml:space="preserve"> (VSS-64) tālākas virzības, atalgojumam nepieciešamās izmaksas var mainīties. Augstākminētais KNAB finansējuma palielinājums ir jānodrošina 2021.</w:t>
      </w:r>
      <w:r w:rsidRPr="00455287" w:rsidR="00455287">
        <w:rPr>
          <w:rFonts w:ascii="Times New Roman" w:hAnsi="Times New Roman" w:cs="Times New Roman"/>
          <w:sz w:val="26"/>
          <w:szCs w:val="26"/>
          <w:lang w:val="lv-LV"/>
        </w:rPr>
        <w:t> </w:t>
      </w:r>
      <w:r w:rsidRPr="00455287">
        <w:rPr>
          <w:rFonts w:ascii="Times New Roman" w:hAnsi="Times New Roman" w:cs="Times New Roman"/>
          <w:sz w:val="26"/>
          <w:szCs w:val="26"/>
          <w:lang w:val="lv-LV"/>
        </w:rPr>
        <w:t>gada budžeta izstrādes procesā.</w:t>
      </w:r>
    </w:p>
    <w:p w:rsidRPr="00455287" w:rsidR="000D5A88" w:rsidP="00455287" w:rsidRDefault="000D5A88" w14:paraId="50F04FF0" w14:textId="77777777">
      <w:pPr>
        <w:spacing w:after="0" w:line="240" w:lineRule="auto"/>
        <w:ind w:firstLine="720"/>
        <w:jc w:val="both"/>
        <w:rPr>
          <w:rFonts w:ascii="Times New Roman" w:hAnsi="Times New Roman" w:eastAsia="Times New Roman" w:cs="Times New Roman"/>
          <w:sz w:val="26"/>
          <w:szCs w:val="26"/>
          <w:lang w:val="lv-LV"/>
        </w:rPr>
      </w:pPr>
    </w:p>
    <w:p w:rsidRPr="00455287" w:rsidR="000D5A88" w:rsidP="00455287" w:rsidRDefault="000D5A88" w14:paraId="2E37975C" w14:textId="77777777">
      <w:pPr>
        <w:spacing w:after="0" w:line="240" w:lineRule="auto"/>
        <w:ind w:firstLine="720"/>
        <w:jc w:val="both"/>
        <w:rPr>
          <w:rFonts w:ascii="Times New Roman" w:hAnsi="Times New Roman" w:eastAsia="Times New Roman" w:cs="Times New Roman"/>
          <w:sz w:val="26"/>
          <w:szCs w:val="26"/>
          <w:lang w:val="lv-LV"/>
        </w:rPr>
      </w:pPr>
    </w:p>
    <w:p w:rsidRPr="00455287" w:rsidR="00455287" w:rsidP="00455287" w:rsidRDefault="00455287" w14:paraId="54E46348" w14:textId="77777777">
      <w:pPr>
        <w:tabs>
          <w:tab w:val="left" w:pos="7088"/>
        </w:tabs>
        <w:spacing w:after="0" w:line="240" w:lineRule="auto"/>
        <w:jc w:val="both"/>
        <w:rPr>
          <w:rFonts w:ascii="Times New Roman" w:hAnsi="Times New Roman" w:cs="Times New Roman"/>
          <w:sz w:val="26"/>
          <w:szCs w:val="26"/>
        </w:rPr>
      </w:pPr>
      <w:r w:rsidRPr="00455287">
        <w:rPr>
          <w:rFonts w:ascii="Times New Roman" w:hAnsi="Times New Roman" w:cs="Times New Roman"/>
          <w:sz w:val="26"/>
          <w:szCs w:val="26"/>
        </w:rPr>
        <w:t xml:space="preserve">Ministru prezidenta biedrs, </w:t>
      </w:r>
    </w:p>
    <w:p w:rsidRPr="00455287" w:rsidR="00455287" w:rsidP="00455287" w:rsidRDefault="00455287" w14:paraId="58C1AD47" w14:textId="02C0F2C9">
      <w:pPr>
        <w:spacing w:after="0" w:line="240" w:lineRule="auto"/>
        <w:jc w:val="both"/>
        <w:rPr>
          <w:rFonts w:ascii="Times New Roman" w:hAnsi="Times New Roman" w:cs="Times New Roman"/>
          <w:sz w:val="26"/>
          <w:szCs w:val="26"/>
        </w:rPr>
      </w:pPr>
      <w:r w:rsidRPr="00455287">
        <w:rPr>
          <w:rFonts w:ascii="Times New Roman" w:hAnsi="Times New Roman" w:cs="Times New Roman"/>
          <w:sz w:val="26"/>
          <w:szCs w:val="26"/>
        </w:rPr>
        <w:t>tieslietu ministrs</w:t>
      </w:r>
      <w:r w:rsidRPr="00455287">
        <w:rPr>
          <w:rFonts w:ascii="Times New Roman" w:hAnsi="Times New Roman" w:cs="Times New Roman"/>
          <w:sz w:val="26"/>
          <w:szCs w:val="26"/>
        </w:rPr>
        <w:tab/>
      </w:r>
      <w:r w:rsidRPr="00455287">
        <w:rPr>
          <w:rFonts w:ascii="Times New Roman" w:hAnsi="Times New Roman" w:cs="Times New Roman"/>
          <w:sz w:val="26"/>
          <w:szCs w:val="26"/>
        </w:rPr>
        <w:tab/>
      </w:r>
      <w:r w:rsidRPr="00455287">
        <w:rPr>
          <w:rFonts w:ascii="Times New Roman" w:hAnsi="Times New Roman" w:cs="Times New Roman"/>
          <w:sz w:val="26"/>
          <w:szCs w:val="26"/>
        </w:rPr>
        <w:tab/>
      </w:r>
      <w:r w:rsidRPr="00455287">
        <w:rPr>
          <w:rFonts w:ascii="Times New Roman" w:hAnsi="Times New Roman" w:cs="Times New Roman"/>
          <w:sz w:val="26"/>
          <w:szCs w:val="26"/>
        </w:rPr>
        <w:tab/>
      </w:r>
      <w:r w:rsidRPr="00455287">
        <w:rPr>
          <w:rFonts w:ascii="Times New Roman" w:hAnsi="Times New Roman" w:cs="Times New Roman"/>
          <w:sz w:val="26"/>
          <w:szCs w:val="26"/>
        </w:rPr>
        <w:tab/>
      </w:r>
      <w:r w:rsidRPr="00455287">
        <w:rPr>
          <w:rFonts w:ascii="Times New Roman" w:hAnsi="Times New Roman" w:cs="Times New Roman"/>
          <w:sz w:val="26"/>
          <w:szCs w:val="26"/>
        </w:rPr>
        <w:tab/>
      </w:r>
      <w:r w:rsidRPr="00455287">
        <w:rPr>
          <w:rFonts w:ascii="Times New Roman" w:hAnsi="Times New Roman" w:cs="Times New Roman"/>
          <w:sz w:val="26"/>
          <w:szCs w:val="26"/>
        </w:rPr>
        <w:tab/>
      </w:r>
      <w:r>
        <w:rPr>
          <w:rFonts w:ascii="Times New Roman" w:hAnsi="Times New Roman" w:cs="Times New Roman"/>
          <w:sz w:val="26"/>
          <w:szCs w:val="26"/>
        </w:rPr>
        <w:t xml:space="preserve">        </w:t>
      </w:r>
      <w:r w:rsidRPr="00455287">
        <w:rPr>
          <w:rFonts w:ascii="Times New Roman" w:hAnsi="Times New Roman" w:cs="Times New Roman"/>
          <w:sz w:val="26"/>
          <w:szCs w:val="26"/>
        </w:rPr>
        <w:t xml:space="preserve">         Jānis Bordāns</w:t>
      </w:r>
    </w:p>
    <w:p w:rsidRPr="00455287" w:rsidR="00455287" w:rsidP="00455287" w:rsidRDefault="00455287" w14:paraId="19215AC1" w14:textId="77777777">
      <w:pPr>
        <w:tabs>
          <w:tab w:val="left" w:pos="7088"/>
        </w:tabs>
        <w:spacing w:after="0" w:line="240" w:lineRule="auto"/>
        <w:ind w:firstLine="567"/>
        <w:jc w:val="both"/>
        <w:rPr>
          <w:rFonts w:ascii="Times New Roman" w:hAnsi="Times New Roman" w:cs="Times New Roman"/>
          <w:sz w:val="26"/>
          <w:szCs w:val="26"/>
        </w:rPr>
      </w:pPr>
    </w:p>
    <w:p w:rsidR="00455287" w:rsidRDefault="00455287" w14:paraId="49686D59" w14:textId="3F2EC231">
      <w:pPr>
        <w:spacing w:after="0"/>
        <w:rPr>
          <w:rFonts w:ascii="Times New Roman" w:hAnsi="Times New Roman" w:eastAsia="Times New Roman" w:cs="Times New Roman"/>
          <w:lang w:val="lv-LV"/>
        </w:rPr>
      </w:pPr>
    </w:p>
    <w:p w:rsidRPr="00455287" w:rsidR="00455287" w:rsidRDefault="00455287" w14:paraId="7FDC9BFB" w14:textId="77777777">
      <w:pPr>
        <w:spacing w:after="0"/>
        <w:rPr>
          <w:rFonts w:ascii="Times New Roman" w:hAnsi="Times New Roman" w:eastAsia="Times New Roman" w:cs="Times New Roman"/>
          <w:lang w:val="lv-LV"/>
        </w:rPr>
      </w:pPr>
    </w:p>
    <w:p w:rsidRPr="00E81CFD" w:rsidR="001C42B3" w:rsidP="001C42B3" w:rsidRDefault="006059BF" w14:paraId="727F830A" w14:textId="1DB5B32E">
      <w:pPr>
        <w:spacing w:after="0"/>
        <w:rPr>
          <w:rFonts w:ascii="Times New Roman" w:hAnsi="Times New Roman" w:cs="Times New Roman"/>
          <w:sz w:val="24"/>
          <w:szCs w:val="24"/>
          <w:lang w:val="lv-LV"/>
        </w:rPr>
      </w:pPr>
      <w:r w:rsidRPr="00E81CFD">
        <w:rPr>
          <w:rFonts w:ascii="Times New Roman" w:hAnsi="Times New Roman" w:cs="Times New Roman"/>
          <w:sz w:val="24"/>
          <w:szCs w:val="24"/>
          <w:lang w:val="lv-LV"/>
        </w:rPr>
        <w:t>Spūle</w:t>
      </w:r>
      <w:r w:rsidRPr="00E81CFD" w:rsidR="001C42B3">
        <w:rPr>
          <w:rFonts w:ascii="Times New Roman" w:hAnsi="Times New Roman" w:cs="Times New Roman"/>
          <w:sz w:val="24"/>
          <w:szCs w:val="24"/>
          <w:lang w:val="lv-LV"/>
        </w:rPr>
        <w:t xml:space="preserve"> </w:t>
      </w:r>
      <w:r w:rsidRPr="00E81CFD">
        <w:rPr>
          <w:rFonts w:ascii="Times New Roman" w:hAnsi="Times New Roman" w:cs="Times New Roman"/>
          <w:sz w:val="24"/>
          <w:szCs w:val="24"/>
          <w:lang w:val="lv-LV"/>
        </w:rPr>
        <w:t>67036733</w:t>
      </w:r>
    </w:p>
    <w:p w:rsidRPr="00F06DC6" w:rsidR="00F06DC6" w:rsidP="00E81CFD" w:rsidRDefault="00A06A04" w14:paraId="6BED7879" w14:textId="5121A8EB">
      <w:pPr>
        <w:spacing w:after="0"/>
        <w:rPr>
          <w:rFonts w:ascii="Times New Roman" w:hAnsi="Times New Roman" w:cs="Times New Roman"/>
          <w:lang w:val="lv-LV"/>
        </w:rPr>
      </w:pPr>
      <w:hyperlink w:history="1" r:id="rId8">
        <w:r w:rsidRPr="00E81CFD" w:rsidR="001C42B3">
          <w:rPr>
            <w:rStyle w:val="Hipersaite"/>
            <w:rFonts w:ascii="Times New Roman" w:hAnsi="Times New Roman" w:cs="Times New Roman"/>
            <w:sz w:val="24"/>
            <w:szCs w:val="24"/>
            <w:lang w:val="lv-LV"/>
          </w:rPr>
          <w:t>dina.spule@tm.gov.lv</w:t>
        </w:r>
      </w:hyperlink>
    </w:p>
    <w:sectPr w:rsidRPr="00F06DC6" w:rsidR="00F06DC6" w:rsidSect="00E81CFD">
      <w:headerReference w:type="default" r:id="rId9"/>
      <w:footerReference w:type="default" r:id="rId10"/>
      <w:footerReference w:type="first" r:id="rId11"/>
      <w:pgSz w:w="1190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6FEB" w14:textId="77777777" w:rsidR="00722F1A" w:rsidRDefault="00722F1A">
      <w:pPr>
        <w:spacing w:after="0" w:line="240" w:lineRule="auto"/>
      </w:pPr>
      <w:r>
        <w:separator/>
      </w:r>
    </w:p>
  </w:endnote>
  <w:endnote w:type="continuationSeparator" w:id="0">
    <w:p w14:paraId="79C6AB11" w14:textId="77777777" w:rsidR="00722F1A" w:rsidRDefault="0072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7456" w14:textId="2E358939" w:rsidR="000D5A88" w:rsidRPr="00E81CFD" w:rsidRDefault="001C42B3">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TMZin_</w:t>
    </w:r>
    <w:r w:rsidR="00880766">
      <w:rPr>
        <w:rFonts w:ascii="Times New Roman" w:hAnsi="Times New Roman"/>
        <w:sz w:val="20"/>
        <w:szCs w:val="20"/>
      </w:rPr>
      <w:t>2</w:t>
    </w:r>
    <w:r w:rsidR="00A93C22">
      <w:rPr>
        <w:rFonts w:ascii="Times New Roman" w:hAnsi="Times New Roman"/>
        <w:sz w:val="20"/>
        <w:szCs w:val="20"/>
      </w:rPr>
      <w:t>3</w:t>
    </w:r>
    <w:r w:rsidR="00880766">
      <w:rPr>
        <w:rFonts w:ascii="Times New Roman" w:hAnsi="Times New Roman"/>
        <w:sz w:val="20"/>
        <w:szCs w:val="20"/>
      </w:rPr>
      <w:t>0320</w:t>
    </w:r>
    <w:r>
      <w:rPr>
        <w:rFonts w:ascii="Times New Roman" w:hAnsi="Times New Roman"/>
        <w:sz w:val="20"/>
        <w:szCs w:val="20"/>
      </w:rPr>
      <w:t>_WGBP3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B385" w14:textId="56DE2C05" w:rsidR="000D5A88" w:rsidRDefault="006059BF">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TMZin_</w:t>
    </w:r>
    <w:r w:rsidR="00880766">
      <w:rPr>
        <w:rFonts w:ascii="Times New Roman" w:hAnsi="Times New Roman"/>
        <w:sz w:val="20"/>
        <w:szCs w:val="20"/>
      </w:rPr>
      <w:t>2</w:t>
    </w:r>
    <w:r w:rsidR="00A93C22">
      <w:rPr>
        <w:rFonts w:ascii="Times New Roman" w:hAnsi="Times New Roman"/>
        <w:sz w:val="20"/>
        <w:szCs w:val="20"/>
      </w:rPr>
      <w:t>3</w:t>
    </w:r>
    <w:r w:rsidR="00880766">
      <w:rPr>
        <w:rFonts w:ascii="Times New Roman" w:hAnsi="Times New Roman"/>
        <w:sz w:val="20"/>
        <w:szCs w:val="20"/>
      </w:rPr>
      <w:t>0320</w:t>
    </w:r>
    <w:r>
      <w:rPr>
        <w:rFonts w:ascii="Times New Roman" w:hAnsi="Times New Roman"/>
        <w:sz w:val="20"/>
        <w:szCs w:val="20"/>
      </w:rPr>
      <w:t>_WGBP3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7B6C" w14:textId="77777777" w:rsidR="00722F1A" w:rsidRDefault="00722F1A">
      <w:pPr>
        <w:spacing w:after="0" w:line="240" w:lineRule="auto"/>
      </w:pPr>
      <w:r>
        <w:separator/>
      </w:r>
    </w:p>
  </w:footnote>
  <w:footnote w:type="continuationSeparator" w:id="0">
    <w:p w14:paraId="0F1C7D4B" w14:textId="77777777" w:rsidR="00722F1A" w:rsidRDefault="00722F1A">
      <w:pPr>
        <w:spacing w:after="0" w:line="240" w:lineRule="auto"/>
      </w:pPr>
      <w:r>
        <w:continuationSeparator/>
      </w:r>
    </w:p>
  </w:footnote>
  <w:footnote w:id="1">
    <w:p w14:paraId="3A221B50" w14:textId="2A32FD8F" w:rsidR="00B20F37" w:rsidRPr="00B20F37" w:rsidRDefault="00B20F37">
      <w:pPr>
        <w:pStyle w:val="Vresteksts"/>
        <w:rPr>
          <w:lang w:val="lv-LV"/>
        </w:rPr>
      </w:pPr>
      <w:r>
        <w:rPr>
          <w:rStyle w:val="Vresatsauce"/>
        </w:rPr>
        <w:footnoteRef/>
      </w:r>
      <w:r>
        <w:t xml:space="preserve"> </w:t>
      </w:r>
      <w:hyperlink r:id="rId1" w:history="1">
        <w:r w:rsidRPr="009C475B">
          <w:rPr>
            <w:rStyle w:val="Hipersaite"/>
          </w:rPr>
          <w:t>http://www.oecd.org/daf/anti-bribery/oecdantibriberyrecommendation2009.htm</w:t>
        </w:r>
      </w:hyperlink>
    </w:p>
  </w:footnote>
  <w:footnote w:id="2">
    <w:p w14:paraId="2B3233BD" w14:textId="4A7DD48C" w:rsidR="00B20F37" w:rsidRDefault="00B20F37">
      <w:pPr>
        <w:pStyle w:val="Vresteksts"/>
      </w:pPr>
      <w:r>
        <w:rPr>
          <w:rStyle w:val="Vresatsauce"/>
        </w:rPr>
        <w:footnoteRef/>
      </w:r>
      <w:r>
        <w:t xml:space="preserve"> </w:t>
      </w:r>
      <w:hyperlink r:id="rId2" w:history="1">
        <w:r w:rsidRPr="009C475B">
          <w:rPr>
            <w:rStyle w:val="Hipersaite"/>
          </w:rPr>
          <w:t>http://www.oecd.org/ctp/crime/2009-recommendation.pdf</w:t>
        </w:r>
      </w:hyperlink>
    </w:p>
    <w:p w14:paraId="4C199124" w14:textId="77777777" w:rsidR="00B20F37" w:rsidRPr="00B20F37" w:rsidRDefault="00B20F37">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88" w:rsidRDefault="006059BF" w14:paraId="1DDC6094" w14:textId="77777777">
    <w:pPr>
      <w:pStyle w:val="Galvene"/>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20F37">
      <w:rPr>
        <w:rFonts w:ascii="Times New Roman" w:hAnsi="Times New Roman"/>
        <w:noProof/>
        <w:sz w:val="24"/>
        <w:szCs w:val="24"/>
      </w:rPr>
      <w:t>3</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1C55"/>
    <w:multiLevelType w:val="hybridMultilevel"/>
    <w:tmpl w:val="2B3AB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11079F"/>
    <w:multiLevelType w:val="hybridMultilevel"/>
    <w:tmpl w:val="0FBE6612"/>
    <w:styleLink w:val="Lettered"/>
    <w:lvl w:ilvl="0" w:tplc="54C80A20">
      <w:start w:val="1"/>
      <w:numFmt w:val="decimal"/>
      <w:lvlText w:val="%1)"/>
      <w:lvlJc w:val="left"/>
      <w:pPr>
        <w:tabs>
          <w:tab w:val="num" w:pos="1009"/>
        </w:tabs>
        <w:ind w:left="289" w:firstLine="431"/>
      </w:pPr>
      <w:rPr>
        <w:rFonts w:hAnsi="Arial Unicode MS"/>
        <w:caps w:val="0"/>
        <w:smallCaps w:val="0"/>
        <w:strike w:val="0"/>
        <w:dstrike w:val="0"/>
        <w:outline w:val="0"/>
        <w:emboss w:val="0"/>
        <w:imprint w:val="0"/>
        <w:spacing w:val="0"/>
        <w:w w:val="100"/>
        <w:kern w:val="0"/>
        <w:position w:val="0"/>
        <w:highlight w:val="none"/>
        <w:vertAlign w:val="baseline"/>
      </w:rPr>
    </w:lvl>
    <w:lvl w:ilvl="1" w:tplc="AF8870D4">
      <w:start w:val="1"/>
      <w:numFmt w:val="decimal"/>
      <w:lvlText w:val="%2)"/>
      <w:lvlJc w:val="left"/>
      <w:pPr>
        <w:tabs>
          <w:tab w:val="num" w:pos="2009"/>
        </w:tabs>
        <w:ind w:left="1289" w:firstLine="431"/>
      </w:pPr>
      <w:rPr>
        <w:rFonts w:hAnsi="Arial Unicode MS"/>
        <w:caps w:val="0"/>
        <w:smallCaps w:val="0"/>
        <w:strike w:val="0"/>
        <w:dstrike w:val="0"/>
        <w:outline w:val="0"/>
        <w:emboss w:val="0"/>
        <w:imprint w:val="0"/>
        <w:spacing w:val="0"/>
        <w:w w:val="100"/>
        <w:kern w:val="0"/>
        <w:position w:val="0"/>
        <w:highlight w:val="none"/>
        <w:vertAlign w:val="baseline"/>
      </w:rPr>
    </w:lvl>
    <w:lvl w:ilvl="2" w:tplc="D5769A76">
      <w:start w:val="1"/>
      <w:numFmt w:val="decimal"/>
      <w:lvlText w:val="%3)"/>
      <w:lvlJc w:val="left"/>
      <w:pPr>
        <w:tabs>
          <w:tab w:val="num" w:pos="3009"/>
        </w:tabs>
        <w:ind w:left="2289" w:firstLine="431"/>
      </w:pPr>
      <w:rPr>
        <w:rFonts w:hAnsi="Arial Unicode MS"/>
        <w:caps w:val="0"/>
        <w:smallCaps w:val="0"/>
        <w:strike w:val="0"/>
        <w:dstrike w:val="0"/>
        <w:outline w:val="0"/>
        <w:emboss w:val="0"/>
        <w:imprint w:val="0"/>
        <w:spacing w:val="0"/>
        <w:w w:val="100"/>
        <w:kern w:val="0"/>
        <w:position w:val="0"/>
        <w:highlight w:val="none"/>
        <w:vertAlign w:val="baseline"/>
      </w:rPr>
    </w:lvl>
    <w:lvl w:ilvl="3" w:tplc="28DC0338">
      <w:start w:val="1"/>
      <w:numFmt w:val="decimal"/>
      <w:lvlText w:val="%4)"/>
      <w:lvlJc w:val="left"/>
      <w:pPr>
        <w:tabs>
          <w:tab w:val="num" w:pos="4009"/>
        </w:tabs>
        <w:ind w:left="3289" w:firstLine="431"/>
      </w:pPr>
      <w:rPr>
        <w:rFonts w:hAnsi="Arial Unicode MS"/>
        <w:caps w:val="0"/>
        <w:smallCaps w:val="0"/>
        <w:strike w:val="0"/>
        <w:dstrike w:val="0"/>
        <w:outline w:val="0"/>
        <w:emboss w:val="0"/>
        <w:imprint w:val="0"/>
        <w:spacing w:val="0"/>
        <w:w w:val="100"/>
        <w:kern w:val="0"/>
        <w:position w:val="0"/>
        <w:highlight w:val="none"/>
        <w:vertAlign w:val="baseline"/>
      </w:rPr>
    </w:lvl>
    <w:lvl w:ilvl="4" w:tplc="FDA4495A">
      <w:start w:val="1"/>
      <w:numFmt w:val="decimal"/>
      <w:lvlText w:val="%5)"/>
      <w:lvlJc w:val="left"/>
      <w:pPr>
        <w:tabs>
          <w:tab w:val="num" w:pos="5009"/>
        </w:tabs>
        <w:ind w:left="4289" w:firstLine="431"/>
      </w:pPr>
      <w:rPr>
        <w:rFonts w:hAnsi="Arial Unicode MS"/>
        <w:caps w:val="0"/>
        <w:smallCaps w:val="0"/>
        <w:strike w:val="0"/>
        <w:dstrike w:val="0"/>
        <w:outline w:val="0"/>
        <w:emboss w:val="0"/>
        <w:imprint w:val="0"/>
        <w:spacing w:val="0"/>
        <w:w w:val="100"/>
        <w:kern w:val="0"/>
        <w:position w:val="0"/>
        <w:highlight w:val="none"/>
        <w:vertAlign w:val="baseline"/>
      </w:rPr>
    </w:lvl>
    <w:lvl w:ilvl="5" w:tplc="51F6C568">
      <w:start w:val="1"/>
      <w:numFmt w:val="decimal"/>
      <w:lvlText w:val="%6)"/>
      <w:lvlJc w:val="left"/>
      <w:pPr>
        <w:tabs>
          <w:tab w:val="num" w:pos="6009"/>
        </w:tabs>
        <w:ind w:left="5289" w:firstLine="431"/>
      </w:pPr>
      <w:rPr>
        <w:rFonts w:hAnsi="Arial Unicode MS"/>
        <w:caps w:val="0"/>
        <w:smallCaps w:val="0"/>
        <w:strike w:val="0"/>
        <w:dstrike w:val="0"/>
        <w:outline w:val="0"/>
        <w:emboss w:val="0"/>
        <w:imprint w:val="0"/>
        <w:spacing w:val="0"/>
        <w:w w:val="100"/>
        <w:kern w:val="0"/>
        <w:position w:val="0"/>
        <w:highlight w:val="none"/>
        <w:vertAlign w:val="baseline"/>
      </w:rPr>
    </w:lvl>
    <w:lvl w:ilvl="6" w:tplc="A60C830A">
      <w:start w:val="1"/>
      <w:numFmt w:val="decimal"/>
      <w:lvlText w:val="%7)"/>
      <w:lvlJc w:val="left"/>
      <w:pPr>
        <w:tabs>
          <w:tab w:val="num" w:pos="7009"/>
        </w:tabs>
        <w:ind w:left="6289" w:firstLine="431"/>
      </w:pPr>
      <w:rPr>
        <w:rFonts w:hAnsi="Arial Unicode MS"/>
        <w:caps w:val="0"/>
        <w:smallCaps w:val="0"/>
        <w:strike w:val="0"/>
        <w:dstrike w:val="0"/>
        <w:outline w:val="0"/>
        <w:emboss w:val="0"/>
        <w:imprint w:val="0"/>
        <w:spacing w:val="0"/>
        <w:w w:val="100"/>
        <w:kern w:val="0"/>
        <w:position w:val="0"/>
        <w:highlight w:val="none"/>
        <w:vertAlign w:val="baseline"/>
      </w:rPr>
    </w:lvl>
    <w:lvl w:ilvl="7" w:tplc="754EC5E8">
      <w:start w:val="1"/>
      <w:numFmt w:val="decimal"/>
      <w:lvlText w:val="%8)"/>
      <w:lvlJc w:val="left"/>
      <w:pPr>
        <w:tabs>
          <w:tab w:val="num" w:pos="8009"/>
        </w:tabs>
        <w:ind w:left="7289" w:firstLine="431"/>
      </w:pPr>
      <w:rPr>
        <w:rFonts w:hAnsi="Arial Unicode MS"/>
        <w:caps w:val="0"/>
        <w:smallCaps w:val="0"/>
        <w:strike w:val="0"/>
        <w:dstrike w:val="0"/>
        <w:outline w:val="0"/>
        <w:emboss w:val="0"/>
        <w:imprint w:val="0"/>
        <w:spacing w:val="0"/>
        <w:w w:val="100"/>
        <w:kern w:val="0"/>
        <w:position w:val="0"/>
        <w:highlight w:val="none"/>
        <w:vertAlign w:val="baseline"/>
      </w:rPr>
    </w:lvl>
    <w:lvl w:ilvl="8" w:tplc="E324743E">
      <w:start w:val="1"/>
      <w:numFmt w:val="decimal"/>
      <w:lvlText w:val="%9)"/>
      <w:lvlJc w:val="left"/>
      <w:pPr>
        <w:tabs>
          <w:tab w:val="num" w:pos="9009"/>
        </w:tabs>
        <w:ind w:left="8289" w:firstLine="4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44528B"/>
    <w:multiLevelType w:val="hybridMultilevel"/>
    <w:tmpl w:val="91B8B090"/>
    <w:numStyleLink w:val="ImportedStyle1"/>
  </w:abstractNum>
  <w:abstractNum w:abstractNumId="3" w15:restartNumberingAfterBreak="0">
    <w:nsid w:val="57B164EC"/>
    <w:multiLevelType w:val="hybridMultilevel"/>
    <w:tmpl w:val="0FBE6612"/>
    <w:numStyleLink w:val="Lettered"/>
  </w:abstractNum>
  <w:abstractNum w:abstractNumId="4" w15:restartNumberingAfterBreak="0">
    <w:nsid w:val="77873BFE"/>
    <w:multiLevelType w:val="hybridMultilevel"/>
    <w:tmpl w:val="91B8B090"/>
    <w:styleLink w:val="ImportedStyle1"/>
    <w:lvl w:ilvl="0" w:tplc="2E68A724">
      <w:start w:val="1"/>
      <w:numFmt w:val="bullet"/>
      <w:lvlText w:val="-"/>
      <w:lvlJc w:val="left"/>
      <w:pPr>
        <w:tabs>
          <w:tab w:val="left" w:pos="85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C01B82">
      <w:start w:val="1"/>
      <w:numFmt w:val="bullet"/>
      <w:lvlText w:val="o"/>
      <w:lvlJc w:val="left"/>
      <w:pPr>
        <w:tabs>
          <w:tab w:val="left" w:pos="85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281418">
      <w:start w:val="1"/>
      <w:numFmt w:val="bullet"/>
      <w:lvlText w:val="▪"/>
      <w:lvlJc w:val="left"/>
      <w:pPr>
        <w:tabs>
          <w:tab w:val="left" w:pos="85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347826">
      <w:start w:val="1"/>
      <w:numFmt w:val="bullet"/>
      <w:lvlText w:val="•"/>
      <w:lvlJc w:val="left"/>
      <w:pPr>
        <w:tabs>
          <w:tab w:val="left" w:pos="85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A8EBC2">
      <w:start w:val="1"/>
      <w:numFmt w:val="bullet"/>
      <w:lvlText w:val="o"/>
      <w:lvlJc w:val="left"/>
      <w:pPr>
        <w:tabs>
          <w:tab w:val="left" w:pos="85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1E3B1C">
      <w:start w:val="1"/>
      <w:numFmt w:val="bullet"/>
      <w:lvlText w:val="▪"/>
      <w:lvlJc w:val="left"/>
      <w:pPr>
        <w:tabs>
          <w:tab w:val="left" w:pos="85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6EDE5E">
      <w:start w:val="1"/>
      <w:numFmt w:val="bullet"/>
      <w:lvlText w:val="•"/>
      <w:lvlJc w:val="left"/>
      <w:pPr>
        <w:tabs>
          <w:tab w:val="left" w:pos="85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8308C6E">
      <w:start w:val="1"/>
      <w:numFmt w:val="bullet"/>
      <w:lvlText w:val="o"/>
      <w:lvlJc w:val="left"/>
      <w:pPr>
        <w:tabs>
          <w:tab w:val="left" w:pos="85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B48F08">
      <w:start w:val="1"/>
      <w:numFmt w:val="bullet"/>
      <w:lvlText w:val="▪"/>
      <w:lvlJc w:val="left"/>
      <w:pPr>
        <w:tabs>
          <w:tab w:val="left" w:pos="85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0">
      <w:lvl w:ilvl="0" w:tplc="C8F2A416">
        <w:start w:val="1"/>
        <w:numFmt w:val="bullet"/>
        <w:lvlText w:val="-"/>
        <w:lvlJc w:val="left"/>
        <w:pPr>
          <w:tabs>
            <w:tab w:val="left" w:pos="85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5232A7AC">
        <w:start w:val="1"/>
        <w:numFmt w:val="bullet"/>
        <w:lvlText w:val="o"/>
        <w:lvlJc w:val="left"/>
        <w:pPr>
          <w:tabs>
            <w:tab w:val="left" w:pos="85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BEC1492">
        <w:start w:val="1"/>
        <w:numFmt w:val="bullet"/>
        <w:lvlText w:val="▪"/>
        <w:lvlJc w:val="left"/>
        <w:pPr>
          <w:tabs>
            <w:tab w:val="left" w:pos="85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A08A7C30">
        <w:start w:val="1"/>
        <w:numFmt w:val="bullet"/>
        <w:lvlText w:val="•"/>
        <w:lvlJc w:val="left"/>
        <w:pPr>
          <w:tabs>
            <w:tab w:val="left" w:pos="85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B86EC40E">
        <w:start w:val="1"/>
        <w:numFmt w:val="bullet"/>
        <w:lvlText w:val="o"/>
        <w:lvlJc w:val="left"/>
        <w:pPr>
          <w:tabs>
            <w:tab w:val="left" w:pos="85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E1A8AA2C">
        <w:start w:val="1"/>
        <w:numFmt w:val="bullet"/>
        <w:lvlText w:val="▪"/>
        <w:lvlJc w:val="left"/>
        <w:pPr>
          <w:tabs>
            <w:tab w:val="left" w:pos="85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F1AC1DCA">
        <w:start w:val="1"/>
        <w:numFmt w:val="bullet"/>
        <w:lvlText w:val="•"/>
        <w:lvlJc w:val="left"/>
        <w:pPr>
          <w:tabs>
            <w:tab w:val="left" w:pos="85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75612A2">
        <w:start w:val="1"/>
        <w:numFmt w:val="bullet"/>
        <w:lvlText w:val="o"/>
        <w:lvlJc w:val="left"/>
        <w:pPr>
          <w:tabs>
            <w:tab w:val="left" w:pos="85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3EEC6336">
        <w:start w:val="1"/>
        <w:numFmt w:val="bullet"/>
        <w:lvlText w:val="▪"/>
        <w:lvlJc w:val="left"/>
        <w:pPr>
          <w:tabs>
            <w:tab w:val="left" w:pos="85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A88"/>
    <w:rsid w:val="0009031B"/>
    <w:rsid w:val="00095F8C"/>
    <w:rsid w:val="000A2D03"/>
    <w:rsid w:val="000D5A88"/>
    <w:rsid w:val="00180AD7"/>
    <w:rsid w:val="001C0385"/>
    <w:rsid w:val="001C42B3"/>
    <w:rsid w:val="003A590C"/>
    <w:rsid w:val="00455287"/>
    <w:rsid w:val="00465098"/>
    <w:rsid w:val="006059BF"/>
    <w:rsid w:val="006A5D22"/>
    <w:rsid w:val="006F25D8"/>
    <w:rsid w:val="00722F1A"/>
    <w:rsid w:val="00740F03"/>
    <w:rsid w:val="00880766"/>
    <w:rsid w:val="0089639F"/>
    <w:rsid w:val="008D325B"/>
    <w:rsid w:val="009873B2"/>
    <w:rsid w:val="009C4164"/>
    <w:rsid w:val="00A03FBC"/>
    <w:rsid w:val="00A057AC"/>
    <w:rsid w:val="00A06A04"/>
    <w:rsid w:val="00A11B45"/>
    <w:rsid w:val="00A50B84"/>
    <w:rsid w:val="00A73553"/>
    <w:rsid w:val="00A93C22"/>
    <w:rsid w:val="00B20F37"/>
    <w:rsid w:val="00B9103B"/>
    <w:rsid w:val="00DE22FC"/>
    <w:rsid w:val="00E81CFD"/>
    <w:rsid w:val="00F039EE"/>
    <w:rsid w:val="00F06DC6"/>
    <w:rsid w:val="00F717E1"/>
    <w:rsid w:val="00FA4632"/>
    <w:rsid w:val="00FD69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6CA3C0"/>
  <w15:docId w15:val="{66D5CE68-F73B-43FF-A609-B02790AC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cs="Calibri"/>
      <w:color w:val="000000"/>
      <w:sz w:val="22"/>
      <w:szCs w:val="22"/>
      <w:u w:color="000000"/>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Galvene">
    <w:name w:val="header"/>
    <w:pPr>
      <w:tabs>
        <w:tab w:val="center" w:pos="4153"/>
        <w:tab w:val="right" w:pos="830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Style29">
    <w:name w:val="Style29"/>
    <w:pPr>
      <w:widowControl w:val="0"/>
      <w:spacing w:line="253" w:lineRule="exact"/>
      <w:jc w:val="both"/>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Lettered">
    <w:name w:val="Lettered"/>
    <w:pPr>
      <w:numPr>
        <w:numId w:val="4"/>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8D32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325B"/>
    <w:rPr>
      <w:rFonts w:ascii="Segoe UI" w:eastAsia="Calibri" w:hAnsi="Segoe UI" w:cs="Segoe UI"/>
      <w:color w:val="000000"/>
      <w:sz w:val="18"/>
      <w:szCs w:val="18"/>
      <w:u w:color="000000"/>
      <w:lang w:val="de-DE"/>
    </w:rPr>
  </w:style>
  <w:style w:type="character" w:styleId="Komentraatsauce">
    <w:name w:val="annotation reference"/>
    <w:basedOn w:val="Noklusjumarindkopasfonts"/>
    <w:uiPriority w:val="99"/>
    <w:semiHidden/>
    <w:unhideWhenUsed/>
    <w:rsid w:val="000A2D03"/>
    <w:rPr>
      <w:sz w:val="16"/>
      <w:szCs w:val="16"/>
    </w:rPr>
  </w:style>
  <w:style w:type="paragraph" w:styleId="Komentrateksts">
    <w:name w:val="annotation text"/>
    <w:basedOn w:val="Parasts"/>
    <w:link w:val="KomentratekstsRakstz"/>
    <w:uiPriority w:val="99"/>
    <w:semiHidden/>
    <w:unhideWhenUsed/>
    <w:rsid w:val="000A2D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2D03"/>
    <w:rPr>
      <w:rFonts w:ascii="Calibri" w:eastAsia="Calibri" w:hAnsi="Calibri" w:cs="Calibri"/>
      <w:color w:val="000000"/>
      <w:u w:color="000000"/>
      <w:lang w:val="de-DE"/>
    </w:rPr>
  </w:style>
  <w:style w:type="paragraph" w:styleId="Komentratma">
    <w:name w:val="annotation subject"/>
    <w:basedOn w:val="Komentrateksts"/>
    <w:next w:val="Komentrateksts"/>
    <w:link w:val="KomentratmaRakstz"/>
    <w:uiPriority w:val="99"/>
    <w:semiHidden/>
    <w:unhideWhenUsed/>
    <w:rsid w:val="000A2D03"/>
    <w:rPr>
      <w:b/>
      <w:bCs/>
    </w:rPr>
  </w:style>
  <w:style w:type="character" w:customStyle="1" w:styleId="KomentratmaRakstz">
    <w:name w:val="Komentāra tēma Rakstz."/>
    <w:basedOn w:val="KomentratekstsRakstz"/>
    <w:link w:val="Komentratma"/>
    <w:uiPriority w:val="99"/>
    <w:semiHidden/>
    <w:rsid w:val="000A2D03"/>
    <w:rPr>
      <w:rFonts w:ascii="Calibri" w:eastAsia="Calibri" w:hAnsi="Calibri" w:cs="Calibri"/>
      <w:b/>
      <w:bCs/>
      <w:color w:val="000000"/>
      <w:u w:color="000000"/>
      <w:lang w:val="de-DE"/>
    </w:rPr>
  </w:style>
  <w:style w:type="paragraph" w:styleId="Sarakstarindkopa">
    <w:name w:val="List Paragraph"/>
    <w:basedOn w:val="Parasts"/>
    <w:uiPriority w:val="34"/>
    <w:qFormat/>
    <w:rsid w:val="00A50B84"/>
    <w:pPr>
      <w:ind w:left="720"/>
      <w:contextualSpacing/>
    </w:pPr>
  </w:style>
  <w:style w:type="paragraph" w:styleId="Kjene">
    <w:name w:val="footer"/>
    <w:basedOn w:val="Parasts"/>
    <w:link w:val="KjeneRakstz"/>
    <w:uiPriority w:val="99"/>
    <w:unhideWhenUsed/>
    <w:rsid w:val="00F06D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6DC6"/>
    <w:rPr>
      <w:rFonts w:ascii="Calibri" w:eastAsia="Calibri" w:hAnsi="Calibri" w:cs="Calibri"/>
      <w:color w:val="000000"/>
      <w:sz w:val="22"/>
      <w:szCs w:val="22"/>
      <w:u w:color="000000"/>
      <w:lang w:val="de-DE"/>
    </w:rPr>
  </w:style>
  <w:style w:type="character" w:customStyle="1" w:styleId="Neatrisintapieminana1">
    <w:name w:val="Neatrisināta pieminēšana1"/>
    <w:basedOn w:val="Noklusjumarindkopasfonts"/>
    <w:uiPriority w:val="99"/>
    <w:semiHidden/>
    <w:unhideWhenUsed/>
    <w:rsid w:val="001C42B3"/>
    <w:rPr>
      <w:color w:val="605E5C"/>
      <w:shd w:val="clear" w:color="auto" w:fill="E1DFDD"/>
    </w:rPr>
  </w:style>
  <w:style w:type="paragraph" w:styleId="Vresteksts">
    <w:name w:val="footnote text"/>
    <w:basedOn w:val="Parasts"/>
    <w:link w:val="VrestekstsRakstz"/>
    <w:uiPriority w:val="99"/>
    <w:semiHidden/>
    <w:unhideWhenUsed/>
    <w:rsid w:val="00B20F3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0F37"/>
    <w:rPr>
      <w:rFonts w:ascii="Calibri" w:eastAsia="Calibri" w:hAnsi="Calibri" w:cs="Calibri"/>
      <w:color w:val="000000"/>
      <w:u w:color="000000"/>
      <w:lang w:val="de-DE"/>
    </w:rPr>
  </w:style>
  <w:style w:type="character" w:styleId="Vresatsauce">
    <w:name w:val="footnote reference"/>
    <w:basedOn w:val="Noklusjumarindkopasfonts"/>
    <w:uiPriority w:val="99"/>
    <w:semiHidden/>
    <w:unhideWhenUsed/>
    <w:rsid w:val="00B20F37"/>
    <w:rPr>
      <w:vertAlign w:val="superscript"/>
    </w:rPr>
  </w:style>
  <w:style w:type="character" w:styleId="Izmantotahipersaite">
    <w:name w:val="FollowedHyperlink"/>
    <w:basedOn w:val="Noklusjumarindkopasfonts"/>
    <w:uiPriority w:val="99"/>
    <w:semiHidden/>
    <w:unhideWhenUsed/>
    <w:rsid w:val="00F039E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spul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ctp/crime/2009-recommendation.pdf" TargetMode="External"/><Relationship Id="rId1" Type="http://schemas.openxmlformats.org/officeDocument/2006/relationships/hyperlink" Target="http://www.oecd.org/daf/anti-bribery/oecdantibriberyrecommendation2009.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344A-AADA-48F2-A7E4-5D324C7C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5354</Words>
  <Characters>3052</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Ekonomiskās sadarbības un attīstības organizācijas Kukuļošanas apkarošanas starptautiskajos biznesa darījumos darba grupas 3. fāzes Latvijas novērtējuma ziņojumu, tajā izteiktajām rekomendācijām un to izpildes nodrošināšanu"</vt:lpstr>
      <vt:lpstr>Informatīvais ziņojums "Par Ekonomiskās sadarbības un attīstības organizācijas Kukuļošanas apkarošanas starptautiskajos biznesa darījumos darba grupas 3. fāzes Latvijas novērtējuma ziņojumu, tajā izteiktajām rekomendācijām un to izpildes nodrošināšanu"</vt:lpstr>
    </vt:vector>
  </TitlesOfParts>
  <Company>Tieslietu ministrija</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Ekonomiskās sadarbības un attīstības organizācijas Kukuļošanas apkarošanas starptautiskajos biznesa darījumos darba grupas 3. fāzes Latvijas novērtējuma ziņojumu, tajā izteiktajām rekomendācijām un to izpildes nodrošināšanu"</dc:title>
  <dc:subject>Informatīvais ziņojums</dc:subject>
  <dc:creator>Dina Spūle</dc:creator>
  <dc:description>67036733, dina.spule@tm.gov.lv_x000d_
</dc:description>
  <cp:lastModifiedBy>Dina Spūle</cp:lastModifiedBy>
  <cp:revision>3</cp:revision>
  <dcterms:created xsi:type="dcterms:W3CDTF">2020-03-23T11:44:00Z</dcterms:created>
  <dcterms:modified xsi:type="dcterms:W3CDTF">2020-03-23T11:46:00Z</dcterms:modified>
</cp:coreProperties>
</file>