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pPr w:leftFromText="180" w:rightFromText="180" w:vertAnchor="page" w:horzAnchor="margin" w:tblpY="3871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25BE88A2" w14:textId="77777777" w:rsidTr="002F4027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316DCA" w:rsidP="00316DCA" w14:paraId="25BE889E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316DCA" w:rsidRPr="00E80A25" w:rsidP="00316DCA" w14:paraId="25BE889F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02.04.2020</w:t>
            </w:r>
            <w:r>
              <w:t>.</w:t>
            </w:r>
          </w:p>
        </w:tc>
        <w:tc>
          <w:tcPr>
            <w:tcW w:w="410" w:type="dxa"/>
          </w:tcPr>
          <w:p w:rsidR="00316DCA" w:rsidP="00316DCA" w14:paraId="25BE88A0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316DCA" w:rsidRPr="00C2375C" w:rsidP="00304E27" w14:paraId="25BE88A1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1-131/3191</w:t>
            </w:r>
          </w:p>
        </w:tc>
      </w:tr>
      <w:tr w14:paraId="25BE88A7" w14:textId="77777777" w:rsidTr="002F4027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675" w:type="dxa"/>
          </w:tcPr>
          <w:p w:rsidR="00316DCA" w:rsidRPr="00C27521" w:rsidP="00316DCA" w14:paraId="25BE88A3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316DCA" w:rsidRPr="00C27521" w:rsidP="00316DCA" w14:paraId="25BE88A4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316DCA" w:rsidRPr="00C27521" w:rsidP="00316DCA" w14:paraId="25BE88A5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316DCA" w:rsidRPr="00C27521" w:rsidP="00316DCA" w14:paraId="25BE88A6" w14:textId="77777777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316DCA" w:rsidP="00316DCA" w14:paraId="25BE88A8" w14:textId="77777777">
      <w:pPr>
        <w:rPr>
          <w:rFonts w:ascii="Times New Roman" w:hAnsi="Times New Roman"/>
          <w:sz w:val="24"/>
          <w:szCs w:val="24"/>
        </w:rPr>
      </w:pPr>
    </w:p>
    <w:p w:rsidR="00316DCA" w:rsidRPr="00E80A25" w:rsidP="00316DCA" w14:paraId="25BE88A9" w14:textId="77777777">
      <w:pPr>
        <w:rPr>
          <w:rFonts w:ascii="Times New Roman" w:hAnsi="Times New Roman"/>
          <w:sz w:val="24"/>
          <w:szCs w:val="24"/>
        </w:rPr>
      </w:pPr>
    </w:p>
    <w:p w:rsidR="006E1219" w:rsidP="00C06A07" w14:paraId="25BE88AA" w14:textId="777777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3EC" w:rsidRPr="00F17611" w:rsidP="00D233EC" w14:paraId="25BE88AB" w14:textId="77777777">
      <w:pPr>
        <w:spacing w:after="0" w:line="240" w:lineRule="auto"/>
        <w:ind w:right="2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Valsts kancelejai</w:t>
      </w:r>
    </w:p>
    <w:p w:rsidR="00F7599E" w:rsidP="00316DCA" w14:paraId="12882A72" w14:textId="77777777">
      <w:pPr>
        <w:spacing w:after="0" w:line="240" w:lineRule="auto"/>
        <w:ind w:right="295"/>
        <w:jc w:val="right"/>
        <w:rPr>
          <w:rFonts w:ascii="Times New Roman" w:hAnsi="Times New Roman"/>
          <w:sz w:val="24"/>
          <w:szCs w:val="24"/>
        </w:rPr>
      </w:pPr>
    </w:p>
    <w:p w:rsidR="00F7599E" w:rsidRPr="00F7599E" w:rsidP="00316DCA" w14:paraId="008AD0B9" w14:textId="68760419">
      <w:pPr>
        <w:spacing w:after="0" w:line="240" w:lineRule="auto"/>
        <w:ind w:right="295"/>
        <w:jc w:val="right"/>
        <w:rPr>
          <w:rFonts w:ascii="Times New Roman" w:hAnsi="Times New Roman"/>
          <w:i/>
          <w:iCs/>
          <w:sz w:val="24"/>
          <w:szCs w:val="24"/>
        </w:rPr>
      </w:pPr>
      <w:r w:rsidRPr="00F7599E">
        <w:rPr>
          <w:rFonts w:ascii="Times New Roman" w:hAnsi="Times New Roman"/>
          <w:i/>
          <w:iCs/>
          <w:sz w:val="24"/>
          <w:szCs w:val="24"/>
        </w:rPr>
        <w:t xml:space="preserve">Informācijai: </w:t>
      </w:r>
    </w:p>
    <w:p w:rsidR="00D233EC" w:rsidRPr="00316DCA" w:rsidP="00316DCA" w14:paraId="25BE88AC" w14:textId="60824480">
      <w:pPr>
        <w:spacing w:after="0" w:line="240" w:lineRule="auto"/>
        <w:ind w:right="295"/>
        <w:jc w:val="right"/>
        <w:rPr>
          <w:rFonts w:ascii="Times New Roman" w:hAnsi="Times New Roman"/>
          <w:b/>
          <w:sz w:val="24"/>
          <w:szCs w:val="24"/>
        </w:rPr>
      </w:pPr>
      <w:r w:rsidRPr="00316DCA">
        <w:rPr>
          <w:rFonts w:ascii="Times New Roman" w:hAnsi="Times New Roman"/>
          <w:b/>
          <w:sz w:val="24"/>
          <w:szCs w:val="24"/>
        </w:rPr>
        <w:t>Iekšlietu</w:t>
      </w:r>
      <w:r w:rsidRPr="00316DCA">
        <w:rPr>
          <w:rFonts w:ascii="Times New Roman" w:hAnsi="Times New Roman"/>
          <w:b/>
          <w:sz w:val="24"/>
          <w:szCs w:val="24"/>
        </w:rPr>
        <w:t xml:space="preserve"> ministrijai</w:t>
      </w:r>
    </w:p>
    <w:p w:rsidR="00316DCA" w:rsidRPr="00316DCA" w:rsidP="00316DCA" w14:paraId="0D055369" w14:textId="767841D3">
      <w:pPr>
        <w:spacing w:after="0" w:line="240" w:lineRule="auto"/>
        <w:ind w:right="295"/>
        <w:jc w:val="right"/>
        <w:rPr>
          <w:rFonts w:ascii="Times New Roman" w:hAnsi="Times New Roman"/>
          <w:b/>
          <w:sz w:val="24"/>
          <w:szCs w:val="24"/>
        </w:rPr>
      </w:pPr>
      <w:r w:rsidRPr="00316DCA">
        <w:rPr>
          <w:rFonts w:ascii="Times New Roman" w:hAnsi="Times New Roman"/>
          <w:b/>
          <w:sz w:val="24"/>
          <w:szCs w:val="24"/>
        </w:rPr>
        <w:t>Tieslietu ministrijai</w:t>
      </w:r>
    </w:p>
    <w:p w:rsidR="00316DCA" w:rsidRPr="00316DCA" w:rsidP="00316DCA" w14:paraId="421D3B49" w14:textId="614B3FD4">
      <w:pPr>
        <w:spacing w:after="0" w:line="240" w:lineRule="auto"/>
        <w:ind w:right="295"/>
        <w:jc w:val="right"/>
        <w:rPr>
          <w:rFonts w:ascii="Times New Roman" w:hAnsi="Times New Roman"/>
          <w:b/>
          <w:sz w:val="24"/>
          <w:szCs w:val="24"/>
        </w:rPr>
      </w:pPr>
      <w:r w:rsidRPr="00316DCA">
        <w:rPr>
          <w:rFonts w:ascii="Times New Roman" w:hAnsi="Times New Roman"/>
          <w:b/>
          <w:sz w:val="24"/>
          <w:szCs w:val="24"/>
        </w:rPr>
        <w:t>Zemkopības ministrijai</w:t>
      </w:r>
    </w:p>
    <w:p w:rsidR="00D233EC" w:rsidRPr="004B206D" w:rsidP="004B206D" w14:paraId="25BE88AD" w14:textId="26CC7F80">
      <w:pPr>
        <w:spacing w:after="0" w:line="240" w:lineRule="auto"/>
        <w:ind w:right="4407"/>
        <w:jc w:val="both"/>
        <w:rPr>
          <w:rFonts w:ascii="Times New Roman" w:hAnsi="Times New Roman"/>
          <w:bCs/>
          <w:i/>
          <w:sz w:val="24"/>
        </w:rPr>
      </w:pPr>
      <w:r w:rsidRPr="004B206D">
        <w:rPr>
          <w:rFonts w:ascii="Times New Roman" w:hAnsi="Times New Roman"/>
          <w:bCs/>
          <w:i/>
          <w:sz w:val="24"/>
        </w:rPr>
        <w:t xml:space="preserve">Par </w:t>
      </w:r>
      <w:r w:rsidRPr="004B206D" w:rsidR="004E2B8B">
        <w:rPr>
          <w:rFonts w:ascii="Times New Roman" w:hAnsi="Times New Roman"/>
          <w:bCs/>
          <w:i/>
          <w:sz w:val="24"/>
        </w:rPr>
        <w:t xml:space="preserve">Ministru kabineta 2019. gada 17. decembra protokollēmuma Nr. 59 63. § “Noteikumu projekts “Ģeoloģiskā un </w:t>
      </w:r>
      <w:r w:rsidRPr="004B206D" w:rsidR="004E2B8B">
        <w:rPr>
          <w:rFonts w:ascii="Times New Roman" w:hAnsi="Times New Roman"/>
          <w:bCs/>
          <w:i/>
          <w:sz w:val="24"/>
        </w:rPr>
        <w:t>ģeomorfoloģiskā</w:t>
      </w:r>
      <w:r w:rsidRPr="004B206D" w:rsidR="004E2B8B">
        <w:rPr>
          <w:rFonts w:ascii="Times New Roman" w:hAnsi="Times New Roman"/>
          <w:bCs/>
          <w:i/>
          <w:sz w:val="24"/>
        </w:rPr>
        <w:t xml:space="preserve"> dabas pieminekļa “Buļļu </w:t>
      </w:r>
      <w:r w:rsidRPr="004B206D" w:rsidR="004E2B8B">
        <w:rPr>
          <w:rFonts w:ascii="Times New Roman" w:hAnsi="Times New Roman"/>
          <w:bCs/>
          <w:i/>
          <w:sz w:val="24"/>
        </w:rPr>
        <w:t>kāpas”individuālie</w:t>
      </w:r>
      <w:r w:rsidRPr="004B206D" w:rsidR="004E2B8B">
        <w:rPr>
          <w:rFonts w:ascii="Times New Roman" w:hAnsi="Times New Roman"/>
          <w:bCs/>
          <w:i/>
          <w:sz w:val="24"/>
        </w:rPr>
        <w:t xml:space="preserve"> aizsardzības un</w:t>
      </w:r>
      <w:r w:rsidRPr="004B206D" w:rsidR="004B206D">
        <w:rPr>
          <w:rFonts w:ascii="Times New Roman" w:hAnsi="Times New Roman"/>
          <w:bCs/>
          <w:i/>
          <w:sz w:val="24"/>
        </w:rPr>
        <w:t xml:space="preserve"> </w:t>
      </w:r>
      <w:r w:rsidRPr="004B206D" w:rsidR="004E2B8B">
        <w:rPr>
          <w:rFonts w:ascii="Times New Roman" w:hAnsi="Times New Roman"/>
          <w:bCs/>
          <w:i/>
          <w:sz w:val="24"/>
        </w:rPr>
        <w:t>izmantošanas noteikumi</w:t>
      </w:r>
      <w:bookmarkStart w:id="0" w:name="_GoBack"/>
      <w:bookmarkEnd w:id="0"/>
      <w:r w:rsidRPr="004B206D" w:rsidR="004E2B8B">
        <w:rPr>
          <w:rFonts w:ascii="Times New Roman" w:hAnsi="Times New Roman"/>
          <w:bCs/>
          <w:i/>
          <w:sz w:val="24"/>
        </w:rPr>
        <w:t>””3. punktā dotā uzdevuma izpildi</w:t>
      </w:r>
    </w:p>
    <w:p w:rsidR="00D233EC" w:rsidRPr="00A65DE5" w:rsidP="00D233EC" w14:paraId="25BE88AE" w14:textId="77777777">
      <w:pPr>
        <w:widowControl/>
        <w:spacing w:after="0" w:line="240" w:lineRule="auto"/>
        <w:ind w:right="296"/>
        <w:rPr>
          <w:rFonts w:ascii="Times New Roman" w:hAnsi="Times New Roman"/>
          <w:i/>
          <w:sz w:val="24"/>
          <w:szCs w:val="24"/>
        </w:rPr>
      </w:pPr>
    </w:p>
    <w:p w:rsidR="00FE52DA" w:rsidRPr="0094799D" w:rsidP="0094799D" w14:paraId="25BE88B0" w14:textId="50B50A30">
      <w:pPr>
        <w:widowControl/>
        <w:spacing w:after="0" w:line="240" w:lineRule="auto"/>
        <w:ind w:right="29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BDB">
        <w:rPr>
          <w:rFonts w:ascii="Times New Roman" w:hAnsi="Times New Roman"/>
          <w:sz w:val="24"/>
          <w:szCs w:val="24"/>
        </w:rPr>
        <w:t>amatojo</w:t>
      </w:r>
      <w:r w:rsidR="004E2B8B">
        <w:rPr>
          <w:rFonts w:ascii="Times New Roman" w:hAnsi="Times New Roman"/>
          <w:sz w:val="24"/>
          <w:szCs w:val="24"/>
        </w:rPr>
        <w:t>ties uz Ministru kabineta 2009. </w:t>
      </w:r>
      <w:r w:rsidRPr="00E15BDB">
        <w:rPr>
          <w:rFonts w:ascii="Times New Roman" w:hAnsi="Times New Roman"/>
          <w:sz w:val="24"/>
          <w:szCs w:val="24"/>
        </w:rPr>
        <w:t>ga</w:t>
      </w:r>
      <w:r w:rsidR="004E2B8B">
        <w:rPr>
          <w:rFonts w:ascii="Times New Roman" w:hAnsi="Times New Roman"/>
          <w:sz w:val="24"/>
          <w:szCs w:val="24"/>
        </w:rPr>
        <w:t>da 7. aprīļa noteikumu Nr. 300 “</w:t>
      </w:r>
      <w:r w:rsidRPr="00E15BDB">
        <w:rPr>
          <w:rFonts w:ascii="Times New Roman" w:hAnsi="Times New Roman"/>
          <w:sz w:val="24"/>
          <w:szCs w:val="24"/>
        </w:rPr>
        <w:t>Mi</w:t>
      </w:r>
      <w:r w:rsidR="004E2B8B">
        <w:rPr>
          <w:rFonts w:ascii="Times New Roman" w:hAnsi="Times New Roman"/>
          <w:sz w:val="24"/>
          <w:szCs w:val="24"/>
        </w:rPr>
        <w:t>nistru kabineta kārtības rullis”</w:t>
      </w:r>
      <w:r w:rsidRPr="00E15BDB">
        <w:rPr>
          <w:rFonts w:ascii="Times New Roman" w:hAnsi="Times New Roman"/>
          <w:sz w:val="24"/>
          <w:szCs w:val="24"/>
        </w:rPr>
        <w:t xml:space="preserve"> </w:t>
      </w:r>
      <w:r w:rsidR="004E2B8B">
        <w:rPr>
          <w:rFonts w:ascii="Times New Roman" w:hAnsi="Times New Roman"/>
          <w:sz w:val="24"/>
          <w:szCs w:val="24"/>
        </w:rPr>
        <w:t>116. punktu un 164.2. </w:t>
      </w:r>
      <w:r w:rsidRPr="00E15BDB">
        <w:rPr>
          <w:rFonts w:ascii="Times New Roman" w:hAnsi="Times New Roman"/>
          <w:sz w:val="24"/>
          <w:szCs w:val="24"/>
        </w:rPr>
        <w:t xml:space="preserve">apakšpunktu, iesniedzu izskatīšanai Ministru kabineta sēdē </w:t>
      </w:r>
      <w:r w:rsidRPr="006C6D82">
        <w:rPr>
          <w:rFonts w:ascii="Times New Roman" w:hAnsi="Times New Roman"/>
          <w:b/>
          <w:sz w:val="24"/>
          <w:szCs w:val="24"/>
        </w:rPr>
        <w:t>kā</w:t>
      </w:r>
      <w:r w:rsidRPr="00E15BDB">
        <w:rPr>
          <w:rFonts w:ascii="Times New Roman" w:hAnsi="Times New Roman"/>
          <w:sz w:val="24"/>
          <w:szCs w:val="24"/>
        </w:rPr>
        <w:t xml:space="preserve"> </w:t>
      </w:r>
      <w:r w:rsidRPr="006C6D82">
        <w:rPr>
          <w:rFonts w:ascii="Times New Roman" w:hAnsi="Times New Roman"/>
          <w:b/>
          <w:sz w:val="24"/>
          <w:szCs w:val="24"/>
        </w:rPr>
        <w:t>Ministru kabineta lietu</w:t>
      </w:r>
      <w:r w:rsidRPr="00E15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Ministru kabineta</w:t>
      </w:r>
      <w:r w:rsidRPr="00FE52DA">
        <w:rPr>
          <w:rFonts w:ascii="Times New Roman" w:hAnsi="Times New Roman"/>
          <w:sz w:val="24"/>
          <w:szCs w:val="24"/>
        </w:rPr>
        <w:t xml:space="preserve"> </w:t>
      </w:r>
      <w:r w:rsidR="004E2B8B">
        <w:rPr>
          <w:rFonts w:ascii="Times New Roman" w:hAnsi="Times New Roman"/>
          <w:sz w:val="24"/>
          <w:szCs w:val="24"/>
        </w:rPr>
        <w:t xml:space="preserve">sēdes </w:t>
      </w:r>
      <w:r w:rsidRPr="00FE52DA">
        <w:rPr>
          <w:rFonts w:ascii="Times New Roman" w:hAnsi="Times New Roman"/>
          <w:sz w:val="24"/>
          <w:szCs w:val="24"/>
        </w:rPr>
        <w:t>protokollēmuma projektu “Par Ministru</w:t>
      </w:r>
      <w:r w:rsidR="004E2B8B">
        <w:rPr>
          <w:rFonts w:ascii="Times New Roman" w:hAnsi="Times New Roman"/>
          <w:sz w:val="24"/>
          <w:szCs w:val="24"/>
        </w:rPr>
        <w:t xml:space="preserve"> kabineta 2019. gada 17. decembra protokollēmuma Nr. 59 63. </w:t>
      </w:r>
      <w:r w:rsidRPr="00FE52DA">
        <w:rPr>
          <w:rFonts w:ascii="Times New Roman" w:hAnsi="Times New Roman"/>
          <w:sz w:val="24"/>
          <w:szCs w:val="24"/>
        </w:rPr>
        <w:t xml:space="preserve">§ “Noteikumu projekts “Ģeoloģiskā un </w:t>
      </w:r>
      <w:r w:rsidRPr="00FE52DA">
        <w:rPr>
          <w:rFonts w:ascii="Times New Roman" w:hAnsi="Times New Roman"/>
          <w:sz w:val="24"/>
          <w:szCs w:val="24"/>
        </w:rPr>
        <w:t>ģeomorfoloģiskā</w:t>
      </w:r>
      <w:r w:rsidRPr="00FE52DA">
        <w:rPr>
          <w:rFonts w:ascii="Times New Roman" w:hAnsi="Times New Roman"/>
          <w:sz w:val="24"/>
          <w:szCs w:val="24"/>
        </w:rPr>
        <w:t xml:space="preserve"> dabas pieminekļa “Buļļu kāpas” individuālie aizsardzības</w:t>
      </w:r>
      <w:r w:rsidR="004E2B8B">
        <w:rPr>
          <w:rFonts w:ascii="Times New Roman" w:hAnsi="Times New Roman"/>
          <w:sz w:val="24"/>
          <w:szCs w:val="24"/>
        </w:rPr>
        <w:t xml:space="preserve"> un izmantošanas noteikumi”” 3. </w:t>
      </w:r>
      <w:r w:rsidRPr="00FE52DA">
        <w:rPr>
          <w:rFonts w:ascii="Times New Roman" w:hAnsi="Times New Roman"/>
          <w:sz w:val="24"/>
          <w:szCs w:val="24"/>
        </w:rPr>
        <w:t>punktā dotā uzdevuma izpildi”</w:t>
      </w:r>
      <w:r>
        <w:rPr>
          <w:rFonts w:ascii="Times New Roman" w:hAnsi="Times New Roman"/>
          <w:sz w:val="24"/>
          <w:szCs w:val="24"/>
        </w:rPr>
        <w:t xml:space="preserve"> (turpmāk – protokollēmuma projekts).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403"/>
        <w:gridCol w:w="6096"/>
      </w:tblGrid>
      <w:tr w14:paraId="25BE88B8" w14:textId="77777777" w:rsidTr="00316DCA">
        <w:tblPrEx>
          <w:tblW w:w="484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B1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B2" w14:textId="77777777">
            <w:pPr>
              <w:widowControl/>
              <w:spacing w:after="12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Iesniegšanas pamatojums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51" w:rsidRPr="000936FC" w:rsidP="00C14B9C" w14:paraId="25BE88B7" w14:textId="0E3B83AE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Protokollēmuma projekts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sagatvots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saistībā ar Ministru kabineta </w:t>
            </w:r>
            <w:r w:rsidR="004E2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2019. gada 17. </w:t>
            </w:r>
            <w:r w:rsidRPr="00D866CE" w:rsidR="00D86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decembra Ministru kabineta sēdes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protokollēmuma (</w:t>
            </w:r>
            <w:r w:rsidR="004E2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Nr. </w:t>
            </w:r>
            <w:r w:rsidRPr="00D866CE" w:rsidR="00D86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 63.§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C1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(turpmāk – </w:t>
            </w:r>
            <w:r w:rsidR="00C1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protokollēmums</w:t>
            </w:r>
            <w:r w:rsidR="00C1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D866CE" w:rsidR="00D86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2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3. </w:t>
            </w:r>
            <w:r w:rsidR="00EB6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punktā doto</w:t>
            </w:r>
            <w:r w:rsidR="004E2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uzdevumu </w:t>
            </w:r>
            <w:r w:rsidRPr="000936FC">
              <w:rPr>
                <w:rFonts w:ascii="Times New Roman" w:hAnsi="Times New Roman"/>
                <w:sz w:val="24"/>
                <w:shd w:val="clear" w:color="auto" w:fill="FFFFFF"/>
              </w:rPr>
              <w:t xml:space="preserve">Vides aizsardzības un reģionālās attīstības ministrijai </w:t>
            </w:r>
            <w:r w:rsidR="00EF656E">
              <w:rPr>
                <w:rFonts w:ascii="Times New Roman" w:hAnsi="Times New Roman"/>
                <w:sz w:val="24"/>
                <w:shd w:val="clear" w:color="auto" w:fill="FFFFFF"/>
              </w:rPr>
              <w:t xml:space="preserve">(turpmāk – Ministrija) </w:t>
            </w:r>
            <w:r w:rsidRPr="000936FC">
              <w:rPr>
                <w:rFonts w:ascii="Times New Roman" w:hAnsi="Times New Roman"/>
                <w:sz w:val="24"/>
                <w:shd w:val="clear" w:color="auto" w:fill="FFFFFF"/>
              </w:rPr>
              <w:t>līdz 2020.</w:t>
            </w:r>
            <w:r w:rsidRPr="000936FC" w:rsidR="006C6D82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0936FC">
              <w:rPr>
                <w:rFonts w:ascii="Times New Roman" w:hAnsi="Times New Roman"/>
                <w:sz w:val="24"/>
                <w:shd w:val="clear" w:color="auto" w:fill="FFFFFF"/>
              </w:rPr>
              <w:t>gada 31.</w:t>
            </w:r>
            <w:r w:rsidRPr="000936FC" w:rsidR="006C6D82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0936FC">
              <w:rPr>
                <w:rFonts w:ascii="Times New Roman" w:hAnsi="Times New Roman"/>
                <w:sz w:val="24"/>
                <w:shd w:val="clear" w:color="auto" w:fill="FFFFFF"/>
              </w:rPr>
              <w:t>janvārim sagatavot un vides aizsardzības un reģionālās attīstības ministram noteiktā kārtībā iesniegt izskatīšanai M</w:t>
            </w:r>
            <w:r w:rsidRPr="000936FC" w:rsidR="004E2B8B">
              <w:rPr>
                <w:rFonts w:ascii="Times New Roman" w:hAnsi="Times New Roman"/>
                <w:sz w:val="24"/>
                <w:shd w:val="clear" w:color="auto" w:fill="FFFFFF"/>
              </w:rPr>
              <w:t xml:space="preserve">inistru kabinetā likumprojektu </w:t>
            </w:r>
            <w:r w:rsidRPr="000936FC" w:rsidR="004E2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  <w:r w:rsidRPr="000936FC">
              <w:rPr>
                <w:rFonts w:ascii="Times New Roman" w:hAnsi="Times New Roman"/>
                <w:sz w:val="24"/>
                <w:shd w:val="clear" w:color="auto" w:fill="FFFFFF"/>
              </w:rPr>
              <w:t xml:space="preserve">Grozījumi Civilās aizsardzības un </w:t>
            </w:r>
            <w:r w:rsidRPr="000936FC" w:rsidR="004E2B8B">
              <w:rPr>
                <w:rFonts w:ascii="Times New Roman" w:hAnsi="Times New Roman"/>
                <w:sz w:val="24"/>
                <w:shd w:val="clear" w:color="auto" w:fill="FFFFFF"/>
              </w:rPr>
              <w:t>katastrofu pārvaldīšanas likumā</w:t>
            </w:r>
            <w:r w:rsidRPr="000936FC" w:rsidR="004E2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Pr="00093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936FC">
              <w:rPr>
                <w:rFonts w:ascii="Times New Roman" w:hAnsi="Times New Roman"/>
                <w:sz w:val="24"/>
                <w:shd w:val="clear" w:color="auto" w:fill="FFFFFF"/>
              </w:rPr>
              <w:t xml:space="preserve"> iekļaujot normas, kas attiecas uz dabas katastrofu radīto seku likvidāciju un atjaunošanas pasākumiem īpaši aizsargājamā dabas teritorijā</w:t>
            </w:r>
            <w:r w:rsidRPr="00093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14:paraId="25BE88BC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B9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P="00316DCA" w14:paraId="04A5CEC3" w14:textId="77777777">
            <w:pPr>
              <w:widowControl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Valsts sekretāru sanāksmes datums un numurs</w:t>
            </w:r>
          </w:p>
          <w:p w:rsidR="00F7599E" w:rsidRPr="00F7599E" w:rsidP="00F7599E" w14:paraId="71BD84D2" w14:textId="77777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99E" w:rsidRPr="00F7599E" w:rsidP="00F7599E" w14:paraId="25BE88BA" w14:textId="67F9B5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076233" w14:paraId="25BE88BB" w14:textId="35E15018">
            <w:pPr>
              <w:widowControl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 attiecināms.</w:t>
            </w:r>
          </w:p>
        </w:tc>
      </w:tr>
      <w:tr w14:paraId="25BE88C6" w14:textId="77777777" w:rsidTr="006C6D82">
        <w:tblPrEx>
          <w:tblW w:w="4845" w:type="pct"/>
          <w:tblLayout w:type="fixed"/>
          <w:tblLook w:val="00A0"/>
        </w:tblPrEx>
        <w:trPr>
          <w:trHeight w:val="8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BD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BE" w14:textId="77777777">
            <w:pPr>
              <w:widowControl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Informācija par saskaņojumiem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9" w:rsidP="00316DCA" w14:paraId="25BE88BF" w14:textId="2B1A7ACB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Protokollēmum</w:t>
            </w:r>
            <w:r w:rsidR="00660151">
              <w:rPr>
                <w:rFonts w:ascii="Times New Roman" w:hAnsi="Times New Roman"/>
                <w:sz w:val="24"/>
                <w:szCs w:val="24"/>
              </w:rPr>
              <w:t>a projekts 2020. gada 27. februārī 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24B">
              <w:rPr>
                <w:rFonts w:ascii="Times New Roman" w:hAnsi="Times New Roman"/>
                <w:sz w:val="24"/>
                <w:szCs w:val="24"/>
              </w:rPr>
              <w:t xml:space="preserve">nosūtīts </w:t>
            </w:r>
            <w:r w:rsidR="00F7599E">
              <w:rPr>
                <w:rFonts w:ascii="Times New Roman" w:hAnsi="Times New Roman"/>
                <w:sz w:val="24"/>
                <w:szCs w:val="24"/>
              </w:rPr>
              <w:t xml:space="preserve">elektroniskajai </w:t>
            </w:r>
            <w:r w:rsidR="00EF656E">
              <w:rPr>
                <w:rFonts w:ascii="Times New Roman" w:hAnsi="Times New Roman"/>
                <w:sz w:val="24"/>
                <w:szCs w:val="24"/>
              </w:rPr>
              <w:t>saskaņošanai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Tieslietu ministrijai</w:t>
            </w:r>
            <w:r w:rsidRPr="00295F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Zemkopības ministrijai</w:t>
            </w:r>
            <w:r w:rsidR="00295656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656">
              <w:rPr>
                <w:rFonts w:ascii="Times New Roman" w:hAnsi="Times New Roman"/>
                <w:sz w:val="24"/>
                <w:szCs w:val="24"/>
              </w:rPr>
              <w:t>Iekšlietu</w:t>
            </w:r>
            <w:r w:rsidR="00295656">
              <w:rPr>
                <w:rFonts w:ascii="Times New Roman" w:hAnsi="Times New Roman"/>
                <w:sz w:val="24"/>
                <w:szCs w:val="24"/>
              </w:rPr>
              <w:t xml:space="preserve"> ministrija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956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2DA" w:rsidRPr="00390C1F" w:rsidP="00316DCA" w14:paraId="25BE88C0" w14:textId="4DB64107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Tieslietu ministrija un </w:t>
            </w:r>
            <w:r w:rsidRPr="00390C1F">
              <w:rPr>
                <w:rFonts w:ascii="Times New Roman" w:hAnsi="Times New Roman"/>
                <w:b/>
                <w:bCs/>
                <w:sz w:val="24"/>
                <w:szCs w:val="24"/>
              </w:rPr>
              <w:t>Iekšlietu</w:t>
            </w:r>
            <w:r w:rsidRPr="003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ministrija saskaņo</w:t>
            </w:r>
            <w:r w:rsidRPr="00390C1F" w:rsidR="00F7599E">
              <w:rPr>
                <w:rFonts w:ascii="Times New Roman" w:hAnsi="Times New Roman"/>
                <w:b/>
                <w:bCs/>
                <w:sz w:val="24"/>
                <w:szCs w:val="24"/>
              </w:rPr>
              <w:t>ja</w:t>
            </w:r>
            <w:r w:rsidRPr="0039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protokollēmuma projektu</w:t>
            </w:r>
            <w:r w:rsidRPr="00390C1F" w:rsidR="00660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bez iebildumiem</w:t>
            </w:r>
            <w:r w:rsidRPr="00390C1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A12B6" w:rsidRPr="0018404D" w:rsidP="00316DCA" w14:paraId="25BE88C1" w14:textId="77777777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Protokollēmuma projekts</w:t>
            </w:r>
            <w:r w:rsidRPr="0018404D" w:rsidR="008541BF">
              <w:rPr>
                <w:rFonts w:ascii="Times New Roman" w:hAnsi="Times New Roman"/>
                <w:b/>
                <w:sz w:val="24"/>
                <w:szCs w:val="24"/>
              </w:rPr>
              <w:t xml:space="preserve"> nav saskaņots ar Zemkopī</w:t>
            </w:r>
            <w:r w:rsidRPr="0018404D">
              <w:rPr>
                <w:rFonts w:ascii="Times New Roman" w:hAnsi="Times New Roman"/>
                <w:b/>
                <w:sz w:val="24"/>
                <w:szCs w:val="24"/>
              </w:rPr>
              <w:t>bas ministriju.</w:t>
            </w:r>
          </w:p>
          <w:p w:rsidR="003643AB" w:rsidP="00660151" w14:paraId="25BE88C2" w14:textId="60B3EB23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Zemkopība</w:t>
            </w:r>
            <w:r w:rsidRPr="002A568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5686">
              <w:rPr>
                <w:rFonts w:ascii="Times New Roman" w:eastAsia="Times New Roman" w:hAnsi="Times New Roman"/>
                <w:sz w:val="24"/>
                <w:szCs w:val="24"/>
              </w:rPr>
              <w:t xml:space="preserve">ministrija </w:t>
            </w:r>
            <w:r w:rsidR="00C72889">
              <w:rPr>
                <w:rFonts w:ascii="Times New Roman" w:eastAsia="Times New Roman" w:hAnsi="Times New Roman"/>
                <w:sz w:val="24"/>
                <w:szCs w:val="24"/>
              </w:rPr>
              <w:t>neatbalsta regu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>lējumu</w:t>
            </w:r>
            <w:r w:rsidR="00C72889">
              <w:rPr>
                <w:rFonts w:ascii="Times New Roman" w:eastAsia="Times New Roman" w:hAnsi="Times New Roman"/>
                <w:sz w:val="24"/>
                <w:szCs w:val="24"/>
              </w:rPr>
              <w:t xml:space="preserve"> par dabas katastrofu seku 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>likvidācijas darbu saskaņošanu</w:t>
            </w:r>
            <w:r w:rsidR="00C728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 xml:space="preserve">ar </w:t>
            </w:r>
            <w:r w:rsidRPr="00660151" w:rsidR="00EF656E">
              <w:rPr>
                <w:rFonts w:ascii="Times New Roman" w:eastAsia="Times New Roman" w:hAnsi="Times New Roman"/>
                <w:bCs/>
                <w:sz w:val="24"/>
                <w:szCs w:val="24"/>
              </w:rPr>
              <w:t>Dabas aizsardzības pārvaldi īpaši aizsargā</w:t>
            </w:r>
            <w:r w:rsidR="00EF656E">
              <w:rPr>
                <w:rFonts w:ascii="Times New Roman" w:eastAsia="Times New Roman" w:hAnsi="Times New Roman"/>
                <w:bCs/>
                <w:sz w:val="24"/>
                <w:szCs w:val="24"/>
              </w:rPr>
              <w:t>jamās dabas teritorijās (turpmāk – ĪADT)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2889">
              <w:rPr>
                <w:rFonts w:ascii="Times New Roman" w:eastAsia="Times New Roman" w:hAnsi="Times New Roman"/>
                <w:sz w:val="24"/>
                <w:szCs w:val="24"/>
              </w:rPr>
              <w:t>pēc būtības, norādot, ka nepieciešama diskusija un vienota izpratne.</w:t>
            </w:r>
          </w:p>
          <w:p w:rsidR="00C72889" w:rsidP="00660151" w14:paraId="25BE88C3" w14:textId="0C502D85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Ministrija norāda, ka par šo jautājumu ir bijušas atkārtotas diskusijas ar Zemkopības ministriju gan v</w:t>
            </w:r>
            <w:r w:rsidR="00A45021">
              <w:rPr>
                <w:rFonts w:ascii="Times New Roman" w:eastAsia="Times New Roman" w:hAnsi="Times New Roman"/>
                <w:sz w:val="24"/>
                <w:szCs w:val="24"/>
              </w:rPr>
              <w:t>airāku individuālo aizsardzī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bas un izmantošanas noteikumu izstrādes stadijā, gan likumprojekta </w:t>
            </w:r>
            <w:r w:rsidRPr="00276182" w:rsidR="00276182">
              <w:rPr>
                <w:rFonts w:ascii="Times New Roman" w:eastAsia="Times New Roman" w:hAnsi="Times New Roman"/>
                <w:sz w:val="24"/>
                <w:szCs w:val="24"/>
              </w:rPr>
              <w:t xml:space="preserve">"Grozījums Civilās aizsardzības un katastrofu pārvaldīšanas likumā" </w:t>
            </w:r>
            <w:r w:rsidR="00A4502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B6E72">
              <w:rPr>
                <w:rFonts w:ascii="Times New Roman" w:eastAsia="Times New Roman" w:hAnsi="Times New Roman"/>
                <w:sz w:val="24"/>
                <w:szCs w:val="24"/>
              </w:rPr>
              <w:t>VSS-</w:t>
            </w:r>
            <w:r w:rsidR="00A45021">
              <w:rPr>
                <w:rFonts w:ascii="Times New Roman" w:eastAsia="Times New Roman" w:hAnsi="Times New Roman"/>
                <w:sz w:val="24"/>
                <w:szCs w:val="24"/>
              </w:rPr>
              <w:t xml:space="preserve">1018)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saskaņošanas sanāksmē, gan Valsts sekretāru sanāksmē</w:t>
            </w:r>
            <w:r w:rsidR="00EB6E7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>2019. gada 14. </w:t>
            </w:r>
            <w:r w:rsidRPr="00EB6E72" w:rsidR="00EB6E7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>ūlija protokols Nr. </w:t>
            </w:r>
            <w:r w:rsidRPr="00EB6E72" w:rsidR="00EB6E72">
              <w:rPr>
                <w:rFonts w:ascii="Times New Roman" w:eastAsia="Times New Roman" w:hAnsi="Times New Roman"/>
                <w:sz w:val="24"/>
                <w:szCs w:val="24"/>
              </w:rPr>
              <w:t>26 42.§</w:t>
            </w:r>
            <w:r w:rsidR="00EB6E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 xml:space="preserve">. Ministrijas ieskatā, </w:t>
            </w:r>
            <w:r w:rsidR="00A45021">
              <w:rPr>
                <w:rFonts w:ascii="Times New Roman" w:eastAsia="Times New Roman" w:hAnsi="Times New Roman"/>
                <w:sz w:val="24"/>
                <w:szCs w:val="24"/>
              </w:rPr>
              <w:t xml:space="preserve">nav lietderīgi par šo jautājumu </w:t>
            </w:r>
            <w:r w:rsidR="0096220E">
              <w:rPr>
                <w:rFonts w:ascii="Times New Roman" w:eastAsia="Times New Roman" w:hAnsi="Times New Roman"/>
                <w:sz w:val="24"/>
                <w:szCs w:val="24"/>
              </w:rPr>
              <w:t xml:space="preserve">vēlreiz </w:t>
            </w:r>
            <w:r w:rsidR="00A45021">
              <w:rPr>
                <w:rFonts w:ascii="Times New Roman" w:eastAsia="Times New Roman" w:hAnsi="Times New Roman"/>
                <w:sz w:val="24"/>
                <w:szCs w:val="24"/>
              </w:rPr>
              <w:t xml:space="preserve">organizēt diskusiju, jo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Zemkopības ministrija</w:t>
            </w:r>
            <w:r w:rsidR="00A45021">
              <w:rPr>
                <w:rFonts w:ascii="Times New Roman" w:eastAsia="Times New Roman" w:hAnsi="Times New Roman"/>
                <w:sz w:val="24"/>
                <w:szCs w:val="24"/>
              </w:rPr>
              <w:t xml:space="preserve"> pēc būtības ir pret to, ka Dabas </w:t>
            </w:r>
            <w:r w:rsidR="00A45021">
              <w:rPr>
                <w:rFonts w:ascii="Times New Roman" w:eastAsia="Times New Roman" w:hAnsi="Times New Roman"/>
                <w:sz w:val="24"/>
                <w:szCs w:val="24"/>
              </w:rPr>
              <w:t>aizardzības</w:t>
            </w:r>
            <w:r w:rsidR="00A45021">
              <w:rPr>
                <w:rFonts w:ascii="Times New Roman" w:eastAsia="Times New Roman" w:hAnsi="Times New Roman"/>
                <w:sz w:val="24"/>
                <w:szCs w:val="24"/>
              </w:rPr>
              <w:t xml:space="preserve"> pārvalde saskaņo dabas katastrofu seku likvidācijas pasākumus</w:t>
            </w:r>
            <w:r w:rsidR="00EB6E72">
              <w:rPr>
                <w:rFonts w:ascii="Times New Roman" w:eastAsia="Times New Roman" w:hAnsi="Times New Roman"/>
                <w:sz w:val="24"/>
                <w:szCs w:val="24"/>
              </w:rPr>
              <w:t xml:space="preserve"> ĪADT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60151" w:rsidRPr="00EF656E" w:rsidP="00660151" w14:paraId="25BE88C5" w14:textId="2BF417A1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Norādām, ka k</w:t>
            </w:r>
            <w:r w:rsidRPr="00A45021" w:rsidR="00A45021">
              <w:rPr>
                <w:rFonts w:ascii="Times New Roman" w:eastAsia="Times New Roman" w:hAnsi="Times New Roman"/>
                <w:sz w:val="24"/>
                <w:szCs w:val="24"/>
              </w:rPr>
              <w:t>ompetentā iestāde, kas var novērtēt, kādā veidā un apjomā veicami dabas katastrofu seku atjaunošanas pasākumi ĪADT, iespējami saglabājot dabas vērtības, ir Dabas aizsardzīb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 pārvalde</w:t>
            </w:r>
            <w:r w:rsidR="00EF656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76182" w:rsidR="00EF656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Ņemot vērā minēto, M</w:t>
            </w:r>
            <w:r w:rsidRPr="00276182" w:rsidR="00A4502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inistrija ir sagatavojusi protokollēmuma projektu paredzot, ka ĪADT brīvā dabā dabas katastrofu radīto seku </w:t>
            </w:r>
            <w:r w:rsidRPr="00276182" w:rsidR="006C6D8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likvidācijas un </w:t>
            </w:r>
            <w:r w:rsidRPr="00276182" w:rsidR="00A4502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atjaunošanas pasākumus rakstiski saskaņo ar</w:t>
            </w:r>
            <w:r w:rsidRPr="0027618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Dabas aizsardzības p</w:t>
            </w:r>
            <w:r w:rsidRPr="00276182" w:rsidR="00A4502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ārvaldi.</w:t>
            </w:r>
          </w:p>
        </w:tc>
      </w:tr>
      <w:tr w14:paraId="25BE88CA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C7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E6B2E" w:rsidP="00316DCA" w14:paraId="25BE88C8" w14:textId="77777777">
            <w:pPr>
              <w:widowControl/>
              <w:spacing w:after="120" w:line="240" w:lineRule="auto"/>
              <w:ind w:firstLine="4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E6B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saskaņojumu ar Eiropas Savienības institūcijām</w:t>
            </w:r>
            <w:r w:rsidRPr="00FE6B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C9" w14:textId="77777777">
            <w:pPr>
              <w:widowControl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 attiecināms</w:t>
            </w:r>
          </w:p>
        </w:tc>
      </w:tr>
      <w:tr w14:paraId="25BE88CE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CB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E6B2E" w:rsidP="00316DCA" w14:paraId="25BE88CC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FE6B2E">
              <w:rPr>
                <w:rFonts w:ascii="Times New Roman" w:eastAsia="Times New Roman" w:hAnsi="Times New Roman"/>
                <w:sz w:val="24"/>
                <w:szCs w:val="24"/>
              </w:rPr>
              <w:t>Politikas joma</w:t>
            </w:r>
            <w:r w:rsidRPr="00FE6B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CD" w14:textId="77777777">
            <w:pPr>
              <w:widowControl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Vides politika</w:t>
            </w:r>
          </w:p>
        </w:tc>
      </w:tr>
      <w:tr w14:paraId="25BE88D2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CF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0" w14:textId="77777777">
            <w:pPr>
              <w:widowControl/>
              <w:spacing w:after="120" w:line="240" w:lineRule="auto"/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Atbildīgā amatpersona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1" w14:textId="77777777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2E">
              <w:rPr>
                <w:rFonts w:ascii="Times New Roman" w:eastAsia="Times New Roman" w:hAnsi="Times New Roman"/>
                <w:b/>
                <w:sz w:val="24"/>
                <w:szCs w:val="24"/>
              </w:rPr>
              <w:t>Ivita Ozoliņa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 xml:space="preserve"> Vides aizsardzības un reģionālās attīstības ministrijas Dabas aizsardzības departamenta vecākā referente </w:t>
            </w:r>
          </w:p>
        </w:tc>
      </w:tr>
      <w:tr w14:paraId="25BE88D6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3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4" w14:textId="77777777">
            <w:pPr>
              <w:widowControl/>
              <w:spacing w:after="120" w:line="240" w:lineRule="auto"/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Uzaicināmās personas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5" w14:textId="77777777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2E">
              <w:rPr>
                <w:rFonts w:ascii="Times New Roman" w:eastAsia="Times New Roman" w:hAnsi="Times New Roman"/>
                <w:b/>
                <w:sz w:val="24"/>
                <w:szCs w:val="24"/>
              </w:rPr>
              <w:t>Alda Ozola</w:t>
            </w:r>
            <w:r w:rsidRPr="00FE6B2E">
              <w:rPr>
                <w:rFonts w:ascii="Times New Roman" w:eastAsia="Times New Roman" w:hAnsi="Times New Roman"/>
                <w:sz w:val="24"/>
                <w:szCs w:val="24"/>
              </w:rPr>
              <w:t>, Vides aizsardzības un reģionālās attīstības ministrijas valsts sekretāra vietniece vides aizsardzības jautājumos.</w:t>
            </w:r>
          </w:p>
        </w:tc>
      </w:tr>
      <w:tr w14:paraId="25BE88DA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7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8" w14:textId="77777777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Projekta ierobežotas lietošanas statuss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9" w14:textId="3664409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Protokollēmuma projektam</w:t>
            </w:r>
            <w:r w:rsidRPr="00F17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nav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noteikts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ierobežotas pieejamības statuss</w:t>
            </w:r>
            <w:r w:rsidRPr="00F17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14:paraId="25BE88DE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B" w14:textId="77777777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C" w:rsidRPr="00F17611" w:rsidP="00316DCA" w14:paraId="25BE88DC" w14:textId="77777777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11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C" w:rsidP="00C14B9C" w14:paraId="288D02FC" w14:textId="13C0A6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Atbilstoši protokollēmuma 3. punktā </w:t>
            </w:r>
            <w:r w:rsidRPr="000762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dotajam uzdevumam </w:t>
            </w:r>
            <w:r w:rsidR="00EF656E">
              <w:rPr>
                <w:rFonts w:ascii="Times New Roman" w:eastAsia="Times New Roman" w:hAnsi="Times New Roman"/>
                <w:bCs/>
                <w:sz w:val="24"/>
                <w:szCs w:val="24"/>
              </w:rPr>
              <w:t>M</w:t>
            </w:r>
            <w:r w:rsidRPr="00076233">
              <w:rPr>
                <w:rFonts w:ascii="Times New Roman" w:eastAsia="Times New Roman" w:hAnsi="Times New Roman"/>
                <w:bCs/>
                <w:sz w:val="24"/>
                <w:szCs w:val="24"/>
              </w:rPr>
              <w:t>inistrija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sagatavoja likumprojektu “</w:t>
            </w:r>
            <w:r w:rsidRPr="00076233">
              <w:rPr>
                <w:rFonts w:ascii="Times New Roman" w:eastAsia="Times New Roman" w:hAnsi="Times New Roman"/>
                <w:bCs/>
                <w:sz w:val="24"/>
                <w:szCs w:val="24"/>
              </w:rPr>
              <w:t>Grozījums Civilās aizsardzības un katastrofas pārvaldīšanas likumā”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(VSS-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1018</w:t>
            </w:r>
            <w:r w:rsidR="002761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(turpmāk – likumprojekts). Par likumprojektu tika saņemti konceptuāli iebildumi no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Iekšlietu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ministrijas un Zemkopības ministrijas par to, ka regulējums nav iekļaujams Civilās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aizsradzības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un katastrofas seku pārvaldības likumā, bet gan dabas aizsardzības normatīvajos aktos. </w:t>
            </w:r>
          </w:p>
          <w:p w:rsidR="00D233EC" w:rsidRPr="00C775D7" w:rsidP="00C775D7" w14:paraId="25BE88DD" w14:textId="534DA02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288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Ņemot vērā minētos iebildumus, ministrija ir sagat</w:t>
            </w:r>
            <w:r w:rsidRPr="00662883" w:rsidR="0094799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a</w:t>
            </w:r>
            <w:r w:rsidRPr="0066288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vojusi protokollēmuma projektu, paredzot, ka turpmāk prasības, kas attiecas uz dabas katastrofu radīto seku likvidācijas un atjaunošanas pasākumu saskaņošanu ar Dabas aizsardzības pārvaldi īpaši aizsargājamās dabas teritorijās (turpmāk – ĪADT), iekļaujamas ĪADT individuālajos aizsardzības un izmantošanas noteikumos.</w:t>
            </w:r>
            <w:r w:rsidR="00C775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775D7">
              <w:rPr>
                <w:rFonts w:ascii="Times New Roman" w:eastAsia="Times New Roman" w:hAnsi="Times New Roman"/>
                <w:sz w:val="24"/>
                <w:szCs w:val="24"/>
              </w:rPr>
              <w:t>Ministrijas ieskatā, k</w:t>
            </w:r>
            <w:r w:rsidRPr="00A45021" w:rsidR="00C775D7">
              <w:rPr>
                <w:rFonts w:ascii="Times New Roman" w:eastAsia="Times New Roman" w:hAnsi="Times New Roman"/>
                <w:sz w:val="24"/>
                <w:szCs w:val="24"/>
              </w:rPr>
              <w:t>ompetentā iestāde, kas var novērtēt, kādā veidā un apjomā veicami dabas katastrofu seku atjaunošanas pasākumi ĪADT, iespējami saglabājot dabas vērtības, ir Dabas aizsardzīb</w:t>
            </w:r>
            <w:r w:rsidR="00C775D7">
              <w:rPr>
                <w:rFonts w:ascii="Times New Roman" w:eastAsia="Times New Roman" w:hAnsi="Times New Roman"/>
                <w:sz w:val="24"/>
                <w:szCs w:val="24"/>
              </w:rPr>
              <w:t xml:space="preserve">as pārvalde. </w:t>
            </w:r>
          </w:p>
        </w:tc>
      </w:tr>
      <w:tr w14:paraId="0D024984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Pr="00F17611" w:rsidP="00316DCA" w14:paraId="520ED633" w14:textId="640FE856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Pr="00F17611" w:rsidP="00316DCA" w14:paraId="1E3C4822" w14:textId="2240EBCC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76A">
              <w:rPr>
                <w:rFonts w:ascii="Times New Roman" w:eastAsia="Times New Roman" w:hAnsi="Times New Roman"/>
                <w:sz w:val="24"/>
                <w:szCs w:val="24"/>
              </w:rPr>
              <w:t>Saistība ar ārkārtējās situācijas vai izņēmuma stāvokļa noteikšanu valstī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P="00C14B9C" w14:paraId="09A7FF85" w14:textId="02B189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Nav attiecināms.</w:t>
            </w:r>
          </w:p>
        </w:tc>
      </w:tr>
      <w:tr w14:paraId="146163C0" w14:textId="77777777" w:rsidTr="00316DCA">
        <w:tblPrEx>
          <w:tblW w:w="4845" w:type="pct"/>
          <w:tblLayout w:type="fixed"/>
          <w:tblLook w:val="00A0"/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C" w:rsidRPr="00F17611" w:rsidP="00C14B9C" w14:paraId="1245AA41" w14:textId="572FF34C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057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C" w:rsidRPr="00F17611" w:rsidP="00C14B9C" w14:paraId="15A13963" w14:textId="2726E97B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B9C">
              <w:rPr>
                <w:rFonts w:ascii="Times New Roman" w:eastAsia="Times New Roman" w:hAnsi="Times New Roman"/>
                <w:bCs/>
                <w:sz w:val="24"/>
                <w:szCs w:val="24"/>
              </w:rPr>
              <w:t>Ministru kabineta lietas pamatojums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C" w:rsidP="00C14B9C" w14:paraId="65234029" w14:textId="5DB7128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Protokollēmuma projekts virzāms</w:t>
            </w:r>
            <w:r w:rsidRPr="00C14B9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izskatīšanai Ministru kabineta sēdē kā Ministru kabineta lieta, jo</w:t>
            </w:r>
            <w:r w:rsidR="001F18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ar Zemkopības ministriju</w:t>
            </w:r>
            <w:r w:rsidRPr="00C14B9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nav panākta vienoš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anās par kompetento iestādi </w:t>
            </w:r>
            <w:r w:rsidRPr="00A45021">
              <w:rPr>
                <w:rFonts w:ascii="Times New Roman" w:eastAsia="Times New Roman" w:hAnsi="Times New Roman"/>
                <w:sz w:val="24"/>
                <w:szCs w:val="24"/>
              </w:rPr>
              <w:t>iestāde, kas var novērtēt, kādā veidā un apjomā veicami dabas katastrofu seku atjaunošanas pasākumi ĪADT, iespējami saglabājot dabas vērtības</w:t>
            </w:r>
            <w:r w:rsidRPr="00C14B9C">
              <w:rPr>
                <w:rFonts w:ascii="Times New Roman" w:eastAsia="Times New Roman" w:hAnsi="Times New Roman"/>
                <w:bCs/>
                <w:sz w:val="24"/>
                <w:szCs w:val="24"/>
              </w:rPr>
              <w:t>, līdz ar to ir nepieciešams konceptuāls Ministru kabineta lēmums.</w:t>
            </w:r>
          </w:p>
        </w:tc>
      </w:tr>
    </w:tbl>
    <w:p w:rsidR="00D233EC" w:rsidRPr="00F17611" w:rsidP="00D233EC" w14:paraId="25BE88E1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17611">
        <w:rPr>
          <w:rFonts w:ascii="Times New Roman" w:eastAsia="Times New Roman" w:hAnsi="Times New Roman"/>
          <w:sz w:val="24"/>
          <w:szCs w:val="24"/>
          <w:lang w:eastAsia="lv-LV"/>
        </w:rPr>
        <w:t xml:space="preserve">Pielikumā: </w:t>
      </w:r>
    </w:p>
    <w:p w:rsidR="00D233EC" w:rsidRPr="004C049D" w:rsidP="00A65DE5" w14:paraId="25BE88E2" w14:textId="0F744A79">
      <w:pPr>
        <w:pStyle w:val="ListParagraph"/>
        <w:spacing w:after="0" w:line="240" w:lineRule="auto"/>
        <w:ind w:right="296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1. </w:t>
      </w:r>
      <w:r w:rsidRPr="004C049D" w:rsidR="00005918">
        <w:rPr>
          <w:rFonts w:eastAsia="Times New Roman"/>
          <w:szCs w:val="24"/>
          <w:lang w:eastAsia="lv-LV"/>
        </w:rPr>
        <w:t>Protokollēmuma projekts</w:t>
      </w:r>
      <w:r w:rsidR="00C775D7">
        <w:rPr>
          <w:rFonts w:eastAsia="Times New Roman"/>
          <w:szCs w:val="24"/>
          <w:lang w:eastAsia="lv-LV"/>
        </w:rPr>
        <w:t xml:space="preserve"> uz vienas lapas (datne: </w:t>
      </w:r>
      <w:r w:rsidRPr="004C049D">
        <w:rPr>
          <w:rFonts w:eastAsia="Times New Roman"/>
          <w:szCs w:val="24"/>
          <w:lang w:eastAsia="lv-LV"/>
        </w:rPr>
        <w:t>VARAM</w:t>
      </w:r>
      <w:r w:rsidRPr="004C049D" w:rsidR="006C6D82">
        <w:rPr>
          <w:rFonts w:eastAsia="Times New Roman"/>
          <w:szCs w:val="24"/>
          <w:lang w:eastAsia="lv-LV"/>
        </w:rPr>
        <w:t>Prot</w:t>
      </w:r>
      <w:r w:rsidRPr="004C049D">
        <w:rPr>
          <w:rFonts w:eastAsia="Times New Roman"/>
          <w:szCs w:val="24"/>
          <w:lang w:eastAsia="lv-LV"/>
        </w:rPr>
        <w:t>_</w:t>
      </w:r>
      <w:r w:rsidRPr="004C049D" w:rsidR="00CE01E6">
        <w:rPr>
          <w:rFonts w:eastAsia="Times New Roman"/>
          <w:szCs w:val="24"/>
          <w:lang w:eastAsia="lv-LV"/>
        </w:rPr>
        <w:t>050220_</w:t>
      </w:r>
      <w:r w:rsidRPr="004C049D" w:rsidR="006C6D82">
        <w:rPr>
          <w:rFonts w:eastAsia="Times New Roman"/>
          <w:szCs w:val="24"/>
          <w:lang w:eastAsia="lv-LV"/>
        </w:rPr>
        <w:t>katastr</w:t>
      </w:r>
      <w:r w:rsidRPr="004C049D" w:rsidR="00CE01E6">
        <w:rPr>
          <w:rFonts w:eastAsia="Times New Roman"/>
          <w:szCs w:val="24"/>
          <w:lang w:eastAsia="lv-LV"/>
        </w:rPr>
        <w:t>)</w:t>
      </w:r>
      <w:r w:rsidRPr="004C049D">
        <w:rPr>
          <w:rFonts w:eastAsia="Times New Roman"/>
          <w:szCs w:val="24"/>
          <w:lang w:eastAsia="lv-LV"/>
        </w:rPr>
        <w:t>;</w:t>
      </w:r>
    </w:p>
    <w:p w:rsidR="002D5AA7" w:rsidRPr="004C049D" w:rsidP="00A65DE5" w14:paraId="25BE88E3" w14:textId="5BB4AACB">
      <w:pPr>
        <w:pStyle w:val="ListParagraph"/>
        <w:spacing w:after="0" w:line="240" w:lineRule="auto"/>
        <w:ind w:right="296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2. </w:t>
      </w:r>
      <w:r w:rsidRPr="004C049D">
        <w:rPr>
          <w:rFonts w:eastAsia="Times New Roman"/>
          <w:szCs w:val="24"/>
          <w:lang w:eastAsia="lv-LV"/>
        </w:rPr>
        <w:t xml:space="preserve">Tieslietu ministrijas 2020. gada </w:t>
      </w:r>
      <w:r w:rsidRPr="004C049D" w:rsidR="004C049D">
        <w:rPr>
          <w:rFonts w:eastAsia="Times New Roman"/>
          <w:szCs w:val="24"/>
          <w:lang w:eastAsia="lv-LV"/>
        </w:rPr>
        <w:t>3.</w:t>
      </w:r>
      <w:r w:rsidR="00C775D7">
        <w:rPr>
          <w:rFonts w:eastAsia="Times New Roman"/>
          <w:szCs w:val="24"/>
          <w:lang w:eastAsia="lv-LV"/>
        </w:rPr>
        <w:t> </w:t>
      </w:r>
      <w:r w:rsidRPr="004C049D" w:rsidR="004C049D">
        <w:rPr>
          <w:rFonts w:eastAsia="Times New Roman"/>
          <w:szCs w:val="24"/>
          <w:lang w:eastAsia="lv-LV"/>
        </w:rPr>
        <w:t>marta</w:t>
      </w:r>
      <w:r w:rsidRPr="004C049D">
        <w:rPr>
          <w:rFonts w:eastAsia="Times New Roman"/>
          <w:szCs w:val="24"/>
          <w:lang w:eastAsia="lv-LV"/>
        </w:rPr>
        <w:t xml:space="preserve"> </w:t>
      </w:r>
      <w:r w:rsidR="00C775D7">
        <w:rPr>
          <w:rFonts w:eastAsia="Times New Roman"/>
          <w:szCs w:val="24"/>
          <w:lang w:eastAsia="lv-LV"/>
        </w:rPr>
        <w:t xml:space="preserve">elektroniskais </w:t>
      </w:r>
      <w:r w:rsidRPr="004C049D">
        <w:rPr>
          <w:rFonts w:eastAsia="Times New Roman"/>
          <w:szCs w:val="24"/>
          <w:lang w:eastAsia="lv-LV"/>
        </w:rPr>
        <w:t>sask</w:t>
      </w:r>
      <w:r w:rsidR="00C775D7">
        <w:rPr>
          <w:rFonts w:eastAsia="Times New Roman"/>
          <w:szCs w:val="24"/>
          <w:lang w:eastAsia="lv-LV"/>
        </w:rPr>
        <w:t>aņojums uz vienas lapas (datne: </w:t>
      </w:r>
      <w:r w:rsidRPr="004C049D">
        <w:rPr>
          <w:rFonts w:eastAsia="Times New Roman"/>
          <w:szCs w:val="24"/>
          <w:lang w:eastAsia="lv-LV"/>
        </w:rPr>
        <w:t>TMInf_</w:t>
      </w:r>
      <w:r w:rsidRPr="004C049D" w:rsidR="004C049D">
        <w:rPr>
          <w:rFonts w:eastAsia="Times New Roman"/>
          <w:szCs w:val="24"/>
          <w:lang w:eastAsia="lv-LV"/>
        </w:rPr>
        <w:t>0303</w:t>
      </w:r>
      <w:r w:rsidRPr="004C049D">
        <w:rPr>
          <w:rFonts w:eastAsia="Times New Roman"/>
          <w:szCs w:val="24"/>
          <w:lang w:eastAsia="lv-LV"/>
        </w:rPr>
        <w:t>20_</w:t>
      </w:r>
      <w:r w:rsidRPr="004C049D" w:rsidR="004C049D">
        <w:rPr>
          <w:rFonts w:eastAsia="Times New Roman"/>
          <w:szCs w:val="24"/>
          <w:lang w:eastAsia="lv-LV"/>
        </w:rPr>
        <w:t>prot</w:t>
      </w:r>
      <w:r w:rsidRPr="004C049D">
        <w:rPr>
          <w:rFonts w:eastAsia="Times New Roman"/>
          <w:szCs w:val="24"/>
          <w:lang w:eastAsia="lv-LV"/>
        </w:rPr>
        <w:t>);</w:t>
      </w:r>
    </w:p>
    <w:p w:rsidR="00D233EC" w:rsidRPr="006C6D82" w:rsidP="00A65DE5" w14:paraId="25BE88E4" w14:textId="2290E7D5">
      <w:pPr>
        <w:pStyle w:val="ListParagraph"/>
        <w:spacing w:after="0" w:line="240" w:lineRule="auto"/>
        <w:ind w:right="296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3. </w:t>
      </w:r>
      <w:r w:rsidRPr="006C6D82" w:rsidR="006C6D82">
        <w:rPr>
          <w:rFonts w:eastAsia="Times New Roman"/>
          <w:szCs w:val="24"/>
          <w:lang w:eastAsia="lv-LV"/>
        </w:rPr>
        <w:t>Iekšlietu</w:t>
      </w:r>
      <w:r w:rsidRPr="006C6D82" w:rsidR="006C6D82">
        <w:rPr>
          <w:rFonts w:eastAsia="Times New Roman"/>
          <w:szCs w:val="24"/>
          <w:lang w:eastAsia="lv-LV"/>
        </w:rPr>
        <w:t xml:space="preserve"> ministrijas 2020</w:t>
      </w:r>
      <w:r w:rsidRPr="006C6D82" w:rsidR="00285E1E">
        <w:rPr>
          <w:rFonts w:eastAsia="Times New Roman"/>
          <w:szCs w:val="24"/>
          <w:lang w:eastAsia="lv-LV"/>
        </w:rPr>
        <w:t xml:space="preserve">. gada </w:t>
      </w:r>
      <w:r w:rsidRPr="006C6D82" w:rsidR="006C6D82">
        <w:rPr>
          <w:rFonts w:eastAsia="Times New Roman"/>
          <w:szCs w:val="24"/>
          <w:lang w:eastAsia="lv-LV"/>
        </w:rPr>
        <w:t>3. marta</w:t>
      </w:r>
      <w:r w:rsidR="00C775D7">
        <w:rPr>
          <w:rFonts w:eastAsia="Times New Roman"/>
          <w:szCs w:val="24"/>
          <w:lang w:eastAsia="lv-LV"/>
        </w:rPr>
        <w:t xml:space="preserve"> atzinums Nr. </w:t>
      </w:r>
      <w:r w:rsidRPr="006C6D82" w:rsidR="00285E1E">
        <w:rPr>
          <w:rFonts w:eastAsia="Times New Roman"/>
          <w:szCs w:val="24"/>
          <w:lang w:eastAsia="lv-LV"/>
        </w:rPr>
        <w:t>1-57/</w:t>
      </w:r>
      <w:r w:rsidRPr="006C6D82" w:rsidR="006C6D82">
        <w:rPr>
          <w:rFonts w:eastAsia="Times New Roman"/>
          <w:szCs w:val="24"/>
          <w:lang w:eastAsia="lv-LV"/>
        </w:rPr>
        <w:t>545</w:t>
      </w:r>
      <w:r w:rsidRPr="006C6D82">
        <w:rPr>
          <w:rFonts w:eastAsia="Times New Roman"/>
          <w:szCs w:val="24"/>
          <w:lang w:eastAsia="lv-LV"/>
        </w:rPr>
        <w:t xml:space="preserve"> uz </w:t>
      </w:r>
      <w:r w:rsidR="004C049D">
        <w:rPr>
          <w:rFonts w:eastAsia="Times New Roman"/>
          <w:szCs w:val="24"/>
          <w:lang w:eastAsia="lv-LV"/>
        </w:rPr>
        <w:t>vienas lapas</w:t>
      </w:r>
      <w:r w:rsidRPr="006C6D82">
        <w:rPr>
          <w:rFonts w:eastAsia="Times New Roman"/>
          <w:szCs w:val="24"/>
          <w:lang w:eastAsia="lv-LV"/>
        </w:rPr>
        <w:t xml:space="preserve"> (datne: </w:t>
      </w:r>
      <w:r w:rsidRPr="006C6D82" w:rsidR="006C6D82">
        <w:rPr>
          <w:rFonts w:eastAsia="Times New Roman"/>
          <w:szCs w:val="24"/>
          <w:lang w:eastAsia="lv-LV"/>
        </w:rPr>
        <w:t>IEMAtz_020320_Par protokollēmuma projektu</w:t>
      </w:r>
      <w:r w:rsidRPr="006C6D82">
        <w:rPr>
          <w:rFonts w:eastAsia="Times New Roman"/>
          <w:szCs w:val="24"/>
          <w:lang w:eastAsia="lv-LV"/>
        </w:rPr>
        <w:t>);</w:t>
      </w:r>
    </w:p>
    <w:p w:rsidR="0068701D" w:rsidRPr="00CA0E8F" w:rsidP="00A65DE5" w14:paraId="25BE88E5" w14:textId="5D132431">
      <w:pPr>
        <w:pStyle w:val="ListParagraph"/>
        <w:spacing w:after="0" w:line="240" w:lineRule="auto"/>
        <w:ind w:right="296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4. </w:t>
      </w:r>
      <w:r w:rsidRPr="00CA0E8F">
        <w:rPr>
          <w:rFonts w:eastAsia="Times New Roman"/>
          <w:szCs w:val="24"/>
          <w:lang w:eastAsia="lv-LV"/>
        </w:rPr>
        <w:t>Zemk</w:t>
      </w:r>
      <w:r w:rsidRPr="00CA0E8F" w:rsidR="00CA0E8F">
        <w:rPr>
          <w:rFonts w:eastAsia="Times New Roman"/>
          <w:szCs w:val="24"/>
          <w:lang w:eastAsia="lv-LV"/>
        </w:rPr>
        <w:t>opības ministrijas 2020. gada 3</w:t>
      </w:r>
      <w:r w:rsidRPr="00CA0E8F">
        <w:rPr>
          <w:rFonts w:eastAsia="Times New Roman"/>
          <w:szCs w:val="24"/>
          <w:lang w:eastAsia="lv-LV"/>
        </w:rPr>
        <w:t>. </w:t>
      </w:r>
      <w:r w:rsidRPr="00CA0E8F" w:rsidR="00CA0E8F">
        <w:rPr>
          <w:rFonts w:eastAsia="Times New Roman"/>
          <w:szCs w:val="24"/>
          <w:lang w:eastAsia="lv-LV"/>
        </w:rPr>
        <w:t>marta</w:t>
      </w:r>
      <w:r w:rsidRPr="00CA0E8F">
        <w:rPr>
          <w:rFonts w:eastAsia="Times New Roman"/>
          <w:szCs w:val="24"/>
          <w:lang w:eastAsia="lv-LV"/>
        </w:rPr>
        <w:t xml:space="preserve"> atzinums Nr. </w:t>
      </w:r>
      <w:r w:rsidRPr="00CA0E8F" w:rsidR="00CA0E8F">
        <w:rPr>
          <w:noProof/>
        </w:rPr>
        <w:t xml:space="preserve">3.2-2e/463/2020 </w:t>
      </w:r>
      <w:r w:rsidRPr="00CA0E8F">
        <w:rPr>
          <w:noProof/>
        </w:rPr>
        <w:t>uz divām lapām (datne:ZMAtz_</w:t>
      </w:r>
      <w:r w:rsidRPr="00CA0E8F" w:rsidR="00CA0E8F">
        <w:rPr>
          <w:noProof/>
        </w:rPr>
        <w:t>030320_katastr</w:t>
      </w:r>
      <w:r w:rsidR="004C049D">
        <w:rPr>
          <w:noProof/>
        </w:rPr>
        <w:t>).</w:t>
      </w:r>
    </w:p>
    <w:p w:rsidR="00D233EC" w:rsidP="00D233EC" w14:paraId="25BE88E6" w14:textId="77777777">
      <w:pPr>
        <w:spacing w:after="0" w:line="240" w:lineRule="auto"/>
        <w:ind w:left="360" w:right="296"/>
        <w:jc w:val="both"/>
        <w:rPr>
          <w:rFonts w:eastAsia="Times New Roman"/>
          <w:szCs w:val="24"/>
          <w:lang w:eastAsia="lv-LV"/>
        </w:rPr>
      </w:pPr>
    </w:p>
    <w:p w:rsidR="00005918" w:rsidRPr="00620C63" w:rsidP="00F7599E" w14:paraId="25BE88E8" w14:textId="77777777">
      <w:pPr>
        <w:spacing w:after="0" w:line="240" w:lineRule="auto"/>
        <w:ind w:right="296"/>
        <w:jc w:val="both"/>
        <w:rPr>
          <w:rFonts w:eastAsia="Times New Roman"/>
          <w:szCs w:val="24"/>
          <w:lang w:eastAsia="lv-LV"/>
        </w:rPr>
      </w:pPr>
    </w:p>
    <w:p w:rsidR="00D233EC" w:rsidP="00C775D7" w14:paraId="25BE88EA" w14:textId="25E8142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Ministrs </w:t>
      </w:r>
      <w:r w:rsidRPr="00FE6B2E">
        <w:rPr>
          <w:rFonts w:ascii="Times New Roman" w:eastAsia="Times New Roman" w:hAnsi="Times New Roman"/>
          <w:sz w:val="24"/>
          <w:szCs w:val="24"/>
        </w:rPr>
        <w:tab/>
      </w:r>
      <w:r w:rsidR="009008E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775D7">
        <w:rPr>
          <w:rFonts w:ascii="Times New Roman" w:eastAsia="Times New Roman" w:hAnsi="Times New Roman"/>
          <w:sz w:val="24"/>
          <w:szCs w:val="24"/>
        </w:rPr>
        <w:t>Juris </w:t>
      </w:r>
      <w:r>
        <w:rPr>
          <w:rFonts w:ascii="Times New Roman" w:eastAsia="Times New Roman" w:hAnsi="Times New Roman"/>
          <w:sz w:val="24"/>
          <w:szCs w:val="24"/>
        </w:rPr>
        <w:t>Pūce</w:t>
      </w:r>
    </w:p>
    <w:p w:rsidR="00D233EC" w:rsidRPr="00F17611" w:rsidP="00F7599E" w14:paraId="25BE88ED" w14:textId="7777777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6AEC" w:rsidP="006C6D82" w14:paraId="25472AD5" w14:textId="77777777">
      <w:pPr>
        <w:pStyle w:val="BodyTextIndent"/>
        <w:spacing w:before="0" w:after="0"/>
        <w:ind w:left="0"/>
      </w:pPr>
    </w:p>
    <w:p w:rsidR="00DA6AEC" w:rsidP="006C6D82" w14:paraId="43E6279C" w14:textId="77777777">
      <w:pPr>
        <w:pStyle w:val="BodyTextIndent"/>
        <w:spacing w:before="0" w:after="0"/>
        <w:ind w:left="0"/>
      </w:pPr>
    </w:p>
    <w:p w:rsidR="00DA6AEC" w:rsidP="006C6D82" w14:paraId="2E14255B" w14:textId="77777777">
      <w:pPr>
        <w:pStyle w:val="BodyTextIndent"/>
        <w:spacing w:before="0" w:after="0"/>
        <w:ind w:left="0"/>
      </w:pPr>
    </w:p>
    <w:p w:rsidR="006C6D82" w:rsidP="006C6D82" w14:paraId="25BE88EE" w14:textId="6F8A776B">
      <w:pPr>
        <w:pStyle w:val="BodyTextIndent"/>
        <w:spacing w:before="0" w:after="0"/>
        <w:ind w:left="0"/>
      </w:pPr>
      <w:r>
        <w:t xml:space="preserve">Ozoliņa </w:t>
      </w:r>
      <w:r w:rsidRPr="00CF7BF7" w:rsidR="00D233EC">
        <w:t>6</w:t>
      </w:r>
      <w:r w:rsidR="00D233EC">
        <w:t>6016789</w:t>
      </w:r>
    </w:p>
    <w:p w:rsidR="00005918" w:rsidP="0080576A" w14:paraId="25BE88F4" w14:textId="1C26714E">
      <w:pPr>
        <w:pStyle w:val="BodyTextIndent"/>
        <w:spacing w:before="0" w:after="0"/>
        <w:ind w:left="0"/>
        <w:rPr>
          <w:rStyle w:val="Hyperlink"/>
        </w:rPr>
      </w:pPr>
      <w:hyperlink r:id="rId4" w:history="1">
        <w:r w:rsidRPr="001A42A0" w:rsidR="00A65DE5">
          <w:rPr>
            <w:rStyle w:val="Hyperlink"/>
          </w:rPr>
          <w:t>Ivita.Ozolina@varam.gov.lv</w:t>
        </w:r>
      </w:hyperlink>
    </w:p>
    <w:p w:rsidR="00DA6AEC" w:rsidP="0080576A" w14:paraId="09D57F80" w14:textId="5E8913E3">
      <w:pPr>
        <w:pStyle w:val="BodyTextIndent"/>
        <w:spacing w:before="0" w:after="0"/>
        <w:ind w:left="0"/>
        <w:rPr>
          <w:rStyle w:val="Hyperlink"/>
        </w:rPr>
      </w:pPr>
    </w:p>
    <w:p w:rsidR="00DA6AEC" w:rsidRPr="0080576A" w:rsidP="0080576A" w14:paraId="4BCCC2C2" w14:textId="77777777">
      <w:pPr>
        <w:pStyle w:val="BodyTextIndent"/>
        <w:spacing w:before="0" w:after="0"/>
        <w:ind w:left="0"/>
        <w:rPr>
          <w:color w:val="0000FF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8222"/>
      </w:tblGrid>
      <w:tr w14:paraId="25BE88F6" w14:textId="77777777" w:rsidTr="00316DCA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316DCA" w:rsidP="00A65DE5" w14:paraId="25BE88F5" w14:textId="77777777">
            <w:pPr>
              <w:pStyle w:val="BodyTextIndent"/>
              <w:ind w:left="0"/>
              <w:jc w:val="center"/>
            </w:pPr>
            <w:bookmarkStart w:id="1" w:name="edoc_info" w:colFirst="0" w:colLast="0"/>
            <w:r>
              <w:t>ŠIS DOKUMENTS IR ELEKTRONISKI PARAKSTĪTS AR DROŠU ELEKTRONISKO PARAKSTU UN SATUR LAIKA ZĪMOGU</w:t>
            </w:r>
          </w:p>
        </w:tc>
      </w:tr>
      <w:bookmarkEnd w:id="1"/>
    </w:tbl>
    <w:p w:rsidR="00316DCA" w:rsidRPr="00C27521" w:rsidP="0080576A" w14:paraId="25BE88F7" w14:textId="77777777">
      <w:pPr>
        <w:rPr>
          <w:rFonts w:ascii="Times New Roman" w:hAnsi="Times New Roman"/>
          <w:sz w:val="24"/>
          <w:szCs w:val="24"/>
        </w:rPr>
      </w:pPr>
    </w:p>
    <w:sectPr w:rsidSect="00316DCA">
      <w:headerReference w:type="default" r:id="rId5"/>
      <w:footerReference w:type="default" r:id="rId6"/>
      <w:headerReference w:type="first" r:id="rId7"/>
      <w:foot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6182" w:rsidRPr="00EF656E" w:rsidP="00F7599E" w14:paraId="3F38A9DB" w14:textId="13C91468">
    <w:pPr>
      <w:pStyle w:val="Footer"/>
      <w:jc w:val="center"/>
      <w:rPr>
        <w:rFonts w:ascii="Times New Roman" w:hAnsi="Times New Roman"/>
      </w:rPr>
    </w:pPr>
  </w:p>
  <w:p w:rsidR="00276182" w:rsidRPr="00EF656E" w:rsidP="00EF656E" w14:paraId="3EED4CB1" w14:textId="30A404D5">
    <w:pPr>
      <w:pStyle w:val="Footer"/>
      <w:rPr>
        <w:rFonts w:ascii="Times New Roman" w:hAnsi="Times New Roman"/>
      </w:rPr>
    </w:pPr>
    <w:r w:rsidRPr="00EF656E">
      <w:rPr>
        <w:rFonts w:ascii="Times New Roman" w:hAnsi="Times New Roman"/>
      </w:rPr>
      <w:t>VARAMPav_310320_protokollem_katastr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6182" w:rsidP="00EF656E" w14:paraId="2CE03677" w14:textId="77777777">
    <w:pPr>
      <w:pStyle w:val="Footer"/>
      <w:rPr>
        <w:rFonts w:ascii="Times New Roman" w:hAnsi="Times New Roman"/>
      </w:rPr>
    </w:pPr>
  </w:p>
  <w:p w:rsidR="00276182" w:rsidRPr="00F7599E" w14:paraId="389CECE7" w14:textId="7EDC0868">
    <w:pPr>
      <w:pStyle w:val="Footer"/>
      <w:rPr>
        <w:rFonts w:ascii="Times New Roman" w:hAnsi="Times New Roman"/>
      </w:rPr>
    </w:pPr>
    <w:r w:rsidRPr="00EF656E">
      <w:rPr>
        <w:rFonts w:ascii="Times New Roman" w:hAnsi="Times New Roman"/>
      </w:rPr>
      <w:t>VARAMPav_310320_protokollem_katastr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40724120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:rsidR="00276182" w:rsidRPr="00F7599E" w14:paraId="67725AAD" w14:textId="0A3CABAA">
        <w:pPr>
          <w:pStyle w:val="Header"/>
          <w:jc w:val="center"/>
          <w:rPr>
            <w:rFonts w:ascii="Times" w:hAnsi="Times"/>
            <w:sz w:val="24"/>
          </w:rPr>
        </w:pPr>
        <w:r w:rsidRPr="00F7599E">
          <w:rPr>
            <w:rFonts w:ascii="Times" w:hAnsi="Times"/>
            <w:sz w:val="24"/>
          </w:rPr>
          <w:fldChar w:fldCharType="begin"/>
        </w:r>
        <w:r w:rsidRPr="00F7599E">
          <w:rPr>
            <w:rFonts w:ascii="Times" w:hAnsi="Times"/>
            <w:sz w:val="24"/>
          </w:rPr>
          <w:instrText xml:space="preserve"> PAGE   \* MERGEFORMAT </w:instrText>
        </w:r>
        <w:r w:rsidRPr="00F7599E">
          <w:rPr>
            <w:rFonts w:ascii="Times" w:hAnsi="Times"/>
            <w:sz w:val="24"/>
          </w:rPr>
          <w:fldChar w:fldCharType="separate"/>
        </w:r>
        <w:r w:rsidRPr="00F7599E">
          <w:rPr>
            <w:rFonts w:ascii="Times" w:hAnsi="Times"/>
            <w:noProof/>
            <w:sz w:val="24"/>
          </w:rPr>
          <w:t>3</w:t>
        </w:r>
        <w:r w:rsidRPr="00F7599E">
          <w:rPr>
            <w:rFonts w:ascii="Times" w:hAnsi="Times"/>
            <w:noProof/>
            <w:sz w:val="24"/>
          </w:rPr>
          <w:fldChar w:fldCharType="end"/>
        </w:r>
      </w:p>
    </w:sdtContent>
  </w:sdt>
  <w:p w:rsidR="00276182" w14:paraId="13671C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6182" w:rsidP="00316DCA" w14:paraId="25BE88FC" w14:textId="77777777">
    <w:pPr>
      <w:pStyle w:val="Header"/>
      <w:rPr>
        <w:rFonts w:ascii="Times New Roman" w:hAnsi="Times New Roman"/>
      </w:rPr>
    </w:pPr>
  </w:p>
  <w:p w:rsidR="00276182" w:rsidP="00316DCA" w14:paraId="25BE88FD" w14:textId="77777777">
    <w:pPr>
      <w:pStyle w:val="Header"/>
      <w:rPr>
        <w:rFonts w:ascii="Times New Roman" w:hAnsi="Times New Roman"/>
      </w:rPr>
    </w:pPr>
  </w:p>
  <w:p w:rsidR="00276182" w:rsidP="00316DCA" w14:paraId="25BE88FE" w14:textId="77777777">
    <w:pPr>
      <w:pStyle w:val="Header"/>
      <w:rPr>
        <w:rFonts w:ascii="Times New Roman" w:hAnsi="Times New Roman"/>
      </w:rPr>
    </w:pPr>
  </w:p>
  <w:p w:rsidR="00276182" w:rsidP="00316DCA" w14:paraId="25BE88FF" w14:textId="77777777">
    <w:pPr>
      <w:pStyle w:val="Header"/>
      <w:rPr>
        <w:rFonts w:ascii="Times New Roman" w:hAnsi="Times New Roman"/>
      </w:rPr>
    </w:pPr>
  </w:p>
  <w:p w:rsidR="00276182" w:rsidP="00316DCA" w14:paraId="25BE8900" w14:textId="77777777">
    <w:pPr>
      <w:pStyle w:val="Header"/>
      <w:rPr>
        <w:rFonts w:ascii="Times New Roman" w:hAnsi="Times New Roman"/>
      </w:rPr>
    </w:pPr>
  </w:p>
  <w:p w:rsidR="00276182" w:rsidP="00316DCA" w14:paraId="25BE8901" w14:textId="77777777">
    <w:pPr>
      <w:pStyle w:val="Header"/>
      <w:rPr>
        <w:rFonts w:ascii="Times New Roman" w:hAnsi="Times New Roman"/>
      </w:rPr>
    </w:pPr>
  </w:p>
  <w:p w:rsidR="00276182" w:rsidP="00316DCA" w14:paraId="25BE8902" w14:textId="77777777">
    <w:pPr>
      <w:pStyle w:val="Header"/>
      <w:rPr>
        <w:rFonts w:ascii="Times New Roman" w:hAnsi="Times New Roman"/>
      </w:rPr>
    </w:pPr>
  </w:p>
  <w:p w:rsidR="00276182" w:rsidP="00316DCA" w14:paraId="25BE8903" w14:textId="77777777">
    <w:pPr>
      <w:pStyle w:val="Header"/>
      <w:rPr>
        <w:rFonts w:ascii="Times New Roman" w:hAnsi="Times New Roman"/>
      </w:rPr>
    </w:pPr>
  </w:p>
  <w:p w:rsidR="00276182" w:rsidP="00316DCA" w14:paraId="25BE8904" w14:textId="77777777">
    <w:pPr>
      <w:pStyle w:val="Header"/>
      <w:rPr>
        <w:rFonts w:ascii="Times New Roman" w:hAnsi="Times New Roman"/>
      </w:rPr>
    </w:pPr>
  </w:p>
  <w:p w:rsidR="00276182" w:rsidP="00316DCA" w14:paraId="25BE8905" w14:textId="77777777">
    <w:pPr>
      <w:pStyle w:val="Header"/>
      <w:rPr>
        <w:rFonts w:ascii="Times New Roman" w:hAnsi="Times New Roman"/>
      </w:rPr>
    </w:pPr>
  </w:p>
  <w:p w:rsidR="00276182" w:rsidRPr="00815277" w:rsidP="00316DCA" w14:paraId="25BE8906" w14:textId="77777777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182" w:rsidP="00316DCA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276182" w:rsidP="00316DCA" w14:paraId="25BE890E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4144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276182" w14:paraId="25BE89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D8C4C29"/>
    <w:multiLevelType w:val="hybridMultilevel"/>
    <w:tmpl w:val="C0AE7E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05918"/>
    <w:rsid w:val="00076233"/>
    <w:rsid w:val="000936FC"/>
    <w:rsid w:val="00174814"/>
    <w:rsid w:val="0018404D"/>
    <w:rsid w:val="001A42A0"/>
    <w:rsid w:val="001E7097"/>
    <w:rsid w:val="001F180E"/>
    <w:rsid w:val="00207A90"/>
    <w:rsid w:val="00222A7A"/>
    <w:rsid w:val="0024412F"/>
    <w:rsid w:val="00276182"/>
    <w:rsid w:val="00285E1E"/>
    <w:rsid w:val="00295656"/>
    <w:rsid w:val="00295F09"/>
    <w:rsid w:val="002A5686"/>
    <w:rsid w:val="002C46C3"/>
    <w:rsid w:val="002D5AA7"/>
    <w:rsid w:val="002F4027"/>
    <w:rsid w:val="00304E27"/>
    <w:rsid w:val="00316DCA"/>
    <w:rsid w:val="003643AB"/>
    <w:rsid w:val="00390C1F"/>
    <w:rsid w:val="00393150"/>
    <w:rsid w:val="00430562"/>
    <w:rsid w:val="004B206D"/>
    <w:rsid w:val="004C049D"/>
    <w:rsid w:val="004C5EC4"/>
    <w:rsid w:val="004E2B8B"/>
    <w:rsid w:val="004F74CF"/>
    <w:rsid w:val="005D2CFC"/>
    <w:rsid w:val="00620C63"/>
    <w:rsid w:val="00660151"/>
    <w:rsid w:val="00662883"/>
    <w:rsid w:val="00681C1F"/>
    <w:rsid w:val="0068701D"/>
    <w:rsid w:val="006C6D82"/>
    <w:rsid w:val="006E1219"/>
    <w:rsid w:val="00705E88"/>
    <w:rsid w:val="00722171"/>
    <w:rsid w:val="00784861"/>
    <w:rsid w:val="007A07AF"/>
    <w:rsid w:val="0080576A"/>
    <w:rsid w:val="00815277"/>
    <w:rsid w:val="0082050D"/>
    <w:rsid w:val="008541BF"/>
    <w:rsid w:val="008C724B"/>
    <w:rsid w:val="008E2ADA"/>
    <w:rsid w:val="009008E2"/>
    <w:rsid w:val="009212D3"/>
    <w:rsid w:val="0094799D"/>
    <w:rsid w:val="0096220E"/>
    <w:rsid w:val="00990362"/>
    <w:rsid w:val="009E2497"/>
    <w:rsid w:val="00A45021"/>
    <w:rsid w:val="00A65DE5"/>
    <w:rsid w:val="00AA3199"/>
    <w:rsid w:val="00AD33E9"/>
    <w:rsid w:val="00B0461A"/>
    <w:rsid w:val="00BD1071"/>
    <w:rsid w:val="00C06A07"/>
    <w:rsid w:val="00C14B9C"/>
    <w:rsid w:val="00C21DF8"/>
    <w:rsid w:val="00C2375C"/>
    <w:rsid w:val="00C27521"/>
    <w:rsid w:val="00C452BF"/>
    <w:rsid w:val="00C72889"/>
    <w:rsid w:val="00C775D7"/>
    <w:rsid w:val="00CA0E8F"/>
    <w:rsid w:val="00CA12B6"/>
    <w:rsid w:val="00CE01E6"/>
    <w:rsid w:val="00CF7BF7"/>
    <w:rsid w:val="00D233EC"/>
    <w:rsid w:val="00D24AE6"/>
    <w:rsid w:val="00D866CE"/>
    <w:rsid w:val="00D92A72"/>
    <w:rsid w:val="00DA6AEC"/>
    <w:rsid w:val="00DA7526"/>
    <w:rsid w:val="00E15BDB"/>
    <w:rsid w:val="00E80A25"/>
    <w:rsid w:val="00E928E8"/>
    <w:rsid w:val="00EB6E72"/>
    <w:rsid w:val="00ED6121"/>
    <w:rsid w:val="00EF656E"/>
    <w:rsid w:val="00F17611"/>
    <w:rsid w:val="00F7215C"/>
    <w:rsid w:val="00F7599E"/>
    <w:rsid w:val="00F950F2"/>
    <w:rsid w:val="00FE52DA"/>
    <w:rsid w:val="00FE6B2E"/>
    <w:rsid w:val="00FE78FF"/>
    <w:rsid w:val="00FF1B9D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23BB9E-C9B7-4D83-A798-2E27BC4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D233EC"/>
    <w:pPr>
      <w:widowControl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vita.Ozolina@varam.gov.l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3881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2019. gada 17. decembra protokollēmuma Nr. 59 63. § “Noteikumu projekts “Ģeoloģiskā un ģeomorfoloģiskā dabas pieminekļa “Buļļu kāpas”individuālie aizsardzības un izmantošanas noteikumi””3. punktā dotā uzdevuma izpildi </vt:lpstr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2019. gada 17. decembra protokollēmuma Nr. 59 63. § “Noteikumu projekts “Ģeoloģiskā un ģeomorfoloģiskā dabas pieminekļa “Buļļu kāpas”individuālie aizsardzības un izmantošanas noteikumi””3. punktā dotā uzdevuma izpildi</dc:title>
  <dc:subject>Pavadvēstule</dc:subject>
  <dc:creator>Ivita Ozoliņa</dc:creator>
  <dc:description>Ozoliņa 66016789
Ivita.Ozolina@varam.gov.lv</dc:description>
  <cp:lastModifiedBy>Madara Gaile</cp:lastModifiedBy>
  <cp:revision>27</cp:revision>
  <dcterms:created xsi:type="dcterms:W3CDTF">2020-01-29T08:48:00Z</dcterms:created>
  <dcterms:modified xsi:type="dcterms:W3CDTF">2020-04-02T06:58:00Z</dcterms:modified>
  <cp:category>Vides politika; Dabas aizsardzība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