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449BA" w14:textId="20E3DFBB" w:rsidR="00384ABD" w:rsidRPr="00384ABD" w:rsidRDefault="00576958" w:rsidP="00384ABD">
      <w:pPr>
        <w:pStyle w:val="Title"/>
        <w:spacing w:line="276" w:lineRule="auto"/>
        <w:ind w:right="-28" w:firstLine="357"/>
        <w:outlineLvl w:val="0"/>
        <w:rPr>
          <w:rStyle w:val="Nessuno"/>
          <w:rFonts w:eastAsiaTheme="minorHAnsi"/>
          <w:b/>
          <w:bCs/>
          <w:sz w:val="24"/>
          <w:szCs w:val="24"/>
          <w:lang w:eastAsia="en-US"/>
        </w:rPr>
      </w:pPr>
      <w:bookmarkStart w:id="0" w:name="_Toc256000072"/>
      <w:bookmarkStart w:id="1" w:name="_Toc256000025"/>
      <w:bookmarkStart w:id="2" w:name="_Toc256000017"/>
      <w:bookmarkStart w:id="3" w:name="_Toc508114808"/>
      <w:bookmarkStart w:id="4" w:name="_Toc512084293"/>
      <w:bookmarkStart w:id="5" w:name="_Toc256000074"/>
      <w:bookmarkStart w:id="6" w:name="_Toc256000033"/>
      <w:bookmarkStart w:id="7" w:name="_Toc256000019"/>
      <w:bookmarkStart w:id="8" w:name="_Toc508114809"/>
      <w:bookmarkStart w:id="9" w:name="_Toc512084295"/>
      <w:bookmarkStart w:id="10" w:name="_Hlk37249802"/>
      <w:r w:rsidRPr="00C165CF">
        <w:rPr>
          <w:rFonts w:eastAsiaTheme="minorHAnsi"/>
          <w:b/>
          <w:bCs/>
          <w:sz w:val="24"/>
          <w:szCs w:val="24"/>
          <w:lang w:eastAsia="en-US"/>
        </w:rPr>
        <w:t>Informatīvais ziņojums</w:t>
      </w:r>
      <w:bookmarkEnd w:id="0"/>
      <w:bookmarkEnd w:id="1"/>
      <w:bookmarkEnd w:id="2"/>
      <w:bookmarkEnd w:id="3"/>
      <w:bookmarkEnd w:id="4"/>
      <w:r w:rsidRPr="00C165CF">
        <w:rPr>
          <w:rFonts w:eastAsiaTheme="minorHAnsi"/>
          <w:b/>
          <w:bCs/>
          <w:sz w:val="24"/>
          <w:szCs w:val="24"/>
          <w:lang w:eastAsia="en-US"/>
        </w:rPr>
        <w:t xml:space="preserve"> “Par </w:t>
      </w:r>
      <w:r w:rsidR="00E30472" w:rsidRPr="00C165CF">
        <w:rPr>
          <w:rFonts w:eastAsiaTheme="minorHAnsi"/>
          <w:b/>
          <w:bCs/>
          <w:sz w:val="24"/>
          <w:szCs w:val="24"/>
          <w:lang w:eastAsia="en-US"/>
        </w:rPr>
        <w:t xml:space="preserve">nepieciešamo </w:t>
      </w:r>
      <w:r w:rsidRPr="00C165CF">
        <w:rPr>
          <w:rFonts w:eastAsiaTheme="minorHAnsi"/>
          <w:b/>
          <w:bCs/>
          <w:sz w:val="24"/>
          <w:szCs w:val="24"/>
          <w:lang w:eastAsia="en-US"/>
        </w:rPr>
        <w:t>rīcību</w:t>
      </w:r>
      <w:r w:rsidR="00E30472" w:rsidRPr="00C165CF">
        <w:rPr>
          <w:rFonts w:eastAsiaTheme="minorHAnsi"/>
          <w:b/>
          <w:bCs/>
          <w:sz w:val="24"/>
          <w:szCs w:val="24"/>
          <w:lang w:eastAsia="en-US"/>
        </w:rPr>
        <w:t xml:space="preserve">, lai </w:t>
      </w:r>
      <w:r w:rsidR="00221038" w:rsidRPr="00C165CF">
        <w:rPr>
          <w:rFonts w:eastAsiaTheme="minorHAnsi"/>
          <w:b/>
          <w:sz w:val="24"/>
          <w:szCs w:val="24"/>
          <w:lang w:eastAsia="en-US"/>
        </w:rPr>
        <w:t xml:space="preserve">sagatavotu priekšnosacījumus </w:t>
      </w:r>
      <w:r w:rsidRPr="00C165CF">
        <w:rPr>
          <w:rFonts w:eastAsiaTheme="minorHAnsi"/>
          <w:b/>
          <w:bCs/>
          <w:sz w:val="24"/>
          <w:szCs w:val="24"/>
          <w:lang w:eastAsia="en-US"/>
        </w:rPr>
        <w:t xml:space="preserve">Eiropas </w:t>
      </w:r>
      <w:r w:rsidR="004A5CFB" w:rsidRPr="00C165CF">
        <w:rPr>
          <w:rFonts w:eastAsiaTheme="minorHAnsi"/>
          <w:b/>
          <w:bCs/>
          <w:sz w:val="24"/>
          <w:szCs w:val="24"/>
          <w:lang w:eastAsia="en-US"/>
        </w:rPr>
        <w:t>D</w:t>
      </w:r>
      <w:r w:rsidRPr="00C165CF">
        <w:rPr>
          <w:rFonts w:eastAsiaTheme="minorHAnsi"/>
          <w:b/>
          <w:bCs/>
          <w:sz w:val="24"/>
          <w:szCs w:val="24"/>
          <w:lang w:eastAsia="en-US"/>
        </w:rPr>
        <w:t xml:space="preserve">igitālo inovāciju centru </w:t>
      </w:r>
      <w:r w:rsidR="00221038" w:rsidRPr="00C165CF">
        <w:rPr>
          <w:rFonts w:eastAsiaTheme="minorHAnsi"/>
          <w:b/>
          <w:bCs/>
          <w:sz w:val="24"/>
          <w:szCs w:val="24"/>
          <w:lang w:eastAsia="en-US"/>
        </w:rPr>
        <w:t xml:space="preserve">izveidei </w:t>
      </w:r>
      <w:r w:rsidR="00AD104D" w:rsidRPr="00C165CF">
        <w:rPr>
          <w:rFonts w:eastAsiaTheme="minorHAnsi"/>
          <w:b/>
          <w:bCs/>
          <w:sz w:val="24"/>
          <w:szCs w:val="24"/>
          <w:lang w:eastAsia="en-US"/>
        </w:rPr>
        <w:t>Latvijas Republikā</w:t>
      </w:r>
      <w:bookmarkEnd w:id="5"/>
      <w:bookmarkEnd w:id="6"/>
      <w:bookmarkEnd w:id="7"/>
      <w:bookmarkEnd w:id="8"/>
      <w:bookmarkEnd w:id="9"/>
      <w:r w:rsidR="00AD104D" w:rsidRPr="00C165CF">
        <w:rPr>
          <w:rFonts w:eastAsiaTheme="minorHAnsi"/>
          <w:b/>
          <w:bCs/>
          <w:sz w:val="24"/>
          <w:szCs w:val="24"/>
          <w:lang w:eastAsia="en-US"/>
        </w:rPr>
        <w:t xml:space="preserve"> atbilstoši </w:t>
      </w:r>
      <w:r w:rsidR="00042DD8" w:rsidRPr="00AC249C">
        <w:rPr>
          <w:b/>
          <w:sz w:val="24"/>
          <w:szCs w:val="24"/>
        </w:rPr>
        <w:t>Eiropas Parlamenta un Padomes</w:t>
      </w:r>
      <w:r w:rsidR="00042DD8" w:rsidRPr="00E040B1">
        <w:t xml:space="preserve"> </w:t>
      </w:r>
      <w:r w:rsidR="00C165CF" w:rsidRPr="00C165CF">
        <w:rPr>
          <w:rFonts w:eastAsiaTheme="minorHAnsi"/>
          <w:b/>
          <w:bCs/>
          <w:sz w:val="24"/>
          <w:szCs w:val="24"/>
          <w:lang w:eastAsia="en-US"/>
        </w:rPr>
        <w:t xml:space="preserve">regulas </w:t>
      </w:r>
      <w:r w:rsidR="00C165CF" w:rsidRPr="00771923">
        <w:rPr>
          <w:rFonts w:eastAsiaTheme="minorHAnsi"/>
          <w:b/>
          <w:bCs/>
          <w:sz w:val="24"/>
          <w:szCs w:val="24"/>
          <w:lang w:eastAsia="en-US"/>
        </w:rPr>
        <w:t>priekšlikumam</w:t>
      </w:r>
      <w:r w:rsidR="00C165CF">
        <w:rPr>
          <w:rFonts w:eastAsiaTheme="minorHAnsi"/>
          <w:b/>
          <w:bCs/>
          <w:sz w:val="24"/>
          <w:szCs w:val="24"/>
          <w:lang w:eastAsia="en-US"/>
        </w:rPr>
        <w:t>,</w:t>
      </w:r>
      <w:r w:rsidR="005A7417">
        <w:rPr>
          <w:rFonts w:eastAsiaTheme="minorHAnsi"/>
          <w:b/>
          <w:bCs/>
          <w:sz w:val="24"/>
          <w:szCs w:val="24"/>
          <w:lang w:eastAsia="en-US"/>
        </w:rPr>
        <w:t xml:space="preserve"> ar ko laikposmam  no 2021. </w:t>
      </w:r>
      <w:r w:rsidR="00C165CF" w:rsidRPr="00C165CF">
        <w:rPr>
          <w:rFonts w:eastAsiaTheme="minorHAnsi"/>
          <w:b/>
          <w:bCs/>
          <w:sz w:val="24"/>
          <w:szCs w:val="24"/>
          <w:lang w:eastAsia="en-US"/>
        </w:rPr>
        <w:t>līdz 2027.</w:t>
      </w:r>
      <w:r w:rsidR="005A7417">
        <w:rPr>
          <w:rFonts w:eastAsiaTheme="minorHAnsi"/>
          <w:b/>
          <w:bCs/>
          <w:sz w:val="24"/>
          <w:szCs w:val="24"/>
          <w:lang w:eastAsia="en-US"/>
        </w:rPr>
        <w:t> </w:t>
      </w:r>
      <w:r w:rsidR="00C165CF" w:rsidRPr="00C165CF">
        <w:rPr>
          <w:rFonts w:eastAsiaTheme="minorHAnsi"/>
          <w:b/>
          <w:bCs/>
          <w:sz w:val="24"/>
          <w:szCs w:val="24"/>
          <w:lang w:eastAsia="en-US"/>
        </w:rPr>
        <w:t>gada</w:t>
      </w:r>
      <w:r w:rsidR="00C165CF">
        <w:rPr>
          <w:rFonts w:eastAsiaTheme="minorHAnsi"/>
          <w:b/>
          <w:bCs/>
          <w:sz w:val="24"/>
          <w:szCs w:val="24"/>
          <w:lang w:eastAsia="en-US"/>
        </w:rPr>
        <w:t xml:space="preserve">m izveido Digitālās </w:t>
      </w:r>
      <w:r w:rsidR="0028021B">
        <w:rPr>
          <w:rFonts w:eastAsiaTheme="minorHAnsi"/>
          <w:b/>
          <w:bCs/>
          <w:sz w:val="24"/>
          <w:szCs w:val="24"/>
          <w:lang w:eastAsia="en-US"/>
        </w:rPr>
        <w:t>Eiropas</w:t>
      </w:r>
      <w:r w:rsidR="00C165CF">
        <w:rPr>
          <w:rFonts w:eastAsiaTheme="minorHAnsi"/>
          <w:b/>
          <w:bCs/>
          <w:sz w:val="24"/>
          <w:szCs w:val="24"/>
          <w:lang w:eastAsia="en-US"/>
        </w:rPr>
        <w:t xml:space="preserve"> programmu”</w:t>
      </w:r>
    </w:p>
    <w:bookmarkEnd w:id="10"/>
    <w:p w14:paraId="7A3D309F" w14:textId="77777777" w:rsidR="00384ABD" w:rsidRDefault="00384ABD" w:rsidP="007434DE">
      <w:pPr>
        <w:pStyle w:val="Title"/>
        <w:spacing w:line="276" w:lineRule="auto"/>
        <w:ind w:right="-28" w:firstLine="357"/>
        <w:jc w:val="both"/>
        <w:outlineLvl w:val="0"/>
        <w:rPr>
          <w:rStyle w:val="Nessuno"/>
          <w:rFonts w:eastAsia="Calibri" w:cs="Calibri"/>
          <w:noProof/>
          <w:color w:val="000000"/>
          <w:sz w:val="24"/>
          <w:szCs w:val="22"/>
          <w:u w:color="000000"/>
          <w:bdr w:val="nil"/>
          <w:lang w:bidi="lv-LV"/>
        </w:rPr>
      </w:pPr>
    </w:p>
    <w:p w14:paraId="13CDAB6E" w14:textId="560BE302" w:rsidR="00766761" w:rsidRPr="000C507A" w:rsidRDefault="00766761" w:rsidP="008918BA">
      <w:pPr>
        <w:pStyle w:val="Title"/>
        <w:numPr>
          <w:ilvl w:val="0"/>
          <w:numId w:val="12"/>
        </w:numPr>
        <w:spacing w:line="276" w:lineRule="auto"/>
        <w:ind w:right="-28"/>
        <w:outlineLvl w:val="0"/>
        <w:rPr>
          <w:rFonts w:eastAsiaTheme="minorHAnsi"/>
          <w:b/>
          <w:sz w:val="24"/>
        </w:rPr>
      </w:pPr>
      <w:r w:rsidRPr="000C507A">
        <w:rPr>
          <w:rFonts w:eastAsiaTheme="minorHAnsi"/>
          <w:b/>
          <w:sz w:val="24"/>
        </w:rPr>
        <w:t>Ievads</w:t>
      </w:r>
    </w:p>
    <w:p w14:paraId="187F2B9D" w14:textId="1658A2F3" w:rsidR="00384ABD" w:rsidRPr="00384ABD" w:rsidRDefault="00384ABD" w:rsidP="00721CD0">
      <w:pPr>
        <w:pStyle w:val="Title"/>
        <w:ind w:right="-28" w:firstLine="720"/>
        <w:jc w:val="both"/>
        <w:outlineLvl w:val="0"/>
        <w:rPr>
          <w:rFonts w:eastAsiaTheme="minorHAnsi"/>
          <w:sz w:val="24"/>
          <w:szCs w:val="24"/>
          <w:lang w:eastAsia="en-US"/>
        </w:rPr>
      </w:pPr>
      <w:r w:rsidRPr="00384ABD">
        <w:rPr>
          <w:rFonts w:eastAsiaTheme="minorHAnsi"/>
          <w:sz w:val="24"/>
          <w:szCs w:val="24"/>
          <w:lang w:eastAsia="en-US"/>
        </w:rPr>
        <w:t xml:space="preserve">Vides aizsardzības un reģionālās attīstības ministrija (turpmāk – VARAM) ir sagatavojusi informatīvo ziņojumu “Par nepieciešamo rīcību, lai sagatavotu priekšnosacījumus Eiropas Digitālo inovāciju centru izveidei Latvijas Republikā atbilstoši </w:t>
      </w:r>
      <w:r w:rsidR="00042DD8" w:rsidRPr="00AC249C">
        <w:rPr>
          <w:sz w:val="24"/>
          <w:szCs w:val="24"/>
        </w:rPr>
        <w:t>Eiropas Parlamenta un Padomes</w:t>
      </w:r>
      <w:r w:rsidR="00042DD8" w:rsidRPr="00E040B1">
        <w:t xml:space="preserve"> </w:t>
      </w:r>
      <w:r w:rsidRPr="00384ABD">
        <w:rPr>
          <w:rFonts w:eastAsiaTheme="minorHAnsi"/>
          <w:sz w:val="24"/>
          <w:szCs w:val="24"/>
          <w:lang w:eastAsia="en-US"/>
        </w:rPr>
        <w:t>regulas priekšliku</w:t>
      </w:r>
      <w:r w:rsidR="005A7417">
        <w:rPr>
          <w:rFonts w:eastAsiaTheme="minorHAnsi"/>
          <w:sz w:val="24"/>
          <w:szCs w:val="24"/>
          <w:lang w:eastAsia="en-US"/>
        </w:rPr>
        <w:t>mam, ar ko laikposmam  no 2021. </w:t>
      </w:r>
      <w:r w:rsidRPr="00384ABD">
        <w:rPr>
          <w:rFonts w:eastAsiaTheme="minorHAnsi"/>
          <w:sz w:val="24"/>
          <w:szCs w:val="24"/>
          <w:lang w:eastAsia="en-US"/>
        </w:rPr>
        <w:t>līdz 2027.</w:t>
      </w:r>
      <w:r w:rsidR="005A7417">
        <w:rPr>
          <w:rFonts w:eastAsiaTheme="minorHAnsi"/>
          <w:sz w:val="24"/>
          <w:szCs w:val="24"/>
          <w:lang w:eastAsia="en-US"/>
        </w:rPr>
        <w:t> </w:t>
      </w:r>
      <w:r w:rsidRPr="00384ABD">
        <w:rPr>
          <w:rFonts w:eastAsiaTheme="minorHAnsi"/>
          <w:sz w:val="24"/>
          <w:szCs w:val="24"/>
          <w:lang w:eastAsia="en-US"/>
        </w:rPr>
        <w:t>g</w:t>
      </w:r>
      <w:r w:rsidR="005A7417">
        <w:rPr>
          <w:rFonts w:eastAsiaTheme="minorHAnsi"/>
          <w:sz w:val="24"/>
          <w:szCs w:val="24"/>
          <w:lang w:eastAsia="en-US"/>
        </w:rPr>
        <w:t>adam izveido Digitālās Eiropas</w:t>
      </w:r>
      <w:r w:rsidRPr="00384ABD">
        <w:rPr>
          <w:rFonts w:eastAsiaTheme="minorHAnsi"/>
          <w:sz w:val="24"/>
          <w:szCs w:val="24"/>
          <w:lang w:eastAsia="en-US"/>
        </w:rPr>
        <w:t xml:space="preserve"> programmu</w:t>
      </w:r>
      <w:r w:rsidR="00042DD8">
        <w:rPr>
          <w:rStyle w:val="FootnoteReference"/>
          <w:rFonts w:eastAsiaTheme="minorHAnsi"/>
          <w:sz w:val="24"/>
          <w:szCs w:val="24"/>
          <w:lang w:eastAsia="en-US"/>
        </w:rPr>
        <w:footnoteReference w:id="2"/>
      </w:r>
      <w:r w:rsidRPr="00384ABD">
        <w:rPr>
          <w:rFonts w:eastAsiaTheme="minorHAnsi"/>
          <w:sz w:val="24"/>
          <w:szCs w:val="24"/>
          <w:lang w:eastAsia="en-US"/>
        </w:rPr>
        <w:t xml:space="preserve">” (turpmāk – informatīvais ziņojums). </w:t>
      </w:r>
    </w:p>
    <w:p w14:paraId="61B8F695" w14:textId="03206D17" w:rsidR="00384ABD" w:rsidRPr="00384ABD" w:rsidRDefault="00384ABD" w:rsidP="00721CD0">
      <w:pPr>
        <w:pStyle w:val="naisf"/>
        <w:spacing w:before="0" w:beforeAutospacing="0" w:after="0" w:afterAutospacing="0"/>
        <w:ind w:firstLine="720"/>
        <w:rPr>
          <w:lang w:val="lv-LV"/>
        </w:rPr>
      </w:pPr>
      <w:bookmarkStart w:id="11" w:name="_Hlk37254394"/>
      <w:r w:rsidRPr="00384ABD">
        <w:rPr>
          <w:lang w:val="lv-LV"/>
        </w:rPr>
        <w:t xml:space="preserve">Informatīvais ziņojums izstrādāts ar mērķi sagatavot </w:t>
      </w:r>
      <w:r w:rsidRPr="00384ABD">
        <w:rPr>
          <w:rFonts w:eastAsiaTheme="minorHAnsi"/>
          <w:lang w:val="lv-LV"/>
        </w:rPr>
        <w:t>turpmāko rīcību</w:t>
      </w:r>
      <w:r w:rsidRPr="00384ABD">
        <w:rPr>
          <w:lang w:val="lv-LV"/>
        </w:rPr>
        <w:t xml:space="preserve">, lai Latvijā izveidotu Eiropas Digitālo inovāciju centrus (turpmāk – Centri) saskaņā ar Eiropas Savienības (turpmāk – ES) </w:t>
      </w:r>
      <w:r>
        <w:rPr>
          <w:rStyle w:val="Nessuno"/>
          <w:rFonts w:eastAsia="Calibri" w:cs="Calibri"/>
          <w:noProof/>
          <w:color w:val="000000"/>
          <w:szCs w:val="22"/>
          <w:u w:color="000000"/>
          <w:bdr w:val="nil"/>
          <w:lang w:eastAsia="lv-LV" w:bidi="lv-LV"/>
        </w:rPr>
        <w:t>Digitāla</w:t>
      </w:r>
      <w:r w:rsidRPr="00384ABD">
        <w:rPr>
          <w:rStyle w:val="Nessuno"/>
          <w:rFonts w:eastAsia="Calibri" w:cs="Calibri"/>
          <w:noProof/>
          <w:color w:val="000000"/>
          <w:szCs w:val="22"/>
          <w:u w:color="000000"/>
          <w:bdr w:val="nil"/>
          <w:lang w:eastAsia="lv-LV" w:bidi="lv-LV"/>
        </w:rPr>
        <w:t xml:space="preserve">s </w:t>
      </w:r>
      <w:r>
        <w:rPr>
          <w:rStyle w:val="Nessuno"/>
          <w:rFonts w:eastAsia="Calibri" w:cs="Calibri"/>
          <w:noProof/>
          <w:color w:val="000000"/>
          <w:szCs w:val="22"/>
          <w:u w:color="000000"/>
          <w:bdr w:val="nil"/>
          <w:lang w:eastAsia="lv-LV" w:bidi="lv-LV"/>
        </w:rPr>
        <w:t>Eiropas programmā</w:t>
      </w:r>
      <w:r w:rsidRPr="00384ABD">
        <w:rPr>
          <w:rStyle w:val="Nessuno"/>
          <w:rFonts w:eastAsia="Calibri" w:cs="Calibri"/>
          <w:noProof/>
          <w:color w:val="000000"/>
          <w:szCs w:val="22"/>
          <w:u w:color="000000"/>
          <w:bdr w:val="nil"/>
          <w:lang w:bidi="lv-LV"/>
        </w:rPr>
        <w:t xml:space="preserve"> (turpmāk – DEP) </w:t>
      </w:r>
      <w:r w:rsidRPr="00384ABD">
        <w:rPr>
          <w:lang w:val="lv-LV"/>
        </w:rPr>
        <w:t xml:space="preserve"> ietverto pasākumu “Izveidot un nostiprināt digitālās inovācijas centru tīklu”.</w:t>
      </w:r>
    </w:p>
    <w:bookmarkEnd w:id="11"/>
    <w:p w14:paraId="797E35D4" w14:textId="377C39BF" w:rsidR="00766761" w:rsidRDefault="00384ABD" w:rsidP="00721CD0">
      <w:pPr>
        <w:pStyle w:val="Title"/>
        <w:ind w:right="-28" w:firstLine="720"/>
        <w:jc w:val="both"/>
        <w:outlineLvl w:val="0"/>
        <w:rPr>
          <w:rStyle w:val="Nessuno"/>
          <w:noProof/>
          <w:sz w:val="24"/>
        </w:rPr>
      </w:pPr>
      <w:r>
        <w:rPr>
          <w:rStyle w:val="Nessuno"/>
          <w:noProof/>
          <w:sz w:val="24"/>
        </w:rPr>
        <w:t>Saskaņā ar</w:t>
      </w:r>
      <w:r w:rsidR="003D6EDA">
        <w:rPr>
          <w:rStyle w:val="Nessuno"/>
          <w:noProof/>
          <w:sz w:val="24"/>
        </w:rPr>
        <w:t xml:space="preserve"> </w:t>
      </w:r>
      <w:r w:rsidR="003D6EDA" w:rsidRPr="006A61C3">
        <w:rPr>
          <w:sz w:val="24"/>
          <w:szCs w:val="24"/>
        </w:rPr>
        <w:t>Eiropas Parlamenta un Padomes</w:t>
      </w:r>
      <w:r>
        <w:rPr>
          <w:rStyle w:val="Nessuno"/>
          <w:noProof/>
          <w:sz w:val="24"/>
        </w:rPr>
        <w:t xml:space="preserve"> </w:t>
      </w:r>
      <w:r w:rsidR="002670D8">
        <w:rPr>
          <w:rStyle w:val="Nessuno"/>
          <w:noProof/>
          <w:sz w:val="24"/>
        </w:rPr>
        <w:t xml:space="preserve">regulas </w:t>
      </w:r>
      <w:r>
        <w:rPr>
          <w:rStyle w:val="Nessuno"/>
          <w:noProof/>
          <w:sz w:val="24"/>
        </w:rPr>
        <w:t>priekšlikumu</w:t>
      </w:r>
      <w:r w:rsidR="003D6EDA">
        <w:rPr>
          <w:rStyle w:val="Nessuno"/>
          <w:noProof/>
          <w:sz w:val="24"/>
        </w:rPr>
        <w:t>,</w:t>
      </w:r>
      <w:r w:rsidRPr="00384ABD">
        <w:rPr>
          <w:rStyle w:val="Nessuno"/>
          <w:noProof/>
          <w:sz w:val="24"/>
        </w:rPr>
        <w:t xml:space="preserve"> </w:t>
      </w:r>
      <w:r w:rsidR="003D6EDA">
        <w:rPr>
          <w:rFonts w:eastAsiaTheme="minorHAnsi"/>
          <w:sz w:val="24"/>
          <w:szCs w:val="24"/>
          <w:lang w:eastAsia="en-US"/>
        </w:rPr>
        <w:t>ar ko laikposmam  no 2021. </w:t>
      </w:r>
      <w:r w:rsidR="003D6EDA" w:rsidRPr="00384ABD">
        <w:rPr>
          <w:rFonts w:eastAsiaTheme="minorHAnsi"/>
          <w:sz w:val="24"/>
          <w:szCs w:val="24"/>
          <w:lang w:eastAsia="en-US"/>
        </w:rPr>
        <w:t>līdz 2027.</w:t>
      </w:r>
      <w:r w:rsidR="003D6EDA">
        <w:rPr>
          <w:rFonts w:eastAsiaTheme="minorHAnsi"/>
          <w:sz w:val="24"/>
          <w:szCs w:val="24"/>
          <w:lang w:eastAsia="en-US"/>
        </w:rPr>
        <w:t> </w:t>
      </w:r>
      <w:r w:rsidR="003D6EDA" w:rsidRPr="00384ABD">
        <w:rPr>
          <w:rFonts w:eastAsiaTheme="minorHAnsi"/>
          <w:sz w:val="24"/>
          <w:szCs w:val="24"/>
          <w:lang w:eastAsia="en-US"/>
        </w:rPr>
        <w:t>g</w:t>
      </w:r>
      <w:r w:rsidR="003D6EDA">
        <w:rPr>
          <w:rFonts w:eastAsiaTheme="minorHAnsi"/>
          <w:sz w:val="24"/>
          <w:szCs w:val="24"/>
          <w:lang w:eastAsia="en-US"/>
        </w:rPr>
        <w:t>adam izveido Digitālās Eiropas</w:t>
      </w:r>
      <w:r w:rsidR="003D6EDA" w:rsidRPr="00384ABD">
        <w:rPr>
          <w:rFonts w:eastAsiaTheme="minorHAnsi"/>
          <w:sz w:val="24"/>
          <w:szCs w:val="24"/>
          <w:lang w:eastAsia="en-US"/>
        </w:rPr>
        <w:t xml:space="preserve"> programm</w:t>
      </w:r>
      <w:r w:rsidR="003D6EDA">
        <w:rPr>
          <w:rFonts w:eastAsiaTheme="minorHAnsi"/>
          <w:sz w:val="24"/>
          <w:szCs w:val="24"/>
          <w:lang w:eastAsia="en-US"/>
        </w:rPr>
        <w:t xml:space="preserve">u  (turpmāk - </w:t>
      </w:r>
      <w:r w:rsidR="003D6EDA" w:rsidRPr="006A61C3">
        <w:rPr>
          <w:sz w:val="24"/>
          <w:szCs w:val="24"/>
        </w:rPr>
        <w:t>Eiropas Parlamenta un Padomes</w:t>
      </w:r>
      <w:r w:rsidR="003D6EDA">
        <w:rPr>
          <w:rStyle w:val="Nessuno"/>
          <w:noProof/>
          <w:sz w:val="24"/>
        </w:rPr>
        <w:t xml:space="preserve"> regulas priekšlikums)</w:t>
      </w:r>
      <w:r w:rsidR="003D6EDA">
        <w:rPr>
          <w:rFonts w:eastAsiaTheme="minorHAnsi"/>
          <w:sz w:val="24"/>
          <w:szCs w:val="24"/>
          <w:lang w:eastAsia="en-US"/>
        </w:rPr>
        <w:t xml:space="preserve"> </w:t>
      </w:r>
      <w:r w:rsidRPr="00384ABD">
        <w:rPr>
          <w:rStyle w:val="Nessuno"/>
          <w:noProof/>
          <w:sz w:val="24"/>
        </w:rPr>
        <w:t xml:space="preserve">par daudzgadu finanšu shēmu (turpmāk </w:t>
      </w:r>
      <w:r w:rsidR="009C5F35">
        <w:rPr>
          <w:rStyle w:val="Nessuno"/>
          <w:noProof/>
          <w:sz w:val="24"/>
        </w:rPr>
        <w:t>–</w:t>
      </w:r>
      <w:r w:rsidRPr="00384ABD">
        <w:rPr>
          <w:rStyle w:val="Nessuno"/>
          <w:noProof/>
          <w:sz w:val="24"/>
        </w:rPr>
        <w:t xml:space="preserve"> </w:t>
      </w:r>
      <w:r w:rsidR="005A7417">
        <w:rPr>
          <w:rStyle w:val="Nessuno"/>
          <w:noProof/>
          <w:sz w:val="24"/>
        </w:rPr>
        <w:t>DFS) 2021.</w:t>
      </w:r>
      <w:r w:rsidR="005A7417">
        <w:rPr>
          <w:rStyle w:val="Nessuno"/>
          <w:noProof/>
          <w:sz w:val="24"/>
        </w:rPr>
        <w:noBreakHyphen/>
      </w:r>
      <w:r>
        <w:rPr>
          <w:rStyle w:val="Nessuno"/>
          <w:noProof/>
          <w:sz w:val="24"/>
        </w:rPr>
        <w:t xml:space="preserve">2027. gadam </w:t>
      </w:r>
      <w:r w:rsidR="007434DE" w:rsidRPr="00384ABD">
        <w:rPr>
          <w:rStyle w:val="Nessuno"/>
          <w:rFonts w:eastAsia="Calibri" w:cs="Calibri"/>
          <w:noProof/>
          <w:color w:val="000000"/>
          <w:sz w:val="24"/>
          <w:szCs w:val="22"/>
          <w:u w:color="000000"/>
          <w:bdr w:val="nil"/>
          <w:lang w:bidi="lv-LV"/>
        </w:rPr>
        <w:t xml:space="preserve">DEP </w:t>
      </w:r>
      <w:r w:rsidR="00FC7D3D" w:rsidRPr="00384ABD">
        <w:rPr>
          <w:rStyle w:val="Nessuno"/>
          <w:noProof/>
          <w:sz w:val="24"/>
        </w:rPr>
        <w:t xml:space="preserve">ir viens no elementiem </w:t>
      </w:r>
      <w:r w:rsidR="005A7417">
        <w:rPr>
          <w:rStyle w:val="Nessuno"/>
          <w:noProof/>
          <w:sz w:val="24"/>
        </w:rPr>
        <w:t xml:space="preserve">Eiropas </w:t>
      </w:r>
      <w:r w:rsidR="00FC7D3D" w:rsidRPr="00384ABD">
        <w:rPr>
          <w:rStyle w:val="Nessuno"/>
          <w:noProof/>
          <w:sz w:val="24"/>
        </w:rPr>
        <w:t>Komisijas</w:t>
      </w:r>
      <w:r w:rsidR="00AF7AF7">
        <w:rPr>
          <w:rStyle w:val="Nessuno"/>
          <w:noProof/>
          <w:sz w:val="24"/>
        </w:rPr>
        <w:t xml:space="preserve"> (turpmāk – Komisija)</w:t>
      </w:r>
      <w:r w:rsidR="00FC7D3D" w:rsidRPr="00384ABD">
        <w:rPr>
          <w:rStyle w:val="Nessuno"/>
          <w:noProof/>
          <w:sz w:val="24"/>
        </w:rPr>
        <w:t xml:space="preserve"> </w:t>
      </w:r>
      <w:r>
        <w:rPr>
          <w:rStyle w:val="Nessuno"/>
          <w:noProof/>
          <w:sz w:val="24"/>
        </w:rPr>
        <w:t>ierosināto pasākumu klāstā, kas veltīti</w:t>
      </w:r>
      <w:r w:rsidR="00FC7D3D" w:rsidRPr="00384ABD">
        <w:rPr>
          <w:rStyle w:val="Nessuno"/>
          <w:noProof/>
          <w:sz w:val="24"/>
        </w:rPr>
        <w:t xml:space="preserve"> digitālā</w:t>
      </w:r>
      <w:r>
        <w:rPr>
          <w:rStyle w:val="Nessuno"/>
          <w:noProof/>
          <w:sz w:val="24"/>
        </w:rPr>
        <w:t>s pārveides radīt</w:t>
      </w:r>
      <w:r w:rsidR="009C5F35">
        <w:rPr>
          <w:rStyle w:val="Nessuno"/>
          <w:noProof/>
          <w:sz w:val="24"/>
        </w:rPr>
        <w:t>o</w:t>
      </w:r>
      <w:r>
        <w:rPr>
          <w:rStyle w:val="Nessuno"/>
          <w:noProof/>
          <w:sz w:val="24"/>
        </w:rPr>
        <w:t xml:space="preserve"> problēm</w:t>
      </w:r>
      <w:r w:rsidR="009C5F35">
        <w:rPr>
          <w:rStyle w:val="Nessuno"/>
          <w:noProof/>
          <w:sz w:val="24"/>
        </w:rPr>
        <w:t>u risinājumiem, piemēram, jauno tehnoloģiju risinājumu testēšanai</w:t>
      </w:r>
      <w:r>
        <w:rPr>
          <w:rStyle w:val="Nessuno"/>
          <w:noProof/>
          <w:sz w:val="24"/>
        </w:rPr>
        <w:t>.</w:t>
      </w:r>
      <w:r w:rsidR="00FC7D3D" w:rsidRPr="00384ABD">
        <w:rPr>
          <w:rStyle w:val="Nessuno"/>
          <w:noProof/>
          <w:sz w:val="24"/>
        </w:rPr>
        <w:t xml:space="preserve"> </w:t>
      </w:r>
      <w:r w:rsidR="007434DE" w:rsidRPr="00384ABD">
        <w:rPr>
          <w:rStyle w:val="Nessuno"/>
          <w:noProof/>
          <w:sz w:val="24"/>
        </w:rPr>
        <w:t>DEP</w:t>
      </w:r>
      <w:r w:rsidR="00FC7D3D" w:rsidRPr="00384ABD">
        <w:rPr>
          <w:rStyle w:val="Nessuno"/>
          <w:noProof/>
          <w:sz w:val="24"/>
        </w:rPr>
        <w:t xml:space="preserve"> </w:t>
      </w:r>
      <w:r w:rsidR="007434DE" w:rsidRPr="00384ABD">
        <w:rPr>
          <w:rStyle w:val="Nessuno"/>
          <w:noProof/>
          <w:sz w:val="24"/>
        </w:rPr>
        <w:t xml:space="preserve">ir jauna programma, kas veltīta digitālās pārveides paplašināšanai un tās ieguvumu palielināšanai visiem </w:t>
      </w:r>
      <w:r w:rsidR="00EF0310">
        <w:rPr>
          <w:rStyle w:val="Nessuno"/>
          <w:noProof/>
          <w:sz w:val="24"/>
        </w:rPr>
        <w:t>ES</w:t>
      </w:r>
      <w:r w:rsidR="00EF0310" w:rsidRPr="00384ABD">
        <w:rPr>
          <w:rStyle w:val="Nessuno"/>
          <w:noProof/>
          <w:sz w:val="24"/>
        </w:rPr>
        <w:t xml:space="preserve"> </w:t>
      </w:r>
      <w:r w:rsidR="007434DE" w:rsidRPr="00384ABD">
        <w:rPr>
          <w:rStyle w:val="Nessuno"/>
          <w:noProof/>
          <w:sz w:val="24"/>
        </w:rPr>
        <w:t>iedzīvotājiem, publiskās pārvaldes iestādēm un uzņēmumiem ar mērķi</w:t>
      </w:r>
      <w:r w:rsidR="00FC7D3D" w:rsidRPr="00384ABD">
        <w:rPr>
          <w:rStyle w:val="Nessuno"/>
          <w:noProof/>
          <w:sz w:val="24"/>
        </w:rPr>
        <w:t xml:space="preserve"> nodrošināt </w:t>
      </w:r>
      <w:r w:rsidR="002670D8" w:rsidRPr="00384ABD">
        <w:rPr>
          <w:rStyle w:val="Nessuno"/>
          <w:noProof/>
          <w:sz w:val="24"/>
        </w:rPr>
        <w:t>finan</w:t>
      </w:r>
      <w:r w:rsidR="002670D8">
        <w:rPr>
          <w:rStyle w:val="Nessuno"/>
          <w:noProof/>
          <w:sz w:val="24"/>
        </w:rPr>
        <w:t>šu</w:t>
      </w:r>
      <w:r w:rsidR="002670D8" w:rsidRPr="00384ABD">
        <w:rPr>
          <w:rStyle w:val="Nessuno"/>
          <w:noProof/>
          <w:sz w:val="24"/>
        </w:rPr>
        <w:t xml:space="preserve"> </w:t>
      </w:r>
      <w:r w:rsidR="00FC7D3D" w:rsidRPr="00384ABD">
        <w:rPr>
          <w:rStyle w:val="Nessuno"/>
          <w:noProof/>
          <w:sz w:val="24"/>
        </w:rPr>
        <w:t>instrumentu, kas būtu pielāgots spēju veidošanas operatīvajām vajadzībām Eiro</w:t>
      </w:r>
      <w:r w:rsidR="002670D8">
        <w:rPr>
          <w:rStyle w:val="Nessuno"/>
          <w:noProof/>
          <w:sz w:val="24"/>
        </w:rPr>
        <w:t>pas P</w:t>
      </w:r>
      <w:r w:rsidR="00FC7D3D" w:rsidRPr="00384ABD">
        <w:rPr>
          <w:rStyle w:val="Nessuno"/>
          <w:noProof/>
          <w:sz w:val="24"/>
        </w:rPr>
        <w:t xml:space="preserve">adomes noteiktajās jomās, un </w:t>
      </w:r>
      <w:r w:rsidR="003D6EDA">
        <w:rPr>
          <w:rStyle w:val="Nessuno"/>
          <w:noProof/>
          <w:sz w:val="24"/>
        </w:rPr>
        <w:t xml:space="preserve">kopā ar citiem finanšu instrumentiem </w:t>
      </w:r>
      <w:r w:rsidR="00FC7D3D" w:rsidRPr="00384ABD">
        <w:rPr>
          <w:rStyle w:val="Nessuno"/>
          <w:noProof/>
          <w:sz w:val="24"/>
        </w:rPr>
        <w:t>izmantot to sinerģiju.</w:t>
      </w:r>
      <w:r w:rsidR="007434DE" w:rsidRPr="00384ABD">
        <w:rPr>
          <w:rStyle w:val="Nessuno"/>
          <w:noProof/>
          <w:sz w:val="24"/>
        </w:rPr>
        <w:t xml:space="preserve"> Tādēļ </w:t>
      </w:r>
      <w:r w:rsidR="00496C91">
        <w:rPr>
          <w:rStyle w:val="Nessuno"/>
          <w:noProof/>
          <w:sz w:val="24"/>
        </w:rPr>
        <w:t>DEP</w:t>
      </w:r>
      <w:r w:rsidR="00496C91" w:rsidRPr="00384ABD">
        <w:rPr>
          <w:rStyle w:val="Nessuno"/>
          <w:noProof/>
          <w:sz w:val="24"/>
        </w:rPr>
        <w:t xml:space="preserve"> </w:t>
      </w:r>
      <w:r w:rsidR="007434DE" w:rsidRPr="00384ABD">
        <w:rPr>
          <w:rStyle w:val="Nessuno"/>
          <w:noProof/>
          <w:sz w:val="24"/>
        </w:rPr>
        <w:t>būs vērsta uz Eiropas spēju stiprināšanu augstas veiktspējas datošanas, mākslīgā intelekta</w:t>
      </w:r>
      <w:r w:rsidR="00AC0CE7">
        <w:rPr>
          <w:rStyle w:val="Nessuno"/>
          <w:noProof/>
          <w:sz w:val="24"/>
        </w:rPr>
        <w:t xml:space="preserve"> (turpmāk – MI)</w:t>
      </w:r>
      <w:r w:rsidR="007434DE" w:rsidRPr="00384ABD">
        <w:rPr>
          <w:rStyle w:val="Nessuno"/>
          <w:noProof/>
          <w:sz w:val="24"/>
        </w:rPr>
        <w:t>, kiberdrošības un augsta līmeņa digitālo prasmju jomā</w:t>
      </w:r>
      <w:r w:rsidR="00496C91">
        <w:rPr>
          <w:rStyle w:val="Nessuno"/>
          <w:noProof/>
          <w:sz w:val="24"/>
        </w:rPr>
        <w:t>,</w:t>
      </w:r>
      <w:r w:rsidR="007434DE" w:rsidRPr="00384ABD">
        <w:rPr>
          <w:rStyle w:val="Nessuno"/>
          <w:noProof/>
          <w:sz w:val="24"/>
        </w:rPr>
        <w:t xml:space="preserve"> </w:t>
      </w:r>
      <w:r w:rsidR="00496C91">
        <w:rPr>
          <w:rStyle w:val="Nessuno"/>
          <w:noProof/>
          <w:sz w:val="24"/>
        </w:rPr>
        <w:t>kā arī</w:t>
      </w:r>
      <w:r w:rsidR="00496C91" w:rsidRPr="00384ABD">
        <w:rPr>
          <w:rStyle w:val="Nessuno"/>
          <w:noProof/>
          <w:sz w:val="24"/>
        </w:rPr>
        <w:t xml:space="preserve"> </w:t>
      </w:r>
      <w:r w:rsidR="007434DE" w:rsidRPr="00384ABD">
        <w:rPr>
          <w:rStyle w:val="Nessuno"/>
          <w:noProof/>
          <w:sz w:val="24"/>
        </w:rPr>
        <w:t xml:space="preserve">uz </w:t>
      </w:r>
      <w:r w:rsidR="004F6AA1">
        <w:rPr>
          <w:rStyle w:val="Nessuno"/>
          <w:noProof/>
          <w:sz w:val="24"/>
        </w:rPr>
        <w:t>minētās jomas</w:t>
      </w:r>
      <w:r w:rsidR="007434DE" w:rsidRPr="00384ABD">
        <w:rPr>
          <w:rStyle w:val="Nessuno"/>
          <w:noProof/>
          <w:sz w:val="24"/>
        </w:rPr>
        <w:t xml:space="preserve"> plašas izmantošanas nodrošināšanu ekonomikā un </w:t>
      </w:r>
      <w:r w:rsidR="007434DE" w:rsidRPr="00384ABD">
        <w:rPr>
          <w:rStyle w:val="Nessuno"/>
          <w:sz w:val="24"/>
        </w:rPr>
        <w:t xml:space="preserve">sabiedrībā. DEP </w:t>
      </w:r>
      <w:r w:rsidR="003D6EDA" w:rsidRPr="006A61C3">
        <w:rPr>
          <w:sz w:val="24"/>
          <w:szCs w:val="24"/>
        </w:rPr>
        <w:t>Eiropas Parlamenta un Padomes</w:t>
      </w:r>
      <w:r w:rsidR="003D6EDA" w:rsidRPr="00E040B1">
        <w:t xml:space="preserve"> </w:t>
      </w:r>
      <w:r w:rsidR="00496C91">
        <w:rPr>
          <w:rStyle w:val="Nessuno"/>
          <w:sz w:val="24"/>
        </w:rPr>
        <w:t xml:space="preserve">regulas </w:t>
      </w:r>
      <w:r w:rsidR="00FC7D3D" w:rsidRPr="00384ABD">
        <w:rPr>
          <w:rStyle w:val="Nessuno"/>
          <w:sz w:val="24"/>
        </w:rPr>
        <w:t>priekšlikumā ir paredzēts, ka tas būs piemērojams no 2021. gada 1. janvāra.</w:t>
      </w:r>
      <w:r w:rsidR="00766761">
        <w:rPr>
          <w:rStyle w:val="Nessuno"/>
          <w:sz w:val="24"/>
        </w:rPr>
        <w:t xml:space="preserve"> </w:t>
      </w:r>
      <w:r w:rsidR="002249C3">
        <w:rPr>
          <w:rStyle w:val="Nessuno"/>
          <w:sz w:val="24"/>
        </w:rPr>
        <w:t>DEP</w:t>
      </w:r>
      <w:r w:rsidR="0079396A" w:rsidRPr="0079396A">
        <w:rPr>
          <w:rStyle w:val="Nessuno"/>
          <w:sz w:val="24"/>
        </w:rPr>
        <w:t xml:space="preserve"> īstenošanā </w:t>
      </w:r>
      <w:r w:rsidR="0079396A">
        <w:rPr>
          <w:rStyle w:val="Nessuno"/>
          <w:sz w:val="24"/>
        </w:rPr>
        <w:t>svarīga</w:t>
      </w:r>
      <w:r w:rsidR="0079396A" w:rsidRPr="0079396A">
        <w:rPr>
          <w:rStyle w:val="Nessuno"/>
          <w:sz w:val="24"/>
        </w:rPr>
        <w:t xml:space="preserve"> loma būs </w:t>
      </w:r>
      <w:r w:rsidR="009C5F35">
        <w:rPr>
          <w:rStyle w:val="Nessuno"/>
          <w:sz w:val="24"/>
        </w:rPr>
        <w:t>Centriem</w:t>
      </w:r>
      <w:r w:rsidR="0079396A">
        <w:rPr>
          <w:rStyle w:val="Nessuno"/>
          <w:sz w:val="24"/>
        </w:rPr>
        <w:t>, kuriem būs</w:t>
      </w:r>
      <w:r w:rsidR="0079396A" w:rsidRPr="0079396A">
        <w:rPr>
          <w:rStyle w:val="Nessuno"/>
          <w:sz w:val="24"/>
        </w:rPr>
        <w:t xml:space="preserve"> jāsekmē progresīvu digitālo tehnoloģiju plaš</w:t>
      </w:r>
      <w:r w:rsidR="002C4FD7">
        <w:rPr>
          <w:rStyle w:val="Nessuno"/>
          <w:sz w:val="24"/>
        </w:rPr>
        <w:t>u</w:t>
      </w:r>
      <w:r w:rsidR="0079396A" w:rsidRPr="0079396A">
        <w:rPr>
          <w:rStyle w:val="Nessuno"/>
          <w:sz w:val="24"/>
        </w:rPr>
        <w:t xml:space="preserve"> ieviešan</w:t>
      </w:r>
      <w:r w:rsidR="002C4FD7">
        <w:rPr>
          <w:rStyle w:val="Nessuno"/>
          <w:sz w:val="24"/>
        </w:rPr>
        <w:t>u</w:t>
      </w:r>
      <w:r w:rsidR="0079396A" w:rsidRPr="0079396A">
        <w:rPr>
          <w:rStyle w:val="Nessuno"/>
          <w:sz w:val="24"/>
        </w:rPr>
        <w:t xml:space="preserve"> rūpniecībā, publiskā sektora organizā</w:t>
      </w:r>
      <w:r w:rsidR="0079396A">
        <w:rPr>
          <w:rStyle w:val="Nessuno"/>
          <w:sz w:val="24"/>
        </w:rPr>
        <w:t>cijās un akadēmiskajās iestādēs</w:t>
      </w:r>
      <w:r w:rsidR="002249C3">
        <w:rPr>
          <w:rStyle w:val="Nessuno"/>
          <w:sz w:val="24"/>
        </w:rPr>
        <w:t xml:space="preserve">. </w:t>
      </w:r>
    </w:p>
    <w:p w14:paraId="62DE4765" w14:textId="77777777" w:rsidR="00766761" w:rsidRPr="00AF7AF7" w:rsidRDefault="00766761" w:rsidP="00766761">
      <w:pPr>
        <w:pStyle w:val="Title"/>
        <w:spacing w:line="276" w:lineRule="auto"/>
        <w:ind w:right="-28" w:firstLine="720"/>
        <w:jc w:val="both"/>
        <w:outlineLvl w:val="0"/>
        <w:rPr>
          <w:rStyle w:val="Nessuno"/>
          <w:noProof/>
          <w:sz w:val="24"/>
          <w:szCs w:val="24"/>
        </w:rPr>
      </w:pPr>
    </w:p>
    <w:p w14:paraId="2F46A7FD" w14:textId="5D34DE21" w:rsidR="00BC2541" w:rsidRPr="000C507A" w:rsidRDefault="005A7417" w:rsidP="008918BA">
      <w:pPr>
        <w:pStyle w:val="Title"/>
        <w:numPr>
          <w:ilvl w:val="0"/>
          <w:numId w:val="12"/>
        </w:numPr>
        <w:spacing w:line="276" w:lineRule="auto"/>
        <w:ind w:right="-28"/>
        <w:outlineLvl w:val="0"/>
        <w:rPr>
          <w:rStyle w:val="Nessuno"/>
          <w:rFonts w:eastAsiaTheme="minorHAnsi"/>
          <w:b/>
          <w:sz w:val="24"/>
        </w:rPr>
      </w:pPr>
      <w:r w:rsidRPr="000C507A">
        <w:rPr>
          <w:rFonts w:eastAsiaTheme="minorHAnsi"/>
          <w:b/>
          <w:sz w:val="24"/>
        </w:rPr>
        <w:t xml:space="preserve">Eiropas </w:t>
      </w:r>
      <w:r w:rsidRPr="00AF7AF7">
        <w:rPr>
          <w:rFonts w:eastAsiaTheme="minorHAnsi"/>
          <w:b/>
          <w:sz w:val="24"/>
          <w:szCs w:val="24"/>
          <w:lang w:eastAsia="en-US"/>
        </w:rPr>
        <w:t>digitālo inovāciju</w:t>
      </w:r>
      <w:r w:rsidR="00766761" w:rsidRPr="000C507A">
        <w:rPr>
          <w:rFonts w:eastAsiaTheme="minorHAnsi"/>
          <w:b/>
          <w:sz w:val="24"/>
        </w:rPr>
        <w:t xml:space="preserve"> centri</w:t>
      </w:r>
      <w:r w:rsidR="0079396A" w:rsidRPr="000C507A">
        <w:rPr>
          <w:rFonts w:eastAsiaTheme="minorHAnsi"/>
          <w:b/>
          <w:sz w:val="24"/>
        </w:rPr>
        <w:t xml:space="preserve"> un to izveide</w:t>
      </w:r>
    </w:p>
    <w:p w14:paraId="5D0D2CD6" w14:textId="102F7F09" w:rsidR="0063347B" w:rsidRPr="00766761" w:rsidRDefault="0063347B" w:rsidP="00721CD0">
      <w:pPr>
        <w:pStyle w:val="ManualConsidrant"/>
        <w:spacing w:before="0" w:after="0"/>
        <w:ind w:left="0" w:firstLine="720"/>
        <w:rPr>
          <w:noProof/>
        </w:rPr>
      </w:pPr>
      <w:r w:rsidRPr="00766761">
        <w:rPr>
          <w:rStyle w:val="Nessuno"/>
          <w:rFonts w:eastAsia="Times New Roman"/>
          <w:noProof/>
          <w:szCs w:val="28"/>
        </w:rPr>
        <w:t>Centr</w:t>
      </w:r>
      <w:r w:rsidR="009C5F35">
        <w:rPr>
          <w:rStyle w:val="Nessuno"/>
          <w:rFonts w:eastAsia="Times New Roman"/>
          <w:noProof/>
          <w:szCs w:val="28"/>
        </w:rPr>
        <w:t>os</w:t>
      </w:r>
      <w:r w:rsidRPr="00766761">
        <w:rPr>
          <w:rStyle w:val="Nessuno"/>
          <w:rFonts w:eastAsia="Times New Roman"/>
          <w:noProof/>
          <w:szCs w:val="28"/>
        </w:rPr>
        <w:t xml:space="preserve"> un to</w:t>
      </w:r>
      <w:r w:rsidR="009C5F35">
        <w:rPr>
          <w:rStyle w:val="Nessuno"/>
          <w:rFonts w:eastAsia="Times New Roman"/>
          <w:noProof/>
          <w:szCs w:val="28"/>
        </w:rPr>
        <w:t xml:space="preserve"> izveidotajā</w:t>
      </w:r>
      <w:r w:rsidRPr="00766761">
        <w:rPr>
          <w:rStyle w:val="Nessuno"/>
          <w:rFonts w:eastAsia="Times New Roman"/>
          <w:noProof/>
          <w:szCs w:val="28"/>
        </w:rPr>
        <w:t xml:space="preserve"> tīkl</w:t>
      </w:r>
      <w:r w:rsidR="009C5F35">
        <w:rPr>
          <w:rStyle w:val="Nessuno"/>
          <w:rFonts w:eastAsia="Times New Roman"/>
          <w:noProof/>
          <w:szCs w:val="28"/>
        </w:rPr>
        <w:t>ā</w:t>
      </w:r>
      <w:r w:rsidRPr="00766761">
        <w:rPr>
          <w:rStyle w:val="Nessuno"/>
          <w:rFonts w:eastAsia="Times New Roman"/>
          <w:noProof/>
          <w:szCs w:val="28"/>
        </w:rPr>
        <w:t>, kas aptvers visu ES</w:t>
      </w:r>
      <w:r w:rsidR="009C5F35">
        <w:rPr>
          <w:rStyle w:val="Nessuno"/>
          <w:rFonts w:eastAsia="Times New Roman"/>
          <w:noProof/>
          <w:szCs w:val="28"/>
        </w:rPr>
        <w:t>,</w:t>
      </w:r>
      <w:r w:rsidRPr="00766761">
        <w:rPr>
          <w:rStyle w:val="Nessuno"/>
          <w:rFonts w:eastAsia="Times New Roman"/>
          <w:noProof/>
          <w:szCs w:val="28"/>
        </w:rPr>
        <w:t xml:space="preserve"> valsts pārvaldes iestādes un </w:t>
      </w:r>
      <w:r w:rsidR="002C4FD7">
        <w:rPr>
          <w:rStyle w:val="Nessuno"/>
          <w:rFonts w:eastAsia="Times New Roman"/>
          <w:noProof/>
          <w:szCs w:val="28"/>
        </w:rPr>
        <w:t xml:space="preserve">privātie </w:t>
      </w:r>
      <w:r w:rsidRPr="00766761">
        <w:rPr>
          <w:rStyle w:val="Nessuno"/>
          <w:rFonts w:eastAsia="Times New Roman"/>
          <w:noProof/>
          <w:szCs w:val="28"/>
        </w:rPr>
        <w:t>uzņēmumi varēs apmainīties ar informāciju, saņemt padomus un testēt digitālās inovācijas, kā arī veido</w:t>
      </w:r>
      <w:r w:rsidR="009C5F35">
        <w:rPr>
          <w:rStyle w:val="Nessuno"/>
          <w:rFonts w:eastAsia="Times New Roman"/>
          <w:noProof/>
          <w:szCs w:val="28"/>
        </w:rPr>
        <w:t>t</w:t>
      </w:r>
      <w:r w:rsidRPr="00766761">
        <w:rPr>
          <w:rStyle w:val="Nessuno"/>
          <w:rFonts w:eastAsia="Times New Roman"/>
          <w:noProof/>
          <w:szCs w:val="28"/>
        </w:rPr>
        <w:t xml:space="preserve"> liela mēroga pilotprojektus lietu interneta, </w:t>
      </w:r>
      <w:r w:rsidRPr="00766761">
        <w:rPr>
          <w:rStyle w:val="Nessuno"/>
          <w:noProof/>
        </w:rPr>
        <w:t>progresīvās ražošanas un tehnoloģiju stiprināšanai viedajās pilsētās, mājokļos, , mobilās veselības aprūpes pakalpojumos, u.c. jomās</w:t>
      </w:r>
      <w:r w:rsidRPr="00766761">
        <w:rPr>
          <w:rStyle w:val="Nessuno"/>
          <w:rFonts w:eastAsia="Times New Roman"/>
          <w:noProof/>
          <w:szCs w:val="28"/>
        </w:rPr>
        <w:t>.</w:t>
      </w:r>
      <w:r w:rsidRPr="00766761">
        <w:rPr>
          <w:noProof/>
          <w:szCs w:val="24"/>
        </w:rPr>
        <w:t xml:space="preserve"> </w:t>
      </w:r>
      <w:r w:rsidRPr="00766761">
        <w:rPr>
          <w:szCs w:val="24"/>
        </w:rPr>
        <w:t xml:space="preserve">Ņemot vērā, ka zināšanas un </w:t>
      </w:r>
      <w:r w:rsidRPr="00766761">
        <w:rPr>
          <w:noProof/>
          <w:szCs w:val="24"/>
        </w:rPr>
        <w:t>pieredze</w:t>
      </w:r>
      <w:r w:rsidRPr="00766761">
        <w:rPr>
          <w:szCs w:val="24"/>
        </w:rPr>
        <w:t xml:space="preserve"> augsti attīstītās digitālajās jomās visos </w:t>
      </w:r>
      <w:r w:rsidR="002C4FD7">
        <w:rPr>
          <w:szCs w:val="24"/>
        </w:rPr>
        <w:t>ES</w:t>
      </w:r>
      <w:r w:rsidR="002C4FD7" w:rsidRPr="00766761">
        <w:rPr>
          <w:szCs w:val="24"/>
        </w:rPr>
        <w:t xml:space="preserve"> </w:t>
      </w:r>
      <w:r w:rsidRPr="00766761">
        <w:rPr>
          <w:szCs w:val="24"/>
        </w:rPr>
        <w:t xml:space="preserve">reģionos nav </w:t>
      </w:r>
      <w:r w:rsidR="002C4FD7">
        <w:rPr>
          <w:szCs w:val="24"/>
        </w:rPr>
        <w:t xml:space="preserve">vienādi </w:t>
      </w:r>
      <w:r w:rsidRPr="00766761">
        <w:rPr>
          <w:szCs w:val="24"/>
        </w:rPr>
        <w:t xml:space="preserve">pieejama, </w:t>
      </w:r>
      <w:r w:rsidR="002C4FD7">
        <w:rPr>
          <w:szCs w:val="24"/>
        </w:rPr>
        <w:t>Eiropas</w:t>
      </w:r>
      <w:r w:rsidR="002C4FD7" w:rsidRPr="00766761">
        <w:rPr>
          <w:szCs w:val="24"/>
        </w:rPr>
        <w:t xml:space="preserve"> </w:t>
      </w:r>
      <w:r w:rsidRPr="00766761">
        <w:rPr>
          <w:szCs w:val="24"/>
        </w:rPr>
        <w:t xml:space="preserve">mēroga rīcība, jo īpaši izmantojot </w:t>
      </w:r>
      <w:r>
        <w:rPr>
          <w:szCs w:val="24"/>
        </w:rPr>
        <w:t>Centrus</w:t>
      </w:r>
      <w:r w:rsidRPr="00766761">
        <w:rPr>
          <w:szCs w:val="24"/>
        </w:rPr>
        <w:t>, var</w:t>
      </w:r>
      <w:r w:rsidR="001964FA">
        <w:rPr>
          <w:szCs w:val="24"/>
        </w:rPr>
        <w:t>ēs</w:t>
      </w:r>
      <w:r w:rsidRPr="00766761">
        <w:rPr>
          <w:szCs w:val="24"/>
        </w:rPr>
        <w:t xml:space="preserve"> nodrošināt, ka šāda pieredze tiek izplatīta katrā </w:t>
      </w:r>
      <w:r w:rsidRPr="00766761">
        <w:rPr>
          <w:szCs w:val="24"/>
        </w:rPr>
        <w:lastRenderedPageBreak/>
        <w:t>reģionā</w:t>
      </w:r>
      <w:r w:rsidRPr="00766761">
        <w:rPr>
          <w:noProof/>
          <w:szCs w:val="24"/>
        </w:rPr>
        <w:t>.</w:t>
      </w:r>
      <w:r w:rsidRPr="00766761">
        <w:rPr>
          <w:szCs w:val="24"/>
        </w:rPr>
        <w:t xml:space="preserve"> Tāpēc </w:t>
      </w:r>
      <w:r w:rsidR="009C5F35">
        <w:rPr>
          <w:noProof/>
          <w:szCs w:val="24"/>
        </w:rPr>
        <w:t>Centru</w:t>
      </w:r>
      <w:r w:rsidRPr="00766761">
        <w:rPr>
          <w:noProof/>
          <w:szCs w:val="24"/>
        </w:rPr>
        <w:t xml:space="preserve"> tīklam </w:t>
      </w:r>
      <w:r w:rsidR="001964FA">
        <w:rPr>
          <w:noProof/>
          <w:szCs w:val="24"/>
        </w:rPr>
        <w:t xml:space="preserve">būs </w:t>
      </w:r>
      <w:r w:rsidRPr="00766761">
        <w:rPr>
          <w:noProof/>
          <w:szCs w:val="24"/>
        </w:rPr>
        <w:t>jānodrošina pēc iespējas plašāks Eiropas ģeogrāfiskais aptvērums</w:t>
      </w:r>
      <w:r w:rsidRPr="00766761">
        <w:rPr>
          <w:rStyle w:val="FootnoteReference"/>
          <w:noProof/>
          <w:szCs w:val="24"/>
        </w:rPr>
        <w:footnoteReference w:id="3"/>
      </w:r>
      <w:r w:rsidRPr="00766761">
        <w:rPr>
          <w:noProof/>
          <w:szCs w:val="24"/>
        </w:rPr>
        <w:t>.</w:t>
      </w:r>
    </w:p>
    <w:p w14:paraId="5D7DE76E" w14:textId="490FB75D" w:rsidR="0063347B" w:rsidRDefault="005A7417" w:rsidP="00721CD0">
      <w:pPr>
        <w:pStyle w:val="ManualConsidrant"/>
        <w:spacing w:before="0" w:after="0"/>
        <w:ind w:left="0" w:firstLine="720"/>
        <w:rPr>
          <w:noProof/>
        </w:rPr>
      </w:pPr>
      <w:bookmarkStart w:id="12" w:name="_Hlk37254751"/>
      <w:r>
        <w:rPr>
          <w:noProof/>
        </w:rPr>
        <w:t>C</w:t>
      </w:r>
      <w:r w:rsidR="0063347B" w:rsidRPr="00221038">
        <w:rPr>
          <w:noProof/>
        </w:rPr>
        <w:t xml:space="preserve">entri būs </w:t>
      </w:r>
      <w:r w:rsidR="0063347B" w:rsidRPr="00221038">
        <w:rPr>
          <w:b/>
          <w:noProof/>
        </w:rPr>
        <w:t>piekļuves punkti jaunākajām digitālajām spējām</w:t>
      </w:r>
      <w:bookmarkEnd w:id="12"/>
      <w:r w:rsidR="0063347B" w:rsidRPr="00221038">
        <w:rPr>
          <w:noProof/>
        </w:rPr>
        <w:t xml:space="preserve">, tai skaitā augstas veiktspējas datošanai, </w:t>
      </w:r>
      <w:r w:rsidR="00AC0CE7">
        <w:rPr>
          <w:noProof/>
        </w:rPr>
        <w:t>MI</w:t>
      </w:r>
      <w:r w:rsidR="0063347B" w:rsidRPr="00221038">
        <w:rPr>
          <w:noProof/>
        </w:rPr>
        <w:t>, kiberdrošībai, kā arī citām esošām inovatīvām tehnoloģijām, piemēram, svarīgām pamattehnoloģijām, kas pieejamas arī ražojošās laboratorijās (</w:t>
      </w:r>
      <w:r w:rsidR="0063347B" w:rsidRPr="00221038">
        <w:rPr>
          <w:i/>
          <w:noProof/>
        </w:rPr>
        <w:t>fablabs</w:t>
      </w:r>
      <w:r w:rsidR="0063347B" w:rsidRPr="00221038">
        <w:rPr>
          <w:noProof/>
        </w:rPr>
        <w:t>) vai pilsētlaboratorijās (</w:t>
      </w:r>
      <w:r w:rsidR="0063347B" w:rsidRPr="00221038">
        <w:rPr>
          <w:i/>
          <w:noProof/>
        </w:rPr>
        <w:t>citylabs</w:t>
      </w:r>
      <w:r w:rsidR="0063347B" w:rsidRPr="00221038">
        <w:rPr>
          <w:noProof/>
        </w:rPr>
        <w:t xml:space="preserve">). </w:t>
      </w:r>
      <w:r w:rsidR="00EF0310">
        <w:rPr>
          <w:noProof/>
        </w:rPr>
        <w:t>Centri</w:t>
      </w:r>
      <w:r w:rsidR="00EF0310" w:rsidRPr="00221038">
        <w:rPr>
          <w:noProof/>
        </w:rPr>
        <w:t xml:space="preserve"> </w:t>
      </w:r>
      <w:r w:rsidR="0063347B" w:rsidRPr="00221038">
        <w:rPr>
          <w:noProof/>
        </w:rPr>
        <w:t>darbosies kā vienas pieturas aģentūra</w:t>
      </w:r>
      <w:r w:rsidR="009C5F35">
        <w:rPr>
          <w:noProof/>
        </w:rPr>
        <w:t>s</w:t>
      </w:r>
      <w:r w:rsidR="0063347B" w:rsidRPr="00221038">
        <w:rPr>
          <w:noProof/>
        </w:rPr>
        <w:t>, kurā</w:t>
      </w:r>
      <w:r>
        <w:rPr>
          <w:noProof/>
        </w:rPr>
        <w:t>s</w:t>
      </w:r>
      <w:r w:rsidR="0063347B" w:rsidRPr="00221038">
        <w:rPr>
          <w:noProof/>
        </w:rPr>
        <w:t xml:space="preserve"> </w:t>
      </w:r>
      <w:r w:rsidR="003D6EDA">
        <w:rPr>
          <w:noProof/>
        </w:rPr>
        <w:t xml:space="preserve">lietotāji </w:t>
      </w:r>
      <w:r w:rsidR="0063347B" w:rsidRPr="00221038">
        <w:rPr>
          <w:noProof/>
        </w:rPr>
        <w:t xml:space="preserve">varēs piekļūt pārbaudītām un validētām tehnoloģijām, un sekmēs </w:t>
      </w:r>
      <w:r w:rsidR="009C5F35">
        <w:rPr>
          <w:noProof/>
        </w:rPr>
        <w:t>inovāciju atvērtību</w:t>
      </w:r>
      <w:r w:rsidR="0063347B" w:rsidRPr="00221038">
        <w:rPr>
          <w:noProof/>
        </w:rPr>
        <w:t xml:space="preserve">. </w:t>
      </w:r>
      <w:r>
        <w:rPr>
          <w:noProof/>
        </w:rPr>
        <w:t>Papildu</w:t>
      </w:r>
      <w:r w:rsidR="009C5F35">
        <w:rPr>
          <w:noProof/>
        </w:rPr>
        <w:t>s</w:t>
      </w:r>
      <w:r w:rsidR="003D6EDA">
        <w:rPr>
          <w:noProof/>
        </w:rPr>
        <w:t xml:space="preserve"> tam</w:t>
      </w:r>
      <w:r w:rsidR="009C5F35">
        <w:rPr>
          <w:noProof/>
        </w:rPr>
        <w:t xml:space="preserve"> </w:t>
      </w:r>
      <w:r w:rsidR="00F72590">
        <w:rPr>
          <w:noProof/>
        </w:rPr>
        <w:t>Centri</w:t>
      </w:r>
      <w:r w:rsidR="00F72590" w:rsidRPr="00221038">
        <w:rPr>
          <w:noProof/>
        </w:rPr>
        <w:t xml:space="preserve"> </w:t>
      </w:r>
      <w:r w:rsidR="0063347B" w:rsidRPr="00221038">
        <w:rPr>
          <w:noProof/>
        </w:rPr>
        <w:t xml:space="preserve">arī atbalstīs padziļinātas digitālās prasmes. </w:t>
      </w:r>
      <w:r w:rsidR="009C5F35">
        <w:rPr>
          <w:noProof/>
        </w:rPr>
        <w:t>Centru</w:t>
      </w:r>
      <w:r w:rsidR="0063347B" w:rsidRPr="00221038">
        <w:rPr>
          <w:noProof/>
        </w:rPr>
        <w:t xml:space="preserve"> tīklam bū</w:t>
      </w:r>
      <w:r w:rsidR="009C5F35">
        <w:rPr>
          <w:noProof/>
        </w:rPr>
        <w:t>s</w:t>
      </w:r>
      <w:r w:rsidR="0063347B" w:rsidRPr="00221038">
        <w:rPr>
          <w:noProof/>
        </w:rPr>
        <w:t xml:space="preserve"> arī jāveicina tālāko reģionu dalība digitālajā vienotajā tirgū.</w:t>
      </w:r>
    </w:p>
    <w:p w14:paraId="06468E16" w14:textId="668F1B74" w:rsidR="0063347B" w:rsidRPr="001964FA" w:rsidRDefault="0063347B" w:rsidP="00721CD0">
      <w:pPr>
        <w:pStyle w:val="ManualConsidrant"/>
        <w:spacing w:before="0" w:after="0"/>
        <w:ind w:left="0" w:firstLine="720"/>
        <w:rPr>
          <w:noProof/>
          <w:szCs w:val="24"/>
        </w:rPr>
      </w:pPr>
      <w:r w:rsidRPr="005509BB">
        <w:rPr>
          <w:rStyle w:val="Nessuno"/>
          <w:noProof/>
          <w:szCs w:val="24"/>
        </w:rPr>
        <w:t xml:space="preserve">Ar Centru starpniecību īstenos arī </w:t>
      </w:r>
      <w:bookmarkStart w:id="13" w:name="_Hlk37254770"/>
      <w:r w:rsidRPr="005509BB">
        <w:rPr>
          <w:rStyle w:val="Nessuno"/>
          <w:b/>
          <w:noProof/>
          <w:szCs w:val="24"/>
        </w:rPr>
        <w:t>rūpniecības digitalizāciju</w:t>
      </w:r>
      <w:r w:rsidRPr="005509BB">
        <w:rPr>
          <w:rStyle w:val="Nessuno"/>
          <w:noProof/>
          <w:szCs w:val="24"/>
        </w:rPr>
        <w:t xml:space="preserve">. </w:t>
      </w:r>
      <w:bookmarkEnd w:id="13"/>
      <w:r w:rsidRPr="005509BB">
        <w:t xml:space="preserve">Centri </w:t>
      </w:r>
      <w:r w:rsidR="00F2779B">
        <w:rPr>
          <w:noProof/>
        </w:rPr>
        <w:t xml:space="preserve">nodrošinās piekļuvi </w:t>
      </w:r>
      <w:r w:rsidR="00AF7AF7">
        <w:rPr>
          <w:noProof/>
        </w:rPr>
        <w:t>speciālām tehnoloģiskaj</w:t>
      </w:r>
      <w:r w:rsidRPr="005509BB">
        <w:rPr>
          <w:noProof/>
        </w:rPr>
        <w:t xml:space="preserve">ām zināšanām un eksperimentālām iekārtām, </w:t>
      </w:r>
      <w:r w:rsidRPr="00221038">
        <w:rPr>
          <w:noProof/>
        </w:rPr>
        <w:t>kas ļau</w:t>
      </w:r>
      <w:r w:rsidR="009C5F35">
        <w:rPr>
          <w:noProof/>
        </w:rPr>
        <w:t>s</w:t>
      </w:r>
      <w:r w:rsidRPr="00221038">
        <w:rPr>
          <w:noProof/>
        </w:rPr>
        <w:t xml:space="preserve"> īstenot rūpniecības digitālo pārveidi, tai</w:t>
      </w:r>
      <w:r w:rsidRPr="005509BB">
        <w:rPr>
          <w:noProof/>
        </w:rPr>
        <w:t xml:space="preserve"> skaitā t</w:t>
      </w:r>
      <w:r w:rsidR="00AF7AF7">
        <w:rPr>
          <w:noProof/>
        </w:rPr>
        <w:t>ādās jomās</w:t>
      </w:r>
      <w:r w:rsidRPr="005509BB">
        <w:rPr>
          <w:noProof/>
        </w:rPr>
        <w:t xml:space="preserve"> kā veselība</w:t>
      </w:r>
      <w:r w:rsidR="00F2779B">
        <w:rPr>
          <w:noProof/>
        </w:rPr>
        <w:t>s</w:t>
      </w:r>
      <w:r w:rsidRPr="005509BB">
        <w:rPr>
          <w:noProof/>
        </w:rPr>
        <w:t>, farmācija, izglītība, tiesu sistēma, transports, enerģētika, vide, kultūra un radošās nozares.</w:t>
      </w:r>
      <w:r w:rsidR="001964FA">
        <w:rPr>
          <w:rStyle w:val="Nessuno"/>
          <w:noProof/>
          <w:szCs w:val="24"/>
        </w:rPr>
        <w:t xml:space="preserve"> </w:t>
      </w:r>
      <w:r w:rsidR="00CE0F42">
        <w:rPr>
          <w:rStyle w:val="Nessuno"/>
          <w:noProof/>
          <w:szCs w:val="24"/>
        </w:rPr>
        <w:t xml:space="preserve">Nacionālā līmenī </w:t>
      </w:r>
      <w:r w:rsidRPr="005509BB">
        <w:rPr>
          <w:rStyle w:val="Nessuno"/>
          <w:noProof/>
          <w:szCs w:val="24"/>
        </w:rPr>
        <w:t xml:space="preserve">Centri izplatīs </w:t>
      </w:r>
      <w:r w:rsidR="001964FA">
        <w:rPr>
          <w:rStyle w:val="Nessuno"/>
          <w:noProof/>
          <w:szCs w:val="24"/>
        </w:rPr>
        <w:t xml:space="preserve">rūpniecības digitalizācijai </w:t>
      </w:r>
      <w:r w:rsidRPr="005509BB">
        <w:rPr>
          <w:rStyle w:val="Nessuno"/>
          <w:noProof/>
          <w:szCs w:val="24"/>
        </w:rPr>
        <w:t xml:space="preserve">nepieciešamās digitālās spējas, kas jo īpaši ietver augstas veiktspējas datošanu, </w:t>
      </w:r>
      <w:r w:rsidR="00AC0CE7">
        <w:rPr>
          <w:rStyle w:val="Nessuno"/>
          <w:noProof/>
          <w:szCs w:val="24"/>
        </w:rPr>
        <w:t>MI</w:t>
      </w:r>
      <w:r w:rsidRPr="005509BB">
        <w:rPr>
          <w:rStyle w:val="Nessuno"/>
          <w:noProof/>
          <w:szCs w:val="24"/>
        </w:rPr>
        <w:t xml:space="preserve">, kiberdrošību un digitālās prasmes visā ekonomikā, ļaujot īstenot rūpniecības </w:t>
      </w:r>
      <w:r w:rsidR="00F2779B">
        <w:rPr>
          <w:rStyle w:val="Nessuno"/>
          <w:noProof/>
          <w:szCs w:val="24"/>
        </w:rPr>
        <w:t xml:space="preserve">uzņēmumu </w:t>
      </w:r>
      <w:r w:rsidRPr="005509BB">
        <w:rPr>
          <w:rStyle w:val="Nessuno"/>
          <w:noProof/>
          <w:szCs w:val="24"/>
        </w:rPr>
        <w:t xml:space="preserve">un publiskā sektora organizāciju digitālo pārveidi. Centri nodrošinās piekļuvi speciālām tehnoloģiskajām zināšanām un eksperimentālajām iekārtām, ļaujot </w:t>
      </w:r>
      <w:r w:rsidR="00F2779B">
        <w:rPr>
          <w:rStyle w:val="Nessuno"/>
          <w:noProof/>
          <w:szCs w:val="24"/>
        </w:rPr>
        <w:t xml:space="preserve">uzņēmumiem un </w:t>
      </w:r>
      <w:r w:rsidRPr="005509BB">
        <w:rPr>
          <w:rStyle w:val="Nessuno"/>
          <w:noProof/>
          <w:szCs w:val="24"/>
        </w:rPr>
        <w:t xml:space="preserve">organizācijām labāk novērtēt digitālās pārveides projektu ekonomisko pamatojumu. Testēšanas un eksperimentēšanas pakalpojumi, ko nodrošina Centri, var ietvert citas pamattehnoloģijas, kas vajadzīgas pilnīgu digitālās pārveides risinājumu </w:t>
      </w:r>
      <w:r w:rsidRPr="006F73C9">
        <w:rPr>
          <w:rStyle w:val="Nessuno"/>
          <w:noProof/>
          <w:szCs w:val="24"/>
        </w:rPr>
        <w:t>ieviešanai.</w:t>
      </w:r>
    </w:p>
    <w:p w14:paraId="4429A39B" w14:textId="082C063E" w:rsidR="0063347B" w:rsidRDefault="0063347B" w:rsidP="00721CD0">
      <w:pPr>
        <w:pStyle w:val="ManualConsidrant"/>
        <w:spacing w:before="0" w:after="0"/>
        <w:ind w:left="0" w:firstLine="720"/>
        <w:rPr>
          <w:noProof/>
          <w:szCs w:val="24"/>
        </w:rPr>
      </w:pPr>
      <w:r w:rsidRPr="00832B3E">
        <w:rPr>
          <w:noProof/>
        </w:rPr>
        <w:t xml:space="preserve">Centri atbalstīs </w:t>
      </w:r>
      <w:bookmarkStart w:id="14" w:name="_Hlk37254776"/>
      <w:r w:rsidR="00992944">
        <w:t xml:space="preserve">valsts pārvaldes iestādes un </w:t>
      </w:r>
      <w:r w:rsidR="00992944" w:rsidRPr="00671B2B">
        <w:t>uzņēm</w:t>
      </w:r>
      <w:r w:rsidR="00992944">
        <w:t>umus ar</w:t>
      </w:r>
      <w:r w:rsidR="00992944" w:rsidRPr="00832B3E">
        <w:rPr>
          <w:b/>
          <w:noProof/>
        </w:rPr>
        <w:t xml:space="preserve"> </w:t>
      </w:r>
      <w:r w:rsidRPr="00832B3E">
        <w:rPr>
          <w:b/>
          <w:noProof/>
        </w:rPr>
        <w:t>padziļinātu digitālo prasmju apguvi</w:t>
      </w:r>
      <w:bookmarkEnd w:id="14"/>
      <w:r w:rsidRPr="00832B3E">
        <w:rPr>
          <w:b/>
          <w:noProof/>
        </w:rPr>
        <w:t xml:space="preserve"> </w:t>
      </w:r>
      <w:r w:rsidRPr="00862E50">
        <w:rPr>
          <w:noProof/>
        </w:rPr>
        <w:t xml:space="preserve">nodrošinās zināšanu apmaiņu starp </w:t>
      </w:r>
      <w:r w:rsidR="00CE0F42">
        <w:rPr>
          <w:noProof/>
        </w:rPr>
        <w:t xml:space="preserve">ES </w:t>
      </w:r>
      <w:r w:rsidR="00992944">
        <w:rPr>
          <w:noProof/>
        </w:rPr>
        <w:t xml:space="preserve">dalībvalstīm </w:t>
      </w:r>
      <w:r w:rsidR="00CE0F42">
        <w:rPr>
          <w:noProof/>
        </w:rPr>
        <w:t xml:space="preserve">un valstu </w:t>
      </w:r>
      <w:r w:rsidRPr="00862E50">
        <w:rPr>
          <w:noProof/>
        </w:rPr>
        <w:t>reģioniem, īpašu</w:t>
      </w:r>
      <w:r w:rsidR="00AF7AF7">
        <w:rPr>
          <w:noProof/>
        </w:rPr>
        <w:t xml:space="preserve"> nozīmi pievēršot mazo un vidējo</w:t>
      </w:r>
      <w:r w:rsidRPr="00862E50">
        <w:rPr>
          <w:noProof/>
        </w:rPr>
        <w:t xml:space="preserve"> uzņēmumu</w:t>
      </w:r>
      <w:r w:rsidR="00AC0CE7">
        <w:rPr>
          <w:noProof/>
        </w:rPr>
        <w:t xml:space="preserve"> (turpmāk – MVU)</w:t>
      </w:r>
      <w:r w:rsidRPr="00862E50">
        <w:rPr>
          <w:noProof/>
        </w:rPr>
        <w:t xml:space="preserve"> savienojamības stiprināšanai, ņemot vērā, ka viens no DEP mērķiem</w:t>
      </w:r>
      <w:r>
        <w:rPr>
          <w:noProof/>
        </w:rPr>
        <w:t xml:space="preserve"> ir veicināt</w:t>
      </w:r>
      <w:r w:rsidRPr="000F63FE">
        <w:rPr>
          <w:noProof/>
        </w:rPr>
        <w:t xml:space="preserve"> augsta līmeņa digitālo prasmju attīstību, koncentrējoties uz prasmēm, kas saistītas ar </w:t>
      </w:r>
      <w:r w:rsidR="004F6AA1">
        <w:rPr>
          <w:noProof/>
        </w:rPr>
        <w:t>DEP</w:t>
      </w:r>
      <w:r w:rsidRPr="000F63FE">
        <w:rPr>
          <w:noProof/>
        </w:rPr>
        <w:t xml:space="preserve"> tvērumu, proti, kiberdrošību, </w:t>
      </w:r>
      <w:r w:rsidR="00AC0CE7">
        <w:rPr>
          <w:noProof/>
        </w:rPr>
        <w:t>MI</w:t>
      </w:r>
      <w:r w:rsidRPr="000F63FE">
        <w:rPr>
          <w:noProof/>
        </w:rPr>
        <w:t xml:space="preserve"> un augstas veiktspējas datošanu</w:t>
      </w:r>
      <w:r>
        <w:rPr>
          <w:noProof/>
        </w:rPr>
        <w:t>.</w:t>
      </w:r>
      <w:r w:rsidR="001964FA">
        <w:rPr>
          <w:rStyle w:val="Nessuno"/>
          <w:noProof/>
          <w:szCs w:val="24"/>
        </w:rPr>
        <w:t xml:space="preserve"> </w:t>
      </w:r>
      <w:r w:rsidRPr="00862E50">
        <w:rPr>
          <w:noProof/>
          <w:szCs w:val="24"/>
        </w:rPr>
        <w:t xml:space="preserve">Finansējumu, kas saistīts ar augsta līmeņa digitālo prasmju attīstīšanu, izmantos galvenokārt ar </w:t>
      </w:r>
      <w:r w:rsidR="00F2779B">
        <w:rPr>
          <w:noProof/>
          <w:szCs w:val="24"/>
        </w:rPr>
        <w:t>C</w:t>
      </w:r>
      <w:r w:rsidRPr="00862E50">
        <w:rPr>
          <w:noProof/>
          <w:szCs w:val="24"/>
        </w:rPr>
        <w:t>entru starpniecību un ar attiecīgo kompetenču centru starpniecību. Komisija izstrādās darba programmu sadarbībā ar iepriekš minētajiem attiecīgajiem kompetenču centriem, kas tādējādi spē</w:t>
      </w:r>
      <w:r w:rsidR="000C3DE3">
        <w:rPr>
          <w:noProof/>
          <w:szCs w:val="24"/>
        </w:rPr>
        <w:t>s</w:t>
      </w:r>
      <w:r w:rsidRPr="00862E50">
        <w:rPr>
          <w:noProof/>
          <w:szCs w:val="24"/>
        </w:rPr>
        <w:t xml:space="preserve"> sniegt informāciju, kura ir vajadzīga, lai nodrošinātu</w:t>
      </w:r>
      <w:r w:rsidR="00992944">
        <w:rPr>
          <w:noProof/>
          <w:szCs w:val="24"/>
        </w:rPr>
        <w:t xml:space="preserve"> </w:t>
      </w:r>
      <w:r w:rsidR="00992944" w:rsidRPr="00862E50">
        <w:rPr>
          <w:noProof/>
          <w:szCs w:val="24"/>
        </w:rPr>
        <w:t xml:space="preserve">augsta līmeņa digitālo prasmju </w:t>
      </w:r>
      <w:r w:rsidRPr="00862E50">
        <w:rPr>
          <w:noProof/>
          <w:szCs w:val="24"/>
        </w:rPr>
        <w:t xml:space="preserve"> atbilstību jaunākajiem tehnoloģiskajiem sasniegumiem. </w:t>
      </w:r>
    </w:p>
    <w:p w14:paraId="7F002BD9" w14:textId="40F224BC" w:rsidR="00BA04AB" w:rsidRDefault="0063347B" w:rsidP="00721CD0">
      <w:pPr>
        <w:pStyle w:val="ManualConsidrant"/>
        <w:spacing w:before="0" w:after="0"/>
        <w:ind w:left="0" w:firstLine="720"/>
        <w:rPr>
          <w:noProof/>
          <w:szCs w:val="24"/>
        </w:rPr>
      </w:pPr>
      <w:r w:rsidRPr="00456908">
        <w:rPr>
          <w:noProof/>
          <w:szCs w:val="24"/>
        </w:rPr>
        <w:t>Komisija kopā ar dalībvalstīm nodrošinās</w:t>
      </w:r>
      <w:r w:rsidR="001964FA">
        <w:rPr>
          <w:rStyle w:val="FootnoteReference"/>
          <w:noProof/>
          <w:szCs w:val="24"/>
        </w:rPr>
        <w:footnoteReference w:id="4"/>
      </w:r>
      <w:r w:rsidRPr="00456908">
        <w:rPr>
          <w:noProof/>
          <w:szCs w:val="24"/>
        </w:rPr>
        <w:t xml:space="preserve">, ka vismaz vienam </w:t>
      </w:r>
      <w:r w:rsidR="001964FA" w:rsidRPr="002249C3">
        <w:rPr>
          <w:bCs/>
          <w:noProof/>
          <w:szCs w:val="24"/>
        </w:rPr>
        <w:t>C</w:t>
      </w:r>
      <w:r w:rsidRPr="002249C3">
        <w:rPr>
          <w:bCs/>
          <w:noProof/>
          <w:szCs w:val="24"/>
        </w:rPr>
        <w:t xml:space="preserve">entram katrā dalībvalstī ir augsta specializācija </w:t>
      </w:r>
      <w:r w:rsidR="00AC0CE7">
        <w:rPr>
          <w:bCs/>
          <w:noProof/>
          <w:szCs w:val="24"/>
        </w:rPr>
        <w:t>MI</w:t>
      </w:r>
      <w:r w:rsidRPr="002249C3">
        <w:rPr>
          <w:bCs/>
          <w:noProof/>
          <w:szCs w:val="24"/>
        </w:rPr>
        <w:t xml:space="preserve"> jomā</w:t>
      </w:r>
      <w:r w:rsidRPr="002249C3">
        <w:rPr>
          <w:noProof/>
          <w:color w:val="FF0000"/>
          <w:szCs w:val="24"/>
        </w:rPr>
        <w:t>.</w:t>
      </w:r>
      <w:r w:rsidRPr="00771923">
        <w:rPr>
          <w:noProof/>
          <w:color w:val="FF0000"/>
          <w:szCs w:val="24"/>
        </w:rPr>
        <w:t xml:space="preserve"> </w:t>
      </w:r>
      <w:r>
        <w:rPr>
          <w:noProof/>
          <w:szCs w:val="24"/>
        </w:rPr>
        <w:t xml:space="preserve">Papildus tam, </w:t>
      </w:r>
      <w:r w:rsidR="00AF7AF7">
        <w:rPr>
          <w:noProof/>
          <w:szCs w:val="24"/>
        </w:rPr>
        <w:t>Komisija</w:t>
      </w:r>
      <w:r w:rsidR="005934DC">
        <w:rPr>
          <w:noProof/>
          <w:szCs w:val="24"/>
        </w:rPr>
        <w:t xml:space="preserve"> </w:t>
      </w:r>
      <w:r>
        <w:rPr>
          <w:noProof/>
          <w:szCs w:val="24"/>
        </w:rPr>
        <w:t>programmas “Apvārsnis Eiropa</w:t>
      </w:r>
      <w:r w:rsidRPr="000C507A">
        <w:rPr>
          <w:vertAlign w:val="superscript"/>
        </w:rPr>
        <w:footnoteReference w:id="5"/>
      </w:r>
      <w:r>
        <w:rPr>
          <w:noProof/>
          <w:szCs w:val="24"/>
        </w:rPr>
        <w:t xml:space="preserve">” </w:t>
      </w:r>
      <w:r w:rsidR="001964FA">
        <w:rPr>
          <w:noProof/>
          <w:szCs w:val="24"/>
        </w:rPr>
        <w:t xml:space="preserve">ietvarā </w:t>
      </w:r>
      <w:r>
        <w:rPr>
          <w:noProof/>
          <w:szCs w:val="24"/>
        </w:rPr>
        <w:t>plāno izveidot</w:t>
      </w:r>
      <w:r w:rsidRPr="00456908">
        <w:rPr>
          <w:noProof/>
          <w:szCs w:val="24"/>
        </w:rPr>
        <w:t xml:space="preserve"> jaunu publiskā </w:t>
      </w:r>
      <w:r>
        <w:rPr>
          <w:noProof/>
          <w:szCs w:val="24"/>
        </w:rPr>
        <w:t xml:space="preserve">un privātā sektora partnerību </w:t>
      </w:r>
      <w:r w:rsidR="00AC0CE7">
        <w:rPr>
          <w:noProof/>
          <w:szCs w:val="24"/>
        </w:rPr>
        <w:t>MI</w:t>
      </w:r>
      <w:r w:rsidRPr="00456908">
        <w:rPr>
          <w:noProof/>
          <w:szCs w:val="24"/>
        </w:rPr>
        <w:t xml:space="preserve">, datu un robotikas jomā, lai apvienotu spēkus, nodrošinātu </w:t>
      </w:r>
      <w:r w:rsidR="00AC0CE7">
        <w:rPr>
          <w:noProof/>
          <w:szCs w:val="24"/>
        </w:rPr>
        <w:t>MI</w:t>
      </w:r>
      <w:r w:rsidRPr="00456908">
        <w:rPr>
          <w:noProof/>
          <w:szCs w:val="24"/>
        </w:rPr>
        <w:t xml:space="preserve"> pētniecī</w:t>
      </w:r>
      <w:r w:rsidR="001964FA">
        <w:rPr>
          <w:noProof/>
          <w:szCs w:val="24"/>
        </w:rPr>
        <w:t xml:space="preserve">bas un inovācijas koordināciju, </w:t>
      </w:r>
      <w:r w:rsidRPr="00456908">
        <w:rPr>
          <w:noProof/>
          <w:szCs w:val="24"/>
        </w:rPr>
        <w:t xml:space="preserve">sadarbotos ar citām publiskā un privātā sektora partnerībām un sadarbotos ar testēšanas iestādēm un </w:t>
      </w:r>
      <w:r>
        <w:rPr>
          <w:noProof/>
          <w:szCs w:val="24"/>
        </w:rPr>
        <w:t>Centriem</w:t>
      </w:r>
      <w:r w:rsidR="00BA04AB">
        <w:rPr>
          <w:noProof/>
          <w:szCs w:val="24"/>
        </w:rPr>
        <w:t>.</w:t>
      </w:r>
    </w:p>
    <w:p w14:paraId="5C238640" w14:textId="2C565BFF" w:rsidR="0079396A" w:rsidRPr="00BA04AB" w:rsidRDefault="0063347B" w:rsidP="00721CD0">
      <w:pPr>
        <w:pStyle w:val="ManualConsidrant"/>
        <w:spacing w:before="0" w:after="0"/>
        <w:ind w:left="0" w:firstLine="720"/>
        <w:rPr>
          <w:noProof/>
          <w:szCs w:val="24"/>
        </w:rPr>
      </w:pPr>
      <w:r w:rsidRPr="00BC2541">
        <w:rPr>
          <w:noProof/>
          <w:szCs w:val="24"/>
        </w:rPr>
        <w:t xml:space="preserve">Saskaņā ar </w:t>
      </w:r>
      <w:r w:rsidR="0079396A" w:rsidRPr="00BC2541">
        <w:rPr>
          <w:noProof/>
          <w:szCs w:val="24"/>
        </w:rPr>
        <w:t>DEP pirmajā īstenošanas gadā plān</w:t>
      </w:r>
      <w:r w:rsidR="00AF7AF7">
        <w:rPr>
          <w:noProof/>
          <w:szCs w:val="24"/>
        </w:rPr>
        <w:t xml:space="preserve">ots izveidot sākotnēju </w:t>
      </w:r>
      <w:r w:rsidR="0079396A" w:rsidRPr="00BC2541">
        <w:rPr>
          <w:noProof/>
          <w:szCs w:val="24"/>
        </w:rPr>
        <w:t xml:space="preserve"> </w:t>
      </w:r>
      <w:r w:rsidR="00554A1D">
        <w:rPr>
          <w:noProof/>
          <w:szCs w:val="24"/>
        </w:rPr>
        <w:t>C</w:t>
      </w:r>
      <w:r w:rsidR="0079396A" w:rsidRPr="00BC2541">
        <w:rPr>
          <w:noProof/>
          <w:szCs w:val="24"/>
        </w:rPr>
        <w:t>entru tīklu. Šim nolūkam katra</w:t>
      </w:r>
      <w:r w:rsidRPr="00BC2541">
        <w:rPr>
          <w:noProof/>
          <w:szCs w:val="24"/>
        </w:rPr>
        <w:t>i dalībvalstij</w:t>
      </w:r>
      <w:r w:rsidR="0079396A" w:rsidRPr="00BC2541">
        <w:rPr>
          <w:noProof/>
          <w:szCs w:val="24"/>
        </w:rPr>
        <w:t xml:space="preserve"> atklātā </w:t>
      </w:r>
      <w:r w:rsidR="002249C3">
        <w:rPr>
          <w:noProof/>
          <w:szCs w:val="24"/>
        </w:rPr>
        <w:t>atlases</w:t>
      </w:r>
      <w:r w:rsidR="0079396A" w:rsidRPr="00BC2541">
        <w:rPr>
          <w:noProof/>
          <w:szCs w:val="24"/>
        </w:rPr>
        <w:t xml:space="preserve"> procedūrā </w:t>
      </w:r>
      <w:r w:rsidRPr="00BC2541">
        <w:rPr>
          <w:noProof/>
          <w:szCs w:val="24"/>
        </w:rPr>
        <w:t>jā</w:t>
      </w:r>
      <w:r w:rsidR="0079396A" w:rsidRPr="00BC2541">
        <w:rPr>
          <w:noProof/>
          <w:szCs w:val="24"/>
        </w:rPr>
        <w:t>izraugās kandidāt</w:t>
      </w:r>
      <w:r w:rsidRPr="00BC2541">
        <w:rPr>
          <w:noProof/>
          <w:szCs w:val="24"/>
        </w:rPr>
        <w:t>iestādes</w:t>
      </w:r>
      <w:r w:rsidR="0079396A" w:rsidRPr="00BC2541">
        <w:rPr>
          <w:noProof/>
          <w:szCs w:val="24"/>
        </w:rPr>
        <w:t>, pamatojoties uz šādiem kritērijiem:</w:t>
      </w:r>
    </w:p>
    <w:p w14:paraId="59E23B43" w14:textId="365F2736" w:rsidR="0079396A" w:rsidRPr="00BC2541" w:rsidRDefault="00554A1D" w:rsidP="00DA1B6F">
      <w:pPr>
        <w:pStyle w:val="Point1letter"/>
        <w:tabs>
          <w:tab w:val="clear" w:pos="1417"/>
          <w:tab w:val="num" w:pos="709"/>
        </w:tabs>
        <w:spacing w:before="0" w:after="0"/>
        <w:ind w:left="0" w:firstLine="284"/>
        <w:rPr>
          <w:noProof/>
          <w:szCs w:val="24"/>
        </w:rPr>
      </w:pPr>
      <w:r>
        <w:rPr>
          <w:noProof/>
          <w:szCs w:val="24"/>
        </w:rPr>
        <w:t>C</w:t>
      </w:r>
      <w:r w:rsidR="0079396A" w:rsidRPr="00BC2541">
        <w:rPr>
          <w:noProof/>
          <w:szCs w:val="24"/>
        </w:rPr>
        <w:t>entru funkcijām atbilstošas kompetences;</w:t>
      </w:r>
    </w:p>
    <w:p w14:paraId="57085666" w14:textId="5B7E46D2" w:rsidR="0079396A" w:rsidRPr="00BC2541" w:rsidRDefault="00AD14F6" w:rsidP="00DA1B6F">
      <w:pPr>
        <w:pStyle w:val="Point1letter"/>
        <w:tabs>
          <w:tab w:val="clear" w:pos="1417"/>
          <w:tab w:val="num" w:pos="709"/>
        </w:tabs>
        <w:spacing w:before="0" w:after="0"/>
        <w:ind w:left="0" w:firstLine="284"/>
        <w:rPr>
          <w:noProof/>
          <w:szCs w:val="24"/>
        </w:rPr>
      </w:pPr>
      <w:r>
        <w:rPr>
          <w:noProof/>
          <w:szCs w:val="24"/>
        </w:rPr>
        <w:t xml:space="preserve">Centru funkcijām </w:t>
      </w:r>
      <w:r w:rsidR="0079396A" w:rsidRPr="00BC2541">
        <w:rPr>
          <w:noProof/>
          <w:szCs w:val="24"/>
        </w:rPr>
        <w:t>atbilstoša pārvaldības spēja, darbinieki un infrastruktūra;</w:t>
      </w:r>
    </w:p>
    <w:p w14:paraId="75E777D2" w14:textId="1118CB0E" w:rsidR="0079396A" w:rsidRPr="00BC2541" w:rsidRDefault="0079396A" w:rsidP="00DA1B6F">
      <w:pPr>
        <w:pStyle w:val="Point1letter"/>
        <w:tabs>
          <w:tab w:val="clear" w:pos="1417"/>
          <w:tab w:val="num" w:pos="709"/>
        </w:tabs>
        <w:spacing w:before="0" w:after="0"/>
        <w:ind w:left="0" w:firstLine="284"/>
        <w:rPr>
          <w:noProof/>
          <w:szCs w:val="24"/>
        </w:rPr>
      </w:pPr>
      <w:r w:rsidRPr="00BC2541">
        <w:rPr>
          <w:noProof/>
          <w:szCs w:val="24"/>
        </w:rPr>
        <w:lastRenderedPageBreak/>
        <w:t xml:space="preserve">operacionālie un juridiskie līdzekļi piemērot </w:t>
      </w:r>
      <w:r w:rsidR="000C3DE3">
        <w:rPr>
          <w:noProof/>
          <w:szCs w:val="24"/>
        </w:rPr>
        <w:t>ES</w:t>
      </w:r>
      <w:r w:rsidRPr="00BC2541">
        <w:rPr>
          <w:noProof/>
          <w:szCs w:val="24"/>
        </w:rPr>
        <w:t xml:space="preserve"> līmenī noteiktos administratīvos, līgumiskos un finanšu pārvaldības noteikumus;</w:t>
      </w:r>
    </w:p>
    <w:p w14:paraId="4BEC9B4A" w14:textId="1AD6AC83" w:rsidR="0079396A" w:rsidRPr="00BC2541" w:rsidRDefault="0079396A" w:rsidP="00DA1B6F">
      <w:pPr>
        <w:pStyle w:val="Point1letter"/>
        <w:tabs>
          <w:tab w:val="clear" w:pos="1417"/>
          <w:tab w:val="num" w:pos="709"/>
        </w:tabs>
        <w:spacing w:before="0" w:after="0"/>
        <w:ind w:left="0" w:firstLine="284"/>
        <w:rPr>
          <w:noProof/>
          <w:szCs w:val="24"/>
        </w:rPr>
      </w:pPr>
      <w:r w:rsidRPr="00BC2541">
        <w:rPr>
          <w:noProof/>
          <w:szCs w:val="24"/>
        </w:rPr>
        <w:t xml:space="preserve">atbilstošas finansiālās garantijas, ko, vēlams, </w:t>
      </w:r>
      <w:r w:rsidR="00C2181B">
        <w:rPr>
          <w:noProof/>
          <w:szCs w:val="24"/>
        </w:rPr>
        <w:t>apstiprina</w:t>
      </w:r>
      <w:r w:rsidR="00C2181B" w:rsidRPr="00BC2541">
        <w:rPr>
          <w:noProof/>
          <w:szCs w:val="24"/>
        </w:rPr>
        <w:t xml:space="preserve"> </w:t>
      </w:r>
      <w:r w:rsidRPr="00BC2541">
        <w:rPr>
          <w:noProof/>
          <w:szCs w:val="24"/>
        </w:rPr>
        <w:t>publiska iestāde</w:t>
      </w:r>
      <w:r w:rsidR="00992944">
        <w:rPr>
          <w:noProof/>
          <w:szCs w:val="24"/>
        </w:rPr>
        <w:t>, piemēram,</w:t>
      </w:r>
      <w:r w:rsidR="00C2181B">
        <w:rPr>
          <w:noProof/>
          <w:szCs w:val="24"/>
        </w:rPr>
        <w:t xml:space="preserve"> sniedzot</w:t>
      </w:r>
      <w:r w:rsidR="00992944">
        <w:rPr>
          <w:noProof/>
          <w:szCs w:val="24"/>
        </w:rPr>
        <w:t xml:space="preserve"> informāciju par </w:t>
      </w:r>
      <w:r w:rsidR="00C2181B">
        <w:rPr>
          <w:noProof/>
          <w:szCs w:val="24"/>
        </w:rPr>
        <w:t xml:space="preserve">nodokļu parādu </w:t>
      </w:r>
      <w:r w:rsidR="00992944">
        <w:rPr>
          <w:noProof/>
          <w:szCs w:val="24"/>
        </w:rPr>
        <w:t>neesamību</w:t>
      </w:r>
      <w:r w:rsidRPr="00BC2541">
        <w:rPr>
          <w:noProof/>
          <w:szCs w:val="24"/>
        </w:rPr>
        <w:t xml:space="preserve"> un kas atbilst </w:t>
      </w:r>
      <w:r w:rsidR="000C3DE3">
        <w:rPr>
          <w:noProof/>
          <w:szCs w:val="24"/>
        </w:rPr>
        <w:t>ES</w:t>
      </w:r>
      <w:r w:rsidRPr="00BC2541">
        <w:rPr>
          <w:noProof/>
          <w:szCs w:val="24"/>
        </w:rPr>
        <w:t xml:space="preserve"> finansējuma apmēram, kuru tam uzticēs pārvaldīt.</w:t>
      </w:r>
    </w:p>
    <w:p w14:paraId="715BE61E" w14:textId="76050B29" w:rsidR="0079396A" w:rsidRPr="00BA04AB" w:rsidRDefault="0079396A" w:rsidP="00721CD0">
      <w:pPr>
        <w:pStyle w:val="ManualNumPar1"/>
        <w:spacing w:before="0" w:after="0"/>
        <w:ind w:left="0" w:firstLine="720"/>
        <w:rPr>
          <w:noProof/>
          <w:szCs w:val="24"/>
        </w:rPr>
      </w:pPr>
      <w:r w:rsidRPr="00BA04AB">
        <w:rPr>
          <w:noProof/>
          <w:szCs w:val="24"/>
        </w:rPr>
        <w:t>Komisija pieņem</w:t>
      </w:r>
      <w:r w:rsidR="0063347B" w:rsidRPr="00BA04AB">
        <w:rPr>
          <w:noProof/>
          <w:szCs w:val="24"/>
        </w:rPr>
        <w:t>s</w:t>
      </w:r>
      <w:r w:rsidRPr="00BA04AB">
        <w:rPr>
          <w:noProof/>
          <w:szCs w:val="24"/>
        </w:rPr>
        <w:t xml:space="preserve"> lēmumu par </w:t>
      </w:r>
      <w:r w:rsidR="000C3DE3">
        <w:rPr>
          <w:noProof/>
          <w:szCs w:val="24"/>
        </w:rPr>
        <w:t xml:space="preserve">dalībvalstu </w:t>
      </w:r>
      <w:r w:rsidR="002E7280" w:rsidRPr="00BA04AB">
        <w:rPr>
          <w:noProof/>
          <w:szCs w:val="24"/>
        </w:rPr>
        <w:t>atlasītaj</w:t>
      </w:r>
      <w:r w:rsidR="002E7280">
        <w:rPr>
          <w:noProof/>
          <w:szCs w:val="24"/>
        </w:rPr>
        <w:t>ām iestādēm</w:t>
      </w:r>
      <w:r w:rsidR="002E7280" w:rsidRPr="00BA04AB">
        <w:rPr>
          <w:noProof/>
          <w:szCs w:val="24"/>
        </w:rPr>
        <w:t xml:space="preserve"> </w:t>
      </w:r>
      <w:r w:rsidR="00B85187">
        <w:rPr>
          <w:noProof/>
          <w:szCs w:val="24"/>
        </w:rPr>
        <w:t>C</w:t>
      </w:r>
      <w:r w:rsidR="00BC2541">
        <w:rPr>
          <w:noProof/>
          <w:szCs w:val="24"/>
        </w:rPr>
        <w:t>entriem</w:t>
      </w:r>
      <w:r w:rsidR="0063347B" w:rsidRPr="00BA04AB">
        <w:rPr>
          <w:noProof/>
          <w:szCs w:val="24"/>
        </w:rPr>
        <w:t>, kas veidos sākotnējo</w:t>
      </w:r>
      <w:r w:rsidR="002E7280">
        <w:rPr>
          <w:noProof/>
          <w:szCs w:val="24"/>
        </w:rPr>
        <w:t xml:space="preserve"> Centru</w:t>
      </w:r>
      <w:r w:rsidR="0063347B" w:rsidRPr="00BA04AB">
        <w:rPr>
          <w:noProof/>
          <w:szCs w:val="24"/>
        </w:rPr>
        <w:t xml:space="preserve"> tīklu. </w:t>
      </w:r>
      <w:r w:rsidR="00BC2541">
        <w:rPr>
          <w:noProof/>
          <w:szCs w:val="24"/>
        </w:rPr>
        <w:t>Centrus</w:t>
      </w:r>
      <w:r w:rsidR="0063347B" w:rsidRPr="00BA04AB">
        <w:rPr>
          <w:noProof/>
          <w:szCs w:val="24"/>
        </w:rPr>
        <w:t xml:space="preserve"> Komisija atlasīs</w:t>
      </w:r>
      <w:r w:rsidRPr="00BA04AB">
        <w:rPr>
          <w:noProof/>
          <w:szCs w:val="24"/>
        </w:rPr>
        <w:t xml:space="preserve"> </w:t>
      </w:r>
      <w:r w:rsidR="0063347B" w:rsidRPr="00BA04AB">
        <w:rPr>
          <w:noProof/>
          <w:szCs w:val="24"/>
        </w:rPr>
        <w:t>no dalībvalstu izraudzītajā</w:t>
      </w:r>
      <w:r w:rsidRPr="00BA04AB">
        <w:rPr>
          <w:noProof/>
          <w:szCs w:val="24"/>
        </w:rPr>
        <w:t xml:space="preserve">m </w:t>
      </w:r>
      <w:r w:rsidR="0063347B" w:rsidRPr="00BA04AB">
        <w:rPr>
          <w:noProof/>
          <w:szCs w:val="24"/>
        </w:rPr>
        <w:t>iestādēm</w:t>
      </w:r>
      <w:r w:rsidRPr="00BA04AB">
        <w:rPr>
          <w:noProof/>
          <w:szCs w:val="24"/>
        </w:rPr>
        <w:t xml:space="preserve">, pamatojoties uz </w:t>
      </w:r>
      <w:r w:rsidR="002E7280">
        <w:rPr>
          <w:noProof/>
          <w:szCs w:val="24"/>
        </w:rPr>
        <w:t xml:space="preserve">augstāk </w:t>
      </w:r>
      <w:r w:rsidRPr="00BA04AB">
        <w:rPr>
          <w:noProof/>
          <w:szCs w:val="24"/>
        </w:rPr>
        <w:t>minētajiem kritērijiem un papildu kritērijiem</w:t>
      </w:r>
      <w:r w:rsidR="0063347B" w:rsidRPr="00BA04AB">
        <w:rPr>
          <w:noProof/>
          <w:szCs w:val="24"/>
        </w:rPr>
        <w:t xml:space="preserve">, t.sk., </w:t>
      </w:r>
      <w:r w:rsidRPr="00BA04AB">
        <w:rPr>
          <w:noProof/>
          <w:szCs w:val="24"/>
        </w:rPr>
        <w:t xml:space="preserve">sākotnējā </w:t>
      </w:r>
      <w:r w:rsidR="002E7280">
        <w:rPr>
          <w:noProof/>
          <w:szCs w:val="24"/>
        </w:rPr>
        <w:t xml:space="preserve">Centru </w:t>
      </w:r>
      <w:r w:rsidRPr="00BA04AB">
        <w:rPr>
          <w:noProof/>
          <w:szCs w:val="24"/>
        </w:rPr>
        <w:t xml:space="preserve">tīkla </w:t>
      </w:r>
      <w:r w:rsidR="0063347B" w:rsidRPr="00BA04AB">
        <w:rPr>
          <w:noProof/>
          <w:szCs w:val="24"/>
        </w:rPr>
        <w:t>finansēšanai pieejam</w:t>
      </w:r>
      <w:r w:rsidR="00BC2541">
        <w:rPr>
          <w:noProof/>
          <w:szCs w:val="24"/>
        </w:rPr>
        <w:t>ā</w:t>
      </w:r>
      <w:r w:rsidR="0063347B" w:rsidRPr="00BA04AB">
        <w:rPr>
          <w:noProof/>
          <w:szCs w:val="24"/>
        </w:rPr>
        <w:t xml:space="preserve"> budžet</w:t>
      </w:r>
      <w:r w:rsidR="00BC2541">
        <w:rPr>
          <w:noProof/>
          <w:szCs w:val="24"/>
        </w:rPr>
        <w:t>a</w:t>
      </w:r>
      <w:r w:rsidR="0063347B" w:rsidRPr="00BA04AB">
        <w:rPr>
          <w:noProof/>
          <w:szCs w:val="24"/>
        </w:rPr>
        <w:t xml:space="preserve"> un vajadzība</w:t>
      </w:r>
      <w:r w:rsidR="00BC2541">
        <w:rPr>
          <w:noProof/>
          <w:szCs w:val="24"/>
        </w:rPr>
        <w:t>s</w:t>
      </w:r>
      <w:r w:rsidR="0063347B" w:rsidRPr="00BA04AB">
        <w:rPr>
          <w:noProof/>
          <w:szCs w:val="24"/>
        </w:rPr>
        <w:t xml:space="preserve"> nodrošināt, ka sākotnējais </w:t>
      </w:r>
      <w:r w:rsidR="002E7280">
        <w:rPr>
          <w:noProof/>
          <w:szCs w:val="24"/>
        </w:rPr>
        <w:t xml:space="preserve">Centru </w:t>
      </w:r>
      <w:r w:rsidR="0063347B" w:rsidRPr="00BA04AB">
        <w:rPr>
          <w:noProof/>
          <w:szCs w:val="24"/>
        </w:rPr>
        <w:t>tīkls aptver</w:t>
      </w:r>
      <w:r w:rsidR="00BC2541">
        <w:rPr>
          <w:noProof/>
          <w:szCs w:val="24"/>
        </w:rPr>
        <w:t xml:space="preserve">: </w:t>
      </w:r>
      <w:r w:rsidR="0063347B" w:rsidRPr="00BA04AB">
        <w:rPr>
          <w:noProof/>
          <w:szCs w:val="24"/>
        </w:rPr>
        <w:t>rūpniecības nozar</w:t>
      </w:r>
      <w:r w:rsidR="00BC2541">
        <w:rPr>
          <w:noProof/>
          <w:szCs w:val="24"/>
        </w:rPr>
        <w:t xml:space="preserve">es </w:t>
      </w:r>
      <w:r w:rsidR="00307DA9">
        <w:rPr>
          <w:noProof/>
          <w:szCs w:val="24"/>
        </w:rPr>
        <w:t>vajadzības</w:t>
      </w:r>
      <w:r w:rsidR="002E7280">
        <w:rPr>
          <w:noProof/>
          <w:szCs w:val="24"/>
        </w:rPr>
        <w:t xml:space="preserve"> un </w:t>
      </w:r>
      <w:r w:rsidR="0063347B" w:rsidRPr="00BA04AB">
        <w:rPr>
          <w:noProof/>
          <w:szCs w:val="24"/>
        </w:rPr>
        <w:t xml:space="preserve"> sabiedrības interešu jom</w:t>
      </w:r>
      <w:r w:rsidR="00307DA9">
        <w:rPr>
          <w:noProof/>
          <w:szCs w:val="24"/>
        </w:rPr>
        <w:t>a</w:t>
      </w:r>
      <w:r w:rsidR="0063347B" w:rsidRPr="00BA04AB">
        <w:rPr>
          <w:noProof/>
          <w:szCs w:val="24"/>
        </w:rPr>
        <w:t>s</w:t>
      </w:r>
      <w:r w:rsidR="00307DA9">
        <w:rPr>
          <w:noProof/>
          <w:szCs w:val="24"/>
        </w:rPr>
        <w:t xml:space="preserve">, lai </w:t>
      </w:r>
      <w:r w:rsidR="00AF7AF7">
        <w:rPr>
          <w:noProof/>
          <w:szCs w:val="24"/>
        </w:rPr>
        <w:t>nodrošinātu</w:t>
      </w:r>
      <w:r w:rsidR="0063347B" w:rsidRPr="00BA04AB">
        <w:rPr>
          <w:noProof/>
          <w:szCs w:val="24"/>
        </w:rPr>
        <w:t xml:space="preserve"> līdzsvarotu ģeogrāfisko </w:t>
      </w:r>
      <w:r w:rsidR="00307DA9">
        <w:rPr>
          <w:noProof/>
          <w:szCs w:val="24"/>
        </w:rPr>
        <w:t>tvērumu</w:t>
      </w:r>
      <w:r w:rsidR="0063347B" w:rsidRPr="00BA04AB">
        <w:rPr>
          <w:noProof/>
          <w:szCs w:val="24"/>
        </w:rPr>
        <w:t>.</w:t>
      </w:r>
    </w:p>
    <w:p w14:paraId="190584C1" w14:textId="3A8A15A3" w:rsidR="0063347B" w:rsidRDefault="00307DA9" w:rsidP="00721CD0">
      <w:pPr>
        <w:pStyle w:val="ManualNumPar1"/>
        <w:spacing w:before="0" w:after="0"/>
        <w:ind w:left="0" w:firstLine="720"/>
        <w:rPr>
          <w:noProof/>
          <w:szCs w:val="24"/>
        </w:rPr>
      </w:pPr>
      <w:r>
        <w:rPr>
          <w:noProof/>
          <w:szCs w:val="24"/>
        </w:rPr>
        <w:t>C</w:t>
      </w:r>
      <w:r w:rsidR="0063347B" w:rsidRPr="00BA04AB">
        <w:rPr>
          <w:noProof/>
          <w:szCs w:val="24"/>
        </w:rPr>
        <w:t>entrus atlasīs</w:t>
      </w:r>
      <w:r w:rsidR="0079396A" w:rsidRPr="00BA04AB">
        <w:rPr>
          <w:noProof/>
          <w:szCs w:val="24"/>
        </w:rPr>
        <w:t xml:space="preserve"> atklātā konkursa procedūrā, raugoties, lai tiktu nodrošināts pēc iespējas plašāks Eiropas ģeogrāfiskais tvēr</w:t>
      </w:r>
      <w:r w:rsidR="0063347B" w:rsidRPr="00BA04AB">
        <w:rPr>
          <w:noProof/>
          <w:szCs w:val="24"/>
        </w:rPr>
        <w:t xml:space="preserve">ums. </w:t>
      </w:r>
      <w:r w:rsidR="000C3DE3">
        <w:rPr>
          <w:noProof/>
          <w:szCs w:val="24"/>
        </w:rPr>
        <w:t xml:space="preserve">Komisija noteikusi </w:t>
      </w:r>
      <w:r>
        <w:rPr>
          <w:noProof/>
          <w:szCs w:val="24"/>
        </w:rPr>
        <w:t>Centru</w:t>
      </w:r>
      <w:r w:rsidR="0063347B" w:rsidRPr="00BA04AB">
        <w:rPr>
          <w:noProof/>
          <w:szCs w:val="24"/>
        </w:rPr>
        <w:t xml:space="preserve"> skait</w:t>
      </w:r>
      <w:r w:rsidR="000C3DE3">
        <w:rPr>
          <w:noProof/>
          <w:szCs w:val="24"/>
        </w:rPr>
        <w:t>u katrā dalībvalstī</w:t>
      </w:r>
      <w:r w:rsidR="0079396A" w:rsidRPr="00BA04AB">
        <w:rPr>
          <w:noProof/>
          <w:szCs w:val="24"/>
        </w:rPr>
        <w:t xml:space="preserve"> proporcionāls konkrēto dalībvalstu iedzīvotāju skaitam, katrā dalībvalstī </w:t>
      </w:r>
      <w:r w:rsidR="002E7280">
        <w:rPr>
          <w:noProof/>
          <w:szCs w:val="24"/>
        </w:rPr>
        <w:t xml:space="preserve">paredzot </w:t>
      </w:r>
      <w:r w:rsidR="0079396A" w:rsidRPr="00BC2541">
        <w:rPr>
          <w:noProof/>
          <w:szCs w:val="24"/>
        </w:rPr>
        <w:t>vismaz vie</w:t>
      </w:r>
      <w:r w:rsidR="000C3DE3">
        <w:rPr>
          <w:noProof/>
          <w:szCs w:val="24"/>
        </w:rPr>
        <w:t>nu</w:t>
      </w:r>
      <w:r w:rsidR="002E7280">
        <w:rPr>
          <w:noProof/>
          <w:szCs w:val="24"/>
        </w:rPr>
        <w:t xml:space="preserve"> Centru</w:t>
      </w:r>
      <w:r w:rsidR="0063347B" w:rsidRPr="00BC2541">
        <w:rPr>
          <w:noProof/>
          <w:szCs w:val="24"/>
        </w:rPr>
        <w:t>.</w:t>
      </w:r>
    </w:p>
    <w:p w14:paraId="6BA3EA90" w14:textId="0A6A8416" w:rsidR="000C3DE3" w:rsidRDefault="000C3DE3" w:rsidP="000C3DE3">
      <w:pPr>
        <w:rPr>
          <w:lang w:eastAsia="lv-LV" w:bidi="lv-LV"/>
        </w:rPr>
      </w:pPr>
    </w:p>
    <w:p w14:paraId="3359F784" w14:textId="589FBE2F" w:rsidR="000C3DE3" w:rsidRPr="00AF7AF7" w:rsidRDefault="000C3DE3" w:rsidP="008918BA">
      <w:pPr>
        <w:pStyle w:val="ListParagraph"/>
        <w:numPr>
          <w:ilvl w:val="0"/>
          <w:numId w:val="12"/>
        </w:numPr>
        <w:spacing w:after="0" w:line="240" w:lineRule="auto"/>
        <w:jc w:val="center"/>
        <w:rPr>
          <w:rFonts w:ascii="Times New Roman" w:hAnsi="Times New Roman" w:cs="Times New Roman"/>
          <w:b/>
          <w:bCs/>
          <w:sz w:val="24"/>
          <w:szCs w:val="24"/>
        </w:rPr>
      </w:pPr>
      <w:r w:rsidRPr="00AF7AF7">
        <w:rPr>
          <w:rFonts w:ascii="Times New Roman" w:hAnsi="Times New Roman" w:cs="Times New Roman"/>
          <w:b/>
          <w:bCs/>
          <w:sz w:val="24"/>
          <w:szCs w:val="24"/>
        </w:rPr>
        <w:t>Finansējums</w:t>
      </w:r>
    </w:p>
    <w:p w14:paraId="44417EDA" w14:textId="6E98184B" w:rsidR="002A0ECB" w:rsidRPr="00721CD0" w:rsidRDefault="002A0ECB" w:rsidP="00721CD0">
      <w:pPr>
        <w:spacing w:after="0" w:line="240" w:lineRule="auto"/>
        <w:ind w:firstLine="720"/>
        <w:jc w:val="both"/>
        <w:rPr>
          <w:rFonts w:ascii="Times New Roman" w:hAnsi="Times New Roman" w:cs="Times New Roman"/>
          <w:noProof/>
          <w:sz w:val="24"/>
          <w:szCs w:val="24"/>
        </w:rPr>
      </w:pPr>
      <w:r w:rsidRPr="00721CD0">
        <w:rPr>
          <w:rStyle w:val="Nessuno"/>
          <w:rFonts w:ascii="Times New Roman" w:hAnsi="Times New Roman" w:cs="Times New Roman"/>
          <w:noProof/>
          <w:sz w:val="24"/>
          <w:szCs w:val="24"/>
        </w:rPr>
        <w:t xml:space="preserve">DEP papildina vairākus citus finanšu instrumentus, kas </w:t>
      </w:r>
      <w:r w:rsidR="00F72590">
        <w:rPr>
          <w:rStyle w:val="Nessuno"/>
          <w:rFonts w:ascii="Times New Roman" w:hAnsi="Times New Roman" w:cs="Times New Roman"/>
          <w:noProof/>
          <w:sz w:val="24"/>
          <w:szCs w:val="24"/>
        </w:rPr>
        <w:t>izveidoti</w:t>
      </w:r>
      <w:r w:rsidR="00F72590" w:rsidRPr="00721CD0">
        <w:rPr>
          <w:rStyle w:val="Nessuno"/>
          <w:rFonts w:ascii="Times New Roman" w:hAnsi="Times New Roman" w:cs="Times New Roman"/>
          <w:noProof/>
          <w:sz w:val="24"/>
          <w:szCs w:val="24"/>
        </w:rPr>
        <w:t xml:space="preserve"> </w:t>
      </w:r>
      <w:r w:rsidRPr="00721CD0">
        <w:rPr>
          <w:rStyle w:val="Nessuno"/>
          <w:rFonts w:ascii="Times New Roman" w:hAnsi="Times New Roman" w:cs="Times New Roman"/>
          <w:noProof/>
          <w:sz w:val="24"/>
          <w:szCs w:val="24"/>
        </w:rPr>
        <w:t>saskaņā ar daudzgadu finanšu shēmu laikposmam pēc 2020. gada, un darbojas ar tiem kopā, jo īpaši a</w:t>
      </w:r>
      <w:r w:rsidR="00AF7AF7">
        <w:rPr>
          <w:rStyle w:val="Nessuno"/>
          <w:rFonts w:ascii="Times New Roman" w:hAnsi="Times New Roman" w:cs="Times New Roman"/>
          <w:noProof/>
          <w:sz w:val="24"/>
          <w:szCs w:val="24"/>
        </w:rPr>
        <w:t>r programmu “Apvārsnis Eiropa”</w:t>
      </w:r>
      <w:r w:rsidRPr="00721CD0">
        <w:rPr>
          <w:rStyle w:val="Nessuno"/>
          <w:rFonts w:ascii="Times New Roman" w:hAnsi="Times New Roman" w:cs="Times New Roman"/>
          <w:noProof/>
          <w:sz w:val="24"/>
          <w:szCs w:val="24"/>
        </w:rPr>
        <w:t>, Eiropas infrastruktūras savienošanas instrumentu (EISI), programmu “Rad</w:t>
      </w:r>
      <w:r w:rsidR="00AF7AF7">
        <w:rPr>
          <w:rStyle w:val="Nessuno"/>
          <w:rFonts w:ascii="Times New Roman" w:hAnsi="Times New Roman" w:cs="Times New Roman"/>
          <w:noProof/>
          <w:sz w:val="24"/>
          <w:szCs w:val="24"/>
        </w:rPr>
        <w:t>ošā Eiropa” (tostarp programmu “</w:t>
      </w:r>
      <w:r w:rsidRPr="00721CD0">
        <w:rPr>
          <w:rStyle w:val="Nessuno"/>
          <w:rFonts w:ascii="Times New Roman" w:hAnsi="Times New Roman" w:cs="Times New Roman"/>
          <w:i/>
          <w:noProof/>
          <w:sz w:val="24"/>
          <w:szCs w:val="24"/>
        </w:rPr>
        <w:t>Media</w:t>
      </w:r>
      <w:r w:rsidR="00AF7AF7">
        <w:rPr>
          <w:rStyle w:val="Nessuno"/>
          <w:rFonts w:ascii="Times New Roman" w:hAnsi="Times New Roman" w:cs="Times New Roman"/>
          <w:noProof/>
          <w:sz w:val="24"/>
          <w:szCs w:val="24"/>
        </w:rPr>
        <w:t>”</w:t>
      </w:r>
      <w:r w:rsidRPr="00721CD0">
        <w:rPr>
          <w:rStyle w:val="Nessuno"/>
          <w:rFonts w:ascii="Times New Roman" w:hAnsi="Times New Roman" w:cs="Times New Roman"/>
          <w:noProof/>
          <w:sz w:val="24"/>
          <w:szCs w:val="24"/>
        </w:rPr>
        <w:t xml:space="preserve">), fondu </w:t>
      </w:r>
      <w:r w:rsidRPr="00721CD0">
        <w:rPr>
          <w:rStyle w:val="Nessuno"/>
          <w:rFonts w:ascii="Times New Roman" w:hAnsi="Times New Roman" w:cs="Times New Roman"/>
          <w:i/>
          <w:noProof/>
          <w:sz w:val="24"/>
          <w:szCs w:val="24"/>
        </w:rPr>
        <w:t>InvestEU</w:t>
      </w:r>
      <w:r w:rsidRPr="00721CD0">
        <w:rPr>
          <w:rStyle w:val="Nessuno"/>
          <w:rFonts w:ascii="Times New Roman" w:hAnsi="Times New Roman" w:cs="Times New Roman"/>
          <w:noProof/>
          <w:sz w:val="24"/>
          <w:szCs w:val="24"/>
        </w:rPr>
        <w:t xml:space="preserve">, </w:t>
      </w:r>
      <w:r w:rsidRPr="00721CD0">
        <w:rPr>
          <w:rStyle w:val="Nessuno"/>
          <w:rFonts w:ascii="Times New Roman" w:hAnsi="Times New Roman" w:cs="Times New Roman"/>
          <w:i/>
          <w:noProof/>
          <w:sz w:val="24"/>
          <w:szCs w:val="24"/>
        </w:rPr>
        <w:t>COSME</w:t>
      </w:r>
      <w:r w:rsidRPr="00721CD0">
        <w:rPr>
          <w:rStyle w:val="Nessuno"/>
          <w:rFonts w:ascii="Times New Roman" w:hAnsi="Times New Roman" w:cs="Times New Roman"/>
          <w:noProof/>
          <w:sz w:val="24"/>
          <w:szCs w:val="24"/>
        </w:rPr>
        <w:t xml:space="preserve">, </w:t>
      </w:r>
      <w:r w:rsidR="002E7280">
        <w:rPr>
          <w:rStyle w:val="Nessuno"/>
          <w:rFonts w:ascii="Times New Roman" w:hAnsi="Times New Roman" w:cs="Times New Roman"/>
          <w:noProof/>
          <w:sz w:val="24"/>
          <w:szCs w:val="24"/>
        </w:rPr>
        <w:t>V</w:t>
      </w:r>
      <w:r w:rsidRPr="00721CD0">
        <w:rPr>
          <w:rStyle w:val="Nessuno"/>
          <w:rFonts w:ascii="Times New Roman" w:hAnsi="Times New Roman" w:cs="Times New Roman"/>
          <w:noProof/>
          <w:sz w:val="24"/>
          <w:szCs w:val="24"/>
        </w:rPr>
        <w:t>ienotā tirgus programmu, Eiropas Reģionālās attīstības fondu (</w:t>
      </w:r>
      <w:r w:rsidR="00E56339">
        <w:rPr>
          <w:rStyle w:val="Nessuno"/>
          <w:rFonts w:ascii="Times New Roman" w:hAnsi="Times New Roman" w:cs="Times New Roman"/>
          <w:noProof/>
          <w:sz w:val="24"/>
          <w:szCs w:val="24"/>
        </w:rPr>
        <w:t xml:space="preserve">turpmāk - </w:t>
      </w:r>
      <w:r w:rsidRPr="00721CD0">
        <w:rPr>
          <w:rStyle w:val="Nessuno"/>
          <w:rFonts w:ascii="Times New Roman" w:hAnsi="Times New Roman" w:cs="Times New Roman"/>
          <w:noProof/>
          <w:sz w:val="24"/>
          <w:szCs w:val="24"/>
        </w:rPr>
        <w:t xml:space="preserve">ERAF), Eiropas Sociālo fondu Plus (tostarp Jaunatnes nodarbinātības iniciatīvu, veselības virzienu un digitālajām pamatprasmēm), Eiropas Lauksaimniecības fondu lauku attīstībai (ELFLA), </w:t>
      </w:r>
      <w:r w:rsidRPr="00721CD0">
        <w:rPr>
          <w:rStyle w:val="Nessuno"/>
          <w:rFonts w:ascii="Times New Roman" w:hAnsi="Times New Roman" w:cs="Times New Roman"/>
          <w:i/>
          <w:noProof/>
          <w:sz w:val="24"/>
          <w:szCs w:val="24"/>
        </w:rPr>
        <w:t>Erasmus</w:t>
      </w:r>
      <w:r w:rsidRPr="00721CD0">
        <w:rPr>
          <w:rStyle w:val="Nessuno"/>
          <w:rFonts w:ascii="Times New Roman" w:hAnsi="Times New Roman" w:cs="Times New Roman"/>
          <w:noProof/>
          <w:sz w:val="24"/>
          <w:szCs w:val="24"/>
        </w:rPr>
        <w:t xml:space="preserve">, Eiropas Globalizācijas pielāgošanās fondu (digitālajām pamatprasmēm un augsta līmeņa digitālajām prasmēm), Integrētas robežu pārvaldības fondu, Iekšējās drošības fondu, </w:t>
      </w:r>
      <w:r w:rsidR="002E7280">
        <w:rPr>
          <w:rStyle w:val="Nessuno"/>
          <w:rFonts w:ascii="Times New Roman" w:hAnsi="Times New Roman" w:cs="Times New Roman"/>
          <w:noProof/>
          <w:sz w:val="24"/>
          <w:szCs w:val="24"/>
        </w:rPr>
        <w:t>V</w:t>
      </w:r>
      <w:r w:rsidRPr="00721CD0">
        <w:rPr>
          <w:rStyle w:val="Nessuno"/>
          <w:rFonts w:ascii="Times New Roman" w:hAnsi="Times New Roman" w:cs="Times New Roman"/>
          <w:noProof/>
          <w:sz w:val="24"/>
          <w:szCs w:val="24"/>
        </w:rPr>
        <w:t xml:space="preserve">ides un klimata pasākumu programmu (tostarp energoefektivitāti) un Eiropas Jūrlietu un zivsaimniecības fondu. </w:t>
      </w:r>
      <w:r w:rsidR="002E7280">
        <w:rPr>
          <w:rStyle w:val="Nessuno"/>
          <w:rFonts w:ascii="Times New Roman" w:hAnsi="Times New Roman" w:cs="Times New Roman"/>
          <w:noProof/>
          <w:sz w:val="24"/>
          <w:szCs w:val="24"/>
        </w:rPr>
        <w:t>Minēto p</w:t>
      </w:r>
      <w:r w:rsidRPr="00721CD0">
        <w:rPr>
          <w:rStyle w:val="Nessuno"/>
          <w:rFonts w:ascii="Times New Roman" w:hAnsi="Times New Roman" w:cs="Times New Roman"/>
          <w:noProof/>
          <w:sz w:val="24"/>
          <w:szCs w:val="24"/>
        </w:rPr>
        <w:t>rogrammu sinerģijas ļaus gūt apjomradītus ietaupījumus, padarīs investīcijas saskaņotākas un nodrošinās iedzīvotājiem un ekonomikas dalībniekiem lielāku vērtību. Šīs sinerģijas pastiprinās ES līmeņa digitalizācijas investīciju praktisko ietekmi, savukārt valstu un reģionālās digitālās investīcijas varēs labāk papildināt ES līmeņa rīcību.</w:t>
      </w:r>
      <w:r w:rsidRPr="00721CD0">
        <w:rPr>
          <w:rStyle w:val="FootnoteReference"/>
          <w:rFonts w:ascii="Times New Roman" w:hAnsi="Times New Roman" w:cs="Times New Roman"/>
          <w:noProof/>
          <w:sz w:val="24"/>
          <w:szCs w:val="24"/>
        </w:rPr>
        <w:footnoteReference w:id="6"/>
      </w:r>
      <w:r w:rsidRPr="00721CD0">
        <w:rPr>
          <w:rStyle w:val="Nessuno"/>
          <w:rFonts w:ascii="Times New Roman" w:hAnsi="Times New Roman" w:cs="Times New Roman"/>
          <w:noProof/>
          <w:sz w:val="24"/>
          <w:szCs w:val="24"/>
        </w:rPr>
        <w:t xml:space="preserve"> </w:t>
      </w:r>
    </w:p>
    <w:p w14:paraId="5A16B9B2" w14:textId="2524C0EE" w:rsidR="00BA04AB" w:rsidRPr="00721CD0" w:rsidRDefault="000C3DE3" w:rsidP="00721CD0">
      <w:pPr>
        <w:pStyle w:val="ManualNumPar1"/>
        <w:spacing w:before="0" w:after="0"/>
        <w:ind w:left="0" w:firstLine="720"/>
        <w:rPr>
          <w:noProof/>
          <w:szCs w:val="24"/>
        </w:rPr>
      </w:pPr>
      <w:r w:rsidRPr="00721CD0">
        <w:rPr>
          <w:noProof/>
          <w:szCs w:val="24"/>
        </w:rPr>
        <w:t>F</w:t>
      </w:r>
      <w:r w:rsidR="0079396A" w:rsidRPr="00721CD0">
        <w:rPr>
          <w:noProof/>
          <w:szCs w:val="24"/>
        </w:rPr>
        <w:t>inansējum</w:t>
      </w:r>
      <w:r w:rsidRPr="00721CD0">
        <w:rPr>
          <w:noProof/>
          <w:szCs w:val="24"/>
        </w:rPr>
        <w:t xml:space="preserve">a </w:t>
      </w:r>
      <w:r w:rsidR="004B20CD">
        <w:rPr>
          <w:noProof/>
          <w:szCs w:val="24"/>
        </w:rPr>
        <w:t>piešķiršana</w:t>
      </w:r>
      <w:r w:rsidR="004B20CD" w:rsidRPr="00721CD0">
        <w:rPr>
          <w:noProof/>
          <w:szCs w:val="24"/>
        </w:rPr>
        <w:t xml:space="preserve"> </w:t>
      </w:r>
      <w:r w:rsidRPr="00721CD0">
        <w:rPr>
          <w:noProof/>
          <w:szCs w:val="24"/>
        </w:rPr>
        <w:t>noteikta</w:t>
      </w:r>
      <w:r w:rsidR="0079396A" w:rsidRPr="00721CD0">
        <w:rPr>
          <w:noProof/>
          <w:szCs w:val="24"/>
        </w:rPr>
        <w:t xml:space="preserve"> dotācij</w:t>
      </w:r>
      <w:r w:rsidRPr="00721CD0">
        <w:rPr>
          <w:noProof/>
          <w:szCs w:val="24"/>
        </w:rPr>
        <w:t>as</w:t>
      </w:r>
      <w:r w:rsidR="0079396A" w:rsidRPr="00721CD0">
        <w:rPr>
          <w:noProof/>
          <w:szCs w:val="24"/>
        </w:rPr>
        <w:t xml:space="preserve"> formā</w:t>
      </w:r>
      <w:r w:rsidRPr="00721CD0">
        <w:rPr>
          <w:noProof/>
          <w:szCs w:val="24"/>
        </w:rPr>
        <w:t>, iesniedzot pieprasījumu</w:t>
      </w:r>
      <w:r w:rsidR="00992944">
        <w:rPr>
          <w:noProof/>
          <w:szCs w:val="24"/>
        </w:rPr>
        <w:t xml:space="preserve"> </w:t>
      </w:r>
      <w:r w:rsidR="00AD0AF4">
        <w:rPr>
          <w:noProof/>
          <w:szCs w:val="24"/>
        </w:rPr>
        <w:t>Eiropas Komisijai</w:t>
      </w:r>
      <w:r w:rsidRPr="00721CD0">
        <w:rPr>
          <w:noProof/>
          <w:szCs w:val="24"/>
        </w:rPr>
        <w:t xml:space="preserve">konkrētas darbības veikšanai. </w:t>
      </w:r>
      <w:r w:rsidR="002A0ECB" w:rsidRPr="00721CD0">
        <w:rPr>
          <w:noProof/>
          <w:szCs w:val="24"/>
        </w:rPr>
        <w:t xml:space="preserve">DEP darbības jāizmanto, lai samērīgi novērstu tirgus nepilnības, nedublējot un neizslēdzot privāto finansējumu, un </w:t>
      </w:r>
      <w:r w:rsidR="00C2181B">
        <w:rPr>
          <w:noProof/>
          <w:szCs w:val="24"/>
        </w:rPr>
        <w:t>darbībām</w:t>
      </w:r>
      <w:r w:rsidR="002A0ECB" w:rsidRPr="00721CD0">
        <w:rPr>
          <w:noProof/>
          <w:szCs w:val="24"/>
        </w:rPr>
        <w:t xml:space="preserve"> jābūt ar skaidru </w:t>
      </w:r>
      <w:r w:rsidR="00F72590">
        <w:rPr>
          <w:noProof/>
          <w:szCs w:val="24"/>
        </w:rPr>
        <w:t>ES</w:t>
      </w:r>
      <w:r w:rsidR="00F72590" w:rsidRPr="00721CD0">
        <w:rPr>
          <w:noProof/>
          <w:szCs w:val="24"/>
        </w:rPr>
        <w:t xml:space="preserve"> </w:t>
      </w:r>
      <w:r w:rsidR="002A0ECB" w:rsidRPr="00721CD0">
        <w:rPr>
          <w:noProof/>
          <w:szCs w:val="24"/>
        </w:rPr>
        <w:t>pievienoto vērtību. Svarīgs aspekts ir tas, ka piešķirtais finansējums DEP ievaros nebūt nav vienīgais</w:t>
      </w:r>
      <w:r w:rsidR="00721CD0" w:rsidRPr="00721CD0">
        <w:rPr>
          <w:noProof/>
          <w:szCs w:val="24"/>
        </w:rPr>
        <w:t>, ko izmanto projekta īstenošanai, var veid</w:t>
      </w:r>
      <w:r w:rsidR="00914C0D">
        <w:rPr>
          <w:noProof/>
          <w:szCs w:val="24"/>
        </w:rPr>
        <w:t>ot arī sasaisti</w:t>
      </w:r>
      <w:r w:rsidR="00721CD0" w:rsidRPr="00721CD0">
        <w:rPr>
          <w:noProof/>
          <w:szCs w:val="24"/>
        </w:rPr>
        <w:t xml:space="preserve"> ar iepriekš minētajām programmām un piesaistot privāto fiansnējumu.</w:t>
      </w:r>
    </w:p>
    <w:p w14:paraId="3357C77F" w14:textId="615D9146" w:rsidR="0079396A" w:rsidRPr="00721CD0" w:rsidRDefault="00554A1D" w:rsidP="00721CD0">
      <w:pPr>
        <w:pStyle w:val="ManualNumPar1"/>
        <w:spacing w:before="0" w:after="0"/>
        <w:ind w:left="0" w:firstLine="720"/>
        <w:rPr>
          <w:noProof/>
          <w:szCs w:val="24"/>
        </w:rPr>
      </w:pPr>
      <w:r>
        <w:rPr>
          <w:noProof/>
          <w:szCs w:val="24"/>
        </w:rPr>
        <w:t>C</w:t>
      </w:r>
      <w:r w:rsidR="0079396A" w:rsidRPr="00721CD0">
        <w:rPr>
          <w:noProof/>
          <w:szCs w:val="24"/>
        </w:rPr>
        <w:t>entri, kuri saņem</w:t>
      </w:r>
      <w:r w:rsidR="0063347B" w:rsidRPr="00721CD0">
        <w:rPr>
          <w:noProof/>
          <w:szCs w:val="24"/>
        </w:rPr>
        <w:t xml:space="preserve">s </w:t>
      </w:r>
      <w:r w:rsidR="004B20CD">
        <w:rPr>
          <w:noProof/>
          <w:szCs w:val="24"/>
        </w:rPr>
        <w:t xml:space="preserve">DEP </w:t>
      </w:r>
      <w:r w:rsidR="0063347B" w:rsidRPr="00721CD0">
        <w:rPr>
          <w:noProof/>
          <w:szCs w:val="24"/>
        </w:rPr>
        <w:t>finansējumu, iesaistīsie</w:t>
      </w:r>
      <w:r w:rsidR="0079396A" w:rsidRPr="00721CD0">
        <w:rPr>
          <w:noProof/>
          <w:szCs w:val="24"/>
        </w:rPr>
        <w:t xml:space="preserve">s programmas īstenošanā, proti: </w:t>
      </w:r>
    </w:p>
    <w:p w14:paraId="498D348B" w14:textId="3A881912" w:rsidR="0079396A" w:rsidRPr="000C507A" w:rsidRDefault="0063347B" w:rsidP="00C07760">
      <w:pPr>
        <w:pStyle w:val="Point1letter"/>
        <w:numPr>
          <w:ilvl w:val="3"/>
          <w:numId w:val="19"/>
        </w:numPr>
        <w:tabs>
          <w:tab w:val="clear" w:pos="1417"/>
          <w:tab w:val="num" w:pos="851"/>
        </w:tabs>
        <w:spacing w:before="0" w:after="0"/>
        <w:ind w:left="709" w:hanging="425"/>
        <w:rPr>
          <w:noProof/>
          <w:szCs w:val="24"/>
        </w:rPr>
      </w:pPr>
      <w:r w:rsidRPr="00AC0CE7">
        <w:rPr>
          <w:noProof/>
          <w:szCs w:val="24"/>
        </w:rPr>
        <w:t>sniegs</w:t>
      </w:r>
      <w:r w:rsidR="0079396A" w:rsidRPr="00AC0CE7">
        <w:rPr>
          <w:noProof/>
          <w:szCs w:val="24"/>
        </w:rPr>
        <w:t xml:space="preserve"> digitālās pārveides pa</w:t>
      </w:r>
      <w:r w:rsidRPr="00AC0CE7">
        <w:rPr>
          <w:noProof/>
          <w:szCs w:val="24"/>
        </w:rPr>
        <w:t>kalpojumus (tai skaitā nodrošinās</w:t>
      </w:r>
      <w:r w:rsidR="0079396A" w:rsidRPr="000C507A">
        <w:rPr>
          <w:noProof/>
          <w:szCs w:val="24"/>
        </w:rPr>
        <w:t xml:space="preserve"> testēšanas un eksperimentālās iekārtas), kuri orientēti uz MVU un vidējas kapitalizācijas uzņēmumiem, arī nozarēs, kurās ir lēna digitālo un saistīto tehnoloģiju apguve;</w:t>
      </w:r>
      <w:bookmarkStart w:id="15" w:name="_GoBack"/>
      <w:bookmarkEnd w:id="15"/>
    </w:p>
    <w:p w14:paraId="12368D9A" w14:textId="7BADDF9F" w:rsidR="00352157" w:rsidRPr="00352157" w:rsidRDefault="00914C0D" w:rsidP="00352157">
      <w:pPr>
        <w:pStyle w:val="Point1letter"/>
        <w:tabs>
          <w:tab w:val="clear" w:pos="1417"/>
          <w:tab w:val="num" w:pos="709"/>
        </w:tabs>
        <w:spacing w:before="0" w:after="0"/>
        <w:ind w:left="0" w:firstLine="284"/>
        <w:rPr>
          <w:noProof/>
          <w:szCs w:val="24"/>
        </w:rPr>
      </w:pPr>
      <w:r>
        <w:rPr>
          <w:noProof/>
          <w:szCs w:val="24"/>
        </w:rPr>
        <w:lastRenderedPageBreak/>
        <w:t>veidos</w:t>
      </w:r>
      <w:r w:rsidR="00352157" w:rsidRPr="00DA1B6F">
        <w:rPr>
          <w:noProof/>
          <w:szCs w:val="24"/>
        </w:rPr>
        <w:t xml:space="preserve"> digitālu un inovatīvu valsts pārvaldi, kurā tiek izmantotas tikpat modernas tehnoloģijas kā privātajā sektorā</w:t>
      </w:r>
      <w:r w:rsidR="00352157">
        <w:rPr>
          <w:noProof/>
          <w:szCs w:val="24"/>
        </w:rPr>
        <w:t>;</w:t>
      </w:r>
    </w:p>
    <w:p w14:paraId="5C9694A6" w14:textId="059C5FB5" w:rsidR="00DA1B6F" w:rsidRPr="00DA1B6F" w:rsidRDefault="00914C0D" w:rsidP="00DA1B6F">
      <w:pPr>
        <w:pStyle w:val="Point1letter"/>
        <w:tabs>
          <w:tab w:val="clear" w:pos="1417"/>
          <w:tab w:val="num" w:pos="709"/>
        </w:tabs>
        <w:spacing w:before="0" w:after="0"/>
        <w:ind w:left="0" w:firstLine="284"/>
        <w:rPr>
          <w:noProof/>
          <w:szCs w:val="24"/>
        </w:rPr>
      </w:pPr>
      <w:r>
        <w:rPr>
          <w:noProof/>
          <w:szCs w:val="24"/>
        </w:rPr>
        <w:t>nodrošinās</w:t>
      </w:r>
      <w:r w:rsidR="00DA1B6F" w:rsidRPr="00DA1B6F">
        <w:rPr>
          <w:noProof/>
          <w:szCs w:val="24"/>
        </w:rPr>
        <w:t>, ka publiskais sektors un tādas sabiedrības interešu jomas kā veselība</w:t>
      </w:r>
      <w:r w:rsidR="004B20CD">
        <w:rPr>
          <w:noProof/>
          <w:szCs w:val="24"/>
        </w:rPr>
        <w:t>s aizsardzība</w:t>
      </w:r>
      <w:r w:rsidR="00DA1B6F" w:rsidRPr="00DA1B6F">
        <w:rPr>
          <w:noProof/>
          <w:szCs w:val="24"/>
        </w:rPr>
        <w:t xml:space="preserve"> un aprūpe, izglītība, tiesu sistēma, transports, enerģētika, vide un kultūras un radošās nozares var izvērst modernas digitālās tehnoloģijas, it sevišķi augstas veiktspējas datošanu, MI un kiberdrošību, un piekļūt tām;</w:t>
      </w:r>
    </w:p>
    <w:p w14:paraId="4925976E" w14:textId="0E0A2A3A" w:rsidR="0079396A" w:rsidRPr="00721CD0" w:rsidRDefault="0063347B" w:rsidP="00DA1B6F">
      <w:pPr>
        <w:pStyle w:val="Point1letter"/>
        <w:tabs>
          <w:tab w:val="clear" w:pos="1417"/>
          <w:tab w:val="num" w:pos="709"/>
        </w:tabs>
        <w:spacing w:before="0" w:after="0"/>
        <w:ind w:left="0" w:firstLine="284"/>
        <w:rPr>
          <w:noProof/>
          <w:szCs w:val="24"/>
        </w:rPr>
      </w:pPr>
      <w:r w:rsidRPr="00721CD0">
        <w:rPr>
          <w:noProof/>
          <w:szCs w:val="24"/>
        </w:rPr>
        <w:t>nodos</w:t>
      </w:r>
      <w:r w:rsidR="0079396A" w:rsidRPr="00721CD0">
        <w:rPr>
          <w:noProof/>
          <w:szCs w:val="24"/>
        </w:rPr>
        <w:t xml:space="preserve"> speciālās zināšanas un zinātību starp</w:t>
      </w:r>
      <w:r w:rsidR="00F72590">
        <w:rPr>
          <w:noProof/>
          <w:szCs w:val="24"/>
        </w:rPr>
        <w:t xml:space="preserve"> ES </w:t>
      </w:r>
      <w:r w:rsidR="0079396A" w:rsidRPr="00721CD0">
        <w:rPr>
          <w:noProof/>
          <w:szCs w:val="24"/>
        </w:rPr>
        <w:t xml:space="preserve"> reģioniem, it sevišķi savienojot tīklā MVU un vidējas kapitalizācijas uzņēmumus, kas veic uzņēmējdarbību kādā reģionā, ar tādiem citos reģionos izveidotiem </w:t>
      </w:r>
      <w:r w:rsidR="004B20CD">
        <w:rPr>
          <w:noProof/>
          <w:szCs w:val="24"/>
        </w:rPr>
        <w:t>Centriem</w:t>
      </w:r>
      <w:r w:rsidR="0079396A" w:rsidRPr="00721CD0">
        <w:rPr>
          <w:noProof/>
          <w:szCs w:val="24"/>
        </w:rPr>
        <w:t>, kuri ir vispiemērotākie attiecīgo pakalpojumu sniegšanai;</w:t>
      </w:r>
    </w:p>
    <w:p w14:paraId="422F361F" w14:textId="78992361" w:rsidR="0079396A" w:rsidRPr="00721CD0" w:rsidRDefault="0063347B" w:rsidP="00DA1B6F">
      <w:pPr>
        <w:pStyle w:val="Point1letter"/>
        <w:tabs>
          <w:tab w:val="clear" w:pos="1417"/>
          <w:tab w:val="num" w:pos="709"/>
        </w:tabs>
        <w:spacing w:before="0" w:after="0"/>
        <w:ind w:left="0" w:firstLine="284"/>
        <w:rPr>
          <w:noProof/>
          <w:szCs w:val="24"/>
        </w:rPr>
      </w:pPr>
      <w:r w:rsidRPr="00721CD0">
        <w:rPr>
          <w:noProof/>
          <w:szCs w:val="24"/>
        </w:rPr>
        <w:t>sniegs</w:t>
      </w:r>
      <w:r w:rsidR="0079396A" w:rsidRPr="00721CD0">
        <w:rPr>
          <w:noProof/>
          <w:szCs w:val="24"/>
        </w:rPr>
        <w:t xml:space="preserve"> tematiskus pakalpojumus (tai skaitā ar </w:t>
      </w:r>
      <w:r w:rsidR="00AC0CE7">
        <w:rPr>
          <w:noProof/>
          <w:szCs w:val="24"/>
        </w:rPr>
        <w:t>MI</w:t>
      </w:r>
      <w:r w:rsidR="0079396A" w:rsidRPr="00721CD0">
        <w:rPr>
          <w:noProof/>
          <w:szCs w:val="24"/>
        </w:rPr>
        <w:t>, augstas veiktspējas datošanu un kiberdrošību un uzticēšanos saistītus pakalpojumus) pārvaldes iestādēm, publiskā sektora organizācijām, MVU un vidēji liela kapitāla uzņēmumiem. Atsevišķi digitālās inovācijas centri var</w:t>
      </w:r>
      <w:r w:rsidRPr="00721CD0">
        <w:rPr>
          <w:noProof/>
          <w:szCs w:val="24"/>
        </w:rPr>
        <w:t>ēs</w:t>
      </w:r>
      <w:r w:rsidR="0079396A" w:rsidRPr="00721CD0">
        <w:rPr>
          <w:noProof/>
          <w:szCs w:val="24"/>
        </w:rPr>
        <w:t xml:space="preserve"> specializēties specifisku tematisko pakalpojumu sniegšanā un nesniegt visus šajā punktā minētos tematiskos pakalpojumus;</w:t>
      </w:r>
    </w:p>
    <w:p w14:paraId="663930D5" w14:textId="10AAAFB9" w:rsidR="0079396A" w:rsidRDefault="0063347B" w:rsidP="00DA1B6F">
      <w:pPr>
        <w:pStyle w:val="Point1letter"/>
        <w:tabs>
          <w:tab w:val="clear" w:pos="1417"/>
          <w:tab w:val="num" w:pos="709"/>
        </w:tabs>
        <w:spacing w:before="0" w:after="0"/>
        <w:ind w:left="0" w:firstLine="284"/>
        <w:rPr>
          <w:noProof/>
          <w:szCs w:val="24"/>
        </w:rPr>
      </w:pPr>
      <w:r w:rsidRPr="00721CD0">
        <w:rPr>
          <w:noProof/>
          <w:szCs w:val="24"/>
        </w:rPr>
        <w:t>sniegs</w:t>
      </w:r>
      <w:r w:rsidR="0079396A" w:rsidRPr="00721CD0">
        <w:rPr>
          <w:noProof/>
          <w:szCs w:val="24"/>
        </w:rPr>
        <w:t xml:space="preserve"> finansiālu atbalstu treš</w:t>
      </w:r>
      <w:r w:rsidR="00F329B7">
        <w:rPr>
          <w:noProof/>
          <w:szCs w:val="24"/>
        </w:rPr>
        <w:t>aj</w:t>
      </w:r>
      <w:r w:rsidR="0079396A" w:rsidRPr="00721CD0">
        <w:rPr>
          <w:noProof/>
          <w:szCs w:val="24"/>
        </w:rPr>
        <w:t>ām personām saskaņā ar</w:t>
      </w:r>
      <w:r w:rsidR="00F329B7">
        <w:rPr>
          <w:noProof/>
          <w:szCs w:val="24"/>
        </w:rPr>
        <w:t xml:space="preserve"> DEP</w:t>
      </w:r>
      <w:r w:rsidR="0079396A" w:rsidRPr="00721CD0">
        <w:rPr>
          <w:noProof/>
          <w:szCs w:val="24"/>
        </w:rPr>
        <w:t xml:space="preserve"> konkrēto </w:t>
      </w:r>
      <w:r w:rsidR="0079396A" w:rsidRPr="000C507A">
        <w:t>mērķi Nr. 4</w:t>
      </w:r>
      <w:r w:rsidR="0079396A" w:rsidRPr="00721CD0">
        <w:rPr>
          <w:noProof/>
          <w:szCs w:val="24"/>
        </w:rPr>
        <w:t xml:space="preserve"> “Padziļinātas digitālās prasmes”</w:t>
      </w:r>
      <w:r w:rsidR="00DA1B6F">
        <w:rPr>
          <w:noProof/>
          <w:szCs w:val="24"/>
        </w:rPr>
        <w:t>;</w:t>
      </w:r>
    </w:p>
    <w:p w14:paraId="1F568045" w14:textId="7F0C1460" w:rsidR="00DA1B6F" w:rsidRDefault="00914C0D" w:rsidP="00DA1B6F">
      <w:pPr>
        <w:pStyle w:val="Point1letter"/>
        <w:tabs>
          <w:tab w:val="clear" w:pos="1417"/>
          <w:tab w:val="num" w:pos="709"/>
        </w:tabs>
        <w:spacing w:before="0" w:after="0"/>
        <w:ind w:left="0" w:firstLine="284"/>
        <w:rPr>
          <w:noProof/>
          <w:szCs w:val="24"/>
        </w:rPr>
      </w:pPr>
      <w:r>
        <w:rPr>
          <w:noProof/>
          <w:szCs w:val="24"/>
        </w:rPr>
        <w:t>darbību koncentrēs</w:t>
      </w:r>
      <w:r w:rsidR="00077A44" w:rsidRPr="00DA1B6F">
        <w:rPr>
          <w:noProof/>
          <w:szCs w:val="24"/>
        </w:rPr>
        <w:t xml:space="preserve"> </w:t>
      </w:r>
      <w:r w:rsidR="005934DC" w:rsidRPr="00DA1B6F">
        <w:rPr>
          <w:noProof/>
          <w:szCs w:val="24"/>
        </w:rPr>
        <w:t xml:space="preserve">arī </w:t>
      </w:r>
      <w:r w:rsidR="00077A44" w:rsidRPr="00DA1B6F">
        <w:rPr>
          <w:noProof/>
          <w:szCs w:val="24"/>
        </w:rPr>
        <w:t>uz jomām, kurās publiskajiem izdevumiem ir vislielākā ietekme, jo īpaši, lai uzlabotu pakalpojumu efektivitāti un kvalitāti sabiedrības interešu jomās, piemēram, veselība</w:t>
      </w:r>
      <w:r w:rsidR="004B20CD">
        <w:rPr>
          <w:noProof/>
          <w:szCs w:val="24"/>
        </w:rPr>
        <w:t>s</w:t>
      </w:r>
      <w:r w:rsidR="00077A44" w:rsidRPr="00DA1B6F">
        <w:rPr>
          <w:noProof/>
          <w:szCs w:val="24"/>
        </w:rPr>
        <w:t>, turpinot izstrādāt un paplašinot digitālo pakalpojumu infrastruktūr</w:t>
      </w:r>
      <w:r w:rsidR="004B20CD">
        <w:rPr>
          <w:noProof/>
          <w:szCs w:val="24"/>
        </w:rPr>
        <w:t>u</w:t>
      </w:r>
      <w:r w:rsidR="00077A44" w:rsidRPr="00DA1B6F">
        <w:rPr>
          <w:noProof/>
          <w:szCs w:val="24"/>
        </w:rPr>
        <w:t xml:space="preserve">, lai varētu droši apmainīties ar datiem pāri robežām. </w:t>
      </w:r>
    </w:p>
    <w:p w14:paraId="18F2A719" w14:textId="1DAC4827" w:rsidR="00DA1B6F" w:rsidRDefault="00C07760" w:rsidP="00DA1B6F">
      <w:pPr>
        <w:pStyle w:val="Point1letter"/>
        <w:tabs>
          <w:tab w:val="clear" w:pos="1417"/>
          <w:tab w:val="num" w:pos="709"/>
        </w:tabs>
        <w:spacing w:before="0" w:after="0"/>
        <w:ind w:left="0" w:firstLine="284"/>
        <w:rPr>
          <w:noProof/>
          <w:szCs w:val="24"/>
        </w:rPr>
      </w:pPr>
      <w:r>
        <w:t xml:space="preserve">Centri </w:t>
      </w:r>
      <w:r w:rsidRPr="00721CD0">
        <w:rPr>
          <w:noProof/>
          <w:szCs w:val="24"/>
        </w:rPr>
        <w:t>iesaistīsies programmas īstenošanā, proti</w:t>
      </w:r>
      <w:r>
        <w:rPr>
          <w:noProof/>
          <w:szCs w:val="24"/>
        </w:rPr>
        <w:t xml:space="preserve"> </w:t>
      </w:r>
      <w:r w:rsidR="00F70772">
        <w:rPr>
          <w:noProof/>
          <w:szCs w:val="24"/>
        </w:rPr>
        <w:t xml:space="preserve">nodrošinās, ka tiek </w:t>
      </w:r>
      <w:r w:rsidR="00077A44" w:rsidRPr="00DA1B6F">
        <w:rPr>
          <w:noProof/>
          <w:szCs w:val="24"/>
        </w:rPr>
        <w:t>izmantoti mākoņpakalpojumi un ieviestas jaunas tehnoloģij</w:t>
      </w:r>
      <w:r w:rsidR="00AC0CE7">
        <w:rPr>
          <w:noProof/>
          <w:szCs w:val="24"/>
        </w:rPr>
        <w:t>as</w:t>
      </w:r>
      <w:r w:rsidR="00077A44" w:rsidRPr="00DA1B6F">
        <w:rPr>
          <w:noProof/>
          <w:szCs w:val="24"/>
        </w:rPr>
        <w:t xml:space="preserve"> proaktīvu, lietotājorientētu publiskās pārvaldes pakalpojumu izveidei, publiskās pārvaldes IKT transformācijai, nodrošinot “pārvalde kā platforma” (</w:t>
      </w:r>
      <w:r w:rsidR="00077A44" w:rsidRPr="00C07760">
        <w:rPr>
          <w:i/>
          <w:noProof/>
          <w:szCs w:val="24"/>
        </w:rPr>
        <w:t>Government as a Platform</w:t>
      </w:r>
      <w:r w:rsidR="00077A44" w:rsidRPr="00DA1B6F">
        <w:rPr>
          <w:noProof/>
          <w:szCs w:val="24"/>
        </w:rPr>
        <w:t>) risinājumu ieviešanu.</w:t>
      </w:r>
    </w:p>
    <w:p w14:paraId="21167E3F" w14:textId="186793DE" w:rsidR="00DA1B6F" w:rsidRDefault="00914C0D" w:rsidP="00DA1B6F">
      <w:pPr>
        <w:pStyle w:val="Point1letter"/>
        <w:tabs>
          <w:tab w:val="clear" w:pos="1417"/>
          <w:tab w:val="num" w:pos="709"/>
        </w:tabs>
        <w:spacing w:before="0" w:after="0"/>
        <w:ind w:left="0" w:firstLine="284"/>
        <w:rPr>
          <w:noProof/>
          <w:szCs w:val="24"/>
        </w:rPr>
      </w:pPr>
      <w:r>
        <w:rPr>
          <w:noProof/>
          <w:szCs w:val="24"/>
        </w:rPr>
        <w:t>attīstīs</w:t>
      </w:r>
      <w:r w:rsidR="00077A44" w:rsidRPr="00DA1B6F">
        <w:rPr>
          <w:noProof/>
          <w:szCs w:val="24"/>
        </w:rPr>
        <w:t xml:space="preserve"> valstu un Eiropas līmenī specifiskās Latvijas izcilības jomas MI un kiberdrošības jomā (valodas tehnoloģijas, daudzvalodu virtuālo asistentu tehnoloģijas, datorredzi u.c.) un Eiropas līmenī Latvijas sekmes MI ieviešanā valsts pārvaldē un privātajā sektorā (mašīntulkošanas un valodas atbalsta platforma</w:t>
      </w:r>
      <w:r w:rsidR="005934DC" w:rsidRPr="00DA1B6F">
        <w:rPr>
          <w:noProof/>
          <w:szCs w:val="24"/>
        </w:rPr>
        <w:t xml:space="preserve">, </w:t>
      </w:r>
      <w:r w:rsidR="00077A44" w:rsidRPr="00DA1B6F">
        <w:rPr>
          <w:noProof/>
          <w:szCs w:val="24"/>
        </w:rPr>
        <w:t xml:space="preserve">transporta kustības ātruma automātiskās kontroles risinājums, u.c.). </w:t>
      </w:r>
    </w:p>
    <w:p w14:paraId="472F1D4A" w14:textId="7558C8D8" w:rsidR="005509BB" w:rsidRPr="00DA1B6F" w:rsidRDefault="007A3A35" w:rsidP="000C507A">
      <w:pPr>
        <w:pStyle w:val="Point1letter"/>
        <w:numPr>
          <w:ilvl w:val="0"/>
          <w:numId w:val="0"/>
        </w:numPr>
        <w:spacing w:before="0" w:after="0"/>
        <w:ind w:firstLine="720"/>
        <w:rPr>
          <w:noProof/>
          <w:szCs w:val="24"/>
        </w:rPr>
      </w:pPr>
      <w:r w:rsidRPr="00DA1B6F">
        <w:rPr>
          <w:noProof/>
          <w:szCs w:val="24"/>
        </w:rPr>
        <w:t xml:space="preserve">Centru attīstības un izveides </w:t>
      </w:r>
      <w:r w:rsidR="005934DC" w:rsidRPr="00DA1B6F">
        <w:rPr>
          <w:noProof/>
          <w:szCs w:val="24"/>
        </w:rPr>
        <w:t xml:space="preserve">viens no </w:t>
      </w:r>
      <w:r w:rsidRPr="00DA1B6F">
        <w:rPr>
          <w:noProof/>
          <w:szCs w:val="24"/>
        </w:rPr>
        <w:t>element</w:t>
      </w:r>
      <w:r w:rsidR="005934DC" w:rsidRPr="00DA1B6F">
        <w:rPr>
          <w:noProof/>
          <w:szCs w:val="24"/>
        </w:rPr>
        <w:t>iem</w:t>
      </w:r>
      <w:r w:rsidRPr="00DA1B6F">
        <w:rPr>
          <w:noProof/>
          <w:szCs w:val="24"/>
        </w:rPr>
        <w:t xml:space="preserve"> ir reģionālais</w:t>
      </w:r>
      <w:r w:rsidRPr="00721CD0">
        <w:rPr>
          <w:noProof/>
        </w:rPr>
        <w:t xml:space="preserve"> griezums</w:t>
      </w:r>
      <w:r w:rsidR="00890119" w:rsidRPr="00721CD0">
        <w:rPr>
          <w:noProof/>
        </w:rPr>
        <w:t>.</w:t>
      </w:r>
      <w:r w:rsidRPr="00721CD0">
        <w:rPr>
          <w:noProof/>
        </w:rPr>
        <w:t xml:space="preserve"> </w:t>
      </w:r>
      <w:r w:rsidR="005934DC" w:rsidRPr="00721CD0">
        <w:rPr>
          <w:noProof/>
        </w:rPr>
        <w:t>C</w:t>
      </w:r>
      <w:r w:rsidRPr="00721CD0">
        <w:rPr>
          <w:noProof/>
        </w:rPr>
        <w:t xml:space="preserve">entriem, vai to sadarbības partneriem </w:t>
      </w:r>
      <w:r w:rsidR="00890119" w:rsidRPr="00721CD0">
        <w:rPr>
          <w:noProof/>
        </w:rPr>
        <w:t>vēlama darbība arī valsts reģionos.</w:t>
      </w:r>
      <w:r w:rsidRPr="00721CD0">
        <w:rPr>
          <w:noProof/>
        </w:rPr>
        <w:t xml:space="preserve"> </w:t>
      </w:r>
      <w:r w:rsidR="005934DC" w:rsidRPr="00721CD0">
        <w:rPr>
          <w:noProof/>
        </w:rPr>
        <w:t>Šāda sadarbība</w:t>
      </w:r>
      <w:r w:rsidR="00E56339">
        <w:rPr>
          <w:noProof/>
        </w:rPr>
        <w:t xml:space="preserve"> paredzēta</w:t>
      </w:r>
      <w:r w:rsidR="005934DC" w:rsidRPr="00721CD0">
        <w:rPr>
          <w:noProof/>
        </w:rPr>
        <w:t>, lai</w:t>
      </w:r>
      <w:r w:rsidRPr="00721CD0">
        <w:rPr>
          <w:noProof/>
        </w:rPr>
        <w:t xml:space="preserve"> veicn</w:t>
      </w:r>
      <w:r w:rsidR="005934DC" w:rsidRPr="00721CD0">
        <w:rPr>
          <w:noProof/>
        </w:rPr>
        <w:t>ātu</w:t>
      </w:r>
      <w:r w:rsidRPr="00721CD0">
        <w:rPr>
          <w:noProof/>
        </w:rPr>
        <w:t xml:space="preserve"> </w:t>
      </w:r>
      <w:r w:rsidR="00AF0861" w:rsidRPr="00721CD0">
        <w:rPr>
          <w:noProof/>
        </w:rPr>
        <w:t xml:space="preserve">vienmērīgu valsts attīstību un nodrošinot arī </w:t>
      </w:r>
      <w:r w:rsidR="00E56339">
        <w:rPr>
          <w:noProof/>
        </w:rPr>
        <w:t xml:space="preserve">valsts </w:t>
      </w:r>
      <w:r w:rsidR="00AF0861" w:rsidRPr="00721CD0">
        <w:rPr>
          <w:noProof/>
        </w:rPr>
        <w:t>reģionos esošo</w:t>
      </w:r>
      <w:r w:rsidRPr="00721CD0">
        <w:rPr>
          <w:noProof/>
        </w:rPr>
        <w:t xml:space="preserve"> uzņēmēju digitālo transformāciju un piekļūstamību </w:t>
      </w:r>
      <w:r w:rsidR="00AF0861" w:rsidRPr="00721CD0">
        <w:rPr>
          <w:noProof/>
        </w:rPr>
        <w:t xml:space="preserve">gan nacionālo, gan </w:t>
      </w:r>
      <w:r w:rsidR="00E56339">
        <w:rPr>
          <w:noProof/>
        </w:rPr>
        <w:t xml:space="preserve">citu </w:t>
      </w:r>
      <w:r w:rsidR="00AF0861" w:rsidRPr="00721CD0">
        <w:rPr>
          <w:noProof/>
        </w:rPr>
        <w:t>ES Centru</w:t>
      </w:r>
      <w:r w:rsidRPr="00721CD0">
        <w:rPr>
          <w:noProof/>
        </w:rPr>
        <w:t xml:space="preserve"> sniegtajām iespējām</w:t>
      </w:r>
      <w:r w:rsidR="00914C0D">
        <w:rPr>
          <w:noProof/>
        </w:rPr>
        <w:t xml:space="preserve"> un informācijai.</w:t>
      </w:r>
    </w:p>
    <w:p w14:paraId="27F87E0E" w14:textId="77777777" w:rsidR="005934DC" w:rsidRDefault="005934DC" w:rsidP="00221038">
      <w:pPr>
        <w:pStyle w:val="naiskr"/>
        <w:spacing w:before="0" w:beforeAutospacing="0" w:after="0" w:afterAutospacing="0" w:line="276" w:lineRule="auto"/>
        <w:ind w:firstLine="720"/>
        <w:jc w:val="both"/>
        <w:rPr>
          <w:noProof/>
          <w:lang w:val="lv-LV"/>
        </w:rPr>
      </w:pPr>
    </w:p>
    <w:p w14:paraId="6144A108" w14:textId="76738367" w:rsidR="007B5D78" w:rsidRPr="008918BA" w:rsidRDefault="00F05287" w:rsidP="008918BA">
      <w:pPr>
        <w:pStyle w:val="ListParagraph"/>
        <w:numPr>
          <w:ilvl w:val="0"/>
          <w:numId w:val="12"/>
        </w:numPr>
        <w:spacing w:after="0" w:line="240" w:lineRule="auto"/>
        <w:jc w:val="center"/>
        <w:rPr>
          <w:rFonts w:ascii="Times New Roman" w:eastAsia="Arial Unicode MS" w:hAnsi="Times New Roman" w:cs="Times New Roman"/>
          <w:b/>
          <w:bCs/>
          <w:noProof/>
          <w:sz w:val="24"/>
          <w:szCs w:val="24"/>
        </w:rPr>
      </w:pPr>
      <w:r w:rsidRPr="008918BA">
        <w:rPr>
          <w:rFonts w:ascii="Times New Roman" w:eastAsia="Arial Unicode MS" w:hAnsi="Times New Roman" w:cs="Times New Roman"/>
          <w:b/>
          <w:bCs/>
          <w:noProof/>
          <w:sz w:val="24"/>
          <w:szCs w:val="24"/>
        </w:rPr>
        <w:t>Koordinācija Latvijā</w:t>
      </w:r>
    </w:p>
    <w:p w14:paraId="20E29716" w14:textId="5FA02F13" w:rsidR="00F03CEF" w:rsidRPr="00721CD0" w:rsidRDefault="00914C0D" w:rsidP="00721CD0">
      <w:pPr>
        <w:spacing w:after="0" w:line="240" w:lineRule="auto"/>
        <w:ind w:firstLine="720"/>
        <w:jc w:val="both"/>
        <w:rPr>
          <w:rFonts w:ascii="Times New Roman" w:eastAsia="Arial Unicode MS" w:hAnsi="Times New Roman" w:cs="Times New Roman"/>
          <w:noProof/>
          <w:sz w:val="24"/>
          <w:szCs w:val="24"/>
        </w:rPr>
      </w:pPr>
      <w:r>
        <w:rPr>
          <w:rFonts w:ascii="Times New Roman" w:eastAsia="Arial Unicode MS" w:hAnsi="Times New Roman" w:cs="Times New Roman"/>
          <w:noProof/>
          <w:sz w:val="24"/>
          <w:szCs w:val="24"/>
        </w:rPr>
        <w:t>VARAM</w:t>
      </w:r>
      <w:r w:rsidR="00F03CEF" w:rsidRPr="008918BA">
        <w:rPr>
          <w:rFonts w:ascii="Times New Roman" w:eastAsia="Arial Unicode MS" w:hAnsi="Times New Roman" w:cs="Times New Roman"/>
          <w:noProof/>
          <w:sz w:val="24"/>
          <w:szCs w:val="24"/>
        </w:rPr>
        <w:t xml:space="preserve"> 2018.</w:t>
      </w:r>
      <w:r>
        <w:rPr>
          <w:rFonts w:ascii="Times New Roman" w:eastAsia="Arial Unicode MS" w:hAnsi="Times New Roman" w:cs="Times New Roman"/>
          <w:noProof/>
          <w:sz w:val="24"/>
          <w:szCs w:val="24"/>
        </w:rPr>
        <w:t> </w:t>
      </w:r>
      <w:r w:rsidR="00F03CEF" w:rsidRPr="008918BA">
        <w:rPr>
          <w:rFonts w:ascii="Times New Roman" w:eastAsia="Arial Unicode MS" w:hAnsi="Times New Roman" w:cs="Times New Roman"/>
          <w:noProof/>
          <w:sz w:val="24"/>
          <w:szCs w:val="24"/>
        </w:rPr>
        <w:t>gad</w:t>
      </w:r>
      <w:r w:rsidR="00A76DB7" w:rsidRPr="008918BA">
        <w:rPr>
          <w:rFonts w:ascii="Times New Roman" w:eastAsia="Arial Unicode MS" w:hAnsi="Times New Roman" w:cs="Times New Roman"/>
          <w:noProof/>
          <w:sz w:val="24"/>
          <w:szCs w:val="24"/>
        </w:rPr>
        <w:t xml:space="preserve">ā </w:t>
      </w:r>
      <w:r w:rsidR="00F03CEF" w:rsidRPr="008918BA">
        <w:rPr>
          <w:rFonts w:ascii="Times New Roman" w:eastAsia="Arial Unicode MS" w:hAnsi="Times New Roman" w:cs="Times New Roman"/>
          <w:noProof/>
          <w:sz w:val="24"/>
          <w:szCs w:val="24"/>
        </w:rPr>
        <w:t xml:space="preserve">izstrādāja </w:t>
      </w:r>
      <w:r w:rsidR="00820A51" w:rsidRPr="008918BA">
        <w:rPr>
          <w:rFonts w:ascii="Times New Roman" w:eastAsia="Arial Unicode MS" w:hAnsi="Times New Roman" w:cs="Times New Roman"/>
          <w:noProof/>
          <w:sz w:val="24"/>
          <w:szCs w:val="24"/>
        </w:rPr>
        <w:t xml:space="preserve">sākotnējo </w:t>
      </w:r>
      <w:r w:rsidR="00F03CEF" w:rsidRPr="008918BA">
        <w:rPr>
          <w:rFonts w:ascii="Times New Roman" w:eastAsia="Arial Unicode MS" w:hAnsi="Times New Roman" w:cs="Times New Roman"/>
          <w:noProof/>
          <w:sz w:val="24"/>
          <w:szCs w:val="24"/>
        </w:rPr>
        <w:t xml:space="preserve">Latvijas </w:t>
      </w:r>
      <w:r w:rsidR="00820A51" w:rsidRPr="008918BA">
        <w:rPr>
          <w:rFonts w:ascii="Times New Roman" w:eastAsia="Arial Unicode MS" w:hAnsi="Times New Roman" w:cs="Times New Roman"/>
          <w:noProof/>
          <w:sz w:val="24"/>
          <w:szCs w:val="24"/>
        </w:rPr>
        <w:t xml:space="preserve">nacionālo </w:t>
      </w:r>
      <w:r w:rsidR="00F03CEF" w:rsidRPr="008918BA">
        <w:rPr>
          <w:rFonts w:ascii="Times New Roman" w:eastAsia="Arial Unicode MS" w:hAnsi="Times New Roman" w:cs="Times New Roman"/>
          <w:noProof/>
          <w:sz w:val="24"/>
          <w:szCs w:val="24"/>
        </w:rPr>
        <w:t>pozīciju</w:t>
      </w:r>
      <w:r w:rsidR="00820A51" w:rsidRPr="008918BA">
        <w:rPr>
          <w:rFonts w:ascii="Times New Roman" w:eastAsia="Arial Unicode MS" w:hAnsi="Times New Roman" w:cs="Times New Roman"/>
          <w:noProof/>
          <w:sz w:val="24"/>
          <w:szCs w:val="24"/>
        </w:rPr>
        <w:t xml:space="preserve"> </w:t>
      </w:r>
      <w:r w:rsidR="00501C4C">
        <w:rPr>
          <w:rFonts w:ascii="Times New Roman" w:eastAsia="Arial Unicode MS" w:hAnsi="Times New Roman" w:cs="Times New Roman"/>
          <w:noProof/>
          <w:sz w:val="24"/>
          <w:szCs w:val="24"/>
        </w:rPr>
        <w:t>“P</w:t>
      </w:r>
      <w:r w:rsidR="00820A51" w:rsidRPr="008918BA">
        <w:rPr>
          <w:rFonts w:ascii="Times New Roman" w:eastAsia="Arial Unicode MS" w:hAnsi="Times New Roman" w:cs="Times New Roman"/>
          <w:noProof/>
          <w:sz w:val="24"/>
          <w:szCs w:val="24"/>
        </w:rPr>
        <w:t xml:space="preserve">ar </w:t>
      </w:r>
      <w:r w:rsidR="003D6EDA" w:rsidRPr="006A61C3">
        <w:rPr>
          <w:sz w:val="24"/>
          <w:szCs w:val="24"/>
        </w:rPr>
        <w:t>Eiropas Parlamenta un Padomes</w:t>
      </w:r>
      <w:r w:rsidR="003D6EDA" w:rsidRPr="00E040B1">
        <w:rPr>
          <w:szCs w:val="28"/>
        </w:rPr>
        <w:t xml:space="preserve"> </w:t>
      </w:r>
      <w:r w:rsidR="00E56339">
        <w:rPr>
          <w:rFonts w:ascii="Times New Roman" w:eastAsia="Arial Unicode MS" w:hAnsi="Times New Roman" w:cs="Times New Roman"/>
          <w:noProof/>
          <w:sz w:val="24"/>
          <w:szCs w:val="24"/>
        </w:rPr>
        <w:t xml:space="preserve">regulas </w:t>
      </w:r>
      <w:r w:rsidR="00AB029E" w:rsidRPr="008918BA">
        <w:rPr>
          <w:rFonts w:ascii="Times New Roman" w:eastAsia="Arial Unicode MS" w:hAnsi="Times New Roman" w:cs="Times New Roman"/>
          <w:noProof/>
          <w:sz w:val="24"/>
          <w:szCs w:val="24"/>
        </w:rPr>
        <w:t>priekšlikum</w:t>
      </w:r>
      <w:r w:rsidR="00820A51" w:rsidRPr="008918BA">
        <w:rPr>
          <w:rFonts w:ascii="Times New Roman" w:eastAsia="Arial Unicode MS" w:hAnsi="Times New Roman" w:cs="Times New Roman"/>
          <w:noProof/>
          <w:sz w:val="24"/>
          <w:szCs w:val="24"/>
        </w:rPr>
        <w:t>u</w:t>
      </w:r>
      <w:r w:rsidR="00F03CEF" w:rsidRPr="008918BA">
        <w:rPr>
          <w:rFonts w:ascii="Times New Roman" w:eastAsia="Arial Unicode MS" w:hAnsi="Times New Roman" w:cs="Times New Roman"/>
          <w:noProof/>
          <w:sz w:val="24"/>
          <w:szCs w:val="24"/>
        </w:rPr>
        <w:t xml:space="preserve"> “</w:t>
      </w:r>
      <w:r w:rsidR="00A76DB7" w:rsidRPr="008918BA">
        <w:rPr>
          <w:rFonts w:ascii="Times New Roman" w:eastAsia="Arial Unicode MS" w:hAnsi="Times New Roman" w:cs="Times New Roman"/>
          <w:noProof/>
          <w:sz w:val="24"/>
          <w:szCs w:val="24"/>
        </w:rPr>
        <w:t>Eiropas Parlamenta un Padomes regula, ar ko laikposmam no 2021. līdz 2027.</w:t>
      </w:r>
      <w:r>
        <w:rPr>
          <w:rFonts w:ascii="Times New Roman" w:eastAsia="Arial Unicode MS" w:hAnsi="Times New Roman" w:cs="Times New Roman"/>
          <w:noProof/>
          <w:sz w:val="24"/>
          <w:szCs w:val="24"/>
        </w:rPr>
        <w:t> </w:t>
      </w:r>
      <w:r w:rsidR="00A76DB7" w:rsidRPr="008918BA">
        <w:rPr>
          <w:rFonts w:ascii="Times New Roman" w:eastAsia="Arial Unicode MS" w:hAnsi="Times New Roman" w:cs="Times New Roman"/>
          <w:noProof/>
          <w:sz w:val="24"/>
          <w:szCs w:val="24"/>
        </w:rPr>
        <w:t>gadam izveido Digitālās Eiropas programmu</w:t>
      </w:r>
      <w:r w:rsidR="00BA04AB" w:rsidRPr="008918BA">
        <w:rPr>
          <w:rFonts w:ascii="Times New Roman" w:eastAsia="Arial Unicode MS" w:hAnsi="Times New Roman" w:cs="Times New Roman"/>
          <w:noProof/>
          <w:sz w:val="24"/>
          <w:szCs w:val="24"/>
        </w:rPr>
        <w:t>”</w:t>
      </w:r>
      <w:r w:rsidR="00501C4C">
        <w:rPr>
          <w:rFonts w:ascii="Times New Roman" w:eastAsia="Arial Unicode MS" w:hAnsi="Times New Roman" w:cs="Times New Roman"/>
          <w:noProof/>
          <w:sz w:val="24"/>
          <w:szCs w:val="24"/>
        </w:rPr>
        <w:t>”</w:t>
      </w:r>
      <w:r w:rsidR="00BA04AB" w:rsidRPr="008918BA">
        <w:rPr>
          <w:rFonts w:ascii="Times New Roman" w:eastAsia="Arial Unicode MS" w:hAnsi="Times New Roman" w:cs="Times New Roman"/>
          <w:noProof/>
          <w:sz w:val="24"/>
          <w:szCs w:val="24"/>
        </w:rPr>
        <w:t>,</w:t>
      </w:r>
      <w:r w:rsidR="00501C4C">
        <w:rPr>
          <w:rFonts w:ascii="Times New Roman" w:eastAsia="Arial Unicode MS" w:hAnsi="Times New Roman" w:cs="Times New Roman"/>
          <w:noProof/>
          <w:sz w:val="24"/>
          <w:szCs w:val="24"/>
        </w:rPr>
        <w:t xml:space="preserve"> ko</w:t>
      </w:r>
      <w:r w:rsidR="00BA04AB" w:rsidRPr="008918BA">
        <w:rPr>
          <w:rFonts w:ascii="Times New Roman" w:eastAsia="Arial Unicode MS" w:hAnsi="Times New Roman" w:cs="Times New Roman"/>
          <w:noProof/>
          <w:sz w:val="24"/>
          <w:szCs w:val="24"/>
        </w:rPr>
        <w:t xml:space="preserve"> </w:t>
      </w:r>
      <w:r w:rsidR="00592210" w:rsidRPr="008918BA">
        <w:rPr>
          <w:rFonts w:ascii="Times New Roman" w:eastAsia="Arial Unicode MS" w:hAnsi="Times New Roman" w:cs="Times New Roman"/>
          <w:noProof/>
          <w:sz w:val="24"/>
          <w:szCs w:val="24"/>
        </w:rPr>
        <w:t>2018.</w:t>
      </w:r>
      <w:r>
        <w:rPr>
          <w:rFonts w:ascii="Times New Roman" w:eastAsia="Arial Unicode MS" w:hAnsi="Times New Roman" w:cs="Times New Roman"/>
          <w:noProof/>
          <w:sz w:val="24"/>
          <w:szCs w:val="24"/>
        </w:rPr>
        <w:t> </w:t>
      </w:r>
      <w:r w:rsidR="00592210" w:rsidRPr="008918BA">
        <w:rPr>
          <w:rFonts w:ascii="Times New Roman" w:eastAsia="Arial Unicode MS" w:hAnsi="Times New Roman" w:cs="Times New Roman"/>
          <w:noProof/>
          <w:sz w:val="24"/>
          <w:szCs w:val="24"/>
        </w:rPr>
        <w:t xml:space="preserve">gada </w:t>
      </w:r>
      <w:r w:rsidR="00A76DB7" w:rsidRPr="008918BA">
        <w:rPr>
          <w:rFonts w:ascii="Times New Roman" w:eastAsia="Arial Unicode MS" w:hAnsi="Times New Roman" w:cs="Times New Roman"/>
          <w:noProof/>
          <w:sz w:val="24"/>
          <w:szCs w:val="24"/>
        </w:rPr>
        <w:t>4.</w:t>
      </w:r>
      <w:r>
        <w:rPr>
          <w:rFonts w:ascii="Times New Roman" w:eastAsia="Arial Unicode MS" w:hAnsi="Times New Roman" w:cs="Times New Roman"/>
          <w:noProof/>
          <w:sz w:val="24"/>
          <w:szCs w:val="24"/>
        </w:rPr>
        <w:t> </w:t>
      </w:r>
      <w:r w:rsidR="00A76DB7" w:rsidRPr="008918BA">
        <w:rPr>
          <w:rFonts w:ascii="Times New Roman" w:eastAsia="Arial Unicode MS" w:hAnsi="Times New Roman" w:cs="Times New Roman"/>
          <w:noProof/>
          <w:sz w:val="24"/>
          <w:szCs w:val="24"/>
        </w:rPr>
        <w:t xml:space="preserve">oktobrī </w:t>
      </w:r>
      <w:r w:rsidR="00501C4C">
        <w:rPr>
          <w:rFonts w:ascii="Times New Roman" w:eastAsia="Arial Unicode MS" w:hAnsi="Times New Roman" w:cs="Times New Roman"/>
          <w:noProof/>
          <w:sz w:val="24"/>
          <w:szCs w:val="24"/>
        </w:rPr>
        <w:t>apstiprināja</w:t>
      </w:r>
      <w:r w:rsidR="00F03CEF" w:rsidRPr="008918BA">
        <w:rPr>
          <w:rFonts w:ascii="Times New Roman" w:eastAsia="Arial Unicode MS" w:hAnsi="Times New Roman" w:cs="Times New Roman"/>
          <w:noProof/>
          <w:sz w:val="24"/>
          <w:szCs w:val="24"/>
        </w:rPr>
        <w:t xml:space="preserve"> Ministru </w:t>
      </w:r>
      <w:r w:rsidR="00F03CEF" w:rsidRPr="00721CD0">
        <w:rPr>
          <w:rFonts w:ascii="Times New Roman" w:eastAsia="Arial Unicode MS" w:hAnsi="Times New Roman" w:cs="Times New Roman"/>
          <w:noProof/>
          <w:sz w:val="24"/>
          <w:szCs w:val="24"/>
        </w:rPr>
        <w:t>kabinetā</w:t>
      </w:r>
      <w:r w:rsidR="00BA04AB" w:rsidRPr="00721CD0">
        <w:rPr>
          <w:rFonts w:ascii="Times New Roman" w:eastAsia="Arial Unicode MS" w:hAnsi="Times New Roman" w:cs="Times New Roman"/>
          <w:noProof/>
          <w:sz w:val="24"/>
          <w:szCs w:val="24"/>
        </w:rPr>
        <w:t xml:space="preserve"> un Saeimas Eiropas lietu komisijā.</w:t>
      </w:r>
    </w:p>
    <w:p w14:paraId="276B574C" w14:textId="44F9BBB5" w:rsidR="00BA04AB" w:rsidRPr="00721CD0" w:rsidRDefault="00BA04AB" w:rsidP="00721CD0">
      <w:pPr>
        <w:spacing w:after="0" w:line="240" w:lineRule="auto"/>
        <w:ind w:firstLine="720"/>
        <w:jc w:val="both"/>
        <w:rPr>
          <w:rFonts w:ascii="Times New Roman" w:eastAsia="Arial Unicode MS" w:hAnsi="Times New Roman" w:cs="Times New Roman"/>
          <w:noProof/>
          <w:sz w:val="24"/>
          <w:szCs w:val="24"/>
        </w:rPr>
      </w:pPr>
      <w:r w:rsidRPr="00721CD0">
        <w:rPr>
          <w:rFonts w:ascii="Times New Roman" w:eastAsia="Arial Unicode MS" w:hAnsi="Times New Roman" w:cs="Times New Roman"/>
          <w:noProof/>
          <w:sz w:val="24"/>
          <w:szCs w:val="24"/>
        </w:rPr>
        <w:t>VARAM, kas būs</w:t>
      </w:r>
      <w:r w:rsidR="00592210" w:rsidRPr="00721CD0">
        <w:rPr>
          <w:rFonts w:ascii="Times New Roman" w:eastAsia="Arial Unicode MS" w:hAnsi="Times New Roman" w:cs="Times New Roman"/>
          <w:noProof/>
          <w:sz w:val="24"/>
          <w:szCs w:val="24"/>
        </w:rPr>
        <w:t xml:space="preserve"> atbildīgā iestāde par </w:t>
      </w:r>
      <w:r w:rsidRPr="00721CD0">
        <w:rPr>
          <w:rFonts w:ascii="Times New Roman" w:eastAsia="Arial Unicode MS" w:hAnsi="Times New Roman" w:cs="Times New Roman"/>
          <w:noProof/>
          <w:sz w:val="24"/>
          <w:szCs w:val="24"/>
        </w:rPr>
        <w:t xml:space="preserve">DEP </w:t>
      </w:r>
      <w:r w:rsidR="00592210" w:rsidRPr="00721CD0">
        <w:rPr>
          <w:rFonts w:ascii="Times New Roman" w:eastAsia="Arial Unicode MS" w:hAnsi="Times New Roman" w:cs="Times New Roman"/>
          <w:noProof/>
          <w:sz w:val="24"/>
          <w:szCs w:val="24"/>
        </w:rPr>
        <w:t>regulas ieviešanu Latvijā,</w:t>
      </w:r>
      <w:r w:rsidR="00F05287" w:rsidRPr="00721CD0">
        <w:rPr>
          <w:rFonts w:ascii="Times New Roman" w:eastAsia="Arial Unicode MS" w:hAnsi="Times New Roman" w:cs="Times New Roman"/>
          <w:noProof/>
          <w:sz w:val="24"/>
          <w:szCs w:val="24"/>
        </w:rPr>
        <w:t xml:space="preserve"> līdz ar Komisijas 2019.</w:t>
      </w:r>
      <w:r w:rsidR="008918BA" w:rsidRPr="00721CD0">
        <w:rPr>
          <w:rFonts w:ascii="Times New Roman" w:eastAsia="Arial Unicode MS" w:hAnsi="Times New Roman" w:cs="Times New Roman"/>
          <w:noProof/>
          <w:sz w:val="24"/>
          <w:szCs w:val="24"/>
        </w:rPr>
        <w:t xml:space="preserve"> </w:t>
      </w:r>
      <w:r w:rsidR="00F05287" w:rsidRPr="00721CD0">
        <w:rPr>
          <w:rFonts w:ascii="Times New Roman" w:eastAsia="Arial Unicode MS" w:hAnsi="Times New Roman" w:cs="Times New Roman"/>
          <w:noProof/>
          <w:sz w:val="24"/>
          <w:szCs w:val="24"/>
        </w:rPr>
        <w:t>gada 25.</w:t>
      </w:r>
      <w:r w:rsidR="008918BA" w:rsidRPr="00721CD0">
        <w:rPr>
          <w:rFonts w:ascii="Times New Roman" w:eastAsia="Arial Unicode MS" w:hAnsi="Times New Roman" w:cs="Times New Roman"/>
          <w:noProof/>
          <w:sz w:val="24"/>
          <w:szCs w:val="24"/>
        </w:rPr>
        <w:t xml:space="preserve"> </w:t>
      </w:r>
      <w:r w:rsidR="00F05287" w:rsidRPr="00721CD0">
        <w:rPr>
          <w:rFonts w:ascii="Times New Roman" w:eastAsia="Arial Unicode MS" w:hAnsi="Times New Roman" w:cs="Times New Roman"/>
          <w:noProof/>
          <w:sz w:val="24"/>
          <w:szCs w:val="24"/>
        </w:rPr>
        <w:t>jūlija</w:t>
      </w:r>
      <w:r w:rsidR="00E00F55" w:rsidRPr="00721CD0">
        <w:rPr>
          <w:rFonts w:ascii="Times New Roman" w:eastAsia="Arial Unicode MS" w:hAnsi="Times New Roman" w:cs="Times New Roman"/>
          <w:noProof/>
          <w:sz w:val="24"/>
          <w:szCs w:val="24"/>
        </w:rPr>
        <w:t xml:space="preserve"> paziņojumu</w:t>
      </w:r>
      <w:r w:rsidR="00F05287" w:rsidRPr="00721CD0">
        <w:rPr>
          <w:rFonts w:ascii="Times New Roman" w:eastAsia="Arial Unicode MS" w:hAnsi="Times New Roman" w:cs="Times New Roman"/>
          <w:noProof/>
          <w:sz w:val="24"/>
          <w:szCs w:val="24"/>
        </w:rPr>
        <w:t xml:space="preserve"> par </w:t>
      </w:r>
      <w:r w:rsidR="00F72590">
        <w:rPr>
          <w:rFonts w:ascii="Times New Roman" w:eastAsia="Arial Unicode MS" w:hAnsi="Times New Roman" w:cs="Times New Roman"/>
          <w:noProof/>
          <w:sz w:val="24"/>
          <w:szCs w:val="24"/>
        </w:rPr>
        <w:t>DEP</w:t>
      </w:r>
      <w:r w:rsidR="00F72590" w:rsidRPr="00721CD0">
        <w:rPr>
          <w:rFonts w:ascii="Times New Roman" w:eastAsia="Arial Unicode MS" w:hAnsi="Times New Roman" w:cs="Times New Roman"/>
          <w:noProof/>
          <w:sz w:val="24"/>
          <w:szCs w:val="24"/>
        </w:rPr>
        <w:t xml:space="preserve"> </w:t>
      </w:r>
      <w:r w:rsidR="00F05287" w:rsidRPr="00721CD0">
        <w:rPr>
          <w:rFonts w:ascii="Times New Roman" w:eastAsia="Arial Unicode MS" w:hAnsi="Times New Roman" w:cs="Times New Roman"/>
          <w:noProof/>
          <w:sz w:val="24"/>
          <w:szCs w:val="24"/>
        </w:rPr>
        <w:t>sabiedriskās apspriešanas uzsākšanu</w:t>
      </w:r>
      <w:r w:rsidR="000D7ECA" w:rsidRPr="00721CD0">
        <w:rPr>
          <w:rFonts w:ascii="Times New Roman" w:eastAsia="Arial Unicode MS" w:hAnsi="Times New Roman" w:cs="Times New Roman"/>
          <w:noProof/>
          <w:sz w:val="24"/>
          <w:szCs w:val="24"/>
        </w:rPr>
        <w:t>,</w:t>
      </w:r>
      <w:r w:rsidR="00E222DA" w:rsidRPr="00721CD0">
        <w:rPr>
          <w:rFonts w:ascii="Times New Roman" w:eastAsia="Arial Unicode MS" w:hAnsi="Times New Roman" w:cs="Times New Roman"/>
          <w:noProof/>
          <w:sz w:val="24"/>
          <w:szCs w:val="24"/>
        </w:rPr>
        <w:t xml:space="preserve"> </w:t>
      </w:r>
      <w:r w:rsidR="00E56339">
        <w:rPr>
          <w:rFonts w:ascii="Times New Roman" w:eastAsia="Arial Unicode MS" w:hAnsi="Times New Roman" w:cs="Times New Roman"/>
          <w:noProof/>
          <w:sz w:val="24"/>
          <w:szCs w:val="24"/>
        </w:rPr>
        <w:t xml:space="preserve">savā tīmekļvietnē </w:t>
      </w:r>
      <w:r w:rsidR="00E02418" w:rsidRPr="00721CD0">
        <w:rPr>
          <w:rFonts w:ascii="Times New Roman" w:eastAsia="Arial Unicode MS" w:hAnsi="Times New Roman" w:cs="Times New Roman"/>
          <w:noProof/>
          <w:sz w:val="24"/>
          <w:szCs w:val="24"/>
        </w:rPr>
        <w:t xml:space="preserve"> publicēja</w:t>
      </w:r>
      <w:r w:rsidR="000D7ECA" w:rsidRPr="00721CD0">
        <w:rPr>
          <w:rFonts w:ascii="Times New Roman" w:eastAsia="Arial Unicode MS" w:hAnsi="Times New Roman" w:cs="Times New Roman"/>
          <w:noProof/>
          <w:sz w:val="24"/>
          <w:szCs w:val="24"/>
        </w:rPr>
        <w:t xml:space="preserve"> šo</w:t>
      </w:r>
      <w:r w:rsidR="00E02418" w:rsidRPr="00721CD0">
        <w:rPr>
          <w:rFonts w:ascii="Times New Roman" w:eastAsia="Arial Unicode MS" w:hAnsi="Times New Roman" w:cs="Times New Roman"/>
          <w:noProof/>
          <w:sz w:val="24"/>
          <w:szCs w:val="24"/>
        </w:rPr>
        <w:t xml:space="preserve"> informāciju</w:t>
      </w:r>
      <w:r w:rsidR="00E02418" w:rsidRPr="005002CC">
        <w:rPr>
          <w:rFonts w:ascii="Times New Roman" w:eastAsia="Arial Unicode MS" w:hAnsi="Times New Roman" w:cs="Times New Roman"/>
          <w:noProof/>
          <w:sz w:val="24"/>
          <w:szCs w:val="24"/>
          <w:vertAlign w:val="superscript"/>
        </w:rPr>
        <w:footnoteReference w:id="7"/>
      </w:r>
      <w:r w:rsidR="00E02418" w:rsidRPr="00721CD0">
        <w:rPr>
          <w:rFonts w:ascii="Times New Roman" w:eastAsia="Arial Unicode MS" w:hAnsi="Times New Roman" w:cs="Times New Roman"/>
          <w:noProof/>
          <w:sz w:val="24"/>
          <w:szCs w:val="24"/>
        </w:rPr>
        <w:t xml:space="preserve"> </w:t>
      </w:r>
      <w:r w:rsidR="000D7ECA" w:rsidRPr="00721CD0">
        <w:rPr>
          <w:rFonts w:ascii="Times New Roman" w:eastAsia="Arial Unicode MS" w:hAnsi="Times New Roman" w:cs="Times New Roman"/>
          <w:noProof/>
          <w:sz w:val="24"/>
          <w:szCs w:val="24"/>
        </w:rPr>
        <w:t>sociālajiem partneriem</w:t>
      </w:r>
      <w:r w:rsidR="00592210" w:rsidRPr="00721CD0">
        <w:rPr>
          <w:rFonts w:ascii="Times New Roman" w:eastAsia="Arial Unicode MS" w:hAnsi="Times New Roman" w:cs="Times New Roman"/>
          <w:noProof/>
          <w:sz w:val="24"/>
          <w:szCs w:val="24"/>
        </w:rPr>
        <w:t xml:space="preserve">, t.sk. </w:t>
      </w:r>
      <w:r w:rsidR="00592210" w:rsidRPr="00721CD0">
        <w:rPr>
          <w:rFonts w:ascii="Times New Roman" w:eastAsia="Arial Unicode MS" w:hAnsi="Times New Roman" w:cs="Times New Roman"/>
          <w:noProof/>
          <w:sz w:val="24"/>
          <w:szCs w:val="24"/>
        </w:rPr>
        <w:lastRenderedPageBreak/>
        <w:t>lielākajām Latvijas universitātēm</w:t>
      </w:r>
      <w:r w:rsidR="00F03CEF" w:rsidRPr="00721CD0">
        <w:rPr>
          <w:rFonts w:ascii="Times New Roman" w:eastAsia="Arial Unicode MS" w:hAnsi="Times New Roman" w:cs="Times New Roman"/>
          <w:noProof/>
          <w:sz w:val="24"/>
          <w:szCs w:val="24"/>
        </w:rPr>
        <w:t xml:space="preserve"> un visām ministrijām</w:t>
      </w:r>
      <w:r w:rsidR="00E56339">
        <w:rPr>
          <w:rFonts w:ascii="Times New Roman" w:eastAsia="Arial Unicode MS" w:hAnsi="Times New Roman" w:cs="Times New Roman"/>
          <w:noProof/>
          <w:sz w:val="24"/>
          <w:szCs w:val="24"/>
        </w:rPr>
        <w:t>.</w:t>
      </w:r>
      <w:r w:rsidR="004A5CFB" w:rsidRPr="00721CD0">
        <w:rPr>
          <w:rFonts w:ascii="Times New Roman" w:eastAsia="Arial Unicode MS" w:hAnsi="Times New Roman" w:cs="Times New Roman"/>
          <w:noProof/>
          <w:sz w:val="24"/>
          <w:szCs w:val="24"/>
        </w:rPr>
        <w:t xml:space="preserve"> Valsts kancelejai un Pārresoru koordinācijas centram </w:t>
      </w:r>
      <w:r w:rsidR="00E56339">
        <w:rPr>
          <w:rFonts w:ascii="Times New Roman" w:eastAsia="Arial Unicode MS" w:hAnsi="Times New Roman" w:cs="Times New Roman"/>
          <w:noProof/>
          <w:sz w:val="24"/>
          <w:szCs w:val="24"/>
        </w:rPr>
        <w:t xml:space="preserve">VARAM </w:t>
      </w:r>
      <w:r w:rsidR="00F03CEF" w:rsidRPr="00721CD0">
        <w:rPr>
          <w:rFonts w:ascii="Times New Roman" w:eastAsia="Arial Unicode MS" w:hAnsi="Times New Roman" w:cs="Times New Roman"/>
          <w:noProof/>
          <w:sz w:val="24"/>
          <w:szCs w:val="24"/>
        </w:rPr>
        <w:t xml:space="preserve">nosūtīja </w:t>
      </w:r>
      <w:r w:rsidR="00A33D44" w:rsidRPr="00721CD0">
        <w:rPr>
          <w:rFonts w:ascii="Times New Roman" w:eastAsia="Arial Unicode MS" w:hAnsi="Times New Roman" w:cs="Times New Roman"/>
          <w:noProof/>
          <w:sz w:val="24"/>
          <w:szCs w:val="24"/>
        </w:rPr>
        <w:t>vēstuli, ar kuru informēja</w:t>
      </w:r>
      <w:r w:rsidR="00F05287" w:rsidRPr="00721CD0">
        <w:rPr>
          <w:rFonts w:ascii="Times New Roman" w:eastAsia="Arial Unicode MS" w:hAnsi="Times New Roman" w:cs="Times New Roman"/>
          <w:noProof/>
          <w:sz w:val="24"/>
          <w:szCs w:val="24"/>
        </w:rPr>
        <w:t xml:space="preserve"> par uzsākto </w:t>
      </w:r>
      <w:r w:rsidR="00F72590">
        <w:rPr>
          <w:rFonts w:ascii="Times New Roman" w:eastAsia="Arial Unicode MS" w:hAnsi="Times New Roman" w:cs="Times New Roman"/>
          <w:noProof/>
          <w:sz w:val="24"/>
          <w:szCs w:val="24"/>
        </w:rPr>
        <w:t>DEP</w:t>
      </w:r>
      <w:r w:rsidR="00F72590" w:rsidRPr="00721CD0">
        <w:rPr>
          <w:rFonts w:ascii="Times New Roman" w:eastAsia="Arial Unicode MS" w:hAnsi="Times New Roman" w:cs="Times New Roman"/>
          <w:noProof/>
          <w:sz w:val="24"/>
          <w:szCs w:val="24"/>
        </w:rPr>
        <w:t xml:space="preserve"> </w:t>
      </w:r>
      <w:r w:rsidR="00A33D44" w:rsidRPr="00721CD0">
        <w:rPr>
          <w:rFonts w:ascii="Times New Roman" w:eastAsia="Arial Unicode MS" w:hAnsi="Times New Roman" w:cs="Times New Roman"/>
          <w:noProof/>
          <w:sz w:val="24"/>
          <w:szCs w:val="24"/>
        </w:rPr>
        <w:t>sabiedrisko apspriedi</w:t>
      </w:r>
      <w:r w:rsidR="00F05287" w:rsidRPr="00721CD0">
        <w:rPr>
          <w:rFonts w:ascii="Times New Roman" w:eastAsia="Arial Unicode MS" w:hAnsi="Times New Roman" w:cs="Times New Roman"/>
          <w:noProof/>
          <w:sz w:val="24"/>
          <w:szCs w:val="24"/>
        </w:rPr>
        <w:t>.</w:t>
      </w:r>
      <w:r w:rsidR="00A33D44" w:rsidRPr="00721CD0">
        <w:rPr>
          <w:rFonts w:ascii="Times New Roman" w:eastAsia="Arial Unicode MS" w:hAnsi="Times New Roman" w:cs="Times New Roman"/>
          <w:noProof/>
          <w:sz w:val="24"/>
          <w:szCs w:val="24"/>
        </w:rPr>
        <w:t xml:space="preserve"> </w:t>
      </w:r>
      <w:r w:rsidR="00F05287" w:rsidRPr="00721CD0">
        <w:rPr>
          <w:rFonts w:ascii="Times New Roman" w:eastAsia="Arial Unicode MS" w:hAnsi="Times New Roman" w:cs="Times New Roman"/>
          <w:noProof/>
          <w:sz w:val="24"/>
          <w:szCs w:val="24"/>
        </w:rPr>
        <w:t>Papildus</w:t>
      </w:r>
      <w:r w:rsidR="00E222DA" w:rsidRPr="00721CD0">
        <w:rPr>
          <w:rFonts w:ascii="Times New Roman" w:eastAsia="Arial Unicode MS" w:hAnsi="Times New Roman" w:cs="Times New Roman"/>
          <w:noProof/>
          <w:sz w:val="24"/>
          <w:szCs w:val="24"/>
        </w:rPr>
        <w:t xml:space="preserve">, </w:t>
      </w:r>
      <w:r w:rsidR="00CD6170" w:rsidRPr="00721CD0">
        <w:rPr>
          <w:rFonts w:ascii="Times New Roman" w:eastAsia="Arial Unicode MS" w:hAnsi="Times New Roman" w:cs="Times New Roman"/>
          <w:noProof/>
          <w:sz w:val="24"/>
          <w:szCs w:val="24"/>
        </w:rPr>
        <w:t xml:space="preserve">VARAM </w:t>
      </w:r>
      <w:r w:rsidR="00A33D44" w:rsidRPr="00721CD0">
        <w:rPr>
          <w:rFonts w:ascii="Times New Roman" w:eastAsia="Arial Unicode MS" w:hAnsi="Times New Roman" w:cs="Times New Roman"/>
          <w:noProof/>
          <w:sz w:val="24"/>
          <w:szCs w:val="24"/>
        </w:rPr>
        <w:t xml:space="preserve">aicināja </w:t>
      </w:r>
      <w:r w:rsidR="00F72590">
        <w:rPr>
          <w:rFonts w:ascii="Times New Roman" w:eastAsia="Arial Unicode MS" w:hAnsi="Times New Roman" w:cs="Times New Roman"/>
          <w:noProof/>
          <w:sz w:val="24"/>
          <w:szCs w:val="24"/>
        </w:rPr>
        <w:t xml:space="preserve">ministrijas un nevalstiskās organizācijas </w:t>
      </w:r>
      <w:r w:rsidR="00A33D44" w:rsidRPr="00721CD0">
        <w:rPr>
          <w:rFonts w:ascii="Times New Roman" w:eastAsia="Arial Unicode MS" w:hAnsi="Times New Roman" w:cs="Times New Roman"/>
          <w:noProof/>
          <w:sz w:val="24"/>
          <w:szCs w:val="24"/>
        </w:rPr>
        <w:t xml:space="preserve">izteikt viedokli par </w:t>
      </w:r>
      <w:r w:rsidR="00501C4C">
        <w:rPr>
          <w:rFonts w:ascii="Times New Roman" w:eastAsia="Arial Unicode MS" w:hAnsi="Times New Roman" w:cs="Times New Roman"/>
          <w:noProof/>
          <w:sz w:val="24"/>
          <w:szCs w:val="24"/>
        </w:rPr>
        <w:t>DEP</w:t>
      </w:r>
      <w:r w:rsidR="00501C4C" w:rsidRPr="00721CD0">
        <w:rPr>
          <w:rFonts w:ascii="Times New Roman" w:eastAsia="Arial Unicode MS" w:hAnsi="Times New Roman" w:cs="Times New Roman"/>
          <w:noProof/>
          <w:sz w:val="24"/>
          <w:szCs w:val="24"/>
        </w:rPr>
        <w:t xml:space="preserve"> </w:t>
      </w:r>
      <w:r w:rsidR="00A33D44" w:rsidRPr="00721CD0">
        <w:rPr>
          <w:rFonts w:ascii="Times New Roman" w:eastAsia="Arial Unicode MS" w:hAnsi="Times New Roman" w:cs="Times New Roman"/>
          <w:noProof/>
          <w:sz w:val="24"/>
          <w:szCs w:val="24"/>
        </w:rPr>
        <w:t xml:space="preserve">nospraustajiem </w:t>
      </w:r>
      <w:r w:rsidR="00E222DA" w:rsidRPr="00721CD0">
        <w:rPr>
          <w:rFonts w:ascii="Times New Roman" w:eastAsia="Arial Unicode MS" w:hAnsi="Times New Roman" w:cs="Times New Roman"/>
          <w:noProof/>
          <w:sz w:val="24"/>
          <w:szCs w:val="24"/>
        </w:rPr>
        <w:t>2021.–2022.</w:t>
      </w:r>
      <w:r w:rsidR="005934DC" w:rsidRPr="00721CD0">
        <w:rPr>
          <w:rFonts w:ascii="Times New Roman" w:eastAsia="Arial Unicode MS" w:hAnsi="Times New Roman" w:cs="Times New Roman"/>
          <w:noProof/>
          <w:sz w:val="24"/>
          <w:szCs w:val="24"/>
        </w:rPr>
        <w:t xml:space="preserve"> </w:t>
      </w:r>
      <w:r w:rsidR="00E222DA" w:rsidRPr="00721CD0">
        <w:rPr>
          <w:rFonts w:ascii="Times New Roman" w:eastAsia="Arial Unicode MS" w:hAnsi="Times New Roman" w:cs="Times New Roman"/>
          <w:noProof/>
          <w:sz w:val="24"/>
          <w:szCs w:val="24"/>
        </w:rPr>
        <w:t xml:space="preserve">gada </w:t>
      </w:r>
      <w:r w:rsidR="00A33D44" w:rsidRPr="00721CD0">
        <w:rPr>
          <w:rFonts w:ascii="Times New Roman" w:eastAsia="Arial Unicode MS" w:hAnsi="Times New Roman" w:cs="Times New Roman"/>
          <w:noProof/>
          <w:sz w:val="24"/>
          <w:szCs w:val="24"/>
        </w:rPr>
        <w:t>darbības virzieniem</w:t>
      </w:r>
      <w:r w:rsidR="00592210" w:rsidRPr="00721CD0">
        <w:rPr>
          <w:rFonts w:ascii="Times New Roman" w:eastAsia="Arial Unicode MS" w:hAnsi="Times New Roman" w:cs="Times New Roman"/>
          <w:noProof/>
          <w:sz w:val="24"/>
          <w:szCs w:val="24"/>
        </w:rPr>
        <w:t xml:space="preserve"> un prioritātēm</w:t>
      </w:r>
      <w:r w:rsidR="00077A44" w:rsidRPr="00721CD0">
        <w:rPr>
          <w:rFonts w:ascii="Times New Roman" w:eastAsia="Arial Unicode MS" w:hAnsi="Times New Roman" w:cs="Times New Roman"/>
          <w:noProof/>
          <w:sz w:val="24"/>
          <w:szCs w:val="24"/>
        </w:rPr>
        <w:t xml:space="preserve"> un</w:t>
      </w:r>
      <w:r w:rsidR="00E222DA" w:rsidRPr="00721CD0">
        <w:rPr>
          <w:rFonts w:ascii="Times New Roman" w:eastAsia="Arial Unicode MS" w:hAnsi="Times New Roman" w:cs="Times New Roman"/>
          <w:noProof/>
          <w:sz w:val="24"/>
          <w:szCs w:val="24"/>
        </w:rPr>
        <w:t xml:space="preserve"> </w:t>
      </w:r>
      <w:r w:rsidR="00D24611" w:rsidRPr="00721CD0">
        <w:rPr>
          <w:rFonts w:ascii="Times New Roman" w:eastAsia="Arial Unicode MS" w:hAnsi="Times New Roman" w:cs="Times New Roman"/>
          <w:noProof/>
          <w:sz w:val="24"/>
          <w:szCs w:val="24"/>
        </w:rPr>
        <w:t>aizpild</w:t>
      </w:r>
      <w:r w:rsidR="00E222DA" w:rsidRPr="00721CD0">
        <w:rPr>
          <w:rFonts w:ascii="Times New Roman" w:eastAsia="Arial Unicode MS" w:hAnsi="Times New Roman" w:cs="Times New Roman"/>
          <w:noProof/>
          <w:sz w:val="24"/>
          <w:szCs w:val="24"/>
        </w:rPr>
        <w:t>īt</w:t>
      </w:r>
      <w:r w:rsidR="00D24611" w:rsidRPr="00721CD0">
        <w:rPr>
          <w:rFonts w:ascii="Times New Roman" w:eastAsia="Arial Unicode MS" w:hAnsi="Times New Roman" w:cs="Times New Roman"/>
          <w:noProof/>
          <w:sz w:val="24"/>
          <w:szCs w:val="24"/>
        </w:rPr>
        <w:t xml:space="preserve"> Komisijas sagatavoto anketu,</w:t>
      </w:r>
      <w:r w:rsidR="00077A44" w:rsidRPr="00721CD0">
        <w:rPr>
          <w:rFonts w:ascii="Times New Roman" w:eastAsia="Arial Unicode MS" w:hAnsi="Times New Roman" w:cs="Times New Roman"/>
          <w:noProof/>
          <w:sz w:val="24"/>
          <w:szCs w:val="24"/>
        </w:rPr>
        <w:t xml:space="preserve"> sniedzot</w:t>
      </w:r>
      <w:r w:rsidR="00D24611" w:rsidRPr="00721CD0">
        <w:rPr>
          <w:rFonts w:ascii="Times New Roman" w:eastAsia="Arial Unicode MS" w:hAnsi="Times New Roman" w:cs="Times New Roman"/>
          <w:noProof/>
          <w:sz w:val="24"/>
          <w:szCs w:val="24"/>
        </w:rPr>
        <w:t xml:space="preserve"> priekšlikumus savas nozares</w:t>
      </w:r>
      <w:r w:rsidR="00077A44" w:rsidRPr="00721CD0">
        <w:rPr>
          <w:rFonts w:ascii="Times New Roman" w:eastAsia="Arial Unicode MS" w:hAnsi="Times New Roman" w:cs="Times New Roman"/>
          <w:noProof/>
          <w:sz w:val="24"/>
          <w:szCs w:val="24"/>
        </w:rPr>
        <w:t xml:space="preserve"> (ministriju un sociālo partneru)</w:t>
      </w:r>
      <w:r w:rsidR="00D24611" w:rsidRPr="00721CD0">
        <w:rPr>
          <w:rFonts w:ascii="Times New Roman" w:eastAsia="Arial Unicode MS" w:hAnsi="Times New Roman" w:cs="Times New Roman"/>
          <w:noProof/>
          <w:sz w:val="24"/>
          <w:szCs w:val="24"/>
        </w:rPr>
        <w:t xml:space="preserve"> būtiskākajiem aspektiem, ja </w:t>
      </w:r>
      <w:r w:rsidR="00E222DA" w:rsidRPr="00721CD0">
        <w:rPr>
          <w:rFonts w:ascii="Times New Roman" w:eastAsia="Arial Unicode MS" w:hAnsi="Times New Roman" w:cs="Times New Roman"/>
          <w:noProof/>
          <w:sz w:val="24"/>
          <w:szCs w:val="24"/>
        </w:rPr>
        <w:t>iestādes skatījumā tie</w:t>
      </w:r>
      <w:r w:rsidR="00D24611" w:rsidRPr="00721CD0">
        <w:rPr>
          <w:rFonts w:ascii="Times New Roman" w:eastAsia="Arial Unicode MS" w:hAnsi="Times New Roman" w:cs="Times New Roman"/>
          <w:noProof/>
          <w:sz w:val="24"/>
          <w:szCs w:val="24"/>
        </w:rPr>
        <w:t xml:space="preserve"> </w:t>
      </w:r>
      <w:r w:rsidR="00E222DA" w:rsidRPr="00721CD0">
        <w:rPr>
          <w:rFonts w:ascii="Times New Roman" w:eastAsia="Arial Unicode MS" w:hAnsi="Times New Roman" w:cs="Times New Roman"/>
          <w:noProof/>
          <w:sz w:val="24"/>
          <w:szCs w:val="24"/>
        </w:rPr>
        <w:t xml:space="preserve">nepietiekami </w:t>
      </w:r>
      <w:r w:rsidR="00D24611" w:rsidRPr="00721CD0">
        <w:rPr>
          <w:rFonts w:ascii="Times New Roman" w:eastAsia="Arial Unicode MS" w:hAnsi="Times New Roman" w:cs="Times New Roman"/>
          <w:noProof/>
          <w:sz w:val="24"/>
          <w:szCs w:val="24"/>
        </w:rPr>
        <w:t>atspoguļoti izvirzītajos darbības virzieno</w:t>
      </w:r>
      <w:r w:rsidR="001E7396" w:rsidRPr="00721CD0">
        <w:rPr>
          <w:rFonts w:ascii="Times New Roman" w:eastAsia="Arial Unicode MS" w:hAnsi="Times New Roman" w:cs="Times New Roman"/>
          <w:noProof/>
          <w:sz w:val="24"/>
          <w:szCs w:val="24"/>
        </w:rPr>
        <w:t>s un</w:t>
      </w:r>
      <w:r w:rsidR="00E222DA" w:rsidRPr="00721CD0">
        <w:rPr>
          <w:rFonts w:ascii="Times New Roman" w:eastAsia="Arial Unicode MS" w:hAnsi="Times New Roman" w:cs="Times New Roman"/>
          <w:noProof/>
          <w:sz w:val="24"/>
          <w:szCs w:val="24"/>
        </w:rPr>
        <w:t xml:space="preserve"> i</w:t>
      </w:r>
      <w:r w:rsidR="00F05287" w:rsidRPr="00721CD0">
        <w:rPr>
          <w:rFonts w:ascii="Times New Roman" w:eastAsia="Arial Unicode MS" w:hAnsi="Times New Roman" w:cs="Times New Roman"/>
          <w:noProof/>
          <w:sz w:val="24"/>
          <w:szCs w:val="24"/>
        </w:rPr>
        <w:t>estāde tos</w:t>
      </w:r>
      <w:r w:rsidR="00F36FB3" w:rsidRPr="00721CD0">
        <w:rPr>
          <w:rFonts w:ascii="Times New Roman" w:eastAsia="Arial Unicode MS" w:hAnsi="Times New Roman" w:cs="Times New Roman"/>
          <w:noProof/>
          <w:sz w:val="24"/>
          <w:szCs w:val="24"/>
        </w:rPr>
        <w:t xml:space="preserve"> saredz</w:t>
      </w:r>
      <w:r w:rsidR="00F05287" w:rsidRPr="00721CD0">
        <w:rPr>
          <w:rFonts w:ascii="Times New Roman" w:eastAsia="Arial Unicode MS" w:hAnsi="Times New Roman" w:cs="Times New Roman"/>
          <w:noProof/>
          <w:sz w:val="24"/>
          <w:szCs w:val="24"/>
        </w:rPr>
        <w:t xml:space="preserve"> kā būtiskus Latvijai sekmīgai Programmas īstenošanas pirmajos divos gados.</w:t>
      </w:r>
    </w:p>
    <w:p w14:paraId="0C940982" w14:textId="1DAFA82C" w:rsidR="005E027D" w:rsidRDefault="00BA04AB" w:rsidP="00721CD0">
      <w:pPr>
        <w:spacing w:after="0" w:line="240" w:lineRule="auto"/>
        <w:ind w:firstLine="720"/>
        <w:jc w:val="both"/>
        <w:rPr>
          <w:rFonts w:ascii="Times New Roman" w:eastAsia="Arial Unicode MS" w:hAnsi="Times New Roman" w:cs="Times New Roman"/>
          <w:noProof/>
          <w:sz w:val="24"/>
          <w:szCs w:val="24"/>
        </w:rPr>
      </w:pPr>
      <w:r w:rsidRPr="00721CD0">
        <w:rPr>
          <w:rFonts w:ascii="Times New Roman" w:eastAsia="Arial Unicode MS" w:hAnsi="Times New Roman" w:cs="Times New Roman"/>
          <w:noProof/>
          <w:sz w:val="24"/>
          <w:szCs w:val="24"/>
        </w:rPr>
        <w:t>Saskaņā ar Komisijas</w:t>
      </w:r>
      <w:r w:rsidR="005E027D" w:rsidRPr="00721CD0">
        <w:rPr>
          <w:rFonts w:ascii="Times New Roman" w:eastAsia="Arial Unicode MS" w:hAnsi="Times New Roman" w:cs="Times New Roman"/>
          <w:noProof/>
          <w:sz w:val="24"/>
          <w:szCs w:val="24"/>
        </w:rPr>
        <w:t xml:space="preserve"> 2020. gada 10.</w:t>
      </w:r>
      <w:r w:rsidR="008918BA" w:rsidRPr="00721CD0">
        <w:rPr>
          <w:rFonts w:ascii="Times New Roman" w:eastAsia="Arial Unicode MS" w:hAnsi="Times New Roman" w:cs="Times New Roman"/>
          <w:noProof/>
          <w:sz w:val="24"/>
          <w:szCs w:val="24"/>
        </w:rPr>
        <w:t xml:space="preserve"> </w:t>
      </w:r>
      <w:r w:rsidR="005E027D" w:rsidRPr="00721CD0">
        <w:rPr>
          <w:rFonts w:ascii="Times New Roman" w:eastAsia="Arial Unicode MS" w:hAnsi="Times New Roman" w:cs="Times New Roman"/>
          <w:noProof/>
          <w:sz w:val="24"/>
          <w:szCs w:val="24"/>
        </w:rPr>
        <w:t xml:space="preserve">februāra </w:t>
      </w:r>
      <w:r w:rsidR="009C05D2" w:rsidRPr="00721CD0">
        <w:rPr>
          <w:rFonts w:ascii="Times New Roman" w:eastAsia="Arial Unicode MS" w:hAnsi="Times New Roman" w:cs="Times New Roman"/>
          <w:noProof/>
          <w:sz w:val="24"/>
          <w:szCs w:val="24"/>
        </w:rPr>
        <w:t>Eiropas digitālo inovāciju centru darba grupas sanāksmē sniegto</w:t>
      </w:r>
      <w:r w:rsidR="005E027D" w:rsidRPr="00721CD0">
        <w:rPr>
          <w:rFonts w:ascii="Times New Roman" w:eastAsia="Arial Unicode MS" w:hAnsi="Times New Roman" w:cs="Times New Roman"/>
          <w:noProof/>
          <w:sz w:val="24"/>
          <w:szCs w:val="24"/>
        </w:rPr>
        <w:t xml:space="preserve"> informāciju par darbu laika grafiku</w:t>
      </w:r>
      <w:r w:rsidR="009C05D2" w:rsidRPr="00721CD0">
        <w:rPr>
          <w:rFonts w:ascii="Times New Roman" w:eastAsia="Arial Unicode MS" w:hAnsi="Times New Roman" w:cs="Times New Roman"/>
          <w:noProof/>
          <w:sz w:val="24"/>
          <w:szCs w:val="24"/>
        </w:rPr>
        <w:t xml:space="preserve"> nacionālo </w:t>
      </w:r>
      <w:r w:rsidR="00E56339">
        <w:rPr>
          <w:rFonts w:ascii="Times New Roman" w:eastAsia="Arial Unicode MS" w:hAnsi="Times New Roman" w:cs="Times New Roman"/>
          <w:noProof/>
          <w:sz w:val="24"/>
          <w:szCs w:val="24"/>
        </w:rPr>
        <w:t>C</w:t>
      </w:r>
      <w:r w:rsidR="00E56339" w:rsidRPr="00721CD0">
        <w:rPr>
          <w:rFonts w:ascii="Times New Roman" w:eastAsia="Arial Unicode MS" w:hAnsi="Times New Roman" w:cs="Times New Roman"/>
          <w:noProof/>
          <w:sz w:val="24"/>
          <w:szCs w:val="24"/>
        </w:rPr>
        <w:t xml:space="preserve">entru </w:t>
      </w:r>
      <w:r w:rsidR="009C05D2" w:rsidRPr="00721CD0">
        <w:rPr>
          <w:rFonts w:ascii="Times New Roman" w:eastAsia="Arial Unicode MS" w:hAnsi="Times New Roman" w:cs="Times New Roman"/>
          <w:noProof/>
          <w:sz w:val="24"/>
          <w:szCs w:val="24"/>
        </w:rPr>
        <w:t>atlasei un priekšlikumu</w:t>
      </w:r>
      <w:r w:rsidR="005E027D" w:rsidRPr="00721CD0">
        <w:rPr>
          <w:rFonts w:ascii="Times New Roman" w:eastAsia="Arial Unicode MS" w:hAnsi="Times New Roman" w:cs="Times New Roman"/>
          <w:noProof/>
          <w:sz w:val="24"/>
          <w:szCs w:val="24"/>
        </w:rPr>
        <w:t xml:space="preserve"> iesniegšana</w:t>
      </w:r>
      <w:r w:rsidR="009C05D2" w:rsidRPr="00721CD0">
        <w:rPr>
          <w:rFonts w:ascii="Times New Roman" w:eastAsia="Arial Unicode MS" w:hAnsi="Times New Roman" w:cs="Times New Roman"/>
          <w:noProof/>
          <w:sz w:val="24"/>
          <w:szCs w:val="24"/>
        </w:rPr>
        <w:t>i,</w:t>
      </w:r>
      <w:r w:rsidR="005E027D" w:rsidRPr="00721CD0">
        <w:rPr>
          <w:rFonts w:ascii="Times New Roman" w:eastAsia="Arial Unicode MS" w:hAnsi="Times New Roman" w:cs="Times New Roman"/>
          <w:noProof/>
          <w:sz w:val="24"/>
          <w:szCs w:val="24"/>
        </w:rPr>
        <w:t xml:space="preserve"> </w:t>
      </w:r>
      <w:bookmarkStart w:id="16" w:name="_Hlk37255183"/>
      <w:r w:rsidR="005E027D" w:rsidRPr="00721CD0">
        <w:rPr>
          <w:rFonts w:ascii="Times New Roman" w:eastAsia="Arial Unicode MS" w:hAnsi="Times New Roman" w:cs="Times New Roman"/>
          <w:noProof/>
          <w:sz w:val="24"/>
          <w:szCs w:val="24"/>
        </w:rPr>
        <w:t xml:space="preserve">Komisijai nepieciešams nodrošināt nacionālo Centru atlasi līdz 2020. gada oktobrim, </w:t>
      </w:r>
      <w:r w:rsidR="009C05D2" w:rsidRPr="00721CD0">
        <w:rPr>
          <w:rFonts w:ascii="Times New Roman" w:eastAsia="Arial Unicode MS" w:hAnsi="Times New Roman" w:cs="Times New Roman"/>
          <w:noProof/>
          <w:sz w:val="24"/>
          <w:szCs w:val="24"/>
        </w:rPr>
        <w:t>ņemot vērā</w:t>
      </w:r>
      <w:r w:rsidR="008918BA" w:rsidRPr="00721CD0">
        <w:rPr>
          <w:rFonts w:ascii="Times New Roman" w:eastAsia="Arial Unicode MS" w:hAnsi="Times New Roman" w:cs="Times New Roman"/>
          <w:noProof/>
          <w:sz w:val="24"/>
          <w:szCs w:val="24"/>
        </w:rPr>
        <w:t>, ka</w:t>
      </w:r>
      <w:r w:rsidR="009C05D2" w:rsidRPr="00721CD0">
        <w:rPr>
          <w:rFonts w:ascii="Times New Roman" w:eastAsia="Arial Unicode MS" w:hAnsi="Times New Roman" w:cs="Times New Roman"/>
          <w:noProof/>
          <w:sz w:val="24"/>
          <w:szCs w:val="24"/>
        </w:rPr>
        <w:t xml:space="preserve"> </w:t>
      </w:r>
      <w:r w:rsidR="005934DC" w:rsidRPr="00721CD0">
        <w:rPr>
          <w:rFonts w:ascii="Times New Roman" w:eastAsia="Arial Unicode MS" w:hAnsi="Times New Roman" w:cs="Times New Roman"/>
          <w:noProof/>
          <w:sz w:val="24"/>
          <w:szCs w:val="24"/>
        </w:rPr>
        <w:t>2020.</w:t>
      </w:r>
      <w:r w:rsidR="00DB1ADE" w:rsidRPr="00721CD0">
        <w:rPr>
          <w:rFonts w:ascii="Times New Roman" w:eastAsia="Arial Unicode MS" w:hAnsi="Times New Roman" w:cs="Times New Roman"/>
          <w:noProof/>
          <w:sz w:val="24"/>
          <w:szCs w:val="24"/>
        </w:rPr>
        <w:t xml:space="preserve"> </w:t>
      </w:r>
      <w:r w:rsidR="005934DC" w:rsidRPr="00721CD0">
        <w:rPr>
          <w:rFonts w:ascii="Times New Roman" w:eastAsia="Arial Unicode MS" w:hAnsi="Times New Roman" w:cs="Times New Roman"/>
          <w:noProof/>
          <w:sz w:val="24"/>
          <w:szCs w:val="24"/>
        </w:rPr>
        <w:t>gada</w:t>
      </w:r>
      <w:r w:rsidR="005E027D" w:rsidRPr="00721CD0">
        <w:rPr>
          <w:rFonts w:ascii="Times New Roman" w:eastAsia="Arial Unicode MS" w:hAnsi="Times New Roman" w:cs="Times New Roman"/>
          <w:noProof/>
          <w:sz w:val="24"/>
          <w:szCs w:val="24"/>
        </w:rPr>
        <w:t xml:space="preserve"> 21</w:t>
      </w:r>
      <w:r w:rsidR="005934DC" w:rsidRPr="00721CD0">
        <w:rPr>
          <w:rFonts w:ascii="Times New Roman" w:eastAsia="Arial Unicode MS" w:hAnsi="Times New Roman" w:cs="Times New Roman"/>
          <w:noProof/>
          <w:sz w:val="24"/>
          <w:szCs w:val="24"/>
        </w:rPr>
        <w:t>.–</w:t>
      </w:r>
      <w:r w:rsidR="005E027D" w:rsidRPr="00721CD0">
        <w:rPr>
          <w:rFonts w:ascii="Times New Roman" w:eastAsia="Arial Unicode MS" w:hAnsi="Times New Roman" w:cs="Times New Roman"/>
          <w:noProof/>
          <w:sz w:val="24"/>
          <w:szCs w:val="24"/>
        </w:rPr>
        <w:t>22.</w:t>
      </w:r>
      <w:r w:rsidR="005934DC" w:rsidRPr="00721CD0">
        <w:rPr>
          <w:rFonts w:ascii="Times New Roman" w:eastAsia="Arial Unicode MS" w:hAnsi="Times New Roman" w:cs="Times New Roman"/>
          <w:noProof/>
          <w:sz w:val="24"/>
          <w:szCs w:val="24"/>
        </w:rPr>
        <w:t xml:space="preserve"> </w:t>
      </w:r>
      <w:r w:rsidR="005E027D" w:rsidRPr="00721CD0">
        <w:rPr>
          <w:rFonts w:ascii="Times New Roman" w:eastAsia="Arial Unicode MS" w:hAnsi="Times New Roman" w:cs="Times New Roman"/>
          <w:noProof/>
          <w:sz w:val="24"/>
          <w:szCs w:val="24"/>
        </w:rPr>
        <w:t xml:space="preserve">oktobrī Luksemburgā </w:t>
      </w:r>
      <w:r w:rsidR="009C05D2" w:rsidRPr="00721CD0">
        <w:rPr>
          <w:rFonts w:ascii="Times New Roman" w:eastAsia="Arial Unicode MS" w:hAnsi="Times New Roman" w:cs="Times New Roman"/>
          <w:noProof/>
          <w:sz w:val="24"/>
          <w:szCs w:val="24"/>
        </w:rPr>
        <w:t xml:space="preserve">plānota </w:t>
      </w:r>
      <w:r w:rsidR="005E027D" w:rsidRPr="00721CD0">
        <w:rPr>
          <w:rFonts w:ascii="Times New Roman" w:eastAsia="Arial Unicode MS" w:hAnsi="Times New Roman" w:cs="Times New Roman"/>
          <w:noProof/>
          <w:sz w:val="24"/>
          <w:szCs w:val="24"/>
        </w:rPr>
        <w:t xml:space="preserve">pirmajā atlases kārtā </w:t>
      </w:r>
      <w:r w:rsidR="009C05D2" w:rsidRPr="00721CD0">
        <w:rPr>
          <w:rFonts w:ascii="Times New Roman" w:eastAsia="Arial Unicode MS" w:hAnsi="Times New Roman" w:cs="Times New Roman"/>
          <w:noProof/>
          <w:sz w:val="24"/>
          <w:szCs w:val="24"/>
        </w:rPr>
        <w:t>apstiprināto Centru pārstāvju pirmā</w:t>
      </w:r>
      <w:r w:rsidR="005E027D" w:rsidRPr="00721CD0">
        <w:rPr>
          <w:rFonts w:ascii="Times New Roman" w:eastAsia="Arial Unicode MS" w:hAnsi="Times New Roman" w:cs="Times New Roman"/>
          <w:noProof/>
          <w:sz w:val="24"/>
          <w:szCs w:val="24"/>
        </w:rPr>
        <w:t xml:space="preserve"> </w:t>
      </w:r>
      <w:r w:rsidR="009C05D2" w:rsidRPr="00721CD0">
        <w:rPr>
          <w:rFonts w:ascii="Times New Roman" w:eastAsia="Arial Unicode MS" w:hAnsi="Times New Roman" w:cs="Times New Roman"/>
          <w:noProof/>
          <w:sz w:val="24"/>
          <w:szCs w:val="24"/>
        </w:rPr>
        <w:t>sanāksme</w:t>
      </w:r>
      <w:r w:rsidR="005E027D" w:rsidRPr="00721CD0">
        <w:rPr>
          <w:rFonts w:ascii="Times New Roman" w:eastAsia="Arial Unicode MS" w:hAnsi="Times New Roman" w:cs="Times New Roman"/>
          <w:noProof/>
          <w:sz w:val="24"/>
          <w:szCs w:val="24"/>
        </w:rPr>
        <w:t>.</w:t>
      </w:r>
      <w:bookmarkEnd w:id="16"/>
      <w:r w:rsidR="005E027D" w:rsidRPr="00721CD0">
        <w:rPr>
          <w:rFonts w:ascii="Times New Roman" w:eastAsia="Arial Unicode MS" w:hAnsi="Times New Roman" w:cs="Times New Roman"/>
          <w:noProof/>
          <w:sz w:val="24"/>
          <w:szCs w:val="24"/>
        </w:rPr>
        <w:t xml:space="preserve"> Lai Latvija izpildī</w:t>
      </w:r>
      <w:r w:rsidR="009C05D2" w:rsidRPr="00721CD0">
        <w:rPr>
          <w:rFonts w:ascii="Times New Roman" w:eastAsia="Arial Unicode MS" w:hAnsi="Times New Roman" w:cs="Times New Roman"/>
          <w:noProof/>
          <w:sz w:val="24"/>
          <w:szCs w:val="24"/>
        </w:rPr>
        <w:t>tu Programmā minētās saistības</w:t>
      </w:r>
      <w:r w:rsidR="005E027D" w:rsidRPr="00721CD0">
        <w:rPr>
          <w:rFonts w:ascii="Times New Roman" w:eastAsia="Arial Unicode MS" w:hAnsi="Times New Roman" w:cs="Times New Roman"/>
          <w:noProof/>
          <w:sz w:val="24"/>
          <w:szCs w:val="24"/>
        </w:rPr>
        <w:t xml:space="preserve">, </w:t>
      </w:r>
      <w:r w:rsidR="009C05D2" w:rsidRPr="00721CD0">
        <w:rPr>
          <w:rFonts w:ascii="Times New Roman" w:eastAsia="Arial Unicode MS" w:hAnsi="Times New Roman" w:cs="Times New Roman"/>
          <w:noProof/>
          <w:sz w:val="24"/>
          <w:szCs w:val="24"/>
        </w:rPr>
        <w:t xml:space="preserve">VARAM ir uzsākusi darbu Centru atlases </w:t>
      </w:r>
      <w:r w:rsidR="005E027D" w:rsidRPr="00721CD0">
        <w:rPr>
          <w:rFonts w:ascii="Times New Roman" w:eastAsia="Arial Unicode MS" w:hAnsi="Times New Roman" w:cs="Times New Roman"/>
          <w:noProof/>
          <w:sz w:val="24"/>
          <w:szCs w:val="24"/>
        </w:rPr>
        <w:t>kri</w:t>
      </w:r>
      <w:r w:rsidR="009C05D2" w:rsidRPr="00721CD0">
        <w:rPr>
          <w:rFonts w:ascii="Times New Roman" w:eastAsia="Arial Unicode MS" w:hAnsi="Times New Roman" w:cs="Times New Roman"/>
          <w:noProof/>
          <w:sz w:val="24"/>
          <w:szCs w:val="24"/>
        </w:rPr>
        <w:t>tēriju un atlases procedūras sagatavošanai</w:t>
      </w:r>
      <w:r w:rsidR="005E027D" w:rsidRPr="00721CD0">
        <w:rPr>
          <w:rFonts w:ascii="Times New Roman" w:eastAsia="Arial Unicode MS" w:hAnsi="Times New Roman" w:cs="Times New Roman"/>
          <w:noProof/>
          <w:sz w:val="24"/>
          <w:szCs w:val="24"/>
        </w:rPr>
        <w:t xml:space="preserve">. VARAM ERAF darbības programmā iekļāvusi informāciju par dalībvalstij nepieciešamā finansējuma atvēlēšanu no savas ERAF </w:t>
      </w:r>
      <w:r w:rsidR="00C07760">
        <w:rPr>
          <w:rFonts w:ascii="Times New Roman" w:eastAsia="Arial Unicode MS" w:hAnsi="Times New Roman" w:cs="Times New Roman"/>
          <w:noProof/>
          <w:sz w:val="24"/>
          <w:szCs w:val="24"/>
        </w:rPr>
        <w:t>darbības “</w:t>
      </w:r>
      <w:r w:rsidR="00C07760" w:rsidRPr="00AC249C">
        <w:rPr>
          <w:rFonts w:ascii="Times New Roman" w:eastAsia="Arial Unicode MS" w:hAnsi="Times New Roman" w:cs="Times New Roman"/>
          <w:noProof/>
          <w:sz w:val="24"/>
          <w:szCs w:val="24"/>
        </w:rPr>
        <w:t>Viedāka Eiropa, veicinot inovatīvas un viedas ekonomiskās pārmaiņas”</w:t>
      </w:r>
      <w:r w:rsidR="00C07760" w:rsidRPr="00721CD0">
        <w:rPr>
          <w:rFonts w:ascii="Times New Roman" w:eastAsia="Arial Unicode MS" w:hAnsi="Times New Roman" w:cs="Times New Roman"/>
          <w:noProof/>
          <w:sz w:val="24"/>
          <w:szCs w:val="24"/>
        </w:rPr>
        <w:t xml:space="preserve"> </w:t>
      </w:r>
      <w:r w:rsidR="005E027D" w:rsidRPr="00721CD0">
        <w:rPr>
          <w:rFonts w:ascii="Times New Roman" w:eastAsia="Arial Unicode MS" w:hAnsi="Times New Roman" w:cs="Times New Roman"/>
          <w:noProof/>
          <w:sz w:val="24"/>
          <w:szCs w:val="24"/>
        </w:rPr>
        <w:t>programmas</w:t>
      </w:r>
      <w:r w:rsidR="00C07760">
        <w:rPr>
          <w:rFonts w:ascii="Times New Roman" w:eastAsia="Arial Unicode MS" w:hAnsi="Times New Roman" w:cs="Times New Roman"/>
          <w:noProof/>
          <w:sz w:val="24"/>
          <w:szCs w:val="24"/>
        </w:rPr>
        <w:t xml:space="preserve"> </w:t>
      </w:r>
      <w:r w:rsidR="005E027D" w:rsidRPr="00721CD0">
        <w:rPr>
          <w:rFonts w:ascii="Times New Roman" w:eastAsia="Arial Unicode MS" w:hAnsi="Times New Roman" w:cs="Times New Roman"/>
          <w:noProof/>
          <w:sz w:val="24"/>
          <w:szCs w:val="24"/>
        </w:rPr>
        <w:t xml:space="preserve"> (PO1 mērķa). </w:t>
      </w:r>
    </w:p>
    <w:p w14:paraId="20D13906" w14:textId="77777777" w:rsidR="00C07760" w:rsidRPr="00721CD0" w:rsidRDefault="00C07760" w:rsidP="00721CD0">
      <w:pPr>
        <w:spacing w:after="0" w:line="240" w:lineRule="auto"/>
        <w:ind w:firstLine="720"/>
        <w:jc w:val="both"/>
        <w:rPr>
          <w:rFonts w:ascii="Times New Roman" w:eastAsia="Arial Unicode MS" w:hAnsi="Times New Roman" w:cs="Times New Roman"/>
          <w:noProof/>
          <w:sz w:val="24"/>
          <w:szCs w:val="24"/>
        </w:rPr>
      </w:pPr>
    </w:p>
    <w:p w14:paraId="6C8B35BA" w14:textId="1A9AE2D9" w:rsidR="00B30FCA" w:rsidRPr="008918BA" w:rsidRDefault="008918BA" w:rsidP="008918BA">
      <w:pPr>
        <w:pStyle w:val="ListParagraph"/>
        <w:widowControl w:val="0"/>
        <w:numPr>
          <w:ilvl w:val="0"/>
          <w:numId w:val="12"/>
        </w:numPr>
        <w:spacing w:after="0" w:line="240" w:lineRule="auto"/>
        <w:jc w:val="center"/>
        <w:rPr>
          <w:rStyle w:val="Nessuno"/>
          <w:rFonts w:ascii="Times New Roman" w:hAnsi="Times New Roman" w:cs="Times New Roman"/>
          <w:b/>
          <w:bCs/>
          <w:sz w:val="24"/>
          <w:szCs w:val="24"/>
        </w:rPr>
      </w:pPr>
      <w:r w:rsidRPr="008918BA">
        <w:rPr>
          <w:rFonts w:ascii="Times New Roman" w:hAnsi="Times New Roman" w:cs="Times New Roman"/>
          <w:b/>
          <w:bCs/>
          <w:sz w:val="24"/>
          <w:szCs w:val="24"/>
        </w:rPr>
        <w:t>VARAM turpmākā rīcība</w:t>
      </w:r>
    </w:p>
    <w:p w14:paraId="532EF565" w14:textId="30BC3CE2" w:rsidR="000E32CD" w:rsidRPr="00721CD0" w:rsidRDefault="003C0813" w:rsidP="00721CD0">
      <w:pPr>
        <w:spacing w:after="0" w:line="240" w:lineRule="auto"/>
        <w:ind w:firstLine="720"/>
        <w:jc w:val="both"/>
        <w:rPr>
          <w:rFonts w:ascii="Times New Roman" w:eastAsia="Times New Roman" w:hAnsi="Times New Roman" w:cs="Times New Roman"/>
          <w:sz w:val="24"/>
          <w:szCs w:val="24"/>
          <w:lang w:eastAsia="lv-LV"/>
        </w:rPr>
      </w:pPr>
      <w:r w:rsidRPr="00721CD0">
        <w:rPr>
          <w:rFonts w:ascii="Times New Roman" w:eastAsia="Times New Roman" w:hAnsi="Times New Roman" w:cs="Times New Roman"/>
          <w:sz w:val="24"/>
          <w:szCs w:val="24"/>
          <w:lang w:eastAsia="lv-LV"/>
        </w:rPr>
        <w:t>Pamatojoties uz iepriekš minēto informāciju, a</w:t>
      </w:r>
      <w:r w:rsidR="00B000E3" w:rsidRPr="00721CD0">
        <w:rPr>
          <w:rFonts w:ascii="Times New Roman" w:eastAsia="Times New Roman" w:hAnsi="Times New Roman" w:cs="Times New Roman"/>
          <w:sz w:val="24"/>
          <w:szCs w:val="24"/>
          <w:lang w:eastAsia="lv-LV"/>
        </w:rPr>
        <w:t>r šo informatīvo ziņojumu VARAM kā atbildīg</w:t>
      </w:r>
      <w:r w:rsidR="00061EF1">
        <w:rPr>
          <w:rFonts w:ascii="Times New Roman" w:eastAsia="Times New Roman" w:hAnsi="Times New Roman" w:cs="Times New Roman"/>
          <w:sz w:val="24"/>
          <w:szCs w:val="24"/>
          <w:lang w:eastAsia="lv-LV"/>
        </w:rPr>
        <w:t>ā</w:t>
      </w:r>
      <w:r w:rsidR="00B000E3" w:rsidRPr="00721CD0">
        <w:rPr>
          <w:rFonts w:ascii="Times New Roman" w:eastAsia="Times New Roman" w:hAnsi="Times New Roman" w:cs="Times New Roman"/>
          <w:sz w:val="24"/>
          <w:szCs w:val="24"/>
          <w:lang w:eastAsia="lv-LV"/>
        </w:rPr>
        <w:t xml:space="preserve"> ministrija par </w:t>
      </w:r>
      <w:r w:rsidRPr="00721CD0">
        <w:rPr>
          <w:rFonts w:ascii="Times New Roman" w:eastAsia="Times New Roman" w:hAnsi="Times New Roman" w:cs="Times New Roman"/>
          <w:sz w:val="24"/>
          <w:szCs w:val="24"/>
          <w:lang w:eastAsia="lv-LV"/>
        </w:rPr>
        <w:t xml:space="preserve">DEP ieviešanu, </w:t>
      </w:r>
      <w:r w:rsidR="00B000E3" w:rsidRPr="00721CD0">
        <w:rPr>
          <w:rFonts w:ascii="Times New Roman" w:eastAsia="Times New Roman" w:hAnsi="Times New Roman" w:cs="Times New Roman"/>
          <w:sz w:val="24"/>
          <w:szCs w:val="24"/>
          <w:lang w:eastAsia="lv-LV"/>
        </w:rPr>
        <w:t xml:space="preserve">digitālo jautājumu koordinēšanu </w:t>
      </w:r>
      <w:r w:rsidR="000E32CD" w:rsidRPr="00721CD0">
        <w:rPr>
          <w:rFonts w:ascii="Times New Roman" w:eastAsia="Times New Roman" w:hAnsi="Times New Roman" w:cs="Times New Roman"/>
          <w:sz w:val="24"/>
          <w:szCs w:val="24"/>
          <w:lang w:eastAsia="lv-LV"/>
        </w:rPr>
        <w:t>un Centru atlasi:</w:t>
      </w:r>
    </w:p>
    <w:p w14:paraId="1448E831" w14:textId="76D36238" w:rsidR="005E027D" w:rsidRPr="00721CD0" w:rsidRDefault="00E04760" w:rsidP="00721CD0">
      <w:pPr>
        <w:pStyle w:val="NormalWeb"/>
        <w:numPr>
          <w:ilvl w:val="0"/>
          <w:numId w:val="8"/>
        </w:numPr>
        <w:spacing w:before="0" w:beforeAutospacing="0" w:after="0" w:afterAutospacing="0"/>
        <w:jc w:val="both"/>
      </w:pPr>
      <w:r>
        <w:t>izstrādās</w:t>
      </w:r>
      <w:r w:rsidR="005E027D" w:rsidRPr="00721CD0">
        <w:t xml:space="preserve"> atlases kritērijus un pieteikum</w:t>
      </w:r>
      <w:r w:rsidR="00CF3E6B" w:rsidRPr="00721CD0">
        <w:t>am n</w:t>
      </w:r>
      <w:r w:rsidR="00061EF1">
        <w:t>epieciešamos dokumentus publicēs</w:t>
      </w:r>
      <w:r w:rsidR="005E027D" w:rsidRPr="00721CD0">
        <w:t xml:space="preserve"> ministrijas </w:t>
      </w:r>
      <w:r w:rsidR="00501C4C">
        <w:t>tī</w:t>
      </w:r>
      <w:r w:rsidR="00906F41">
        <w:t>mekļvietnē</w:t>
      </w:r>
      <w:r w:rsidR="005E027D" w:rsidRPr="00721CD0">
        <w:t xml:space="preserve">, papildus sagatavojot preses </w:t>
      </w:r>
      <w:proofErr w:type="spellStart"/>
      <w:r w:rsidR="005E027D" w:rsidRPr="00721CD0">
        <w:t>relīz</w:t>
      </w:r>
      <w:r w:rsidR="00AB029E" w:rsidRPr="00721CD0">
        <w:t>i</w:t>
      </w:r>
      <w:proofErr w:type="spellEnd"/>
      <w:r w:rsidR="005E027D" w:rsidRPr="00721CD0">
        <w:t xml:space="preserve"> par atlases </w:t>
      </w:r>
      <w:r w:rsidR="0075587F">
        <w:t xml:space="preserve">procesa </w:t>
      </w:r>
      <w:r w:rsidR="00CF3E6B" w:rsidRPr="00721CD0">
        <w:t>uzsākšanu;</w:t>
      </w:r>
    </w:p>
    <w:p w14:paraId="6855E060" w14:textId="266BEE10" w:rsidR="000E32CD" w:rsidRPr="00721CD0" w:rsidRDefault="00B36645" w:rsidP="00721CD0">
      <w:pPr>
        <w:pStyle w:val="NormalWeb"/>
        <w:numPr>
          <w:ilvl w:val="0"/>
          <w:numId w:val="8"/>
        </w:numPr>
        <w:spacing w:before="0" w:beforeAutospacing="0" w:after="0" w:afterAutospacing="0"/>
        <w:jc w:val="both"/>
      </w:pPr>
      <w:r w:rsidRPr="00721CD0">
        <w:t>pēc Centra</w:t>
      </w:r>
      <w:r w:rsidR="00906F41">
        <w:t>(-u)</w:t>
      </w:r>
      <w:r w:rsidRPr="00721CD0">
        <w:t xml:space="preserve"> atlases, sadarbībā ar Komisijas apstiprināto Centru(-</w:t>
      </w:r>
      <w:proofErr w:type="spellStart"/>
      <w:r w:rsidRPr="00721CD0">
        <w:t>iem</w:t>
      </w:r>
      <w:proofErr w:type="spellEnd"/>
      <w:r w:rsidRPr="00721CD0">
        <w:t>) izstrādā</w:t>
      </w:r>
      <w:r w:rsidR="00694307">
        <w:t xml:space="preserve">s </w:t>
      </w:r>
      <w:r w:rsidRPr="00721CD0">
        <w:t>to darbības nolikumu, t.sk. informēšanas kārtību par darbību</w:t>
      </w:r>
      <w:r w:rsidR="00CF3E6B" w:rsidRPr="00721CD0">
        <w:t xml:space="preserve"> un sasniegtajiem rezultātiem;</w:t>
      </w:r>
    </w:p>
    <w:p w14:paraId="786CAECB" w14:textId="6D6C5423" w:rsidR="00D226AF" w:rsidRDefault="00BC2541" w:rsidP="00721CD0">
      <w:pPr>
        <w:pStyle w:val="NormalWeb"/>
        <w:numPr>
          <w:ilvl w:val="0"/>
          <w:numId w:val="8"/>
        </w:numPr>
        <w:spacing w:before="0" w:beforeAutospacing="0" w:after="0" w:afterAutospacing="0"/>
        <w:jc w:val="both"/>
      </w:pPr>
      <w:r w:rsidRPr="00721CD0">
        <w:t xml:space="preserve">nodrošinās </w:t>
      </w:r>
      <w:r w:rsidR="00721CD0" w:rsidRPr="00721CD0">
        <w:t xml:space="preserve">nacionālo </w:t>
      </w:r>
      <w:r w:rsidRPr="00721CD0">
        <w:t xml:space="preserve">koordināciju nacionālā un ES līmenī attiecībā uz </w:t>
      </w:r>
      <w:r w:rsidR="0075587F">
        <w:t xml:space="preserve">turpmāko </w:t>
      </w:r>
      <w:r w:rsidRPr="00721CD0">
        <w:t>Centru atlasi</w:t>
      </w:r>
      <w:r w:rsidR="0075587F">
        <w:t>, t.sk. pārrobežu līmenī</w:t>
      </w:r>
      <w:r w:rsidR="00721CD0" w:rsidRPr="00721CD0">
        <w:t>.</w:t>
      </w:r>
    </w:p>
    <w:p w14:paraId="2BE4997A" w14:textId="77777777" w:rsidR="00906BA0" w:rsidRDefault="00906BA0" w:rsidP="00906BA0">
      <w:pPr>
        <w:rPr>
          <w:sz w:val="26"/>
          <w:szCs w:val="26"/>
        </w:rPr>
      </w:pPr>
    </w:p>
    <w:p w14:paraId="7838781E" w14:textId="19CF14D1" w:rsidR="00906BA0" w:rsidRPr="00906BA0" w:rsidRDefault="00906BA0" w:rsidP="00906BA0">
      <w:pPr>
        <w:jc w:val="both"/>
        <w:rPr>
          <w:rFonts w:ascii="Times New Roman" w:eastAsia="Times New Roman" w:hAnsi="Times New Roman" w:cs="Times New Roman"/>
          <w:sz w:val="24"/>
          <w:szCs w:val="24"/>
          <w:lang w:eastAsia="lv-LV"/>
        </w:rPr>
      </w:pPr>
      <w:r w:rsidRPr="00906BA0">
        <w:rPr>
          <w:rFonts w:ascii="Times New Roman" w:eastAsia="Times New Roman" w:hAnsi="Times New Roman" w:cs="Times New Roman"/>
          <w:sz w:val="24"/>
          <w:szCs w:val="24"/>
          <w:lang w:eastAsia="lv-LV"/>
        </w:rPr>
        <w:t xml:space="preserve">Vides aizsardzības un reģionālās attīstības ministrs </w:t>
      </w:r>
      <w:r w:rsidRPr="00906BA0">
        <w:rPr>
          <w:rFonts w:ascii="Times New Roman" w:eastAsia="Times New Roman" w:hAnsi="Times New Roman" w:cs="Times New Roman"/>
          <w:sz w:val="24"/>
          <w:szCs w:val="24"/>
          <w:lang w:eastAsia="lv-LV"/>
        </w:rPr>
        <w:tab/>
      </w:r>
      <w:r w:rsidRPr="00906BA0">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906BA0">
        <w:rPr>
          <w:rFonts w:ascii="Times New Roman" w:eastAsia="Times New Roman" w:hAnsi="Times New Roman" w:cs="Times New Roman"/>
          <w:sz w:val="24"/>
          <w:szCs w:val="24"/>
          <w:lang w:eastAsia="lv-LV"/>
        </w:rPr>
        <w:t xml:space="preserve">  J. Pūce</w:t>
      </w:r>
    </w:p>
    <w:p w14:paraId="296508DE" w14:textId="77777777" w:rsidR="00906BA0" w:rsidRPr="00906BA0" w:rsidRDefault="00906BA0" w:rsidP="00906BA0">
      <w:pPr>
        <w:pStyle w:val="ListParagraph"/>
        <w:ind w:left="1140"/>
        <w:rPr>
          <w:sz w:val="18"/>
          <w:szCs w:val="18"/>
        </w:rPr>
      </w:pPr>
    </w:p>
    <w:p w14:paraId="2411EAC4" w14:textId="77777777" w:rsidR="00906BA0" w:rsidRPr="00906BA0" w:rsidRDefault="00906BA0" w:rsidP="00906BA0">
      <w:pPr>
        <w:spacing w:after="0" w:line="240" w:lineRule="auto"/>
        <w:rPr>
          <w:rFonts w:ascii="Times New Roman" w:hAnsi="Times New Roman" w:cs="Times New Roman"/>
          <w:sz w:val="20"/>
          <w:szCs w:val="20"/>
        </w:rPr>
      </w:pPr>
      <w:r w:rsidRPr="00906BA0">
        <w:rPr>
          <w:rFonts w:ascii="Times New Roman" w:hAnsi="Times New Roman" w:cs="Times New Roman"/>
          <w:sz w:val="20"/>
          <w:szCs w:val="20"/>
        </w:rPr>
        <w:t>Skraučs, 67026942</w:t>
      </w:r>
    </w:p>
    <w:p w14:paraId="5E682AEE" w14:textId="69F8CEE7" w:rsidR="00906BA0" w:rsidRPr="00906BA0" w:rsidRDefault="008A4EEA" w:rsidP="00906BA0">
      <w:pPr>
        <w:spacing w:after="0" w:line="240" w:lineRule="auto"/>
        <w:rPr>
          <w:rFonts w:ascii="Times New Roman" w:hAnsi="Times New Roman" w:cs="Times New Roman"/>
          <w:sz w:val="20"/>
          <w:szCs w:val="20"/>
        </w:rPr>
      </w:pPr>
      <w:hyperlink r:id="rId8" w:history="1">
        <w:r w:rsidR="00906BA0" w:rsidRPr="00906BA0">
          <w:rPr>
            <w:rStyle w:val="Hyperlink"/>
            <w:rFonts w:ascii="Times New Roman" w:hAnsi="Times New Roman" w:cs="Times New Roman"/>
            <w:sz w:val="20"/>
            <w:szCs w:val="20"/>
          </w:rPr>
          <w:t>arnis.skraucs@varam.gov.lv</w:t>
        </w:r>
      </w:hyperlink>
    </w:p>
    <w:p w14:paraId="6FE4AB03" w14:textId="77777777" w:rsidR="00906BA0" w:rsidRPr="00721CD0" w:rsidRDefault="00906BA0" w:rsidP="00906BA0">
      <w:pPr>
        <w:pStyle w:val="NormalWeb"/>
        <w:spacing w:before="0" w:beforeAutospacing="0" w:after="0" w:afterAutospacing="0"/>
        <w:jc w:val="both"/>
      </w:pPr>
    </w:p>
    <w:sectPr w:rsidR="00906BA0" w:rsidRPr="00721CD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B5BBB" w14:textId="77777777" w:rsidR="008A4EEA" w:rsidRDefault="008A4EEA" w:rsidP="00576958">
      <w:pPr>
        <w:spacing w:after="0" w:line="240" w:lineRule="auto"/>
      </w:pPr>
      <w:r>
        <w:separator/>
      </w:r>
    </w:p>
  </w:endnote>
  <w:endnote w:type="continuationSeparator" w:id="0">
    <w:p w14:paraId="421DF8B8" w14:textId="77777777" w:rsidR="008A4EEA" w:rsidRDefault="008A4EEA" w:rsidP="00576958">
      <w:pPr>
        <w:spacing w:after="0" w:line="240" w:lineRule="auto"/>
      </w:pPr>
      <w:r>
        <w:continuationSeparator/>
      </w:r>
    </w:p>
  </w:endnote>
  <w:endnote w:type="continuationNotice" w:id="1">
    <w:p w14:paraId="09758B26" w14:textId="77777777" w:rsidR="008A4EEA" w:rsidRDefault="008A4E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5EAA" w14:textId="77777777" w:rsidR="00F33C8F" w:rsidRDefault="00F33C8F" w:rsidP="00F33C8F">
    <w:pPr>
      <w:pStyle w:val="Footer"/>
      <w:rPr>
        <w:rFonts w:ascii="Times New Roman" w:hAnsi="Times New Roman" w:cs="Times New Roman"/>
        <w:sz w:val="24"/>
        <w:szCs w:val="24"/>
      </w:rPr>
    </w:pPr>
  </w:p>
  <w:p w14:paraId="646A54B4" w14:textId="1598AF10" w:rsidR="00F33C8F" w:rsidRPr="00F33C8F" w:rsidRDefault="00F33C8F" w:rsidP="00F33C8F">
    <w:pPr>
      <w:pStyle w:val="Footer"/>
      <w:rPr>
        <w:rFonts w:ascii="Times New Roman" w:hAnsi="Times New Roman" w:cs="Times New Roman"/>
        <w:sz w:val="24"/>
        <w:szCs w:val="24"/>
      </w:rPr>
    </w:pPr>
    <w:r w:rsidRPr="00246F53">
      <w:rPr>
        <w:rFonts w:ascii="Times New Roman" w:hAnsi="Times New Roman" w:cs="Times New Roman"/>
        <w:sz w:val="24"/>
        <w:szCs w:val="24"/>
      </w:rPr>
      <w:t>VARAMInf_EDIH_</w:t>
    </w:r>
    <w:r w:rsidR="00C07760">
      <w:rPr>
        <w:rFonts w:ascii="Times New Roman" w:hAnsi="Times New Roman" w:cs="Times New Roman"/>
        <w:sz w:val="24"/>
        <w:szCs w:val="24"/>
      </w:rPr>
      <w:t>080520</w:t>
    </w:r>
  </w:p>
  <w:p w14:paraId="50A313F4" w14:textId="34F960AF" w:rsidR="00F33C8F" w:rsidRDefault="008A4EEA">
    <w:pPr>
      <w:pStyle w:val="Footer"/>
      <w:jc w:val="center"/>
    </w:pPr>
    <w:sdt>
      <w:sdtPr>
        <w:id w:val="-1141036185"/>
        <w:docPartObj>
          <w:docPartGallery w:val="Page Numbers (Bottom of Page)"/>
          <w:docPartUnique/>
        </w:docPartObj>
      </w:sdtPr>
      <w:sdtEndPr>
        <w:rPr>
          <w:noProof/>
        </w:rPr>
      </w:sdtEndPr>
      <w:sdtContent>
        <w:r w:rsidR="00F33C8F">
          <w:fldChar w:fldCharType="begin"/>
        </w:r>
        <w:r w:rsidR="00F33C8F">
          <w:instrText xml:space="preserve"> PAGE   \* MERGEFORMAT </w:instrText>
        </w:r>
        <w:r w:rsidR="00F33C8F">
          <w:fldChar w:fldCharType="separate"/>
        </w:r>
        <w:r w:rsidR="00B50465">
          <w:rPr>
            <w:noProof/>
          </w:rPr>
          <w:t>5</w:t>
        </w:r>
        <w:r w:rsidR="00F33C8F">
          <w:rPr>
            <w:noProof/>
          </w:rPr>
          <w:fldChar w:fldCharType="end"/>
        </w:r>
      </w:sdtContent>
    </w:sdt>
  </w:p>
  <w:p w14:paraId="2B76E26C" w14:textId="77777777" w:rsidR="00246F53" w:rsidRPr="00246F53" w:rsidRDefault="00246F53" w:rsidP="00F2250E">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EC3BB" w14:textId="77777777" w:rsidR="008A4EEA" w:rsidRDefault="008A4EEA" w:rsidP="00576958">
      <w:pPr>
        <w:spacing w:after="0" w:line="240" w:lineRule="auto"/>
      </w:pPr>
      <w:r>
        <w:separator/>
      </w:r>
    </w:p>
  </w:footnote>
  <w:footnote w:type="continuationSeparator" w:id="0">
    <w:p w14:paraId="592D5D5B" w14:textId="77777777" w:rsidR="008A4EEA" w:rsidRDefault="008A4EEA" w:rsidP="00576958">
      <w:pPr>
        <w:spacing w:after="0" w:line="240" w:lineRule="auto"/>
      </w:pPr>
      <w:r>
        <w:continuationSeparator/>
      </w:r>
    </w:p>
  </w:footnote>
  <w:footnote w:type="continuationNotice" w:id="1">
    <w:p w14:paraId="47A2B88C" w14:textId="77777777" w:rsidR="008A4EEA" w:rsidRDefault="008A4EEA">
      <w:pPr>
        <w:spacing w:after="0" w:line="240" w:lineRule="auto"/>
      </w:pPr>
    </w:p>
  </w:footnote>
  <w:footnote w:id="2">
    <w:p w14:paraId="616FF68D" w14:textId="77777777" w:rsidR="00042DD8" w:rsidRDefault="00042DD8" w:rsidP="00042DD8">
      <w:pPr>
        <w:pStyle w:val="FootnoteText"/>
      </w:pPr>
      <w:r>
        <w:rPr>
          <w:rStyle w:val="FootnoteReference"/>
        </w:rPr>
        <w:footnoteRef/>
      </w:r>
      <w:r>
        <w:t xml:space="preserve"> </w:t>
      </w:r>
      <w:r w:rsidRPr="00C07760">
        <w:rPr>
          <w:rFonts w:ascii="Times New Roman" w:hAnsi="Times New Roman" w:cs="Times New Roman"/>
        </w:rPr>
        <w:t>Eiropas Savienības tie</w:t>
      </w:r>
      <w:r w:rsidRPr="00AD0AF4">
        <w:rPr>
          <w:rFonts w:ascii="Times New Roman" w:hAnsi="Times New Roman" w:cs="Times New Roman"/>
        </w:rPr>
        <w:t xml:space="preserve">sību aktu </w:t>
      </w:r>
      <w:r w:rsidRPr="00C07760">
        <w:rPr>
          <w:rFonts w:ascii="Times New Roman" w:hAnsi="Times New Roman" w:cs="Times New Roman"/>
        </w:rPr>
        <w:t xml:space="preserve">elektroniska datubāze, </w:t>
      </w:r>
      <w:hyperlink r:id="rId1" w:history="1">
        <w:r w:rsidRPr="004F037A">
          <w:rPr>
            <w:rStyle w:val="Hyperlink"/>
            <w:rFonts w:ascii="Times New Roman" w:hAnsi="Times New Roman" w:cs="Times New Roman"/>
          </w:rPr>
          <w:t>https://eur-lex.europa.eu</w:t>
        </w:r>
      </w:hyperlink>
      <w:r w:rsidRPr="00C07760">
        <w:rPr>
          <w:rFonts w:ascii="Times New Roman" w:hAnsi="Times New Roman" w:cs="Times New Roman"/>
        </w:rPr>
        <w:t>,</w:t>
      </w:r>
      <w:r>
        <w:rPr>
          <w:rFonts w:ascii="Times New Roman" w:hAnsi="Times New Roman" w:cs="Times New Roman"/>
        </w:rPr>
        <w:t xml:space="preserve"> pieejams:</w:t>
      </w:r>
      <w:r w:rsidRPr="00C07760">
        <w:rPr>
          <w:rFonts w:ascii="Times New Roman" w:hAnsi="Times New Roman" w:cs="Times New Roman"/>
        </w:rPr>
        <w:t xml:space="preserve"> </w:t>
      </w:r>
      <w:hyperlink r:id="rId2" w:history="1">
        <w:r w:rsidRPr="00C07760">
          <w:rPr>
            <w:rStyle w:val="Hyperlink"/>
            <w:rFonts w:ascii="Times New Roman" w:hAnsi="Times New Roman" w:cs="Times New Roman"/>
          </w:rPr>
          <w:t>https://eur-lex.europa.eu/legal-content/LV/TXT/?uri=COM:2018:434:FIN</w:t>
        </w:r>
      </w:hyperlink>
    </w:p>
  </w:footnote>
  <w:footnote w:id="3">
    <w:p w14:paraId="06F7E39F" w14:textId="3D66CC2B" w:rsidR="0063347B" w:rsidRPr="00BC2541" w:rsidRDefault="0063347B" w:rsidP="0063347B">
      <w:pPr>
        <w:pStyle w:val="FootnoteText"/>
        <w:rPr>
          <w:rFonts w:ascii="Times New Roman" w:hAnsi="Times New Roman" w:cs="Times New Roman"/>
        </w:rPr>
      </w:pPr>
      <w:r w:rsidRPr="00BC2541">
        <w:rPr>
          <w:rStyle w:val="FootnoteReference"/>
          <w:rFonts w:ascii="Times New Roman" w:hAnsi="Times New Roman" w:cs="Times New Roman"/>
        </w:rPr>
        <w:footnoteRef/>
      </w:r>
      <w:r w:rsidR="001964FA" w:rsidRPr="00BC2541">
        <w:rPr>
          <w:rFonts w:ascii="Times New Roman" w:hAnsi="Times New Roman" w:cs="Times New Roman"/>
        </w:rPr>
        <w:t xml:space="preserve"> </w:t>
      </w:r>
      <w:r w:rsidRPr="00BC2541">
        <w:rPr>
          <w:rFonts w:ascii="Times New Roman" w:hAnsi="Times New Roman" w:cs="Times New Roman"/>
        </w:rPr>
        <w:t xml:space="preserve">Kā norādīts paziņojumā par Eiropas rūpniecības </w:t>
      </w:r>
      <w:proofErr w:type="spellStart"/>
      <w:r w:rsidRPr="00BC2541">
        <w:rPr>
          <w:rFonts w:ascii="Times New Roman" w:hAnsi="Times New Roman" w:cs="Times New Roman"/>
        </w:rPr>
        <w:t>digitalizāciju</w:t>
      </w:r>
      <w:proofErr w:type="spellEnd"/>
      <w:r w:rsidRPr="00BC2541">
        <w:rPr>
          <w:rFonts w:ascii="Times New Roman" w:hAnsi="Times New Roman" w:cs="Times New Roman"/>
        </w:rPr>
        <w:t xml:space="preserve"> (COM(2016) 180 </w:t>
      </w:r>
      <w:proofErr w:type="spellStart"/>
      <w:r w:rsidRPr="00BC2541">
        <w:rPr>
          <w:rFonts w:ascii="Times New Roman" w:hAnsi="Times New Roman" w:cs="Times New Roman"/>
        </w:rPr>
        <w:t>final</w:t>
      </w:r>
      <w:proofErr w:type="spellEnd"/>
      <w:r w:rsidRPr="00BC2541">
        <w:rPr>
          <w:rFonts w:ascii="Times New Roman" w:hAnsi="Times New Roman" w:cs="Times New Roman"/>
        </w:rPr>
        <w:t>).</w:t>
      </w:r>
    </w:p>
  </w:footnote>
  <w:footnote w:id="4">
    <w:p w14:paraId="07CAA527" w14:textId="2AA50433" w:rsidR="001964FA" w:rsidRPr="00BC2541" w:rsidRDefault="001964FA">
      <w:pPr>
        <w:pStyle w:val="FootnoteText"/>
        <w:rPr>
          <w:rFonts w:ascii="Times New Roman" w:hAnsi="Times New Roman" w:cs="Times New Roman"/>
        </w:rPr>
      </w:pPr>
      <w:r w:rsidRPr="00BC2541">
        <w:rPr>
          <w:rStyle w:val="FootnoteReference"/>
          <w:rFonts w:ascii="Times New Roman" w:hAnsi="Times New Roman" w:cs="Times New Roman"/>
        </w:rPr>
        <w:footnoteRef/>
      </w:r>
      <w:r w:rsidRPr="00BC2541">
        <w:rPr>
          <w:rFonts w:ascii="Times New Roman" w:hAnsi="Times New Roman" w:cs="Times New Roman"/>
        </w:rPr>
        <w:t xml:space="preserve"> </w:t>
      </w:r>
      <w:r w:rsidRPr="00BC2541">
        <w:rPr>
          <w:rFonts w:ascii="Times New Roman" w:hAnsi="Times New Roman" w:cs="Times New Roman"/>
        </w:rPr>
        <w:t xml:space="preserve">Saskaņā ar </w:t>
      </w:r>
      <w:r w:rsidR="00554A1D">
        <w:rPr>
          <w:rFonts w:ascii="Times New Roman" w:hAnsi="Times New Roman" w:cs="Times New Roman"/>
        </w:rPr>
        <w:t>2020.</w:t>
      </w:r>
      <w:r w:rsidRPr="00BC2541">
        <w:rPr>
          <w:rFonts w:ascii="Times New Roman" w:hAnsi="Times New Roman" w:cs="Times New Roman"/>
        </w:rPr>
        <w:t xml:space="preserve"> gada 19.</w:t>
      </w:r>
      <w:r w:rsidR="00554A1D">
        <w:rPr>
          <w:rFonts w:ascii="Times New Roman" w:hAnsi="Times New Roman" w:cs="Times New Roman"/>
        </w:rPr>
        <w:t> </w:t>
      </w:r>
      <w:r w:rsidRPr="00BC2541">
        <w:rPr>
          <w:rFonts w:ascii="Times New Roman" w:hAnsi="Times New Roman" w:cs="Times New Roman"/>
        </w:rPr>
        <w:t>februārī Eiropas Komisijas publicēto “Balt</w:t>
      </w:r>
      <w:r w:rsidR="00554A1D">
        <w:rPr>
          <w:rFonts w:ascii="Times New Roman" w:hAnsi="Times New Roman" w:cs="Times New Roman"/>
        </w:rPr>
        <w:t>ā</w:t>
      </w:r>
      <w:r w:rsidRPr="00BC2541">
        <w:rPr>
          <w:rFonts w:ascii="Times New Roman" w:hAnsi="Times New Roman" w:cs="Times New Roman"/>
        </w:rPr>
        <w:t xml:space="preserve"> grāmat</w:t>
      </w:r>
      <w:r w:rsidR="00554A1D">
        <w:rPr>
          <w:rFonts w:ascii="Times New Roman" w:hAnsi="Times New Roman" w:cs="Times New Roman"/>
        </w:rPr>
        <w:t>a</w:t>
      </w:r>
      <w:r w:rsidRPr="00BC2541">
        <w:rPr>
          <w:rFonts w:ascii="Times New Roman" w:hAnsi="Times New Roman" w:cs="Times New Roman"/>
        </w:rPr>
        <w:t xml:space="preserve"> par mākslīgo intelektu</w:t>
      </w:r>
      <w:r w:rsidR="00554A1D">
        <w:rPr>
          <w:rFonts w:ascii="Times New Roman" w:hAnsi="Times New Roman" w:cs="Times New Roman"/>
        </w:rPr>
        <w:t>”</w:t>
      </w:r>
      <w:r w:rsidR="00A205FF">
        <w:rPr>
          <w:rFonts w:ascii="Times New Roman" w:hAnsi="Times New Roman" w:cs="Times New Roman"/>
        </w:rPr>
        <w:t xml:space="preserve">, 7. </w:t>
      </w:r>
    </w:p>
  </w:footnote>
  <w:footnote w:id="5">
    <w:p w14:paraId="3D1E6A81" w14:textId="77777777" w:rsidR="0063347B" w:rsidRDefault="0063347B" w:rsidP="0063347B">
      <w:pPr>
        <w:pStyle w:val="FootnoteText"/>
      </w:pPr>
      <w:r w:rsidRPr="000C507A">
        <w:rPr>
          <w:rFonts w:ascii="Times New Roman" w:hAnsi="Times New Roman" w:cs="Times New Roman"/>
          <w:vertAlign w:val="superscript"/>
        </w:rPr>
        <w:footnoteRef/>
      </w:r>
      <w:r w:rsidRPr="00BC2541">
        <w:rPr>
          <w:rFonts w:ascii="Times New Roman" w:hAnsi="Times New Roman" w:cs="Times New Roman"/>
        </w:rPr>
        <w:t xml:space="preserve"> </w:t>
      </w:r>
      <w:r w:rsidRPr="00BC2541">
        <w:rPr>
          <w:rFonts w:ascii="Times New Roman" w:hAnsi="Times New Roman" w:cs="Times New Roman"/>
        </w:rPr>
        <w:t>COM (2018) 435</w:t>
      </w:r>
    </w:p>
  </w:footnote>
  <w:footnote w:id="6">
    <w:p w14:paraId="1D4F00E6" w14:textId="4ED38B77" w:rsidR="002A0ECB" w:rsidRDefault="002A0ECB">
      <w:pPr>
        <w:pStyle w:val="FootnoteText"/>
      </w:pPr>
      <w:r>
        <w:rPr>
          <w:rStyle w:val="FootnoteReference"/>
        </w:rPr>
        <w:footnoteRef/>
      </w:r>
      <w:r>
        <w:t xml:space="preserve"> </w:t>
      </w:r>
      <w:r w:rsidRPr="005934DC">
        <w:rPr>
          <w:rFonts w:ascii="Times New Roman" w:hAnsi="Times New Roman" w:cs="Times New Roman"/>
        </w:rPr>
        <w:t xml:space="preserve">Eiropas Komisija, Eiropas Parlamenta un Padomes regula, “ar ko </w:t>
      </w:r>
      <w:proofErr w:type="spellStart"/>
      <w:r w:rsidRPr="005934DC">
        <w:rPr>
          <w:rFonts w:ascii="Times New Roman" w:hAnsi="Times New Roman" w:cs="Times New Roman"/>
        </w:rPr>
        <w:t>laikaposma</w:t>
      </w:r>
      <w:proofErr w:type="spellEnd"/>
      <w:r w:rsidRPr="005934DC">
        <w:rPr>
          <w:rFonts w:ascii="Times New Roman" w:hAnsi="Times New Roman" w:cs="Times New Roman"/>
        </w:rPr>
        <w:t xml:space="preserve"> no 2021. līdz 2027. gadam izveido Digitālās Eiropas programmu”, COM(2018) 434 </w:t>
      </w:r>
      <w:proofErr w:type="spellStart"/>
      <w:r w:rsidRPr="005934DC">
        <w:rPr>
          <w:rFonts w:ascii="Times New Roman" w:hAnsi="Times New Roman" w:cs="Times New Roman"/>
        </w:rPr>
        <w:t>final</w:t>
      </w:r>
      <w:proofErr w:type="spellEnd"/>
      <w:r w:rsidRPr="005934DC">
        <w:rPr>
          <w:rFonts w:ascii="Times New Roman" w:hAnsi="Times New Roman" w:cs="Times New Roman"/>
        </w:rPr>
        <w:t xml:space="preserve">, </w:t>
      </w:r>
      <w:r w:rsidR="005934DC" w:rsidRPr="005934DC">
        <w:rPr>
          <w:rFonts w:ascii="Times New Roman" w:hAnsi="Times New Roman" w:cs="Times New Roman"/>
        </w:rPr>
        <w:t>5-6.</w:t>
      </w:r>
      <w:r>
        <w:t xml:space="preserve"> </w:t>
      </w:r>
    </w:p>
  </w:footnote>
  <w:footnote w:id="7">
    <w:p w14:paraId="7AB6EBAE" w14:textId="77777777" w:rsidR="00E02418" w:rsidRPr="00BC2541" w:rsidRDefault="00E02418" w:rsidP="00BB4B5B">
      <w:pPr>
        <w:pStyle w:val="FootnoteText"/>
        <w:jc w:val="both"/>
        <w:rPr>
          <w:rFonts w:ascii="Times New Roman" w:hAnsi="Times New Roman" w:cs="Times New Roman"/>
        </w:rPr>
      </w:pPr>
      <w:r w:rsidRPr="00BC2541">
        <w:rPr>
          <w:rStyle w:val="FootnoteReference"/>
          <w:rFonts w:ascii="Times New Roman" w:hAnsi="Times New Roman" w:cs="Times New Roman"/>
        </w:rPr>
        <w:footnoteRef/>
      </w:r>
      <w:r w:rsidRPr="00BC2541">
        <w:rPr>
          <w:rFonts w:ascii="Times New Roman" w:hAnsi="Times New Roman" w:cs="Times New Roman"/>
        </w:rPr>
        <w:t xml:space="preserve"> </w:t>
      </w:r>
      <w:r w:rsidRPr="00BC2541">
        <w:rPr>
          <w:rFonts w:ascii="Times New Roman" w:hAnsi="Times New Roman" w:cs="Times New Roman"/>
        </w:rPr>
        <w:t xml:space="preserve">Vides aizsardzības un reģionālās attīstības ministrija, “ Eiropas Komisija ir uzsākusi sabiedrisko apspriešanu par Digitālās Eiropas programmas ierosinājumiem 2021.-2022.gadam”, pieejams: </w:t>
      </w:r>
      <w:hyperlink r:id="rId3" w:history="1">
        <w:r w:rsidRPr="00BC2541">
          <w:rPr>
            <w:rStyle w:val="Hyperlink"/>
            <w:rFonts w:ascii="Times New Roman" w:hAnsi="Times New Roman" w:cs="Times New Roman"/>
          </w:rPr>
          <w:t>http://www.varam.gov.lv/lat/lidzd/apspr/e_parvalde/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F99"/>
    <w:multiLevelType w:val="hybridMultilevel"/>
    <w:tmpl w:val="FF76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F6346"/>
    <w:multiLevelType w:val="hybridMultilevel"/>
    <w:tmpl w:val="0FC0803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63A7FAB"/>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181C1D1F"/>
    <w:multiLevelType w:val="hybridMultilevel"/>
    <w:tmpl w:val="29F883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1C757B59"/>
    <w:multiLevelType w:val="hybridMultilevel"/>
    <w:tmpl w:val="6DA4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64EC8"/>
    <w:multiLevelType w:val="hybridMultilevel"/>
    <w:tmpl w:val="3A5AF6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357E09"/>
    <w:multiLevelType w:val="hybridMultilevel"/>
    <w:tmpl w:val="A72AA4D6"/>
    <w:lvl w:ilvl="0" w:tplc="93E0724E">
      <w:start w:val="3"/>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8AB33F5"/>
    <w:multiLevelType w:val="multilevel"/>
    <w:tmpl w:val="E5F0A796"/>
    <w:lvl w:ilvl="0">
      <w:start w:val="1"/>
      <w:numFmt w:val="decimal"/>
      <w:lvlText w:val="%1."/>
      <w:lvlJc w:val="left"/>
      <w:pPr>
        <w:ind w:left="360" w:hanging="360"/>
      </w:pPr>
    </w:lvl>
    <w:lvl w:ilvl="1">
      <w:start w:val="1"/>
      <w:numFmt w:val="decimal"/>
      <w:isLgl/>
      <w:lvlText w:val="%1.%2"/>
      <w:lvlJc w:val="left"/>
      <w:pPr>
        <w:ind w:left="375" w:hanging="375"/>
      </w:pPr>
      <w:rPr>
        <w:rFonts w:ascii="Times New Roman" w:eastAsiaTheme="minorHAnsi" w:hAnsi="Times New Roman" w:cs="Times New Roman" w:hint="default"/>
        <w:sz w:val="28"/>
        <w:szCs w:val="28"/>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1080" w:hanging="108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440" w:hanging="144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800" w:hanging="1800"/>
      </w:pPr>
      <w:rPr>
        <w:rFonts w:eastAsiaTheme="minorHAnsi" w:hint="default"/>
      </w:rPr>
    </w:lvl>
    <w:lvl w:ilvl="8">
      <w:start w:val="1"/>
      <w:numFmt w:val="decimal"/>
      <w:isLgl/>
      <w:lvlText w:val="%1.%2.%3.%4.%5.%6.%7.%8.%9"/>
      <w:lvlJc w:val="left"/>
      <w:pPr>
        <w:ind w:left="2160" w:hanging="2160"/>
      </w:pPr>
      <w:rPr>
        <w:rFonts w:eastAsiaTheme="minorHAnsi" w:hint="default"/>
      </w:rPr>
    </w:lvl>
  </w:abstractNum>
  <w:abstractNum w:abstractNumId="9" w15:restartNumberingAfterBreak="0">
    <w:nsid w:val="3E450FC2"/>
    <w:multiLevelType w:val="hybridMultilevel"/>
    <w:tmpl w:val="B0068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274226"/>
    <w:multiLevelType w:val="hybridMultilevel"/>
    <w:tmpl w:val="016490E4"/>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1" w15:restartNumberingAfterBreak="0">
    <w:nsid w:val="64834254"/>
    <w:multiLevelType w:val="hybridMultilevel"/>
    <w:tmpl w:val="2D081534"/>
    <w:lvl w:ilvl="0" w:tplc="84620ACA">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2" w15:restartNumberingAfterBreak="0">
    <w:nsid w:val="6907777A"/>
    <w:multiLevelType w:val="hybridMultilevel"/>
    <w:tmpl w:val="0714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EC38BC"/>
    <w:multiLevelType w:val="multilevel"/>
    <w:tmpl w:val="7E7A9994"/>
    <w:lvl w:ilvl="0">
      <w:start w:val="2"/>
      <w:numFmt w:val="decimal"/>
      <w:lvlText w:val="%1."/>
      <w:lvlJc w:val="left"/>
      <w:pPr>
        <w:ind w:left="450" w:hanging="450"/>
      </w:pPr>
      <w:rPr>
        <w:rFonts w:ascii="Times New Roman" w:eastAsiaTheme="minorHAnsi" w:hAnsi="Times New Roman" w:cs="Times New Roman" w:hint="default"/>
        <w:sz w:val="28"/>
        <w:szCs w:val="28"/>
      </w:rPr>
    </w:lvl>
    <w:lvl w:ilvl="1">
      <w:start w:val="1"/>
      <w:numFmt w:val="decimal"/>
      <w:lvlText w:val="%1.%2."/>
      <w:lvlJc w:val="left"/>
      <w:pPr>
        <w:ind w:left="862"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4" w15:restartNumberingAfterBreak="0">
    <w:nsid w:val="73D32B0C"/>
    <w:multiLevelType w:val="hybridMultilevel"/>
    <w:tmpl w:val="37924AAC"/>
    <w:lvl w:ilvl="0" w:tplc="84620ACA">
      <w:start w:val="1"/>
      <w:numFmt w:val="decimal"/>
      <w:lvlText w:val="%1."/>
      <w:lvlJc w:val="left"/>
      <w:pPr>
        <w:ind w:left="11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B413514"/>
    <w:multiLevelType w:val="multilevel"/>
    <w:tmpl w:val="AAF8641C"/>
    <w:lvl w:ilvl="0">
      <w:start w:val="1"/>
      <w:numFmt w:val="decimal"/>
      <w:lvlText w:val="%1."/>
      <w:lvlJc w:val="left"/>
      <w:pPr>
        <w:ind w:left="720" w:hanging="360"/>
      </w:pPr>
      <w:rPr>
        <w:rFonts w:ascii="Times New Roman" w:hAnsi="Times New Roman" w:cs="Arial" w:hint="default"/>
        <w:b/>
        <w:color w:val="3F4A52"/>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6"/>
  </w:num>
  <w:num w:numId="7">
    <w:abstractNumId w:val="5"/>
  </w:num>
  <w:num w:numId="8">
    <w:abstractNumId w:val="10"/>
  </w:num>
  <w:num w:numId="9">
    <w:abstractNumId w:val="12"/>
  </w:num>
  <w:num w:numId="10">
    <w:abstractNumId w:val="0"/>
  </w:num>
  <w:num w:numId="11">
    <w:abstractNumId w:val="2"/>
  </w:num>
  <w:num w:numId="12">
    <w:abstractNumId w:val="1"/>
  </w:num>
  <w:num w:numId="13">
    <w:abstractNumId w:val="8"/>
  </w:num>
  <w:num w:numId="14">
    <w:abstractNumId w:val="13"/>
  </w:num>
  <w:num w:numId="15">
    <w:abstractNumId w:val="11"/>
  </w:num>
  <w:num w:numId="16">
    <w:abstractNumId w:val="7"/>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958"/>
    <w:rsid w:val="00035602"/>
    <w:rsid w:val="00042DD8"/>
    <w:rsid w:val="00061EF1"/>
    <w:rsid w:val="00064B6B"/>
    <w:rsid w:val="00077A44"/>
    <w:rsid w:val="00096B33"/>
    <w:rsid w:val="000971B5"/>
    <w:rsid w:val="000C3DE3"/>
    <w:rsid w:val="000C507A"/>
    <w:rsid w:val="000D7ECA"/>
    <w:rsid w:val="000E32CD"/>
    <w:rsid w:val="000F2D28"/>
    <w:rsid w:val="000F3219"/>
    <w:rsid w:val="001137EC"/>
    <w:rsid w:val="00125FFB"/>
    <w:rsid w:val="001806B4"/>
    <w:rsid w:val="00185DF5"/>
    <w:rsid w:val="001964FA"/>
    <w:rsid w:val="00197383"/>
    <w:rsid w:val="001A7A28"/>
    <w:rsid w:val="001D23A1"/>
    <w:rsid w:val="001E7396"/>
    <w:rsid w:val="00221038"/>
    <w:rsid w:val="002249C3"/>
    <w:rsid w:val="002256A1"/>
    <w:rsid w:val="00244B47"/>
    <w:rsid w:val="00246F53"/>
    <w:rsid w:val="002630C0"/>
    <w:rsid w:val="002639B0"/>
    <w:rsid w:val="002657C7"/>
    <w:rsid w:val="00266767"/>
    <w:rsid w:val="002670D8"/>
    <w:rsid w:val="0028021B"/>
    <w:rsid w:val="00285DF8"/>
    <w:rsid w:val="002A0ECB"/>
    <w:rsid w:val="002A5358"/>
    <w:rsid w:val="002C4FD7"/>
    <w:rsid w:val="002C5904"/>
    <w:rsid w:val="002C7D40"/>
    <w:rsid w:val="002E7280"/>
    <w:rsid w:val="00307DA9"/>
    <w:rsid w:val="00323854"/>
    <w:rsid w:val="00327479"/>
    <w:rsid w:val="00331CC2"/>
    <w:rsid w:val="003406EC"/>
    <w:rsid w:val="00340F12"/>
    <w:rsid w:val="00350F39"/>
    <w:rsid w:val="00352157"/>
    <w:rsid w:val="003625DB"/>
    <w:rsid w:val="00367A1A"/>
    <w:rsid w:val="00373160"/>
    <w:rsid w:val="00384ABD"/>
    <w:rsid w:val="0039183C"/>
    <w:rsid w:val="003925F4"/>
    <w:rsid w:val="003A3A7C"/>
    <w:rsid w:val="003C0813"/>
    <w:rsid w:val="003D17A2"/>
    <w:rsid w:val="003D6EDA"/>
    <w:rsid w:val="003E3D0A"/>
    <w:rsid w:val="0041549E"/>
    <w:rsid w:val="00423BF0"/>
    <w:rsid w:val="00434548"/>
    <w:rsid w:val="00454E52"/>
    <w:rsid w:val="00457170"/>
    <w:rsid w:val="00463E85"/>
    <w:rsid w:val="00463F43"/>
    <w:rsid w:val="0047424E"/>
    <w:rsid w:val="004821EC"/>
    <w:rsid w:val="00496C91"/>
    <w:rsid w:val="004A5CFB"/>
    <w:rsid w:val="004B20CD"/>
    <w:rsid w:val="004C27FA"/>
    <w:rsid w:val="004C5A80"/>
    <w:rsid w:val="004D193B"/>
    <w:rsid w:val="004F237D"/>
    <w:rsid w:val="004F6AA1"/>
    <w:rsid w:val="004F763F"/>
    <w:rsid w:val="005002CC"/>
    <w:rsid w:val="00500CDC"/>
    <w:rsid w:val="00501C4C"/>
    <w:rsid w:val="00537723"/>
    <w:rsid w:val="00542190"/>
    <w:rsid w:val="0055074D"/>
    <w:rsid w:val="005509BB"/>
    <w:rsid w:val="00554A1D"/>
    <w:rsid w:val="00576958"/>
    <w:rsid w:val="00576D4A"/>
    <w:rsid w:val="00592210"/>
    <w:rsid w:val="005934DC"/>
    <w:rsid w:val="005A075F"/>
    <w:rsid w:val="005A7417"/>
    <w:rsid w:val="005D1776"/>
    <w:rsid w:val="005E027D"/>
    <w:rsid w:val="005F2C3F"/>
    <w:rsid w:val="0063347B"/>
    <w:rsid w:val="00651B68"/>
    <w:rsid w:val="006569E7"/>
    <w:rsid w:val="00671B2B"/>
    <w:rsid w:val="00694307"/>
    <w:rsid w:val="00695396"/>
    <w:rsid w:val="00695BDB"/>
    <w:rsid w:val="006A47CC"/>
    <w:rsid w:val="006C50D9"/>
    <w:rsid w:val="006D5085"/>
    <w:rsid w:val="006D6B1B"/>
    <w:rsid w:val="00707266"/>
    <w:rsid w:val="00721CD0"/>
    <w:rsid w:val="00731370"/>
    <w:rsid w:val="007434DE"/>
    <w:rsid w:val="00751E49"/>
    <w:rsid w:val="0075587F"/>
    <w:rsid w:val="00766761"/>
    <w:rsid w:val="007714F1"/>
    <w:rsid w:val="00771923"/>
    <w:rsid w:val="0079396A"/>
    <w:rsid w:val="007A2E98"/>
    <w:rsid w:val="007A3A35"/>
    <w:rsid w:val="007B5D78"/>
    <w:rsid w:val="007B620F"/>
    <w:rsid w:val="007F6C8D"/>
    <w:rsid w:val="008030E6"/>
    <w:rsid w:val="0080549C"/>
    <w:rsid w:val="00820A51"/>
    <w:rsid w:val="00835129"/>
    <w:rsid w:val="00862E50"/>
    <w:rsid w:val="00881F1E"/>
    <w:rsid w:val="00890119"/>
    <w:rsid w:val="008918BA"/>
    <w:rsid w:val="008A4EEA"/>
    <w:rsid w:val="008C18D0"/>
    <w:rsid w:val="008C57C1"/>
    <w:rsid w:val="008E2204"/>
    <w:rsid w:val="0090662F"/>
    <w:rsid w:val="00906BA0"/>
    <w:rsid w:val="00906F41"/>
    <w:rsid w:val="00914C0D"/>
    <w:rsid w:val="00945B6D"/>
    <w:rsid w:val="009855B1"/>
    <w:rsid w:val="00992944"/>
    <w:rsid w:val="00993E24"/>
    <w:rsid w:val="00995F08"/>
    <w:rsid w:val="00997B43"/>
    <w:rsid w:val="009B2AEC"/>
    <w:rsid w:val="009C05D2"/>
    <w:rsid w:val="009C5F35"/>
    <w:rsid w:val="009D61FB"/>
    <w:rsid w:val="009E454A"/>
    <w:rsid w:val="009F7046"/>
    <w:rsid w:val="00A205FF"/>
    <w:rsid w:val="00A30E71"/>
    <w:rsid w:val="00A33D44"/>
    <w:rsid w:val="00A63252"/>
    <w:rsid w:val="00A65886"/>
    <w:rsid w:val="00A733F7"/>
    <w:rsid w:val="00A76DB7"/>
    <w:rsid w:val="00A90D05"/>
    <w:rsid w:val="00AB029E"/>
    <w:rsid w:val="00AC0CE7"/>
    <w:rsid w:val="00AC249C"/>
    <w:rsid w:val="00AC3017"/>
    <w:rsid w:val="00AD0AF4"/>
    <w:rsid w:val="00AD104D"/>
    <w:rsid w:val="00AD14F6"/>
    <w:rsid w:val="00AD37BF"/>
    <w:rsid w:val="00AE0A54"/>
    <w:rsid w:val="00AE3051"/>
    <w:rsid w:val="00AF0861"/>
    <w:rsid w:val="00AF7AF7"/>
    <w:rsid w:val="00B000E3"/>
    <w:rsid w:val="00B11D23"/>
    <w:rsid w:val="00B27475"/>
    <w:rsid w:val="00B30FCA"/>
    <w:rsid w:val="00B36645"/>
    <w:rsid w:val="00B47480"/>
    <w:rsid w:val="00B50465"/>
    <w:rsid w:val="00B85187"/>
    <w:rsid w:val="00BA04AB"/>
    <w:rsid w:val="00BA1C12"/>
    <w:rsid w:val="00BB26A9"/>
    <w:rsid w:val="00BB4B5B"/>
    <w:rsid w:val="00BC12D5"/>
    <w:rsid w:val="00BC2425"/>
    <w:rsid w:val="00BC2541"/>
    <w:rsid w:val="00BE3722"/>
    <w:rsid w:val="00C01CE7"/>
    <w:rsid w:val="00C07656"/>
    <w:rsid w:val="00C07760"/>
    <w:rsid w:val="00C165CF"/>
    <w:rsid w:val="00C2104A"/>
    <w:rsid w:val="00C21687"/>
    <w:rsid w:val="00C2181B"/>
    <w:rsid w:val="00C25B3B"/>
    <w:rsid w:val="00C271FF"/>
    <w:rsid w:val="00C367B5"/>
    <w:rsid w:val="00C454EA"/>
    <w:rsid w:val="00C541ED"/>
    <w:rsid w:val="00C772CC"/>
    <w:rsid w:val="00C8638C"/>
    <w:rsid w:val="00CA1E09"/>
    <w:rsid w:val="00CA5C66"/>
    <w:rsid w:val="00CD6170"/>
    <w:rsid w:val="00CE0F42"/>
    <w:rsid w:val="00CF3E6B"/>
    <w:rsid w:val="00D21E28"/>
    <w:rsid w:val="00D226AF"/>
    <w:rsid w:val="00D24611"/>
    <w:rsid w:val="00D34C7F"/>
    <w:rsid w:val="00D50C25"/>
    <w:rsid w:val="00D57037"/>
    <w:rsid w:val="00D65CF3"/>
    <w:rsid w:val="00D70E07"/>
    <w:rsid w:val="00DA1B6F"/>
    <w:rsid w:val="00DB1ADE"/>
    <w:rsid w:val="00DC1788"/>
    <w:rsid w:val="00DE42BD"/>
    <w:rsid w:val="00E00F55"/>
    <w:rsid w:val="00E0154F"/>
    <w:rsid w:val="00E02418"/>
    <w:rsid w:val="00E04760"/>
    <w:rsid w:val="00E1362B"/>
    <w:rsid w:val="00E222DA"/>
    <w:rsid w:val="00E30472"/>
    <w:rsid w:val="00E56339"/>
    <w:rsid w:val="00E6121C"/>
    <w:rsid w:val="00E6743E"/>
    <w:rsid w:val="00E70F55"/>
    <w:rsid w:val="00E94A30"/>
    <w:rsid w:val="00E972D2"/>
    <w:rsid w:val="00EC0316"/>
    <w:rsid w:val="00EC2020"/>
    <w:rsid w:val="00ED0690"/>
    <w:rsid w:val="00ED76C4"/>
    <w:rsid w:val="00EE4734"/>
    <w:rsid w:val="00EF0310"/>
    <w:rsid w:val="00F03CEF"/>
    <w:rsid w:val="00F05287"/>
    <w:rsid w:val="00F2250E"/>
    <w:rsid w:val="00F2524A"/>
    <w:rsid w:val="00F2779B"/>
    <w:rsid w:val="00F329B7"/>
    <w:rsid w:val="00F33C8F"/>
    <w:rsid w:val="00F36FB3"/>
    <w:rsid w:val="00F44E24"/>
    <w:rsid w:val="00F63DA1"/>
    <w:rsid w:val="00F70772"/>
    <w:rsid w:val="00F72590"/>
    <w:rsid w:val="00F800A1"/>
    <w:rsid w:val="00FA45A8"/>
    <w:rsid w:val="00FA75B2"/>
    <w:rsid w:val="00FC6E15"/>
    <w:rsid w:val="00FC7D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A5F6C"/>
  <w15:chartTrackingRefBased/>
  <w15:docId w15:val="{70C0A64D-4C18-430A-8C8F-B484308D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769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958"/>
    <w:pPr>
      <w:spacing w:after="0" w:line="240" w:lineRule="auto"/>
      <w:jc w:val="center"/>
    </w:pPr>
    <w:rPr>
      <w:rFonts w:ascii="Times New Roman" w:eastAsia="Times New Roman" w:hAnsi="Times New Roman" w:cs="Times New Roman"/>
      <w:sz w:val="28"/>
      <w:szCs w:val="28"/>
      <w:lang w:eastAsia="lv-LV"/>
    </w:rPr>
  </w:style>
  <w:style w:type="character" w:customStyle="1" w:styleId="TitleChar">
    <w:name w:val="Title Char"/>
    <w:basedOn w:val="DefaultParagraphFont"/>
    <w:link w:val="Title"/>
    <w:rsid w:val="00576958"/>
    <w:rPr>
      <w:rFonts w:ascii="Times New Roman" w:eastAsia="Times New Roman" w:hAnsi="Times New Roman" w:cs="Times New Roman"/>
      <w:sz w:val="28"/>
      <w:szCs w:val="28"/>
      <w:lang w:eastAsia="lv-LV"/>
    </w:rPr>
  </w:style>
  <w:style w:type="character" w:customStyle="1" w:styleId="Heading1Char">
    <w:name w:val="Heading 1 Char"/>
    <w:basedOn w:val="DefaultParagraphFont"/>
    <w:link w:val="Heading1"/>
    <w:uiPriority w:val="9"/>
    <w:rsid w:val="00576958"/>
    <w:rPr>
      <w:rFonts w:ascii="Times New Roman" w:eastAsia="Times New Roman" w:hAnsi="Times New Roman" w:cs="Times New Roman"/>
      <w:b/>
      <w:bCs/>
      <w:kern w:val="36"/>
      <w:sz w:val="48"/>
      <w:szCs w:val="48"/>
      <w:lang w:eastAsia="lv-LV"/>
    </w:rPr>
  </w:style>
  <w:style w:type="paragraph" w:styleId="FootnoteText">
    <w:name w:val="footnote text"/>
    <w:basedOn w:val="Normal"/>
    <w:link w:val="FootnoteTextChar"/>
    <w:uiPriority w:val="99"/>
    <w:semiHidden/>
    <w:unhideWhenUsed/>
    <w:rsid w:val="005769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958"/>
    <w:rPr>
      <w:sz w:val="20"/>
      <w:szCs w:val="20"/>
    </w:rPr>
  </w:style>
  <w:style w:type="character" w:styleId="FootnoteReference">
    <w:name w:val="footnote reference"/>
    <w:basedOn w:val="DefaultParagraphFont"/>
    <w:uiPriority w:val="99"/>
    <w:semiHidden/>
    <w:unhideWhenUsed/>
    <w:rsid w:val="00576958"/>
    <w:rPr>
      <w:vertAlign w:val="superscript"/>
    </w:rPr>
  </w:style>
  <w:style w:type="character" w:styleId="Strong">
    <w:name w:val="Strong"/>
    <w:basedOn w:val="DefaultParagraphFont"/>
    <w:uiPriority w:val="22"/>
    <w:qFormat/>
    <w:rsid w:val="00576958"/>
    <w:rPr>
      <w:b/>
      <w:bCs/>
    </w:rPr>
  </w:style>
  <w:style w:type="character" w:styleId="Hyperlink">
    <w:name w:val="Hyperlink"/>
    <w:basedOn w:val="DefaultParagraphFont"/>
    <w:unhideWhenUsed/>
    <w:rsid w:val="00F03CEF"/>
    <w:rPr>
      <w:color w:val="0563C1" w:themeColor="hyperlink"/>
      <w:u w:val="single"/>
    </w:rPr>
  </w:style>
  <w:style w:type="character" w:customStyle="1" w:styleId="UnresolvedMention1">
    <w:name w:val="Unresolved Mention1"/>
    <w:basedOn w:val="DefaultParagraphFont"/>
    <w:uiPriority w:val="99"/>
    <w:semiHidden/>
    <w:unhideWhenUsed/>
    <w:rsid w:val="00F03CEF"/>
    <w:rPr>
      <w:color w:val="605E5C"/>
      <w:shd w:val="clear" w:color="auto" w:fill="E1DFDD"/>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7B5D78"/>
    <w:pPr>
      <w:ind w:left="720"/>
      <w:contextualSpacing/>
    </w:pPr>
  </w:style>
  <w:style w:type="paragraph" w:styleId="NormalWeb">
    <w:name w:val="Normal (Web)"/>
    <w:basedOn w:val="Normal"/>
    <w:uiPriority w:val="99"/>
    <w:unhideWhenUsed/>
    <w:rsid w:val="003625D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D61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6170"/>
  </w:style>
  <w:style w:type="paragraph" w:styleId="Footer">
    <w:name w:val="footer"/>
    <w:basedOn w:val="Normal"/>
    <w:link w:val="FooterChar"/>
    <w:uiPriority w:val="99"/>
    <w:unhideWhenUsed/>
    <w:rsid w:val="00CD61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6170"/>
  </w:style>
  <w:style w:type="character" w:styleId="CommentReference">
    <w:name w:val="annotation reference"/>
    <w:basedOn w:val="DefaultParagraphFont"/>
    <w:uiPriority w:val="99"/>
    <w:semiHidden/>
    <w:unhideWhenUsed/>
    <w:rsid w:val="00C541ED"/>
    <w:rPr>
      <w:sz w:val="16"/>
      <w:szCs w:val="16"/>
    </w:rPr>
  </w:style>
  <w:style w:type="paragraph" w:styleId="CommentText">
    <w:name w:val="annotation text"/>
    <w:basedOn w:val="Normal"/>
    <w:link w:val="CommentTextChar"/>
    <w:uiPriority w:val="99"/>
    <w:semiHidden/>
    <w:unhideWhenUsed/>
    <w:rsid w:val="00C541ED"/>
    <w:pPr>
      <w:spacing w:line="240" w:lineRule="auto"/>
    </w:pPr>
    <w:rPr>
      <w:sz w:val="20"/>
      <w:szCs w:val="20"/>
    </w:rPr>
  </w:style>
  <w:style w:type="character" w:customStyle="1" w:styleId="CommentTextChar">
    <w:name w:val="Comment Text Char"/>
    <w:basedOn w:val="DefaultParagraphFont"/>
    <w:link w:val="CommentText"/>
    <w:uiPriority w:val="99"/>
    <w:semiHidden/>
    <w:rsid w:val="00C541ED"/>
    <w:rPr>
      <w:sz w:val="20"/>
      <w:szCs w:val="20"/>
    </w:rPr>
  </w:style>
  <w:style w:type="paragraph" w:styleId="CommentSubject">
    <w:name w:val="annotation subject"/>
    <w:basedOn w:val="CommentText"/>
    <w:next w:val="CommentText"/>
    <w:link w:val="CommentSubjectChar"/>
    <w:uiPriority w:val="99"/>
    <w:semiHidden/>
    <w:unhideWhenUsed/>
    <w:rsid w:val="00C541ED"/>
    <w:rPr>
      <w:b/>
      <w:bCs/>
    </w:rPr>
  </w:style>
  <w:style w:type="character" w:customStyle="1" w:styleId="CommentSubjectChar">
    <w:name w:val="Comment Subject Char"/>
    <w:basedOn w:val="CommentTextChar"/>
    <w:link w:val="CommentSubject"/>
    <w:uiPriority w:val="99"/>
    <w:semiHidden/>
    <w:rsid w:val="00C541ED"/>
    <w:rPr>
      <w:b/>
      <w:bCs/>
      <w:sz w:val="20"/>
      <w:szCs w:val="20"/>
    </w:rPr>
  </w:style>
  <w:style w:type="paragraph" w:styleId="BalloonText">
    <w:name w:val="Balloon Text"/>
    <w:basedOn w:val="Normal"/>
    <w:link w:val="BalloonTextChar"/>
    <w:uiPriority w:val="99"/>
    <w:semiHidden/>
    <w:unhideWhenUsed/>
    <w:rsid w:val="00C54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1ED"/>
    <w:rPr>
      <w:rFonts w:ascii="Segoe UI" w:hAnsi="Segoe UI" w:cs="Segoe UI"/>
      <w:sz w:val="18"/>
      <w:szCs w:val="18"/>
    </w:rPr>
  </w:style>
  <w:style w:type="character" w:customStyle="1" w:styleId="Nessuno">
    <w:name w:val="Nessuno"/>
    <w:rsid w:val="00C454EA"/>
    <w:rPr>
      <w:lang w:val="lv-LV"/>
    </w:rPr>
  </w:style>
  <w:style w:type="character" w:customStyle="1" w:styleId="Marker1">
    <w:name w:val="Marker1"/>
    <w:basedOn w:val="DefaultParagraphFont"/>
    <w:rsid w:val="00C454EA"/>
    <w:rPr>
      <w:color w:val="008000"/>
      <w:shd w:val="clear" w:color="auto" w:fill="auto"/>
    </w:rPr>
  </w:style>
  <w:style w:type="paragraph" w:customStyle="1" w:styleId="Titrearticle">
    <w:name w:val="Titre article"/>
    <w:basedOn w:val="Normal"/>
    <w:next w:val="Normal"/>
    <w:rsid w:val="00C454EA"/>
    <w:pPr>
      <w:keepNext/>
      <w:spacing w:before="360" w:after="120" w:line="240" w:lineRule="auto"/>
      <w:jc w:val="center"/>
    </w:pPr>
    <w:rPr>
      <w:rFonts w:ascii="Times New Roman" w:hAnsi="Times New Roman" w:cs="Times New Roman"/>
      <w:i/>
      <w:sz w:val="24"/>
      <w:lang w:eastAsia="lv-LV" w:bidi="lv-LV"/>
    </w:rPr>
  </w:style>
  <w:style w:type="paragraph" w:customStyle="1" w:styleId="Point0number">
    <w:name w:val="Point 0 (number)"/>
    <w:basedOn w:val="Normal"/>
    <w:rsid w:val="00C454EA"/>
    <w:pPr>
      <w:numPr>
        <w:numId w:val="3"/>
      </w:numPr>
      <w:spacing w:before="120" w:after="120" w:line="240" w:lineRule="auto"/>
      <w:jc w:val="both"/>
    </w:pPr>
    <w:rPr>
      <w:rFonts w:ascii="Times New Roman" w:hAnsi="Times New Roman" w:cs="Times New Roman"/>
      <w:sz w:val="24"/>
      <w:lang w:eastAsia="lv-LV" w:bidi="lv-LV"/>
    </w:rPr>
  </w:style>
  <w:style w:type="paragraph" w:customStyle="1" w:styleId="Point1number">
    <w:name w:val="Point 1 (number)"/>
    <w:basedOn w:val="Normal"/>
    <w:rsid w:val="00C454EA"/>
    <w:pPr>
      <w:numPr>
        <w:ilvl w:val="2"/>
        <w:numId w:val="3"/>
      </w:numPr>
      <w:spacing w:before="120" w:after="120" w:line="240" w:lineRule="auto"/>
      <w:jc w:val="both"/>
    </w:pPr>
    <w:rPr>
      <w:rFonts w:ascii="Times New Roman" w:hAnsi="Times New Roman" w:cs="Times New Roman"/>
      <w:sz w:val="24"/>
      <w:lang w:eastAsia="lv-LV" w:bidi="lv-LV"/>
    </w:rPr>
  </w:style>
  <w:style w:type="paragraph" w:customStyle="1" w:styleId="Point2number">
    <w:name w:val="Point 2 (number)"/>
    <w:basedOn w:val="Normal"/>
    <w:rsid w:val="00C454EA"/>
    <w:pPr>
      <w:numPr>
        <w:ilvl w:val="4"/>
        <w:numId w:val="3"/>
      </w:numPr>
      <w:spacing w:before="120" w:after="120" w:line="240" w:lineRule="auto"/>
      <w:jc w:val="both"/>
    </w:pPr>
    <w:rPr>
      <w:rFonts w:ascii="Times New Roman" w:hAnsi="Times New Roman" w:cs="Times New Roman"/>
      <w:sz w:val="24"/>
      <w:lang w:eastAsia="lv-LV" w:bidi="lv-LV"/>
    </w:rPr>
  </w:style>
  <w:style w:type="paragraph" w:customStyle="1" w:styleId="Point3number">
    <w:name w:val="Point 3 (number)"/>
    <w:basedOn w:val="Normal"/>
    <w:rsid w:val="00C454EA"/>
    <w:pPr>
      <w:numPr>
        <w:ilvl w:val="6"/>
        <w:numId w:val="3"/>
      </w:numPr>
      <w:spacing w:before="120" w:after="120" w:line="240" w:lineRule="auto"/>
      <w:jc w:val="both"/>
    </w:pPr>
    <w:rPr>
      <w:rFonts w:ascii="Times New Roman" w:hAnsi="Times New Roman" w:cs="Times New Roman"/>
      <w:sz w:val="24"/>
      <w:lang w:eastAsia="lv-LV" w:bidi="lv-LV"/>
    </w:rPr>
  </w:style>
  <w:style w:type="paragraph" w:customStyle="1" w:styleId="Point0letter">
    <w:name w:val="Point 0 (letter)"/>
    <w:basedOn w:val="Normal"/>
    <w:rsid w:val="00C454EA"/>
    <w:pPr>
      <w:numPr>
        <w:ilvl w:val="1"/>
        <w:numId w:val="3"/>
      </w:numPr>
      <w:spacing w:before="120" w:after="120" w:line="240" w:lineRule="auto"/>
      <w:jc w:val="both"/>
    </w:pPr>
    <w:rPr>
      <w:rFonts w:ascii="Times New Roman" w:hAnsi="Times New Roman" w:cs="Times New Roman"/>
      <w:sz w:val="24"/>
      <w:lang w:eastAsia="lv-LV" w:bidi="lv-LV"/>
    </w:rPr>
  </w:style>
  <w:style w:type="paragraph" w:customStyle="1" w:styleId="Point1letter">
    <w:name w:val="Point 1 (letter)"/>
    <w:basedOn w:val="Normal"/>
    <w:rsid w:val="00C454EA"/>
    <w:pPr>
      <w:numPr>
        <w:ilvl w:val="3"/>
        <w:numId w:val="3"/>
      </w:numPr>
      <w:spacing w:before="120" w:after="120" w:line="240" w:lineRule="auto"/>
      <w:jc w:val="both"/>
    </w:pPr>
    <w:rPr>
      <w:rFonts w:ascii="Times New Roman" w:hAnsi="Times New Roman" w:cs="Times New Roman"/>
      <w:sz w:val="24"/>
      <w:lang w:eastAsia="lv-LV" w:bidi="lv-LV"/>
    </w:rPr>
  </w:style>
  <w:style w:type="paragraph" w:customStyle="1" w:styleId="Point2letter">
    <w:name w:val="Point 2 (letter)"/>
    <w:basedOn w:val="Normal"/>
    <w:rsid w:val="00C454EA"/>
    <w:pPr>
      <w:numPr>
        <w:ilvl w:val="5"/>
        <w:numId w:val="3"/>
      </w:numPr>
      <w:spacing w:before="120" w:after="120" w:line="240" w:lineRule="auto"/>
      <w:jc w:val="both"/>
    </w:pPr>
    <w:rPr>
      <w:rFonts w:ascii="Times New Roman" w:hAnsi="Times New Roman" w:cs="Times New Roman"/>
      <w:sz w:val="24"/>
      <w:lang w:eastAsia="lv-LV" w:bidi="lv-LV"/>
    </w:rPr>
  </w:style>
  <w:style w:type="paragraph" w:customStyle="1" w:styleId="Point3letter">
    <w:name w:val="Point 3 (letter)"/>
    <w:basedOn w:val="Normal"/>
    <w:rsid w:val="00C454EA"/>
    <w:pPr>
      <w:numPr>
        <w:ilvl w:val="7"/>
        <w:numId w:val="3"/>
      </w:numPr>
      <w:spacing w:before="120" w:after="120" w:line="240" w:lineRule="auto"/>
      <w:jc w:val="both"/>
    </w:pPr>
    <w:rPr>
      <w:rFonts w:ascii="Times New Roman" w:hAnsi="Times New Roman" w:cs="Times New Roman"/>
      <w:sz w:val="24"/>
      <w:lang w:eastAsia="lv-LV" w:bidi="lv-LV"/>
    </w:rPr>
  </w:style>
  <w:style w:type="paragraph" w:customStyle="1" w:styleId="Point4letter">
    <w:name w:val="Point 4 (letter)"/>
    <w:basedOn w:val="Normal"/>
    <w:rsid w:val="00C454EA"/>
    <w:pPr>
      <w:numPr>
        <w:ilvl w:val="8"/>
        <w:numId w:val="3"/>
      </w:numPr>
      <w:spacing w:before="120" w:after="120" w:line="240" w:lineRule="auto"/>
      <w:jc w:val="both"/>
    </w:pPr>
    <w:rPr>
      <w:rFonts w:ascii="Times New Roman" w:hAnsi="Times New Roman" w:cs="Times New Roman"/>
      <w:sz w:val="24"/>
      <w:lang w:eastAsia="lv-LV" w:bidi="lv-LV"/>
    </w:rPr>
  </w:style>
  <w:style w:type="paragraph" w:customStyle="1" w:styleId="ManualConsidrant">
    <w:name w:val="Manual Considérant"/>
    <w:basedOn w:val="Normal"/>
    <w:rsid w:val="00C454EA"/>
    <w:pPr>
      <w:spacing w:before="120" w:after="120" w:line="240" w:lineRule="auto"/>
      <w:ind w:left="709" w:hanging="709"/>
      <w:jc w:val="both"/>
    </w:pPr>
    <w:rPr>
      <w:rFonts w:ascii="Times New Roman" w:hAnsi="Times New Roman" w:cs="Times New Roman"/>
      <w:sz w:val="24"/>
      <w:lang w:eastAsia="lv-LV" w:bidi="lv-LV"/>
    </w:rPr>
  </w:style>
  <w:style w:type="paragraph" w:customStyle="1" w:styleId="naisf">
    <w:name w:val="naisf"/>
    <w:basedOn w:val="Normal"/>
    <w:rsid w:val="00E1362B"/>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character" w:styleId="FollowedHyperlink">
    <w:name w:val="FollowedHyperlink"/>
    <w:uiPriority w:val="99"/>
    <w:semiHidden/>
    <w:unhideWhenUsed/>
    <w:rsid w:val="00E1362B"/>
    <w:rPr>
      <w:color w:val="954F72"/>
      <w:u w:val="single"/>
    </w:rPr>
  </w:style>
  <w:style w:type="paragraph" w:styleId="Revision">
    <w:name w:val="Revision"/>
    <w:hidden/>
    <w:uiPriority w:val="99"/>
    <w:semiHidden/>
    <w:rsid w:val="00E1362B"/>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373160"/>
  </w:style>
  <w:style w:type="paragraph" w:customStyle="1" w:styleId="naiskr">
    <w:name w:val="naiskr"/>
    <w:basedOn w:val="Normal"/>
    <w:rsid w:val="00266767"/>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st">
    <w:name w:val="st"/>
    <w:basedOn w:val="DefaultParagraphFont"/>
    <w:rsid w:val="005E027D"/>
  </w:style>
  <w:style w:type="character" w:styleId="Emphasis">
    <w:name w:val="Emphasis"/>
    <w:basedOn w:val="DefaultParagraphFont"/>
    <w:uiPriority w:val="20"/>
    <w:qFormat/>
    <w:rsid w:val="005E027D"/>
    <w:rPr>
      <w:i/>
      <w:iCs/>
    </w:rPr>
  </w:style>
  <w:style w:type="paragraph" w:customStyle="1" w:styleId="Corpo">
    <w:name w:val="Corpo"/>
    <w:rsid w:val="00FC7D3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lv-LV" w:bidi="lv-LV"/>
    </w:rPr>
  </w:style>
  <w:style w:type="paragraph" w:customStyle="1" w:styleId="ManualNumPar1">
    <w:name w:val="Manual NumPar 1"/>
    <w:basedOn w:val="Normal"/>
    <w:next w:val="Normal"/>
    <w:rsid w:val="0079396A"/>
    <w:pPr>
      <w:spacing w:before="120" w:after="120" w:line="240" w:lineRule="auto"/>
      <w:ind w:left="850" w:hanging="850"/>
      <w:jc w:val="both"/>
    </w:pPr>
    <w:rPr>
      <w:rFonts w:ascii="Times New Roman" w:hAnsi="Times New Roman" w:cs="Times New Roman"/>
      <w:sz w:val="24"/>
      <w:lang w:eastAsia="lv-LV" w:bidi="lv-LV"/>
    </w:rPr>
  </w:style>
  <w:style w:type="character" w:customStyle="1" w:styleId="UnresolvedMention2">
    <w:name w:val="Unresolved Mention2"/>
    <w:basedOn w:val="DefaultParagraphFont"/>
    <w:uiPriority w:val="99"/>
    <w:semiHidden/>
    <w:unhideWhenUsed/>
    <w:rsid w:val="00906BA0"/>
    <w:rPr>
      <w:color w:val="605E5C"/>
      <w:shd w:val="clear" w:color="auto" w:fill="E1DFDD"/>
    </w:rPr>
  </w:style>
  <w:style w:type="character" w:customStyle="1" w:styleId="UnresolvedMention3">
    <w:name w:val="Unresolved Mention3"/>
    <w:basedOn w:val="DefaultParagraphFont"/>
    <w:uiPriority w:val="99"/>
    <w:semiHidden/>
    <w:unhideWhenUsed/>
    <w:rsid w:val="00C07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9067">
      <w:bodyDiv w:val="1"/>
      <w:marLeft w:val="0"/>
      <w:marRight w:val="0"/>
      <w:marTop w:val="0"/>
      <w:marBottom w:val="0"/>
      <w:divBdr>
        <w:top w:val="none" w:sz="0" w:space="0" w:color="auto"/>
        <w:left w:val="none" w:sz="0" w:space="0" w:color="auto"/>
        <w:bottom w:val="none" w:sz="0" w:space="0" w:color="auto"/>
        <w:right w:val="none" w:sz="0" w:space="0" w:color="auto"/>
      </w:divBdr>
    </w:div>
    <w:div w:id="480000575">
      <w:bodyDiv w:val="1"/>
      <w:marLeft w:val="0"/>
      <w:marRight w:val="0"/>
      <w:marTop w:val="0"/>
      <w:marBottom w:val="0"/>
      <w:divBdr>
        <w:top w:val="none" w:sz="0" w:space="0" w:color="auto"/>
        <w:left w:val="none" w:sz="0" w:space="0" w:color="auto"/>
        <w:bottom w:val="none" w:sz="0" w:space="0" w:color="auto"/>
        <w:right w:val="none" w:sz="0" w:space="0" w:color="auto"/>
      </w:divBdr>
    </w:div>
    <w:div w:id="544105127">
      <w:bodyDiv w:val="1"/>
      <w:marLeft w:val="0"/>
      <w:marRight w:val="0"/>
      <w:marTop w:val="0"/>
      <w:marBottom w:val="0"/>
      <w:divBdr>
        <w:top w:val="none" w:sz="0" w:space="0" w:color="auto"/>
        <w:left w:val="none" w:sz="0" w:space="0" w:color="auto"/>
        <w:bottom w:val="none" w:sz="0" w:space="0" w:color="auto"/>
        <w:right w:val="none" w:sz="0" w:space="0" w:color="auto"/>
      </w:divBdr>
    </w:div>
    <w:div w:id="634066420">
      <w:bodyDiv w:val="1"/>
      <w:marLeft w:val="0"/>
      <w:marRight w:val="0"/>
      <w:marTop w:val="0"/>
      <w:marBottom w:val="0"/>
      <w:divBdr>
        <w:top w:val="none" w:sz="0" w:space="0" w:color="auto"/>
        <w:left w:val="none" w:sz="0" w:space="0" w:color="auto"/>
        <w:bottom w:val="none" w:sz="0" w:space="0" w:color="auto"/>
        <w:right w:val="none" w:sz="0" w:space="0" w:color="auto"/>
      </w:divBdr>
    </w:div>
    <w:div w:id="728457541">
      <w:bodyDiv w:val="1"/>
      <w:marLeft w:val="0"/>
      <w:marRight w:val="0"/>
      <w:marTop w:val="0"/>
      <w:marBottom w:val="0"/>
      <w:divBdr>
        <w:top w:val="none" w:sz="0" w:space="0" w:color="auto"/>
        <w:left w:val="none" w:sz="0" w:space="0" w:color="auto"/>
        <w:bottom w:val="none" w:sz="0" w:space="0" w:color="auto"/>
        <w:right w:val="none" w:sz="0" w:space="0" w:color="auto"/>
      </w:divBdr>
    </w:div>
    <w:div w:id="1122916137">
      <w:bodyDiv w:val="1"/>
      <w:marLeft w:val="0"/>
      <w:marRight w:val="0"/>
      <w:marTop w:val="0"/>
      <w:marBottom w:val="0"/>
      <w:divBdr>
        <w:top w:val="none" w:sz="0" w:space="0" w:color="auto"/>
        <w:left w:val="none" w:sz="0" w:space="0" w:color="auto"/>
        <w:bottom w:val="none" w:sz="0" w:space="0" w:color="auto"/>
        <w:right w:val="none" w:sz="0" w:space="0" w:color="auto"/>
      </w:divBdr>
    </w:div>
    <w:div w:id="1317996403">
      <w:bodyDiv w:val="1"/>
      <w:marLeft w:val="0"/>
      <w:marRight w:val="0"/>
      <w:marTop w:val="0"/>
      <w:marBottom w:val="0"/>
      <w:divBdr>
        <w:top w:val="none" w:sz="0" w:space="0" w:color="auto"/>
        <w:left w:val="none" w:sz="0" w:space="0" w:color="auto"/>
        <w:bottom w:val="none" w:sz="0" w:space="0" w:color="auto"/>
        <w:right w:val="none" w:sz="0" w:space="0" w:color="auto"/>
      </w:divBdr>
    </w:div>
    <w:div w:id="1362512687">
      <w:bodyDiv w:val="1"/>
      <w:marLeft w:val="0"/>
      <w:marRight w:val="0"/>
      <w:marTop w:val="0"/>
      <w:marBottom w:val="0"/>
      <w:divBdr>
        <w:top w:val="none" w:sz="0" w:space="0" w:color="auto"/>
        <w:left w:val="none" w:sz="0" w:space="0" w:color="auto"/>
        <w:bottom w:val="none" w:sz="0" w:space="0" w:color="auto"/>
        <w:right w:val="none" w:sz="0" w:space="0" w:color="auto"/>
      </w:divBdr>
    </w:div>
    <w:div w:id="1445995984">
      <w:bodyDiv w:val="1"/>
      <w:marLeft w:val="0"/>
      <w:marRight w:val="0"/>
      <w:marTop w:val="0"/>
      <w:marBottom w:val="0"/>
      <w:divBdr>
        <w:top w:val="none" w:sz="0" w:space="0" w:color="auto"/>
        <w:left w:val="none" w:sz="0" w:space="0" w:color="auto"/>
        <w:bottom w:val="none" w:sz="0" w:space="0" w:color="auto"/>
        <w:right w:val="none" w:sz="0" w:space="0" w:color="auto"/>
      </w:divBdr>
    </w:div>
    <w:div w:id="1597249275">
      <w:bodyDiv w:val="1"/>
      <w:marLeft w:val="0"/>
      <w:marRight w:val="0"/>
      <w:marTop w:val="0"/>
      <w:marBottom w:val="0"/>
      <w:divBdr>
        <w:top w:val="none" w:sz="0" w:space="0" w:color="auto"/>
        <w:left w:val="none" w:sz="0" w:space="0" w:color="auto"/>
        <w:bottom w:val="none" w:sz="0" w:space="0" w:color="auto"/>
        <w:right w:val="none" w:sz="0" w:space="0" w:color="auto"/>
      </w:divBdr>
    </w:div>
    <w:div w:id="1612130340">
      <w:bodyDiv w:val="1"/>
      <w:marLeft w:val="0"/>
      <w:marRight w:val="0"/>
      <w:marTop w:val="0"/>
      <w:marBottom w:val="0"/>
      <w:divBdr>
        <w:top w:val="none" w:sz="0" w:space="0" w:color="auto"/>
        <w:left w:val="none" w:sz="0" w:space="0" w:color="auto"/>
        <w:bottom w:val="none" w:sz="0" w:space="0" w:color="auto"/>
        <w:right w:val="none" w:sz="0" w:space="0" w:color="auto"/>
      </w:divBdr>
    </w:div>
    <w:div w:id="1618295297">
      <w:bodyDiv w:val="1"/>
      <w:marLeft w:val="0"/>
      <w:marRight w:val="0"/>
      <w:marTop w:val="0"/>
      <w:marBottom w:val="0"/>
      <w:divBdr>
        <w:top w:val="none" w:sz="0" w:space="0" w:color="auto"/>
        <w:left w:val="none" w:sz="0" w:space="0" w:color="auto"/>
        <w:bottom w:val="none" w:sz="0" w:space="0" w:color="auto"/>
        <w:right w:val="none" w:sz="0" w:space="0" w:color="auto"/>
      </w:divBdr>
    </w:div>
    <w:div w:id="1796286418">
      <w:bodyDiv w:val="1"/>
      <w:marLeft w:val="0"/>
      <w:marRight w:val="0"/>
      <w:marTop w:val="0"/>
      <w:marBottom w:val="0"/>
      <w:divBdr>
        <w:top w:val="none" w:sz="0" w:space="0" w:color="auto"/>
        <w:left w:val="none" w:sz="0" w:space="0" w:color="auto"/>
        <w:bottom w:val="none" w:sz="0" w:space="0" w:color="auto"/>
        <w:right w:val="none" w:sz="0" w:space="0" w:color="auto"/>
      </w:divBdr>
    </w:div>
    <w:div w:id="1926263173">
      <w:bodyDiv w:val="1"/>
      <w:marLeft w:val="0"/>
      <w:marRight w:val="0"/>
      <w:marTop w:val="0"/>
      <w:marBottom w:val="0"/>
      <w:divBdr>
        <w:top w:val="none" w:sz="0" w:space="0" w:color="auto"/>
        <w:left w:val="none" w:sz="0" w:space="0" w:color="auto"/>
        <w:bottom w:val="none" w:sz="0" w:space="0" w:color="auto"/>
        <w:right w:val="none" w:sz="0" w:space="0" w:color="auto"/>
      </w:divBdr>
    </w:div>
    <w:div w:id="2029259708">
      <w:bodyDiv w:val="1"/>
      <w:marLeft w:val="0"/>
      <w:marRight w:val="0"/>
      <w:marTop w:val="0"/>
      <w:marBottom w:val="0"/>
      <w:divBdr>
        <w:top w:val="none" w:sz="0" w:space="0" w:color="auto"/>
        <w:left w:val="none" w:sz="0" w:space="0" w:color="auto"/>
        <w:bottom w:val="none" w:sz="0" w:space="0" w:color="auto"/>
        <w:right w:val="none" w:sz="0" w:space="0" w:color="auto"/>
      </w:divBdr>
    </w:div>
    <w:div w:id="2078093036">
      <w:bodyDiv w:val="1"/>
      <w:marLeft w:val="0"/>
      <w:marRight w:val="0"/>
      <w:marTop w:val="0"/>
      <w:marBottom w:val="0"/>
      <w:divBdr>
        <w:top w:val="none" w:sz="0" w:space="0" w:color="auto"/>
        <w:left w:val="none" w:sz="0" w:space="0" w:color="auto"/>
        <w:bottom w:val="none" w:sz="0" w:space="0" w:color="auto"/>
        <w:right w:val="none" w:sz="0" w:space="0" w:color="auto"/>
      </w:divBdr>
    </w:div>
    <w:div w:id="21391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skraucs@var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varam.gov.lv/lat/lidzd/apspr/e_parvalde/" TargetMode="External"/><Relationship Id="rId2" Type="http://schemas.openxmlformats.org/officeDocument/2006/relationships/hyperlink" Target="https://eur-lex.europa.eu/legal-content/LV/TXT/?uri=COM:2018:434:FIN" TargetMode="External"/><Relationship Id="rId1" Type="http://schemas.openxmlformats.org/officeDocument/2006/relationships/hyperlink" Target="https://eur-lex.europa.eu"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08F99-8193-4C30-95BB-333188FF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9573</Words>
  <Characters>5457</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Skraučs</dc:creator>
  <cp:keywords/>
  <dc:description/>
  <cp:lastModifiedBy>Arnis Skraučs</cp:lastModifiedBy>
  <cp:revision>2</cp:revision>
  <dcterms:created xsi:type="dcterms:W3CDTF">2020-05-08T11:13:00Z</dcterms:created>
  <dcterms:modified xsi:type="dcterms:W3CDTF">2020-05-08T11:13:00Z</dcterms:modified>
</cp:coreProperties>
</file>