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B7" w:rsidRPr="002B4671" w:rsidRDefault="00D900B7" w:rsidP="00D900B7">
      <w:pPr>
        <w:pStyle w:val="Heading1"/>
        <w:rPr>
          <w:i/>
          <w:szCs w:val="28"/>
        </w:rPr>
      </w:pPr>
      <w:r w:rsidRPr="002B4671">
        <w:rPr>
          <w:i/>
          <w:szCs w:val="28"/>
        </w:rPr>
        <w:t>PROJEKTS</w:t>
      </w:r>
    </w:p>
    <w:p w:rsidR="00D900B7" w:rsidRPr="002B4671" w:rsidRDefault="00D900B7" w:rsidP="00D900B7">
      <w:pPr>
        <w:rPr>
          <w:i/>
        </w:rPr>
      </w:pPr>
    </w:p>
    <w:p w:rsidR="00D900B7" w:rsidRPr="00EF1ADD" w:rsidRDefault="00D900B7" w:rsidP="00D900B7">
      <w:pPr>
        <w:pStyle w:val="BodyText"/>
        <w:jc w:val="center"/>
        <w:rPr>
          <w:b w:val="0"/>
          <w:sz w:val="28"/>
          <w:szCs w:val="28"/>
        </w:rPr>
      </w:pPr>
      <w:r w:rsidRPr="00EF1ADD">
        <w:rPr>
          <w:b w:val="0"/>
          <w:sz w:val="28"/>
          <w:szCs w:val="28"/>
        </w:rPr>
        <w:t>LATVIJAS REPUBLIKAS MINISTRU KABINETS</w:t>
      </w:r>
    </w:p>
    <w:p w:rsidR="00D900B7" w:rsidRPr="00EF1ADD" w:rsidRDefault="00D900B7" w:rsidP="00D900B7">
      <w:pPr>
        <w:pStyle w:val="BodyText"/>
        <w:rPr>
          <w:b w:val="0"/>
          <w:sz w:val="28"/>
          <w:szCs w:val="28"/>
        </w:rPr>
      </w:pPr>
    </w:p>
    <w:p w:rsidR="00D900B7" w:rsidRPr="00EF1ADD" w:rsidRDefault="00B601F7" w:rsidP="00D900B7">
      <w:pPr>
        <w:pStyle w:val="BodyTex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2020</w:t>
      </w:r>
      <w:r w:rsidR="00D900B7" w:rsidRPr="00EF1ADD">
        <w:rPr>
          <w:b w:val="0"/>
          <w:sz w:val="28"/>
          <w:szCs w:val="28"/>
        </w:rPr>
        <w:t>.</w:t>
      </w:r>
      <w:r w:rsidR="00D900B7">
        <w:rPr>
          <w:b w:val="0"/>
          <w:sz w:val="28"/>
          <w:szCs w:val="28"/>
        </w:rPr>
        <w:t> </w:t>
      </w:r>
      <w:r w:rsidR="00D900B7" w:rsidRPr="00EF1ADD">
        <w:rPr>
          <w:b w:val="0"/>
          <w:sz w:val="28"/>
          <w:szCs w:val="28"/>
        </w:rPr>
        <w:t>gada</w:t>
      </w:r>
      <w:r w:rsidR="00D900B7" w:rsidRPr="00EF1ADD">
        <w:rPr>
          <w:b w:val="0"/>
          <w:sz w:val="28"/>
          <w:szCs w:val="28"/>
        </w:rPr>
        <w:tab/>
        <w:t>Noteikumi Nr. Rīgā</w:t>
      </w:r>
      <w:r w:rsidR="00D900B7" w:rsidRPr="00EF1ADD">
        <w:rPr>
          <w:b w:val="0"/>
          <w:sz w:val="28"/>
          <w:szCs w:val="28"/>
        </w:rPr>
        <w:tab/>
        <w:t>(prot. Nr. .§)</w:t>
      </w:r>
    </w:p>
    <w:p w:rsidR="00D900B7" w:rsidRPr="00EF1ADD" w:rsidRDefault="00D900B7" w:rsidP="00D900B7">
      <w:pPr>
        <w:rPr>
          <w:sz w:val="28"/>
          <w:szCs w:val="28"/>
        </w:rPr>
      </w:pPr>
    </w:p>
    <w:p w:rsidR="005C42C0" w:rsidRPr="00B601F7" w:rsidRDefault="00B601F7" w:rsidP="00B60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 Ministru kabineta 2010</w:t>
      </w:r>
      <w:r w:rsidRPr="00B601F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B601F7">
        <w:rPr>
          <w:b/>
          <w:sz w:val="28"/>
          <w:szCs w:val="28"/>
        </w:rPr>
        <w:t>gada 1</w:t>
      </w:r>
      <w:r>
        <w:rPr>
          <w:b/>
          <w:sz w:val="28"/>
          <w:szCs w:val="28"/>
        </w:rPr>
        <w:t>9</w:t>
      </w:r>
      <w:r w:rsidRPr="00B601F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 oktobra noteikumos Nr. 983 </w:t>
      </w:r>
      <w:r w:rsidR="00D42C45">
        <w:rPr>
          <w:b/>
          <w:sz w:val="28"/>
          <w:szCs w:val="28"/>
        </w:rPr>
        <w:t>“</w:t>
      </w:r>
      <w:r w:rsidR="005C42C0" w:rsidRPr="00B601F7">
        <w:rPr>
          <w:b/>
          <w:sz w:val="28"/>
          <w:szCs w:val="28"/>
        </w:rPr>
        <w:t>Noteikumi par izlietotā iepakojuma reģenerācijas procentuālo apjomu, reģistrēšanas un ziņojumu sniegšanas kārtību un iepakojuma definīcijas kritēriju piemērošanas piemēriem</w:t>
      </w:r>
      <w:r>
        <w:rPr>
          <w:b/>
          <w:sz w:val="28"/>
          <w:szCs w:val="28"/>
        </w:rPr>
        <w:t>”</w:t>
      </w:r>
    </w:p>
    <w:p w:rsidR="005C42C0" w:rsidRDefault="005C42C0" w:rsidP="00D900B7">
      <w:pPr>
        <w:jc w:val="both"/>
        <w:rPr>
          <w:b/>
          <w:sz w:val="28"/>
          <w:szCs w:val="28"/>
        </w:rPr>
      </w:pPr>
    </w:p>
    <w:p w:rsidR="006A4E44" w:rsidRDefault="00A55B55" w:rsidP="000D3CF0">
      <w:pPr>
        <w:jc w:val="right"/>
        <w:rPr>
          <w:i/>
          <w:sz w:val="28"/>
          <w:szCs w:val="28"/>
        </w:rPr>
      </w:pPr>
      <w:r w:rsidRPr="000D3CF0">
        <w:rPr>
          <w:i/>
          <w:sz w:val="28"/>
          <w:szCs w:val="28"/>
        </w:rPr>
        <w:t>I</w:t>
      </w:r>
      <w:r w:rsidR="000D3CF0">
        <w:rPr>
          <w:i/>
          <w:sz w:val="28"/>
          <w:szCs w:val="28"/>
        </w:rPr>
        <w:t xml:space="preserve">zdoti saskaņā ar </w:t>
      </w:r>
      <w:hyperlink r:id="rId8" w:tgtFrame="_blank" w:history="1">
        <w:r w:rsidR="00380C0E" w:rsidRPr="000D3CF0">
          <w:rPr>
            <w:i/>
            <w:sz w:val="28"/>
            <w:szCs w:val="28"/>
          </w:rPr>
          <w:t>Iepakojuma likuma</w:t>
        </w:r>
      </w:hyperlink>
      <w:r w:rsidR="000D3CF0">
        <w:rPr>
          <w:i/>
          <w:sz w:val="28"/>
          <w:szCs w:val="28"/>
        </w:rPr>
        <w:t xml:space="preserve"> </w:t>
      </w:r>
    </w:p>
    <w:p w:rsidR="000D3CF0" w:rsidRDefault="00265689" w:rsidP="000D3CF0">
      <w:pPr>
        <w:jc w:val="right"/>
        <w:rPr>
          <w:i/>
          <w:sz w:val="28"/>
          <w:szCs w:val="28"/>
        </w:rPr>
      </w:pPr>
      <w:hyperlink r:id="rId9" w:anchor="p1.1" w:tgtFrame="_blank" w:history="1">
        <w:r w:rsidR="00380C0E" w:rsidRPr="000D3CF0">
          <w:rPr>
            <w:i/>
            <w:sz w:val="28"/>
            <w:szCs w:val="28"/>
          </w:rPr>
          <w:t>1.</w:t>
        </w:r>
        <w:r w:rsidR="00380C0E" w:rsidRPr="000D3CF0">
          <w:rPr>
            <w:i/>
            <w:sz w:val="28"/>
            <w:szCs w:val="28"/>
            <w:vertAlign w:val="superscript"/>
          </w:rPr>
          <w:t>1</w:t>
        </w:r>
        <w:r w:rsidR="00380C0E" w:rsidRPr="000D3CF0">
          <w:rPr>
            <w:i/>
            <w:sz w:val="28"/>
            <w:szCs w:val="28"/>
          </w:rPr>
          <w:t> panta</w:t>
        </w:r>
      </w:hyperlink>
      <w:r w:rsidR="000D3CF0">
        <w:rPr>
          <w:i/>
          <w:sz w:val="28"/>
          <w:szCs w:val="28"/>
        </w:rPr>
        <w:t xml:space="preserve"> </w:t>
      </w:r>
      <w:r w:rsidR="00380C0E" w:rsidRPr="000D3CF0">
        <w:rPr>
          <w:i/>
          <w:sz w:val="28"/>
          <w:szCs w:val="28"/>
        </w:rPr>
        <w:t>trešo daļu,</w:t>
      </w:r>
      <w:r w:rsidR="006A4E44">
        <w:rPr>
          <w:i/>
          <w:sz w:val="28"/>
          <w:szCs w:val="28"/>
        </w:rPr>
        <w:t xml:space="preserve"> </w:t>
      </w:r>
      <w:hyperlink r:id="rId10" w:anchor="p7" w:tgtFrame="_blank" w:history="1">
        <w:r w:rsidR="00380C0E" w:rsidRPr="000D3CF0">
          <w:rPr>
            <w:i/>
            <w:sz w:val="28"/>
            <w:szCs w:val="28"/>
          </w:rPr>
          <w:t>7.</w:t>
        </w:r>
        <w:r w:rsidR="000D3CF0">
          <w:rPr>
            <w:i/>
            <w:sz w:val="28"/>
            <w:szCs w:val="28"/>
          </w:rPr>
          <w:t> </w:t>
        </w:r>
        <w:r w:rsidR="00380C0E" w:rsidRPr="000D3CF0">
          <w:rPr>
            <w:i/>
            <w:sz w:val="28"/>
            <w:szCs w:val="28"/>
          </w:rPr>
          <w:t>pantu</w:t>
        </w:r>
      </w:hyperlink>
      <w:r w:rsidR="000D3CF0">
        <w:rPr>
          <w:i/>
          <w:sz w:val="28"/>
          <w:szCs w:val="28"/>
        </w:rPr>
        <w:t xml:space="preserve">, </w:t>
      </w:r>
      <w:hyperlink r:id="rId11" w:anchor="p13" w:tgtFrame="_blank" w:history="1">
        <w:r w:rsidR="00380C0E" w:rsidRPr="000D3CF0">
          <w:rPr>
            <w:i/>
            <w:sz w:val="28"/>
            <w:szCs w:val="28"/>
          </w:rPr>
          <w:t>13.</w:t>
        </w:r>
        <w:r w:rsidR="000D3CF0">
          <w:rPr>
            <w:i/>
            <w:sz w:val="28"/>
            <w:szCs w:val="28"/>
          </w:rPr>
          <w:t> </w:t>
        </w:r>
        <w:r w:rsidR="00380C0E" w:rsidRPr="000D3CF0">
          <w:rPr>
            <w:i/>
            <w:sz w:val="28"/>
            <w:szCs w:val="28"/>
          </w:rPr>
          <w:t>panta</w:t>
        </w:r>
      </w:hyperlink>
      <w:r w:rsidR="000D3CF0">
        <w:rPr>
          <w:i/>
          <w:sz w:val="28"/>
          <w:szCs w:val="28"/>
        </w:rPr>
        <w:t xml:space="preserve"> </w:t>
      </w:r>
      <w:r w:rsidR="00380C0E" w:rsidRPr="000D3CF0">
        <w:rPr>
          <w:i/>
          <w:sz w:val="28"/>
          <w:szCs w:val="28"/>
        </w:rPr>
        <w:t>otro daļu</w:t>
      </w:r>
      <w:r w:rsidR="006A4E44">
        <w:rPr>
          <w:i/>
          <w:sz w:val="28"/>
          <w:szCs w:val="28"/>
        </w:rPr>
        <w:t xml:space="preserve">, </w:t>
      </w:r>
    </w:p>
    <w:p w:rsidR="00380C0E" w:rsidRDefault="00265689" w:rsidP="000D3CF0">
      <w:pPr>
        <w:jc w:val="right"/>
        <w:rPr>
          <w:i/>
          <w:sz w:val="28"/>
          <w:szCs w:val="28"/>
        </w:rPr>
      </w:pPr>
      <w:hyperlink r:id="rId12" w:anchor="p15" w:tgtFrame="_blank" w:history="1">
        <w:r w:rsidR="00380C0E" w:rsidRPr="000D3CF0">
          <w:rPr>
            <w:i/>
            <w:sz w:val="28"/>
            <w:szCs w:val="28"/>
          </w:rPr>
          <w:t>15.panta</w:t>
        </w:r>
      </w:hyperlink>
      <w:r w:rsidR="00380C0E" w:rsidRPr="000D3CF0">
        <w:rPr>
          <w:i/>
          <w:sz w:val="28"/>
          <w:szCs w:val="28"/>
        </w:rPr>
        <w:t> otro, trešo un piekto daļu</w:t>
      </w:r>
      <w:r w:rsidR="006A4E44">
        <w:rPr>
          <w:i/>
          <w:sz w:val="28"/>
          <w:szCs w:val="28"/>
        </w:rPr>
        <w:t>,</w:t>
      </w:r>
    </w:p>
    <w:p w:rsidR="006A4E44" w:rsidRPr="000D3CF0" w:rsidRDefault="006A4E44" w:rsidP="000D3CF0">
      <w:pPr>
        <w:jc w:val="right"/>
        <w:rPr>
          <w:i/>
          <w:sz w:val="28"/>
          <w:szCs w:val="28"/>
        </w:rPr>
      </w:pPr>
      <w:r w:rsidRPr="00E12248">
        <w:rPr>
          <w:i/>
          <w:sz w:val="28"/>
          <w:szCs w:val="28"/>
        </w:rPr>
        <w:t>20. panta pirmo daļu un 21. panta trešo daļu</w:t>
      </w:r>
    </w:p>
    <w:p w:rsidR="00A55B55" w:rsidRPr="000D3CF0" w:rsidRDefault="00A55B55" w:rsidP="000D3CF0">
      <w:pPr>
        <w:jc w:val="right"/>
        <w:rPr>
          <w:i/>
          <w:sz w:val="28"/>
          <w:szCs w:val="28"/>
        </w:rPr>
      </w:pPr>
      <w:bookmarkStart w:id="0" w:name="p1"/>
      <w:bookmarkStart w:id="1" w:name="p-608647"/>
      <w:bookmarkEnd w:id="0"/>
      <w:bookmarkEnd w:id="1"/>
    </w:p>
    <w:p w:rsidR="002A0FF4" w:rsidRDefault="002A0FF4" w:rsidP="002A0FF4">
      <w:pPr>
        <w:pStyle w:val="BodyText2"/>
        <w:ind w:firstLine="720"/>
        <w:jc w:val="both"/>
        <w:rPr>
          <w:rFonts w:eastAsia="Calibri"/>
          <w:szCs w:val="28"/>
          <w:lang w:eastAsia="en-US"/>
        </w:rPr>
      </w:pPr>
      <w:r w:rsidRPr="002A0FF4">
        <w:rPr>
          <w:rFonts w:eastAsia="Calibri"/>
          <w:szCs w:val="28"/>
          <w:lang w:eastAsia="en-US"/>
        </w:rPr>
        <w:t xml:space="preserve">Izdarīt Ministru kabineta 2010. gada 19. oktobra noteikumos Nr. 983 </w:t>
      </w:r>
      <w:r>
        <w:rPr>
          <w:bCs/>
          <w:szCs w:val="28"/>
        </w:rPr>
        <w:t>“</w:t>
      </w:r>
      <w:r w:rsidRPr="002A0FF4">
        <w:rPr>
          <w:bCs/>
          <w:szCs w:val="28"/>
        </w:rPr>
        <w:t>Noteikumi par izlietotā iepakojuma reģenerācijas procentuālo apjomu, reģistrēšanas un ziņojumu sniegšanas kārtību un iepakojuma definīcijas kritēriju piemērošanas piemēriem</w:t>
      </w:r>
      <w:r>
        <w:rPr>
          <w:rFonts w:eastAsia="Calibri"/>
          <w:szCs w:val="28"/>
          <w:lang w:eastAsia="en-US"/>
        </w:rPr>
        <w:t>”</w:t>
      </w:r>
      <w:r w:rsidRPr="002A0FF4">
        <w:rPr>
          <w:rFonts w:eastAsia="Calibri"/>
          <w:szCs w:val="28"/>
          <w:lang w:eastAsia="en-US"/>
        </w:rPr>
        <w:t xml:space="preserve"> (Latvijas Vēstnesis, 2010, 167</w:t>
      </w:r>
      <w:r>
        <w:rPr>
          <w:rFonts w:eastAsia="Calibri"/>
          <w:szCs w:val="28"/>
          <w:lang w:eastAsia="en-US"/>
        </w:rPr>
        <w:t>. </w:t>
      </w:r>
      <w:r w:rsidRPr="002A0FF4">
        <w:rPr>
          <w:rFonts w:eastAsia="Calibri"/>
          <w:szCs w:val="28"/>
          <w:lang w:eastAsia="en-US"/>
        </w:rPr>
        <w:t>nr.; 2013, 158</w:t>
      </w:r>
      <w:r>
        <w:rPr>
          <w:rFonts w:eastAsia="Calibri"/>
          <w:szCs w:val="28"/>
          <w:lang w:eastAsia="en-US"/>
        </w:rPr>
        <w:t>. </w:t>
      </w:r>
      <w:r w:rsidRPr="002A0FF4">
        <w:rPr>
          <w:rFonts w:eastAsia="Calibri"/>
          <w:szCs w:val="28"/>
          <w:lang w:eastAsia="en-US"/>
        </w:rPr>
        <w:t>nr.; 2015, 218. nr.</w:t>
      </w:r>
      <w:r>
        <w:rPr>
          <w:rFonts w:eastAsia="Calibri"/>
          <w:szCs w:val="28"/>
          <w:lang w:eastAsia="en-US"/>
        </w:rPr>
        <w:t>; 2016, 251. nr.</w:t>
      </w:r>
      <w:r w:rsidRPr="002A0FF4">
        <w:rPr>
          <w:rFonts w:eastAsia="Calibri"/>
          <w:szCs w:val="28"/>
          <w:lang w:eastAsia="en-US"/>
        </w:rPr>
        <w:t xml:space="preserve">) </w:t>
      </w:r>
      <w:r>
        <w:rPr>
          <w:rFonts w:eastAsia="Calibri"/>
          <w:szCs w:val="28"/>
          <w:lang w:eastAsia="en-US"/>
        </w:rPr>
        <w:t>šādus groz</w:t>
      </w:r>
      <w:r w:rsidR="00D26C1D">
        <w:rPr>
          <w:rFonts w:eastAsia="Calibri"/>
          <w:szCs w:val="28"/>
          <w:lang w:eastAsia="en-US"/>
        </w:rPr>
        <w:t>ījumus:</w:t>
      </w:r>
    </w:p>
    <w:p w:rsidR="002A0FF4" w:rsidRDefault="002A0FF4" w:rsidP="002A0FF4">
      <w:pPr>
        <w:pStyle w:val="BodyText2"/>
        <w:ind w:firstLine="720"/>
        <w:jc w:val="both"/>
        <w:rPr>
          <w:rFonts w:eastAsia="Calibri"/>
          <w:szCs w:val="28"/>
          <w:lang w:eastAsia="en-US"/>
        </w:rPr>
      </w:pPr>
    </w:p>
    <w:p w:rsidR="002A0FF4" w:rsidRPr="00AF0A9A" w:rsidRDefault="002A0FF4" w:rsidP="00C43977">
      <w:pPr>
        <w:pStyle w:val="BodyText2"/>
        <w:ind w:firstLine="709"/>
        <w:jc w:val="both"/>
        <w:rPr>
          <w:szCs w:val="28"/>
        </w:rPr>
      </w:pPr>
      <w:r w:rsidRPr="00AF0A9A">
        <w:rPr>
          <w:szCs w:val="28"/>
        </w:rPr>
        <w:t>1.</w:t>
      </w:r>
      <w:r w:rsidR="00AF0A9A" w:rsidRPr="00AF0A9A">
        <w:rPr>
          <w:szCs w:val="28"/>
        </w:rPr>
        <w:t> I</w:t>
      </w:r>
      <w:r w:rsidRPr="00AF0A9A">
        <w:rPr>
          <w:szCs w:val="28"/>
        </w:rPr>
        <w:t>zteikt norādi, uz kāda likuma pamata noteikumi izdoti, šādā redakcijā:</w:t>
      </w:r>
    </w:p>
    <w:p w:rsidR="002A0FF4" w:rsidRDefault="00AF0A9A" w:rsidP="00C43977">
      <w:pPr>
        <w:pStyle w:val="BodyText2"/>
        <w:ind w:firstLine="709"/>
        <w:jc w:val="both"/>
        <w:rPr>
          <w:szCs w:val="28"/>
          <w:highlight w:val="yellow"/>
        </w:rPr>
      </w:pPr>
      <w:r>
        <w:rPr>
          <w:szCs w:val="28"/>
        </w:rPr>
        <w:t>“</w:t>
      </w:r>
      <w:r w:rsidR="00D26C1D" w:rsidRPr="00D26C1D">
        <w:rPr>
          <w:szCs w:val="28"/>
        </w:rPr>
        <w:t>Izdoti saskaņā ar Iepakojuma likuma 1.</w:t>
      </w:r>
      <w:r w:rsidR="00D26C1D" w:rsidRPr="00AF0A9A">
        <w:rPr>
          <w:szCs w:val="28"/>
          <w:vertAlign w:val="superscript"/>
        </w:rPr>
        <w:t>1</w:t>
      </w:r>
      <w:r>
        <w:rPr>
          <w:szCs w:val="28"/>
        </w:rPr>
        <w:t> </w:t>
      </w:r>
      <w:r w:rsidR="00D26C1D" w:rsidRPr="00D26C1D">
        <w:rPr>
          <w:szCs w:val="28"/>
        </w:rPr>
        <w:t>panta trešo daļu, 7.</w:t>
      </w:r>
      <w:r>
        <w:rPr>
          <w:szCs w:val="28"/>
        </w:rPr>
        <w:t> </w:t>
      </w:r>
      <w:r w:rsidR="00C43977">
        <w:rPr>
          <w:szCs w:val="28"/>
        </w:rPr>
        <w:t>pantu, 13. </w:t>
      </w:r>
      <w:r w:rsidR="00D26C1D" w:rsidRPr="00D26C1D">
        <w:rPr>
          <w:szCs w:val="28"/>
        </w:rPr>
        <w:t>panta otro daļu, 15.</w:t>
      </w:r>
      <w:r w:rsidR="00C43977">
        <w:rPr>
          <w:szCs w:val="28"/>
        </w:rPr>
        <w:t> </w:t>
      </w:r>
      <w:r w:rsidR="00D26C1D" w:rsidRPr="00D26C1D">
        <w:rPr>
          <w:szCs w:val="28"/>
        </w:rPr>
        <w:t>panta otro, trešo un piekto daļu,</w:t>
      </w:r>
      <w:r>
        <w:rPr>
          <w:szCs w:val="28"/>
        </w:rPr>
        <w:t xml:space="preserve"> </w:t>
      </w:r>
      <w:r w:rsidR="00C43977">
        <w:rPr>
          <w:szCs w:val="28"/>
        </w:rPr>
        <w:t>20. </w:t>
      </w:r>
      <w:r w:rsidR="00D26C1D" w:rsidRPr="00D26C1D">
        <w:rPr>
          <w:szCs w:val="28"/>
        </w:rPr>
        <w:t>panta pirmo daļu un 21. panta trešo daļu</w:t>
      </w:r>
      <w:r>
        <w:rPr>
          <w:szCs w:val="28"/>
        </w:rPr>
        <w:t>”.</w:t>
      </w:r>
    </w:p>
    <w:p w:rsidR="00D26C1D" w:rsidRDefault="00D26C1D" w:rsidP="002A0FF4">
      <w:pPr>
        <w:pStyle w:val="BodyText2"/>
        <w:rPr>
          <w:szCs w:val="28"/>
          <w:highlight w:val="yellow"/>
        </w:rPr>
      </w:pPr>
    </w:p>
    <w:p w:rsidR="000842B9" w:rsidRDefault="000842B9" w:rsidP="002A0FF4">
      <w:pPr>
        <w:pStyle w:val="BodyText2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 1. punktā:</w:t>
      </w:r>
    </w:p>
    <w:p w:rsidR="000842B9" w:rsidRDefault="000842B9" w:rsidP="002A0FF4">
      <w:pPr>
        <w:pStyle w:val="BodyText2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izteikt 1.1. apakšpunktu </w:t>
      </w:r>
      <w:r w:rsidR="00C43977">
        <w:rPr>
          <w:rFonts w:eastAsia="Calibri"/>
          <w:szCs w:val="28"/>
          <w:lang w:eastAsia="en-US"/>
        </w:rPr>
        <w:t>šādā redakcijā:</w:t>
      </w:r>
    </w:p>
    <w:p w:rsidR="00071DCA" w:rsidRDefault="00C43977" w:rsidP="002A0FF4">
      <w:pPr>
        <w:pStyle w:val="BodyText2"/>
        <w:ind w:firstLine="720"/>
        <w:jc w:val="both"/>
        <w:rPr>
          <w:szCs w:val="28"/>
        </w:rPr>
      </w:pPr>
      <w:r>
        <w:rPr>
          <w:szCs w:val="28"/>
        </w:rPr>
        <w:t>“1.1.</w:t>
      </w:r>
      <w:r w:rsidRPr="00761795">
        <w:rPr>
          <w:szCs w:val="28"/>
        </w:rPr>
        <w:t> </w:t>
      </w:r>
      <w:r w:rsidR="00071DCA" w:rsidRPr="00761795">
        <w:rPr>
          <w:szCs w:val="28"/>
        </w:rPr>
        <w:t xml:space="preserve">visa izlietotā iepakojuma un dažādu iepakojuma veidu reģenerācijas, </w:t>
      </w:r>
      <w:r w:rsidR="00071DCA">
        <w:rPr>
          <w:szCs w:val="28"/>
        </w:rPr>
        <w:t>tai skaitā</w:t>
      </w:r>
      <w:r w:rsidR="00071DCA" w:rsidRPr="00761795">
        <w:rPr>
          <w:szCs w:val="28"/>
        </w:rPr>
        <w:t xml:space="preserve"> pārstrādes, mērķus un termiņus to izpildei;</w:t>
      </w:r>
    </w:p>
    <w:p w:rsidR="00071DCA" w:rsidRDefault="00071DCA" w:rsidP="002A0FF4">
      <w:pPr>
        <w:pStyle w:val="BodyText2"/>
        <w:ind w:firstLine="720"/>
        <w:jc w:val="both"/>
        <w:rPr>
          <w:szCs w:val="28"/>
        </w:rPr>
      </w:pPr>
    </w:p>
    <w:p w:rsidR="00C43977" w:rsidRDefault="00071DCA" w:rsidP="002A0FF4">
      <w:pPr>
        <w:pStyle w:val="BodyText2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papildināt ar 1.7., 1.8., 1.9. un 1.10. apakšpunktu šādā redakcij</w:t>
      </w:r>
      <w:r w:rsidR="00D42C45">
        <w:rPr>
          <w:rFonts w:eastAsia="Calibri"/>
          <w:szCs w:val="28"/>
          <w:lang w:eastAsia="en-US"/>
        </w:rPr>
        <w:t>ā</w:t>
      </w:r>
      <w:r>
        <w:rPr>
          <w:rFonts w:eastAsia="Calibri"/>
          <w:szCs w:val="28"/>
          <w:lang w:eastAsia="en-US"/>
        </w:rPr>
        <w:t xml:space="preserve">: </w:t>
      </w:r>
    </w:p>
    <w:p w:rsidR="000842B9" w:rsidRPr="00761795" w:rsidRDefault="000842B9" w:rsidP="00071DCA">
      <w:pPr>
        <w:spacing w:after="120"/>
        <w:jc w:val="both"/>
        <w:rPr>
          <w:sz w:val="28"/>
          <w:szCs w:val="28"/>
        </w:rPr>
      </w:pPr>
      <w:r w:rsidRPr="00761795">
        <w:rPr>
          <w:sz w:val="28"/>
          <w:szCs w:val="28"/>
        </w:rPr>
        <w:tab/>
      </w:r>
      <w:r w:rsidR="00071DCA">
        <w:rPr>
          <w:sz w:val="28"/>
          <w:szCs w:val="28"/>
        </w:rPr>
        <w:t>“1.7.</w:t>
      </w:r>
      <w:r w:rsidRPr="00761795">
        <w:rPr>
          <w:sz w:val="28"/>
          <w:szCs w:val="28"/>
        </w:rPr>
        <w:t> </w:t>
      </w:r>
      <w:r w:rsidR="00071DCA" w:rsidRPr="00DB7256">
        <w:rPr>
          <w:sz w:val="28"/>
          <w:szCs w:val="28"/>
        </w:rPr>
        <w:t xml:space="preserve">kārtību, kādā aprēķina </w:t>
      </w:r>
      <w:r w:rsidR="00071DCA" w:rsidRPr="00761795">
        <w:rPr>
          <w:sz w:val="28"/>
          <w:szCs w:val="28"/>
        </w:rPr>
        <w:t xml:space="preserve">izlietotā iepakojuma pārstrādes mērķu </w:t>
      </w:r>
      <w:r w:rsidR="00071DCA" w:rsidRPr="00DB7256">
        <w:rPr>
          <w:sz w:val="28"/>
          <w:szCs w:val="28"/>
        </w:rPr>
        <w:t>izpildi</w:t>
      </w:r>
      <w:r w:rsidR="00071DCA" w:rsidRPr="00761795">
        <w:rPr>
          <w:sz w:val="28"/>
          <w:szCs w:val="28"/>
        </w:rPr>
        <w:t>;</w:t>
      </w:r>
    </w:p>
    <w:p w:rsidR="00071DCA" w:rsidRDefault="000842B9" w:rsidP="00071DCA">
      <w:pPr>
        <w:spacing w:after="120"/>
        <w:jc w:val="both"/>
        <w:rPr>
          <w:sz w:val="28"/>
          <w:szCs w:val="28"/>
        </w:rPr>
      </w:pPr>
      <w:r w:rsidRPr="00761795">
        <w:rPr>
          <w:sz w:val="28"/>
          <w:szCs w:val="28"/>
        </w:rPr>
        <w:tab/>
      </w:r>
      <w:r w:rsidR="00071DCA">
        <w:rPr>
          <w:sz w:val="28"/>
          <w:szCs w:val="28"/>
        </w:rPr>
        <w:t>1.8.</w:t>
      </w:r>
      <w:r w:rsidRPr="00761795">
        <w:rPr>
          <w:sz w:val="28"/>
          <w:szCs w:val="28"/>
        </w:rPr>
        <w:t> </w:t>
      </w:r>
      <w:r w:rsidR="00071DCA" w:rsidRPr="00761795">
        <w:rPr>
          <w:sz w:val="28"/>
          <w:szCs w:val="28"/>
        </w:rPr>
        <w:t>prasības atkārtoti lietojamā iepakojuma apjoma aprēķināšanai</w:t>
      </w:r>
      <w:r w:rsidRPr="00761795">
        <w:rPr>
          <w:sz w:val="28"/>
          <w:szCs w:val="28"/>
        </w:rPr>
        <w:t>;</w:t>
      </w:r>
    </w:p>
    <w:p w:rsidR="006B6E9F" w:rsidRDefault="00071DCA" w:rsidP="006B6E9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1.9. </w:t>
      </w:r>
      <w:r w:rsidR="006B6E9F">
        <w:rPr>
          <w:sz w:val="28"/>
          <w:szCs w:val="28"/>
        </w:rPr>
        <w:t xml:space="preserve">paraugu Valsts vides dienesta sagatavotajam ziņojumam par </w:t>
      </w:r>
      <w:r w:rsidR="006B6E9F" w:rsidRPr="002D58DE">
        <w:rPr>
          <w:sz w:val="28"/>
          <w:szCs w:val="28"/>
        </w:rPr>
        <w:t>valstī izlietotā iepakojuma apjomu, materiālu veidiem un apsaimniekošanu</w:t>
      </w:r>
      <w:r w:rsidR="006B6E9F">
        <w:rPr>
          <w:sz w:val="28"/>
          <w:szCs w:val="28"/>
        </w:rPr>
        <w:t>;</w:t>
      </w:r>
    </w:p>
    <w:p w:rsidR="006B6E9F" w:rsidRDefault="006B6E9F" w:rsidP="006B6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1.10. prasības </w:t>
      </w:r>
      <w:r w:rsidRPr="00697CEB">
        <w:rPr>
          <w:sz w:val="28"/>
          <w:szCs w:val="28"/>
        </w:rPr>
        <w:t>Vides aizsardzības un reģionālās attīstības ministrija</w:t>
      </w:r>
      <w:r>
        <w:rPr>
          <w:sz w:val="28"/>
          <w:szCs w:val="28"/>
        </w:rPr>
        <w:t xml:space="preserve">s sagatavotājam </w:t>
      </w:r>
      <w:r w:rsidRPr="00697CEB">
        <w:rPr>
          <w:sz w:val="28"/>
          <w:szCs w:val="28"/>
        </w:rPr>
        <w:t xml:space="preserve">Īstenošanas plāna saturam, termiņu un kārtību, kādā </w:t>
      </w:r>
      <w:r>
        <w:rPr>
          <w:sz w:val="28"/>
          <w:szCs w:val="28"/>
        </w:rPr>
        <w:t xml:space="preserve">plānu </w:t>
      </w:r>
      <w:r w:rsidRPr="00697CEB">
        <w:rPr>
          <w:sz w:val="28"/>
          <w:szCs w:val="28"/>
        </w:rPr>
        <w:t>iesniedz Eiropas Komisijā</w:t>
      </w:r>
      <w:r>
        <w:rPr>
          <w:sz w:val="28"/>
          <w:szCs w:val="28"/>
        </w:rPr>
        <w:t>.”</w:t>
      </w:r>
    </w:p>
    <w:p w:rsidR="000842B9" w:rsidRDefault="000842B9" w:rsidP="002A0FF4">
      <w:pPr>
        <w:pStyle w:val="BodyText2"/>
        <w:ind w:firstLine="720"/>
        <w:jc w:val="both"/>
        <w:rPr>
          <w:rFonts w:eastAsia="Calibri"/>
          <w:szCs w:val="28"/>
          <w:lang w:eastAsia="en-US"/>
        </w:rPr>
      </w:pPr>
    </w:p>
    <w:p w:rsidR="009E78B9" w:rsidRDefault="006B6E9F" w:rsidP="002A0FF4">
      <w:pPr>
        <w:pStyle w:val="BodyText2"/>
        <w:ind w:firstLine="720"/>
        <w:jc w:val="both"/>
        <w:rPr>
          <w:rFonts w:eastAsia="Calibri"/>
          <w:szCs w:val="28"/>
          <w:lang w:eastAsia="en-US"/>
        </w:rPr>
      </w:pPr>
      <w:r w:rsidRPr="006B6E9F">
        <w:rPr>
          <w:rFonts w:eastAsia="Calibri"/>
          <w:szCs w:val="28"/>
          <w:lang w:eastAsia="en-US"/>
        </w:rPr>
        <w:t>3. </w:t>
      </w:r>
      <w:r w:rsidR="00683407" w:rsidRPr="006B6E9F">
        <w:rPr>
          <w:rFonts w:eastAsia="Calibri"/>
          <w:szCs w:val="28"/>
          <w:lang w:eastAsia="en-US"/>
        </w:rPr>
        <w:t>Izteikt 3. punktu šādā redakcijā:</w:t>
      </w:r>
    </w:p>
    <w:p w:rsidR="00F92651" w:rsidRDefault="006B6E9F" w:rsidP="002A0FF4">
      <w:pPr>
        <w:pStyle w:val="BodyText2"/>
        <w:ind w:firstLine="720"/>
        <w:jc w:val="both"/>
        <w:rPr>
          <w:rFonts w:eastAsia="Calibri"/>
          <w:szCs w:val="28"/>
          <w:lang w:eastAsia="en-US"/>
        </w:rPr>
      </w:pPr>
      <w:r w:rsidRPr="00313637">
        <w:rPr>
          <w:rFonts w:eastAsia="Calibri"/>
          <w:szCs w:val="28"/>
          <w:lang w:eastAsia="en-US"/>
        </w:rPr>
        <w:lastRenderedPageBreak/>
        <w:t>“</w:t>
      </w:r>
      <w:r w:rsidR="00615900" w:rsidRPr="00313637">
        <w:rPr>
          <w:rFonts w:eastAsia="Calibri"/>
          <w:szCs w:val="28"/>
          <w:lang w:eastAsia="en-US"/>
        </w:rPr>
        <w:t xml:space="preserve">3. Izlietotā iepakojuma </w:t>
      </w:r>
      <w:r w:rsidR="00F92651" w:rsidRPr="00313637">
        <w:rPr>
          <w:rFonts w:eastAsia="Calibri"/>
          <w:szCs w:val="28"/>
          <w:lang w:eastAsia="en-US"/>
        </w:rPr>
        <w:t xml:space="preserve">pārstrādes mērķu izpildes aprēķinam </w:t>
      </w:r>
      <w:r w:rsidR="00A87777" w:rsidRPr="00313637">
        <w:rPr>
          <w:rFonts w:eastAsia="Calibri"/>
          <w:szCs w:val="28"/>
          <w:lang w:eastAsia="en-US"/>
        </w:rPr>
        <w:t>izmanto</w:t>
      </w:r>
      <w:r w:rsidR="00F92651">
        <w:rPr>
          <w:rFonts w:eastAsia="Calibri"/>
          <w:szCs w:val="28"/>
          <w:lang w:eastAsia="en-US"/>
        </w:rPr>
        <w:t xml:space="preserve"> šādus nosacījumus:</w:t>
      </w:r>
    </w:p>
    <w:p w:rsidR="00C42BBF" w:rsidRDefault="00F92651" w:rsidP="00C42BBF">
      <w:pPr>
        <w:spacing w:after="120"/>
        <w:ind w:left="720"/>
        <w:jc w:val="both"/>
        <w:rPr>
          <w:sz w:val="28"/>
          <w:szCs w:val="28"/>
        </w:rPr>
      </w:pPr>
      <w:r w:rsidRPr="00C42BBF">
        <w:rPr>
          <w:rFonts w:eastAsia="Calibri"/>
          <w:sz w:val="28"/>
          <w:szCs w:val="28"/>
          <w:lang w:eastAsia="en-US"/>
        </w:rPr>
        <w:t>3.1. </w:t>
      </w:r>
      <w:r w:rsidR="00C42BBF">
        <w:rPr>
          <w:sz w:val="28"/>
          <w:szCs w:val="28"/>
        </w:rPr>
        <w:t>p</w:t>
      </w:r>
      <w:r w:rsidR="00C42BBF" w:rsidRPr="00C42BBF">
        <w:rPr>
          <w:sz w:val="28"/>
          <w:szCs w:val="28"/>
        </w:rPr>
        <w:t>ārstrāde ietver to pašu materiālu vai citu materiālu</w:t>
      </w:r>
      <w:r w:rsidR="00C42BBF" w:rsidRPr="00C42BBF">
        <w:rPr>
          <w:b/>
          <w:sz w:val="28"/>
          <w:szCs w:val="28"/>
        </w:rPr>
        <w:t xml:space="preserve"> </w:t>
      </w:r>
      <w:r w:rsidR="00C42BBF" w:rsidRPr="00C42BBF">
        <w:rPr>
          <w:sz w:val="28"/>
          <w:szCs w:val="28"/>
        </w:rPr>
        <w:t>i</w:t>
      </w:r>
      <w:r w:rsidR="00C42BBF">
        <w:rPr>
          <w:sz w:val="28"/>
          <w:szCs w:val="28"/>
        </w:rPr>
        <w:t xml:space="preserve">egūšanu no izlietotā iepakojuma </w:t>
      </w:r>
      <w:r w:rsidR="00C42BBF" w:rsidRPr="00C42BBF">
        <w:rPr>
          <w:sz w:val="28"/>
          <w:szCs w:val="28"/>
        </w:rPr>
        <w:t>vai to m</w:t>
      </w:r>
      <w:r w:rsidR="00C42BBF">
        <w:rPr>
          <w:sz w:val="28"/>
          <w:szCs w:val="28"/>
        </w:rPr>
        <w:t>ateriāla un organisko pārstrādi;</w:t>
      </w:r>
    </w:p>
    <w:p w:rsidR="00772203" w:rsidRDefault="006D63BB" w:rsidP="006D63BB">
      <w:pPr>
        <w:spacing w:after="120"/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3.2. </w:t>
      </w:r>
      <w:r w:rsidR="001202F9" w:rsidRPr="006D63BB">
        <w:rPr>
          <w:rFonts w:eastAsia="Calibri"/>
          <w:sz w:val="28"/>
          <w:szCs w:val="28"/>
          <w:lang w:eastAsia="en-US"/>
        </w:rPr>
        <w:t>bioloģiski noārdāma izlietotā iepakojuma apjomu, kas nonāk aerobā vai anaerobā apstrādē, var uzskatīt par pārstrādātu, ja minētajā apstrādē iegūst kompostu</w:t>
      </w:r>
      <w:r w:rsidR="00772203">
        <w:rPr>
          <w:rFonts w:eastAsia="Calibri"/>
          <w:sz w:val="28"/>
          <w:szCs w:val="28"/>
          <w:lang w:eastAsia="en-US"/>
        </w:rPr>
        <w:t xml:space="preserve"> vai </w:t>
      </w:r>
      <w:proofErr w:type="spellStart"/>
      <w:r w:rsidR="001202F9" w:rsidRPr="006D63BB">
        <w:rPr>
          <w:rFonts w:eastAsia="Calibri"/>
          <w:sz w:val="28"/>
          <w:szCs w:val="28"/>
          <w:lang w:eastAsia="en-US"/>
        </w:rPr>
        <w:t>digestātu</w:t>
      </w:r>
      <w:proofErr w:type="spellEnd"/>
      <w:r w:rsidR="001202F9" w:rsidRPr="006D63BB">
        <w:rPr>
          <w:rFonts w:eastAsia="Calibri"/>
          <w:sz w:val="28"/>
          <w:szCs w:val="28"/>
          <w:lang w:eastAsia="en-US"/>
        </w:rPr>
        <w:t xml:space="preserve">, kuru paredzēts izmantot kā produktu, materiālu vai vielu. Ja </w:t>
      </w:r>
      <w:r w:rsidR="00772203" w:rsidRPr="006D63BB">
        <w:rPr>
          <w:rFonts w:eastAsia="Calibri"/>
          <w:sz w:val="28"/>
          <w:szCs w:val="28"/>
          <w:lang w:eastAsia="en-US"/>
        </w:rPr>
        <w:t>kompostu</w:t>
      </w:r>
      <w:r w:rsidR="00772203">
        <w:rPr>
          <w:rFonts w:eastAsia="Calibri"/>
          <w:sz w:val="28"/>
          <w:szCs w:val="28"/>
          <w:lang w:eastAsia="en-US"/>
        </w:rPr>
        <w:t xml:space="preserve"> vai </w:t>
      </w:r>
      <w:proofErr w:type="spellStart"/>
      <w:r w:rsidR="00772203" w:rsidRPr="006D63BB">
        <w:rPr>
          <w:rFonts w:eastAsia="Calibri"/>
          <w:sz w:val="28"/>
          <w:szCs w:val="28"/>
          <w:lang w:eastAsia="en-US"/>
        </w:rPr>
        <w:t>digestātu</w:t>
      </w:r>
      <w:proofErr w:type="spellEnd"/>
      <w:r w:rsidR="00772203" w:rsidRPr="006D63BB">
        <w:rPr>
          <w:rFonts w:eastAsia="Calibri"/>
          <w:sz w:val="28"/>
          <w:szCs w:val="28"/>
          <w:lang w:eastAsia="en-US"/>
        </w:rPr>
        <w:t xml:space="preserve"> </w:t>
      </w:r>
      <w:r w:rsidR="001202F9" w:rsidRPr="006D63BB">
        <w:rPr>
          <w:rFonts w:eastAsia="Calibri"/>
          <w:sz w:val="28"/>
          <w:szCs w:val="28"/>
          <w:lang w:eastAsia="en-US"/>
        </w:rPr>
        <w:t xml:space="preserve">izmanto augsnē, to var </w:t>
      </w:r>
      <w:r w:rsidR="00536BC5">
        <w:rPr>
          <w:rFonts w:eastAsia="Calibri"/>
          <w:sz w:val="28"/>
          <w:szCs w:val="28"/>
          <w:lang w:eastAsia="en-US"/>
        </w:rPr>
        <w:t>uz</w:t>
      </w:r>
      <w:r w:rsidR="001202F9" w:rsidRPr="006D63BB">
        <w:rPr>
          <w:rFonts w:eastAsia="Calibri"/>
          <w:sz w:val="28"/>
          <w:szCs w:val="28"/>
          <w:lang w:eastAsia="en-US"/>
        </w:rPr>
        <w:t xml:space="preserve">skaitīt kā pārstrādātu tikai tad, ja </w:t>
      </w:r>
      <w:r w:rsidR="00772203">
        <w:rPr>
          <w:rFonts w:eastAsia="Calibri"/>
          <w:sz w:val="28"/>
          <w:szCs w:val="28"/>
          <w:lang w:eastAsia="en-US"/>
        </w:rPr>
        <w:t xml:space="preserve">panākta lauksaimniecības augsnes uzlabošana vai </w:t>
      </w:r>
      <w:r w:rsidR="00F0722C">
        <w:rPr>
          <w:rFonts w:eastAsia="Calibri"/>
          <w:sz w:val="28"/>
          <w:szCs w:val="28"/>
          <w:lang w:eastAsia="en-US"/>
        </w:rPr>
        <w:t>panākts ekoloģisks uzlabojums;</w:t>
      </w:r>
    </w:p>
    <w:p w:rsidR="00C42BBF" w:rsidRDefault="00C42BBF" w:rsidP="00C42BBF">
      <w:pPr>
        <w:spacing w:after="120"/>
        <w:ind w:left="720"/>
        <w:jc w:val="both"/>
        <w:rPr>
          <w:color w:val="000000"/>
          <w:sz w:val="28"/>
          <w:szCs w:val="28"/>
        </w:rPr>
      </w:pPr>
      <w:r w:rsidRPr="00C42BBF">
        <w:rPr>
          <w:sz w:val="28"/>
          <w:szCs w:val="28"/>
        </w:rPr>
        <w:t>3.</w:t>
      </w:r>
      <w:r w:rsidR="00772203">
        <w:rPr>
          <w:sz w:val="28"/>
          <w:szCs w:val="28"/>
        </w:rPr>
        <w:t>3</w:t>
      </w:r>
      <w:r w:rsidRPr="00C42BBF">
        <w:rPr>
          <w:sz w:val="28"/>
          <w:szCs w:val="28"/>
        </w:rPr>
        <w:t>. </w:t>
      </w:r>
      <w:r>
        <w:rPr>
          <w:color w:val="000000"/>
          <w:sz w:val="28"/>
          <w:szCs w:val="28"/>
        </w:rPr>
        <w:t>p</w:t>
      </w:r>
      <w:r w:rsidRPr="00C42BBF">
        <w:rPr>
          <w:color w:val="000000"/>
          <w:sz w:val="28"/>
          <w:szCs w:val="28"/>
        </w:rPr>
        <w:t xml:space="preserve">ārstrādātā izlietotā iepakojuma </w:t>
      </w:r>
      <w:r w:rsidR="00772203">
        <w:rPr>
          <w:color w:val="000000"/>
          <w:sz w:val="28"/>
          <w:szCs w:val="28"/>
        </w:rPr>
        <w:t xml:space="preserve">apjoms </w:t>
      </w:r>
      <w:r w:rsidRPr="00C42BBF">
        <w:rPr>
          <w:color w:val="000000"/>
          <w:sz w:val="28"/>
          <w:szCs w:val="28"/>
        </w:rPr>
        <w:t>ir a</w:t>
      </w:r>
      <w:r>
        <w:rPr>
          <w:color w:val="000000"/>
          <w:sz w:val="28"/>
          <w:szCs w:val="28"/>
        </w:rPr>
        <w:t xml:space="preserve">tkritumu </w:t>
      </w:r>
      <w:r w:rsidR="00772203">
        <w:rPr>
          <w:color w:val="000000"/>
          <w:sz w:val="28"/>
          <w:szCs w:val="28"/>
        </w:rPr>
        <w:t>apjoms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aprēķinpunktā</w:t>
      </w:r>
      <w:proofErr w:type="spellEnd"/>
      <w:r>
        <w:rPr>
          <w:color w:val="000000"/>
          <w:sz w:val="28"/>
          <w:szCs w:val="28"/>
        </w:rPr>
        <w:t xml:space="preserve">. </w:t>
      </w:r>
      <w:r w:rsidR="00536BC5">
        <w:rPr>
          <w:color w:val="000000"/>
          <w:sz w:val="28"/>
          <w:szCs w:val="28"/>
        </w:rPr>
        <w:t xml:space="preserve">Konkrētiem izlietotā iepakojuma materiāla veidiem un konkrētām pārstrādes operācijām piemērojamie </w:t>
      </w:r>
      <w:proofErr w:type="spellStart"/>
      <w:r w:rsidR="00536BC5">
        <w:rPr>
          <w:color w:val="000000"/>
          <w:sz w:val="28"/>
          <w:szCs w:val="28"/>
        </w:rPr>
        <w:t>a</w:t>
      </w:r>
      <w:r w:rsidRPr="00C42BBF">
        <w:rPr>
          <w:color w:val="000000"/>
          <w:sz w:val="28"/>
          <w:szCs w:val="28"/>
        </w:rPr>
        <w:t>prēķinpunkti</w:t>
      </w:r>
      <w:proofErr w:type="spellEnd"/>
      <w:r w:rsidRPr="00C42BBF">
        <w:rPr>
          <w:color w:val="000000"/>
          <w:sz w:val="28"/>
          <w:szCs w:val="28"/>
        </w:rPr>
        <w:t xml:space="preserve"> ir </w:t>
      </w:r>
      <w:r w:rsidRPr="00E12248">
        <w:rPr>
          <w:color w:val="000000"/>
          <w:sz w:val="28"/>
          <w:szCs w:val="28"/>
        </w:rPr>
        <w:t xml:space="preserve">norādīti šo noteikumu 1. pielikuma </w:t>
      </w:r>
      <w:r w:rsidR="00E713FB" w:rsidRPr="00E12248">
        <w:rPr>
          <w:color w:val="000000"/>
          <w:sz w:val="28"/>
          <w:szCs w:val="28"/>
        </w:rPr>
        <w:t>2. </w:t>
      </w:r>
      <w:r w:rsidR="00E12248">
        <w:rPr>
          <w:color w:val="000000"/>
          <w:sz w:val="28"/>
          <w:szCs w:val="28"/>
        </w:rPr>
        <w:t>punktā</w:t>
      </w:r>
      <w:r w:rsidRPr="00E12248">
        <w:rPr>
          <w:color w:val="000000"/>
          <w:sz w:val="28"/>
          <w:szCs w:val="28"/>
        </w:rPr>
        <w:t>;</w:t>
      </w:r>
    </w:p>
    <w:p w:rsidR="0055383E" w:rsidRPr="0055383E" w:rsidRDefault="00F0722C" w:rsidP="00D1364C">
      <w:pPr>
        <w:pStyle w:val="norm"/>
        <w:shd w:val="clear" w:color="auto" w:fill="FFFFFF"/>
        <w:spacing w:before="120" w:beforeAutospacing="0" w:after="120" w:afterAutospacing="0"/>
        <w:ind w:left="720"/>
        <w:jc w:val="both"/>
        <w:rPr>
          <w:sz w:val="28"/>
          <w:szCs w:val="28"/>
        </w:rPr>
      </w:pPr>
      <w:r w:rsidRPr="00F0722C">
        <w:rPr>
          <w:color w:val="000000"/>
          <w:sz w:val="28"/>
          <w:szCs w:val="28"/>
        </w:rPr>
        <w:t>3.4. </w:t>
      </w:r>
      <w:r w:rsidR="0055383E" w:rsidRPr="0055383E">
        <w:rPr>
          <w:sz w:val="28"/>
          <w:szCs w:val="28"/>
        </w:rPr>
        <w:t>iepakojuma no kompozītmateriāliem un cita no vairākiem materiāliem sastāvoša iepakojuma apjomu (īpatsvaru) aprēķina par katru iepakojumā ietverto materiāla veidu. No šīs prasības var atkāpties, ja konkrētā materiāla apjoms i</w:t>
      </w:r>
      <w:r w:rsidR="0055383E">
        <w:rPr>
          <w:sz w:val="28"/>
          <w:szCs w:val="28"/>
        </w:rPr>
        <w:t>epakojuma vienībā nepārsniedz piecus procentpunktus</w:t>
      </w:r>
      <w:r w:rsidR="0055383E" w:rsidRPr="0055383E">
        <w:rPr>
          <w:sz w:val="28"/>
          <w:szCs w:val="28"/>
        </w:rPr>
        <w:t xml:space="preserve"> no ie</w:t>
      </w:r>
      <w:r w:rsidR="0055383E">
        <w:rPr>
          <w:sz w:val="28"/>
          <w:szCs w:val="28"/>
        </w:rPr>
        <w:t>pakojuma vienības kopējās masas;</w:t>
      </w:r>
    </w:p>
    <w:p w:rsidR="00D1364C" w:rsidRDefault="00D1364C" w:rsidP="00D1364C">
      <w:pPr>
        <w:pStyle w:val="norm"/>
        <w:shd w:val="clear" w:color="auto" w:fill="FFFFFF"/>
        <w:spacing w:before="0" w:beforeAutospacing="0" w:after="12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D1364C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p</w:t>
      </w:r>
      <w:r w:rsidRPr="00C42BBF">
        <w:rPr>
          <w:color w:val="000000"/>
          <w:sz w:val="28"/>
          <w:szCs w:val="28"/>
        </w:rPr>
        <w:t xml:space="preserve">ārstrādātā izlietotā iepakojuma </w:t>
      </w:r>
      <w:r>
        <w:rPr>
          <w:color w:val="000000"/>
          <w:sz w:val="28"/>
          <w:szCs w:val="28"/>
        </w:rPr>
        <w:t xml:space="preserve">apjomā </w:t>
      </w:r>
      <w:r w:rsidRPr="00D1364C">
        <w:rPr>
          <w:sz w:val="28"/>
          <w:szCs w:val="28"/>
        </w:rPr>
        <w:t>var ņemt vērā pēc atkritumu sadedzināšanas atdalīto metālu daudzumu proporcionāli sadedzinātā izlietotā iepakojuma īpatsvaram ar no</w:t>
      </w:r>
      <w:r w:rsidR="00D33D87">
        <w:rPr>
          <w:sz w:val="28"/>
          <w:szCs w:val="28"/>
        </w:rPr>
        <w:t>sacījumu</w:t>
      </w:r>
      <w:r w:rsidRPr="00D1364C">
        <w:rPr>
          <w:sz w:val="28"/>
          <w:szCs w:val="28"/>
        </w:rPr>
        <w:t>, ka pārstrādātie metāli atbilst noteiktiem kvalitātes kritērijiem</w:t>
      </w:r>
      <w:r>
        <w:rPr>
          <w:sz w:val="28"/>
          <w:szCs w:val="28"/>
        </w:rPr>
        <w:t>;</w:t>
      </w:r>
    </w:p>
    <w:p w:rsidR="00923518" w:rsidRPr="00923518" w:rsidRDefault="00923518" w:rsidP="00923518">
      <w:pPr>
        <w:spacing w:after="120"/>
        <w:ind w:left="720"/>
        <w:jc w:val="both"/>
        <w:rPr>
          <w:sz w:val="28"/>
          <w:szCs w:val="28"/>
        </w:rPr>
      </w:pPr>
      <w:r w:rsidRPr="00923518">
        <w:rPr>
          <w:rFonts w:eastAsia="Calibri"/>
          <w:sz w:val="28"/>
          <w:szCs w:val="28"/>
          <w:lang w:eastAsia="en-US"/>
        </w:rPr>
        <w:t>3.</w:t>
      </w:r>
      <w:r w:rsidR="00D1364C">
        <w:rPr>
          <w:rFonts w:eastAsia="Calibri"/>
          <w:sz w:val="28"/>
          <w:szCs w:val="28"/>
          <w:lang w:eastAsia="en-US"/>
        </w:rPr>
        <w:t>6</w:t>
      </w:r>
      <w:r w:rsidRPr="00923518">
        <w:rPr>
          <w:rFonts w:eastAsia="Calibri"/>
          <w:sz w:val="28"/>
          <w:szCs w:val="28"/>
          <w:lang w:eastAsia="en-US"/>
        </w:rPr>
        <w:t>. </w:t>
      </w:r>
      <w:r w:rsidRPr="00923518">
        <w:rPr>
          <w:sz w:val="28"/>
          <w:szCs w:val="28"/>
        </w:rPr>
        <w:t>p</w:t>
      </w:r>
      <w:r>
        <w:rPr>
          <w:sz w:val="28"/>
          <w:szCs w:val="28"/>
        </w:rPr>
        <w:t>ārstrādātā</w:t>
      </w:r>
      <w:r w:rsidRPr="00923518">
        <w:rPr>
          <w:sz w:val="28"/>
          <w:szCs w:val="28"/>
        </w:rPr>
        <w:t xml:space="preserve"> </w:t>
      </w:r>
      <w:r>
        <w:rPr>
          <w:sz w:val="28"/>
          <w:szCs w:val="28"/>
        </w:rPr>
        <w:t>izlietot</w:t>
      </w:r>
      <w:r w:rsidR="001202F9">
        <w:rPr>
          <w:sz w:val="28"/>
          <w:szCs w:val="28"/>
        </w:rPr>
        <w:t xml:space="preserve">ā iepakojuma </w:t>
      </w:r>
      <w:r w:rsidR="00772203">
        <w:rPr>
          <w:sz w:val="28"/>
          <w:szCs w:val="28"/>
        </w:rPr>
        <w:t xml:space="preserve">apjomā </w:t>
      </w:r>
      <w:r w:rsidRPr="00923518">
        <w:rPr>
          <w:sz w:val="28"/>
          <w:szCs w:val="28"/>
        </w:rPr>
        <w:t xml:space="preserve">neieskaita izlietotā iepakojuma materiālus, kuri vairs nav atkritumi un kurus paredzēts izmantot kā kurināmo vai citu enerģijas ražošanas līdzekli vai kurus paredzēts izmantot sadedzināšanai, aizbēršanai vai apglabāšanai poligonā; </w:t>
      </w:r>
    </w:p>
    <w:p w:rsidR="001202F9" w:rsidRDefault="00772203" w:rsidP="001202F9">
      <w:pPr>
        <w:pStyle w:val="BodyText2"/>
        <w:ind w:left="720"/>
        <w:jc w:val="both"/>
        <w:rPr>
          <w:rFonts w:ascii="inherit" w:hAnsi="inherit"/>
          <w:color w:val="000000"/>
        </w:rPr>
      </w:pPr>
      <w:r>
        <w:rPr>
          <w:rFonts w:eastAsia="Calibri"/>
          <w:szCs w:val="28"/>
          <w:lang w:eastAsia="en-US"/>
        </w:rPr>
        <w:t>3.</w:t>
      </w:r>
      <w:r w:rsidR="00D1364C">
        <w:rPr>
          <w:rFonts w:eastAsia="Calibri"/>
          <w:szCs w:val="28"/>
          <w:lang w:eastAsia="en-US"/>
        </w:rPr>
        <w:t>7</w:t>
      </w:r>
      <w:r w:rsidR="00923518">
        <w:rPr>
          <w:rFonts w:eastAsia="Calibri"/>
          <w:szCs w:val="28"/>
          <w:lang w:eastAsia="en-US"/>
        </w:rPr>
        <w:t>. </w:t>
      </w:r>
      <w:r w:rsidR="006D63BB">
        <w:rPr>
          <w:rFonts w:ascii="inherit" w:hAnsi="inherit"/>
          <w:color w:val="000000"/>
        </w:rPr>
        <w:t>p</w:t>
      </w:r>
      <w:r w:rsidR="00923518">
        <w:rPr>
          <w:rFonts w:ascii="inherit" w:hAnsi="inherit"/>
          <w:color w:val="000000"/>
        </w:rPr>
        <w:t xml:space="preserve">ārstrādātā izlietotā iepakojuma </w:t>
      </w:r>
      <w:r>
        <w:rPr>
          <w:rFonts w:ascii="inherit" w:hAnsi="inherit"/>
          <w:color w:val="000000"/>
        </w:rPr>
        <w:t xml:space="preserve">apjomā </w:t>
      </w:r>
      <w:r w:rsidR="00923518">
        <w:rPr>
          <w:rFonts w:ascii="inherit" w:hAnsi="inherit"/>
          <w:color w:val="000000"/>
        </w:rPr>
        <w:t>neieskaita citus kopā ar izlietoto iepakojumu savāktos</w:t>
      </w:r>
      <w:r w:rsidR="001202F9">
        <w:rPr>
          <w:rFonts w:ascii="inherit" w:hAnsi="inherit"/>
          <w:color w:val="000000"/>
        </w:rPr>
        <w:t xml:space="preserve"> materiālus, kas nav iepakojums.</w:t>
      </w:r>
      <w:r w:rsidR="006A6F7B">
        <w:rPr>
          <w:rFonts w:ascii="inherit" w:hAnsi="inherit"/>
          <w:color w:val="000000"/>
        </w:rPr>
        <w:t>”</w:t>
      </w:r>
    </w:p>
    <w:p w:rsidR="00C42BBF" w:rsidRDefault="00C42BBF" w:rsidP="002A0FF4">
      <w:pPr>
        <w:pStyle w:val="BodyText2"/>
        <w:ind w:firstLine="720"/>
        <w:jc w:val="both"/>
        <w:rPr>
          <w:rFonts w:eastAsia="Calibri"/>
          <w:szCs w:val="28"/>
          <w:lang w:eastAsia="en-US"/>
        </w:rPr>
      </w:pPr>
    </w:p>
    <w:p w:rsidR="00FD2DFA" w:rsidRDefault="00FD2DFA" w:rsidP="00427BA5">
      <w:pPr>
        <w:pStyle w:val="BodyText2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 Papildināt ar 3.</w:t>
      </w:r>
      <w:r w:rsidRPr="00427BA5">
        <w:rPr>
          <w:rFonts w:eastAsia="Calibri"/>
          <w:szCs w:val="28"/>
          <w:vertAlign w:val="superscript"/>
          <w:lang w:eastAsia="en-US"/>
        </w:rPr>
        <w:t>1</w:t>
      </w:r>
      <w:r>
        <w:rPr>
          <w:rFonts w:eastAsia="Calibri"/>
          <w:szCs w:val="28"/>
          <w:lang w:eastAsia="en-US"/>
        </w:rPr>
        <w:t> punktu šādā redakcijā:</w:t>
      </w:r>
    </w:p>
    <w:p w:rsidR="00427BA5" w:rsidRPr="007D7DA1" w:rsidRDefault="00FD2DFA" w:rsidP="00427BA5">
      <w:pPr>
        <w:pStyle w:val="BodyText2"/>
        <w:ind w:firstLine="720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“</w:t>
      </w:r>
      <w:r w:rsidR="00427BA5">
        <w:rPr>
          <w:rFonts w:eastAsia="Calibri"/>
          <w:szCs w:val="28"/>
          <w:lang w:eastAsia="en-US"/>
        </w:rPr>
        <w:t>3.</w:t>
      </w:r>
      <w:r w:rsidR="00427BA5" w:rsidRPr="00427BA5">
        <w:rPr>
          <w:rFonts w:eastAsia="Calibri"/>
          <w:szCs w:val="28"/>
          <w:vertAlign w:val="superscript"/>
          <w:lang w:eastAsia="en-US"/>
        </w:rPr>
        <w:t>1</w:t>
      </w:r>
      <w:r w:rsidR="00427BA5">
        <w:rPr>
          <w:rFonts w:eastAsia="Calibri"/>
          <w:szCs w:val="28"/>
          <w:lang w:eastAsia="en-US"/>
        </w:rPr>
        <w:t xml:space="preserve"> Izlietotā iepakojuma pārstrādes mērķu izpildes aprēķināšana, ievērojot </w:t>
      </w:r>
      <w:r w:rsidR="00B16B06" w:rsidRPr="007D7DA1">
        <w:rPr>
          <w:szCs w:val="28"/>
        </w:rPr>
        <w:t>atkārtoti lietojamo</w:t>
      </w:r>
      <w:r w:rsidR="00427BA5" w:rsidRPr="007D7DA1">
        <w:rPr>
          <w:szCs w:val="28"/>
        </w:rPr>
        <w:t xml:space="preserve"> iepakojumu, kas pirmoreiz laists tirgū:</w:t>
      </w:r>
    </w:p>
    <w:p w:rsidR="00B16B06" w:rsidRDefault="00427BA5" w:rsidP="00FD2DFA">
      <w:pPr>
        <w:pStyle w:val="BodyText2"/>
        <w:spacing w:after="120"/>
        <w:ind w:left="720"/>
        <w:jc w:val="both"/>
        <w:rPr>
          <w:color w:val="000000"/>
        </w:rPr>
      </w:pPr>
      <w:r>
        <w:rPr>
          <w:rFonts w:eastAsia="Calibri"/>
          <w:szCs w:val="28"/>
          <w:lang w:eastAsia="en-US"/>
        </w:rPr>
        <w:t>3.</w:t>
      </w:r>
      <w:r w:rsidRPr="00427BA5">
        <w:rPr>
          <w:rFonts w:eastAsia="Calibri"/>
          <w:szCs w:val="28"/>
          <w:vertAlign w:val="superscript"/>
          <w:lang w:eastAsia="en-US"/>
        </w:rPr>
        <w:t>1</w:t>
      </w:r>
      <w:r>
        <w:rPr>
          <w:rFonts w:eastAsia="Calibri"/>
          <w:szCs w:val="28"/>
          <w:lang w:eastAsia="en-US"/>
        </w:rPr>
        <w:t>1. </w:t>
      </w:r>
      <w:r w:rsidR="007D7DA1">
        <w:rPr>
          <w:rFonts w:eastAsia="Calibri"/>
          <w:szCs w:val="28"/>
          <w:lang w:eastAsia="en-US"/>
        </w:rPr>
        <w:t>a</w:t>
      </w:r>
      <w:r w:rsidR="007D7DA1">
        <w:rPr>
          <w:szCs w:val="28"/>
        </w:rPr>
        <w:t xml:space="preserve">prēķina </w:t>
      </w:r>
      <w:r w:rsidR="00B16B06">
        <w:rPr>
          <w:szCs w:val="28"/>
        </w:rPr>
        <w:t>atkārtoti lietojam</w:t>
      </w:r>
      <w:r w:rsidR="00471A61">
        <w:rPr>
          <w:szCs w:val="28"/>
        </w:rPr>
        <w:t>ā</w:t>
      </w:r>
      <w:r w:rsidR="00B16B06" w:rsidRPr="006510C6">
        <w:rPr>
          <w:szCs w:val="28"/>
        </w:rPr>
        <w:t xml:space="preserve"> primār</w:t>
      </w:r>
      <w:r w:rsidR="00471A61">
        <w:rPr>
          <w:szCs w:val="28"/>
        </w:rPr>
        <w:t>ā</w:t>
      </w:r>
      <w:r w:rsidR="00B16B06" w:rsidRPr="006510C6">
        <w:rPr>
          <w:szCs w:val="28"/>
        </w:rPr>
        <w:t xml:space="preserve"> iepakojum</w:t>
      </w:r>
      <w:r w:rsidR="00471A61">
        <w:rPr>
          <w:szCs w:val="28"/>
        </w:rPr>
        <w:t>a</w:t>
      </w:r>
      <w:r w:rsidR="003E34A7">
        <w:rPr>
          <w:szCs w:val="28"/>
        </w:rPr>
        <w:t xml:space="preserve"> </w:t>
      </w:r>
      <w:r w:rsidR="00471A61">
        <w:rPr>
          <w:color w:val="000000"/>
        </w:rPr>
        <w:t xml:space="preserve">vidējo īpatsvaru </w:t>
      </w:r>
      <w:r w:rsidR="00471A61" w:rsidRPr="00E12248">
        <w:rPr>
          <w:color w:val="000000"/>
        </w:rPr>
        <w:t xml:space="preserve">iepriekšējos trijos gados </w:t>
      </w:r>
      <w:r w:rsidR="003E34A7" w:rsidRPr="00E12248">
        <w:rPr>
          <w:szCs w:val="28"/>
        </w:rPr>
        <w:t>atbils</w:t>
      </w:r>
      <w:r w:rsidR="00C33B6A" w:rsidRPr="00E12248">
        <w:rPr>
          <w:szCs w:val="28"/>
        </w:rPr>
        <w:t>toši šo</w:t>
      </w:r>
      <w:r w:rsidR="003E34A7" w:rsidRPr="00E12248">
        <w:rPr>
          <w:szCs w:val="28"/>
        </w:rPr>
        <w:t xml:space="preserve"> noteikumu </w:t>
      </w:r>
      <w:r w:rsidR="00E12248" w:rsidRPr="00E12248">
        <w:rPr>
          <w:szCs w:val="28"/>
        </w:rPr>
        <w:t>4. </w:t>
      </w:r>
      <w:r w:rsidR="003E34A7" w:rsidRPr="00E12248">
        <w:rPr>
          <w:szCs w:val="28"/>
        </w:rPr>
        <w:t xml:space="preserve">pielikuma </w:t>
      </w:r>
      <w:r w:rsidR="00E12248" w:rsidRPr="00E12248">
        <w:rPr>
          <w:szCs w:val="28"/>
        </w:rPr>
        <w:t>2.</w:t>
      </w:r>
      <w:r w:rsidR="00E12248" w:rsidRPr="00E12248">
        <w:t> punktam</w:t>
      </w:r>
      <w:r w:rsidR="007F5487" w:rsidRPr="00E12248">
        <w:rPr>
          <w:szCs w:val="28"/>
        </w:rPr>
        <w:t>;</w:t>
      </w:r>
    </w:p>
    <w:p w:rsidR="007821B9" w:rsidRPr="007821B9" w:rsidRDefault="00471A61" w:rsidP="00FD2DFA">
      <w:pPr>
        <w:pStyle w:val="norm"/>
        <w:shd w:val="clear" w:color="auto" w:fill="FFFFFF"/>
        <w:spacing w:before="0" w:beforeAutospacing="0" w:after="120" w:afterAutospacing="0"/>
        <w:ind w:left="720"/>
        <w:jc w:val="both"/>
        <w:rPr>
          <w:rFonts w:eastAsia="Calibri"/>
          <w:sz w:val="28"/>
          <w:szCs w:val="28"/>
          <w:lang w:eastAsia="en-US"/>
        </w:rPr>
      </w:pPr>
      <w:r w:rsidRPr="007821B9">
        <w:rPr>
          <w:rFonts w:eastAsia="Calibri"/>
          <w:sz w:val="28"/>
          <w:szCs w:val="28"/>
          <w:lang w:eastAsia="en-US"/>
        </w:rPr>
        <w:t>3.</w:t>
      </w:r>
      <w:r w:rsidRPr="007821B9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7821B9">
        <w:rPr>
          <w:rFonts w:eastAsia="Calibri"/>
          <w:sz w:val="28"/>
          <w:szCs w:val="28"/>
          <w:lang w:eastAsia="en-US"/>
        </w:rPr>
        <w:t>2. a</w:t>
      </w:r>
      <w:r w:rsidR="003E34A7" w:rsidRPr="007821B9">
        <w:rPr>
          <w:color w:val="000000"/>
          <w:sz w:val="28"/>
          <w:szCs w:val="28"/>
        </w:rPr>
        <w:t xml:space="preserve">tskaita no konkrētajā gadā </w:t>
      </w:r>
      <w:r w:rsidR="007D37FB">
        <w:rPr>
          <w:color w:val="000000"/>
          <w:sz w:val="28"/>
          <w:szCs w:val="28"/>
        </w:rPr>
        <w:t xml:space="preserve">radītā </w:t>
      </w:r>
      <w:r w:rsidRPr="007821B9">
        <w:rPr>
          <w:color w:val="000000"/>
          <w:sz w:val="28"/>
          <w:szCs w:val="28"/>
        </w:rPr>
        <w:t xml:space="preserve">iepakojuma apjoma </w:t>
      </w:r>
      <w:r w:rsidR="003B1E1B" w:rsidRPr="007821B9">
        <w:rPr>
          <w:color w:val="000000"/>
          <w:sz w:val="28"/>
          <w:szCs w:val="28"/>
        </w:rPr>
        <w:t xml:space="preserve">piecus procentpunktus no </w:t>
      </w:r>
      <w:r w:rsidR="003B1E1B" w:rsidRPr="007821B9">
        <w:rPr>
          <w:sz w:val="28"/>
          <w:szCs w:val="28"/>
        </w:rPr>
        <w:t xml:space="preserve">atkārtoti lietojamā primārā iepakojuma apjoma, kas </w:t>
      </w:r>
      <w:r w:rsidR="007821B9" w:rsidRPr="007821B9">
        <w:rPr>
          <w:sz w:val="28"/>
          <w:szCs w:val="28"/>
        </w:rPr>
        <w:t>aprēķināts</w:t>
      </w:r>
      <w:r w:rsidR="007821B9" w:rsidRPr="007821B9">
        <w:rPr>
          <w:color w:val="000000"/>
          <w:sz w:val="28"/>
          <w:szCs w:val="28"/>
        </w:rPr>
        <w:t xml:space="preserve"> atbilstoši šo noteikumu </w:t>
      </w:r>
      <w:r w:rsidR="007821B9" w:rsidRPr="007821B9">
        <w:rPr>
          <w:rFonts w:eastAsia="Calibri"/>
          <w:sz w:val="28"/>
          <w:szCs w:val="28"/>
          <w:lang w:eastAsia="en-US"/>
        </w:rPr>
        <w:t>3.</w:t>
      </w:r>
      <w:r w:rsidR="007821B9" w:rsidRPr="007821B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7821B9">
        <w:rPr>
          <w:rFonts w:eastAsia="Calibri"/>
          <w:sz w:val="28"/>
          <w:szCs w:val="28"/>
          <w:lang w:eastAsia="en-US"/>
        </w:rPr>
        <w:t>1. apakšpunktam;</w:t>
      </w:r>
    </w:p>
    <w:p w:rsidR="007821B9" w:rsidRPr="007821B9" w:rsidRDefault="007821B9" w:rsidP="00FD2DFA">
      <w:pPr>
        <w:pStyle w:val="norm"/>
        <w:shd w:val="clear" w:color="auto" w:fill="FFFFFF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7821B9">
        <w:rPr>
          <w:rFonts w:eastAsia="Calibri"/>
          <w:sz w:val="28"/>
          <w:szCs w:val="28"/>
          <w:lang w:eastAsia="en-US"/>
        </w:rPr>
        <w:t>3.</w:t>
      </w:r>
      <w:r w:rsidRPr="007821B9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7821B9">
        <w:rPr>
          <w:rFonts w:eastAsia="Calibri"/>
          <w:sz w:val="28"/>
          <w:szCs w:val="28"/>
          <w:lang w:eastAsia="en-US"/>
        </w:rPr>
        <w:t>3. </w:t>
      </w:r>
      <w:r w:rsidRPr="007821B9">
        <w:rPr>
          <w:color w:val="000000"/>
          <w:sz w:val="28"/>
          <w:szCs w:val="28"/>
        </w:rPr>
        <w:t xml:space="preserve">atkārtotai izmantošanai paredzētā salabotā koka iepakojuma </w:t>
      </w:r>
      <w:r>
        <w:rPr>
          <w:color w:val="000000"/>
          <w:sz w:val="28"/>
          <w:szCs w:val="28"/>
        </w:rPr>
        <w:t xml:space="preserve">apjomu </w:t>
      </w:r>
      <w:r w:rsidRPr="007821B9">
        <w:rPr>
          <w:color w:val="000000"/>
          <w:sz w:val="28"/>
          <w:szCs w:val="28"/>
        </w:rPr>
        <w:t xml:space="preserve">pieskaita gan radītā izlietotā iepakojuma </w:t>
      </w:r>
      <w:r w:rsidR="007D37FB">
        <w:rPr>
          <w:color w:val="000000"/>
          <w:sz w:val="28"/>
          <w:szCs w:val="28"/>
        </w:rPr>
        <w:t>apjomam</w:t>
      </w:r>
      <w:r w:rsidRPr="007821B9">
        <w:rPr>
          <w:color w:val="000000"/>
          <w:sz w:val="28"/>
          <w:szCs w:val="28"/>
        </w:rPr>
        <w:t>, gan pārstrādātā iz</w:t>
      </w:r>
      <w:r w:rsidR="009A592F">
        <w:rPr>
          <w:color w:val="000000"/>
          <w:sz w:val="28"/>
          <w:szCs w:val="28"/>
        </w:rPr>
        <w:t xml:space="preserve">lietotā </w:t>
      </w:r>
      <w:r w:rsidRPr="007821B9">
        <w:rPr>
          <w:color w:val="000000"/>
          <w:sz w:val="28"/>
          <w:szCs w:val="28"/>
        </w:rPr>
        <w:t>iepakojuma</w:t>
      </w:r>
      <w:r w:rsidR="009A592F">
        <w:rPr>
          <w:color w:val="000000"/>
          <w:sz w:val="28"/>
          <w:szCs w:val="28"/>
        </w:rPr>
        <w:t xml:space="preserve"> apjomam</w:t>
      </w:r>
      <w:r w:rsidRPr="007821B9">
        <w:rPr>
          <w:color w:val="000000"/>
          <w:sz w:val="28"/>
          <w:szCs w:val="28"/>
        </w:rPr>
        <w:t>.</w:t>
      </w:r>
      <w:r w:rsidR="00FD2DFA">
        <w:rPr>
          <w:color w:val="000000"/>
          <w:sz w:val="28"/>
          <w:szCs w:val="28"/>
        </w:rPr>
        <w:t>”</w:t>
      </w:r>
    </w:p>
    <w:p w:rsidR="007821B9" w:rsidRDefault="00FD2DFA" w:rsidP="00FD2DFA">
      <w:pPr>
        <w:pStyle w:val="norm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</w:p>
    <w:p w:rsidR="00FD2DFA" w:rsidRPr="00313637" w:rsidRDefault="00FD2DFA" w:rsidP="00FD2DFA">
      <w:pPr>
        <w:pStyle w:val="norm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13637">
        <w:rPr>
          <w:color w:val="000000"/>
          <w:sz w:val="28"/>
          <w:szCs w:val="28"/>
        </w:rPr>
        <w:t>5. Papildināt ar 20.</w:t>
      </w:r>
      <w:r w:rsidRPr="00313637">
        <w:rPr>
          <w:color w:val="000000"/>
          <w:sz w:val="28"/>
          <w:szCs w:val="28"/>
          <w:vertAlign w:val="superscript"/>
        </w:rPr>
        <w:t>1</w:t>
      </w:r>
      <w:r w:rsidRPr="00313637">
        <w:rPr>
          <w:color w:val="000000"/>
          <w:sz w:val="28"/>
          <w:szCs w:val="28"/>
        </w:rPr>
        <w:t xml:space="preserve"> un 20.</w:t>
      </w:r>
      <w:r w:rsidRPr="00313637">
        <w:rPr>
          <w:color w:val="000000"/>
          <w:sz w:val="28"/>
          <w:szCs w:val="28"/>
          <w:vertAlign w:val="superscript"/>
        </w:rPr>
        <w:t>2</w:t>
      </w:r>
      <w:r w:rsidRPr="00313637">
        <w:rPr>
          <w:color w:val="000000"/>
          <w:sz w:val="28"/>
          <w:szCs w:val="28"/>
        </w:rPr>
        <w:t xml:space="preserve"> punktu šādā redakcijā:</w:t>
      </w:r>
    </w:p>
    <w:p w:rsidR="00FD2DFA" w:rsidRPr="00313637" w:rsidRDefault="00FD2DFA" w:rsidP="009A592F">
      <w:pPr>
        <w:pStyle w:val="BodyText2"/>
        <w:ind w:firstLine="720"/>
        <w:jc w:val="both"/>
        <w:rPr>
          <w:szCs w:val="28"/>
        </w:rPr>
      </w:pPr>
      <w:r w:rsidRPr="00313637">
        <w:rPr>
          <w:rFonts w:eastAsia="Calibri"/>
          <w:szCs w:val="28"/>
          <w:lang w:eastAsia="en-US"/>
        </w:rPr>
        <w:t>“</w:t>
      </w:r>
      <w:r w:rsidRPr="00313637">
        <w:rPr>
          <w:szCs w:val="28"/>
        </w:rPr>
        <w:t>20.</w:t>
      </w:r>
      <w:r w:rsidRPr="00313637">
        <w:rPr>
          <w:szCs w:val="28"/>
          <w:vertAlign w:val="superscript"/>
        </w:rPr>
        <w:t>1</w:t>
      </w:r>
      <w:r w:rsidRPr="00313637">
        <w:rPr>
          <w:szCs w:val="28"/>
        </w:rPr>
        <w:t> </w:t>
      </w:r>
      <w:r w:rsidR="00636D54" w:rsidRPr="00313637">
        <w:rPr>
          <w:szCs w:val="28"/>
        </w:rPr>
        <w:t>Ziņojuma paraugs</w:t>
      </w:r>
      <w:r w:rsidRPr="00313637">
        <w:rPr>
          <w:szCs w:val="28"/>
        </w:rPr>
        <w:t xml:space="preserve"> par valstī izlietotā iepakojuma apjomu, materiālu veidiem un apsaimniekošanu</w:t>
      </w:r>
      <w:r w:rsidR="00636D54" w:rsidRPr="00313637">
        <w:rPr>
          <w:szCs w:val="28"/>
        </w:rPr>
        <w:t xml:space="preserve">, ko gatavo </w:t>
      </w:r>
      <w:r w:rsidR="00305ED4" w:rsidRPr="00313637">
        <w:rPr>
          <w:szCs w:val="28"/>
        </w:rPr>
        <w:t>Valsts vides dienest</w:t>
      </w:r>
      <w:r w:rsidR="00305ED4" w:rsidRPr="00313637">
        <w:rPr>
          <w:szCs w:val="28"/>
        </w:rPr>
        <w:t>s,</w:t>
      </w:r>
      <w:r w:rsidR="00305ED4" w:rsidRPr="00313637">
        <w:rPr>
          <w:szCs w:val="28"/>
        </w:rPr>
        <w:t xml:space="preserve"> </w:t>
      </w:r>
      <w:r w:rsidRPr="00313637">
        <w:rPr>
          <w:szCs w:val="28"/>
          <w:shd w:val="clear" w:color="auto" w:fill="FFFFFF"/>
        </w:rPr>
        <w:t>ir norādīts šo noteikumu 4. pielikumā.</w:t>
      </w:r>
      <w:r w:rsidR="00E12248" w:rsidRPr="00313637">
        <w:rPr>
          <w:szCs w:val="28"/>
          <w:shd w:val="clear" w:color="auto" w:fill="FFFFFF"/>
        </w:rPr>
        <w:t xml:space="preserve"> Ziņojumu papildina ar kvalitātes pārbaudes ziņojumu</w:t>
      </w:r>
      <w:r w:rsidR="0097562E" w:rsidRPr="00313637">
        <w:rPr>
          <w:szCs w:val="28"/>
          <w:shd w:val="clear" w:color="auto" w:fill="FFFFFF"/>
        </w:rPr>
        <w:t>.</w:t>
      </w:r>
      <w:hyperlink r:id="rId13" w:anchor="piel3" w:history="1"/>
    </w:p>
    <w:p w:rsidR="00FD2DFA" w:rsidRPr="00313637" w:rsidRDefault="00FD2DFA" w:rsidP="009A592F">
      <w:pPr>
        <w:pStyle w:val="BodyText2"/>
        <w:ind w:firstLine="720"/>
        <w:jc w:val="both"/>
        <w:rPr>
          <w:szCs w:val="28"/>
        </w:rPr>
      </w:pPr>
    </w:p>
    <w:p w:rsidR="002973FE" w:rsidRDefault="00F134A3" w:rsidP="00F134A3">
      <w:pPr>
        <w:pStyle w:val="BodyText2"/>
        <w:ind w:firstLine="720"/>
        <w:jc w:val="both"/>
        <w:rPr>
          <w:szCs w:val="28"/>
        </w:rPr>
      </w:pPr>
      <w:r w:rsidRPr="00313637">
        <w:rPr>
          <w:color w:val="000000"/>
          <w:szCs w:val="28"/>
        </w:rPr>
        <w:t>20.</w:t>
      </w:r>
      <w:r w:rsidRPr="00313637">
        <w:rPr>
          <w:color w:val="000000"/>
          <w:szCs w:val="28"/>
          <w:vertAlign w:val="superscript"/>
        </w:rPr>
        <w:t>2</w:t>
      </w:r>
      <w:r w:rsidRPr="00313637">
        <w:rPr>
          <w:color w:val="000000"/>
          <w:szCs w:val="28"/>
        </w:rPr>
        <w:t> </w:t>
      </w:r>
      <w:r w:rsidRPr="00313637">
        <w:rPr>
          <w:szCs w:val="28"/>
        </w:rPr>
        <w:t>Vides aizsardzības un reģionālās attīstības ministrija</w:t>
      </w:r>
      <w:r w:rsidR="00327526" w:rsidRPr="00313637">
        <w:rPr>
          <w:szCs w:val="28"/>
        </w:rPr>
        <w:t xml:space="preserve">, ja nepieciešams lūgt izlietotā iepakojuma pārstrādes </w:t>
      </w:r>
      <w:r w:rsidR="002973FE" w:rsidRPr="00313637">
        <w:rPr>
          <w:szCs w:val="28"/>
        </w:rPr>
        <w:t xml:space="preserve">mērķu sasniegšanas termiņu pagarināšanu, sagatavo </w:t>
      </w:r>
      <w:r w:rsidR="002973FE" w:rsidRPr="00313637">
        <w:rPr>
          <w:szCs w:val="28"/>
        </w:rPr>
        <w:t>Īstenošanas plānu</w:t>
      </w:r>
      <w:r w:rsidR="002973FE" w:rsidRPr="00313637">
        <w:rPr>
          <w:szCs w:val="28"/>
        </w:rPr>
        <w:t xml:space="preserve"> </w:t>
      </w:r>
      <w:r w:rsidR="002973FE" w:rsidRPr="00313637">
        <w:rPr>
          <w:szCs w:val="28"/>
        </w:rPr>
        <w:t>atbilstoši šo noteikumu 5. pielikumam</w:t>
      </w:r>
      <w:r w:rsidR="002973FE" w:rsidRPr="00313637">
        <w:rPr>
          <w:szCs w:val="28"/>
        </w:rPr>
        <w:t xml:space="preserve"> un </w:t>
      </w:r>
      <w:r w:rsidRPr="00313637">
        <w:rPr>
          <w:szCs w:val="28"/>
        </w:rPr>
        <w:t xml:space="preserve">ne vēlāk kā līdz 2023. gada 31. decembrim </w:t>
      </w:r>
      <w:r w:rsidR="002973FE" w:rsidRPr="00313637">
        <w:rPr>
          <w:szCs w:val="28"/>
        </w:rPr>
        <w:t xml:space="preserve">iesniedz to </w:t>
      </w:r>
      <w:r w:rsidR="002973FE" w:rsidRPr="00313637">
        <w:rPr>
          <w:szCs w:val="28"/>
        </w:rPr>
        <w:t>Eiropas Komisijai</w:t>
      </w:r>
      <w:r w:rsidR="002973FE" w:rsidRPr="00313637">
        <w:rPr>
          <w:szCs w:val="28"/>
        </w:rPr>
        <w:t>.</w:t>
      </w:r>
      <w:r w:rsidR="006A6F7B" w:rsidRPr="00313637">
        <w:rPr>
          <w:szCs w:val="28"/>
        </w:rPr>
        <w:t>”</w:t>
      </w:r>
      <w:bookmarkStart w:id="2" w:name="_GoBack"/>
      <w:bookmarkEnd w:id="2"/>
    </w:p>
    <w:p w:rsidR="00327526" w:rsidRDefault="00327526" w:rsidP="00F134A3">
      <w:pPr>
        <w:pStyle w:val="BodyText2"/>
        <w:ind w:firstLine="720"/>
        <w:jc w:val="both"/>
        <w:rPr>
          <w:szCs w:val="28"/>
        </w:rPr>
      </w:pPr>
    </w:p>
    <w:p w:rsidR="005447C2" w:rsidRDefault="002973FE" w:rsidP="00D900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47C2">
        <w:rPr>
          <w:sz w:val="28"/>
          <w:szCs w:val="28"/>
        </w:rPr>
        <w:t>. Papildināt ar 32. punktu šādā redakcijā:</w:t>
      </w:r>
    </w:p>
    <w:p w:rsidR="005447C2" w:rsidRDefault="005447C2" w:rsidP="00D900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“32. Šo noteikumu 6., 7., 8., 10., 15.</w:t>
      </w:r>
      <w:r w:rsidR="003667B8">
        <w:rPr>
          <w:sz w:val="28"/>
          <w:szCs w:val="28"/>
        </w:rPr>
        <w:t>, 16.</w:t>
      </w:r>
      <w:r>
        <w:rPr>
          <w:sz w:val="28"/>
          <w:szCs w:val="28"/>
        </w:rPr>
        <w:t xml:space="preserve"> un 17. punkts zaudē spēku 2022</w:t>
      </w:r>
      <w:r w:rsidRPr="00257B3D">
        <w:rPr>
          <w:sz w:val="28"/>
          <w:szCs w:val="28"/>
        </w:rPr>
        <w:t>. gada 1. janvārī</w:t>
      </w:r>
      <w:r>
        <w:rPr>
          <w:sz w:val="28"/>
          <w:szCs w:val="28"/>
        </w:rPr>
        <w:t>.”</w:t>
      </w:r>
    </w:p>
    <w:p w:rsidR="005447C2" w:rsidRDefault="005447C2" w:rsidP="00D900B7">
      <w:pPr>
        <w:ind w:firstLine="720"/>
        <w:jc w:val="both"/>
        <w:rPr>
          <w:sz w:val="28"/>
          <w:szCs w:val="28"/>
        </w:rPr>
      </w:pPr>
    </w:p>
    <w:p w:rsidR="00D900B7" w:rsidRPr="00C71E12" w:rsidRDefault="002973FE" w:rsidP="005447C2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D900B7" w:rsidRPr="00C71E12">
        <w:rPr>
          <w:sz w:val="28"/>
          <w:szCs w:val="28"/>
        </w:rPr>
        <w:t>.</w:t>
      </w:r>
      <w:r w:rsidR="005447C2" w:rsidRPr="00C71E12">
        <w:rPr>
          <w:sz w:val="28"/>
          <w:szCs w:val="28"/>
        </w:rPr>
        <w:t> </w:t>
      </w:r>
      <w:r w:rsidR="00D900B7" w:rsidRPr="00C71E12">
        <w:rPr>
          <w:sz w:val="28"/>
          <w:szCs w:val="28"/>
        </w:rPr>
        <w:t>Papildināt informatīv</w:t>
      </w:r>
      <w:r w:rsidR="005447C2" w:rsidRPr="00C71E12">
        <w:rPr>
          <w:sz w:val="28"/>
          <w:szCs w:val="28"/>
        </w:rPr>
        <w:t>as</w:t>
      </w:r>
      <w:r w:rsidR="00D900B7" w:rsidRPr="00C71E12">
        <w:rPr>
          <w:sz w:val="28"/>
          <w:szCs w:val="28"/>
        </w:rPr>
        <w:t xml:space="preserve"> atsauc</w:t>
      </w:r>
      <w:r w:rsidR="005447C2" w:rsidRPr="00C71E12">
        <w:rPr>
          <w:sz w:val="28"/>
          <w:szCs w:val="28"/>
        </w:rPr>
        <w:t xml:space="preserve">es uz </w:t>
      </w:r>
      <w:r w:rsidR="00D900B7" w:rsidRPr="00C71E12">
        <w:rPr>
          <w:sz w:val="28"/>
          <w:szCs w:val="28"/>
        </w:rPr>
        <w:t>Eiropas Savienības direktīvām</w:t>
      </w:r>
      <w:r w:rsidR="005447C2" w:rsidRPr="00C71E12">
        <w:rPr>
          <w:sz w:val="28"/>
          <w:szCs w:val="28"/>
        </w:rPr>
        <w:t xml:space="preserve"> 1. </w:t>
      </w:r>
      <w:r w:rsidR="00F77DA3" w:rsidRPr="00C71E12">
        <w:rPr>
          <w:sz w:val="28"/>
          <w:szCs w:val="28"/>
        </w:rPr>
        <w:t>punktu ar 5) </w:t>
      </w:r>
      <w:r w:rsidR="005447C2" w:rsidRPr="00C71E12">
        <w:rPr>
          <w:sz w:val="28"/>
          <w:szCs w:val="28"/>
        </w:rPr>
        <w:t>apakšpunktu šādā redakcijā:</w:t>
      </w:r>
    </w:p>
    <w:p w:rsidR="00D900B7" w:rsidRPr="005C1ADD" w:rsidRDefault="001D1072" w:rsidP="00F77DA3">
      <w:pPr>
        <w:ind w:left="57" w:right="57" w:firstLine="663"/>
        <w:jc w:val="both"/>
        <w:rPr>
          <w:sz w:val="28"/>
          <w:szCs w:val="28"/>
        </w:rPr>
      </w:pPr>
      <w:r>
        <w:rPr>
          <w:iCs/>
          <w:sz w:val="28"/>
          <w:szCs w:val="28"/>
        </w:rPr>
        <w:t>“</w:t>
      </w:r>
      <w:r w:rsidR="00C71E12" w:rsidRPr="00C71E12">
        <w:rPr>
          <w:iCs/>
          <w:sz w:val="28"/>
          <w:szCs w:val="28"/>
        </w:rPr>
        <w:t>5</w:t>
      </w:r>
      <w:r w:rsidR="00F77DA3" w:rsidRPr="00C71E12">
        <w:rPr>
          <w:iCs/>
          <w:sz w:val="28"/>
          <w:szCs w:val="28"/>
        </w:rPr>
        <w:t>) </w:t>
      </w:r>
      <w:r w:rsidR="00D900B7" w:rsidRPr="00C71E12">
        <w:rPr>
          <w:sz w:val="28"/>
          <w:szCs w:val="28"/>
        </w:rPr>
        <w:t>Eiropas Parlamenta un Padomes 2018. gada 30. maija Direktīvas (ES) 2018/852, ar ko groza Direktīvu 94/62/EK par iep</w:t>
      </w:r>
      <w:r w:rsidR="00F77DA3" w:rsidRPr="00C71E12">
        <w:rPr>
          <w:sz w:val="28"/>
          <w:szCs w:val="28"/>
        </w:rPr>
        <w:t>akojumu un izlietoto iepakojumu.”</w:t>
      </w:r>
    </w:p>
    <w:p w:rsidR="003316E3" w:rsidRDefault="003316E3" w:rsidP="00D900B7">
      <w:pPr>
        <w:shd w:val="clear" w:color="auto" w:fill="FFFFFF"/>
        <w:ind w:firstLine="301"/>
        <w:rPr>
          <w:sz w:val="28"/>
          <w:szCs w:val="28"/>
        </w:rPr>
      </w:pPr>
    </w:p>
    <w:p w:rsidR="003316E3" w:rsidRDefault="003316E3" w:rsidP="00D900B7">
      <w:pPr>
        <w:shd w:val="clear" w:color="auto" w:fill="FFFFFF"/>
        <w:ind w:firstLine="301"/>
        <w:rPr>
          <w:sz w:val="28"/>
          <w:szCs w:val="28"/>
        </w:rPr>
      </w:pPr>
    </w:p>
    <w:p w:rsidR="00F77DA3" w:rsidRDefault="002973FE" w:rsidP="00D900B7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F77DA3">
        <w:rPr>
          <w:sz w:val="28"/>
          <w:szCs w:val="28"/>
        </w:rPr>
        <w:t>. Izteikt 1. pielikumu šādā redakcijā:</w:t>
      </w:r>
    </w:p>
    <w:p w:rsidR="00337443" w:rsidRDefault="00337443" w:rsidP="00D900B7">
      <w:pPr>
        <w:shd w:val="clear" w:color="auto" w:fill="FFFFFF"/>
        <w:ind w:firstLine="720"/>
        <w:rPr>
          <w:sz w:val="28"/>
          <w:szCs w:val="28"/>
        </w:rPr>
      </w:pPr>
    </w:p>
    <w:p w:rsidR="00D900B7" w:rsidRPr="00E12248" w:rsidRDefault="00AA3326" w:rsidP="00D900B7">
      <w:pPr>
        <w:shd w:val="clear" w:color="auto" w:fill="FFFFFF"/>
        <w:spacing w:after="120"/>
        <w:ind w:firstLine="301"/>
        <w:jc w:val="center"/>
        <w:rPr>
          <w:b/>
          <w:bCs/>
        </w:rPr>
      </w:pPr>
      <w:r w:rsidRPr="00E12248">
        <w:rPr>
          <w:b/>
          <w:bCs/>
        </w:rPr>
        <w:t>“</w:t>
      </w:r>
      <w:r w:rsidR="00C0483C" w:rsidRPr="00E12248">
        <w:rPr>
          <w:b/>
          <w:bCs/>
        </w:rPr>
        <w:t>1. </w:t>
      </w:r>
      <w:r w:rsidR="00337443" w:rsidRPr="00E12248">
        <w:rPr>
          <w:b/>
          <w:bCs/>
        </w:rPr>
        <w:t>Visa i</w:t>
      </w:r>
      <w:r w:rsidR="00D900B7" w:rsidRPr="00E12248">
        <w:rPr>
          <w:b/>
          <w:bCs/>
        </w:rPr>
        <w:t xml:space="preserve">zlietotā iepakojuma </w:t>
      </w:r>
      <w:r w:rsidR="00337443" w:rsidRPr="00E12248">
        <w:rPr>
          <w:b/>
          <w:bCs/>
        </w:rPr>
        <w:t>un dažādu iepakojuma</w:t>
      </w:r>
      <w:r w:rsidR="00D900B7" w:rsidRPr="00E12248">
        <w:rPr>
          <w:b/>
          <w:bCs/>
        </w:rPr>
        <w:t xml:space="preserve"> veidu pārstrādes un reģenerācij</w:t>
      </w:r>
      <w:r w:rsidR="00AC7837" w:rsidRPr="00E12248">
        <w:rPr>
          <w:b/>
          <w:bCs/>
        </w:rPr>
        <w:t>as apjomi (īpatsvars %) līdz 20</w:t>
      </w:r>
      <w:r w:rsidR="00E4012F" w:rsidRPr="00E12248">
        <w:rPr>
          <w:b/>
          <w:bCs/>
        </w:rPr>
        <w:t>21</w:t>
      </w:r>
      <w:r w:rsidR="00D900B7" w:rsidRPr="00E12248">
        <w:rPr>
          <w:b/>
          <w:bCs/>
        </w:rPr>
        <w:t>. gada 31. decembrim</w:t>
      </w:r>
      <w:r w:rsidR="00783FAA" w:rsidRPr="00E12248">
        <w:rPr>
          <w:b/>
          <w:bCs/>
        </w:rPr>
        <w:t xml:space="preserve"> </w:t>
      </w:r>
      <w:r w:rsidR="00783FAA" w:rsidRPr="00E12248"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126"/>
        <w:gridCol w:w="2693"/>
      </w:tblGrid>
      <w:tr w:rsidR="00783FAA" w:rsidRPr="00E12248" w:rsidTr="00783FAA">
        <w:tc>
          <w:tcPr>
            <w:tcW w:w="534" w:type="dxa"/>
            <w:vMerge w:val="restart"/>
            <w:shd w:val="clear" w:color="auto" w:fill="auto"/>
          </w:tcPr>
          <w:p w:rsidR="00783FAA" w:rsidRPr="00E12248" w:rsidRDefault="00783FAA" w:rsidP="00576279">
            <w:pPr>
              <w:spacing w:after="120"/>
              <w:jc w:val="both"/>
              <w:rPr>
                <w:rFonts w:eastAsia="Calibri"/>
                <w:lang w:eastAsia="en-US"/>
              </w:rPr>
            </w:pPr>
            <w:proofErr w:type="spellStart"/>
            <w:r w:rsidRPr="00E12248">
              <w:rPr>
                <w:rFonts w:eastAsia="Calibri"/>
                <w:lang w:eastAsia="en-US"/>
              </w:rPr>
              <w:t>Nr.p.k</w:t>
            </w:r>
            <w:proofErr w:type="spellEnd"/>
            <w:r w:rsidRPr="00E1224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83FAA" w:rsidRPr="00E12248" w:rsidRDefault="00783FAA" w:rsidP="00576279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E12248">
              <w:rPr>
                <w:rFonts w:eastAsia="Calibri"/>
                <w:lang w:eastAsia="en-US"/>
              </w:rPr>
              <w:t>Izlietotā iepakojuma materiāla veids</w:t>
            </w:r>
            <w:r w:rsidRPr="00E12248">
              <w:rPr>
                <w:rFonts w:eastAsia="Calibri"/>
                <w:vertAlign w:val="superscript"/>
                <w:lang w:eastAsia="en-US"/>
              </w:rPr>
              <w:t>2</w:t>
            </w:r>
          </w:p>
        </w:tc>
        <w:tc>
          <w:tcPr>
            <w:tcW w:w="4819" w:type="dxa"/>
            <w:gridSpan w:val="2"/>
          </w:tcPr>
          <w:p w:rsidR="00783FAA" w:rsidRPr="00E12248" w:rsidRDefault="00783FAA" w:rsidP="00E4012F">
            <w:pPr>
              <w:jc w:val="center"/>
              <w:rPr>
                <w:rFonts w:eastAsia="Calibri"/>
                <w:lang w:eastAsia="en-US"/>
              </w:rPr>
            </w:pPr>
            <w:r w:rsidRPr="00E12248">
              <w:rPr>
                <w:rFonts w:eastAsia="Calibri"/>
                <w:lang w:eastAsia="en-US"/>
              </w:rPr>
              <w:t>No 2020. gada 1. janvāra līdz 2021. gada 31. decembrim</w:t>
            </w:r>
          </w:p>
        </w:tc>
      </w:tr>
      <w:tr w:rsidR="00783FAA" w:rsidRPr="00E12248" w:rsidTr="00783FAA">
        <w:tc>
          <w:tcPr>
            <w:tcW w:w="534" w:type="dxa"/>
            <w:vMerge/>
            <w:shd w:val="clear" w:color="auto" w:fill="auto"/>
          </w:tcPr>
          <w:p w:rsidR="00783FAA" w:rsidRPr="00E12248" w:rsidRDefault="00783FAA" w:rsidP="00576279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83FAA" w:rsidRPr="00E12248" w:rsidRDefault="00783FAA" w:rsidP="00576279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783FAA" w:rsidRPr="00E12248" w:rsidRDefault="00783FAA" w:rsidP="00576279">
            <w:pPr>
              <w:spacing w:after="1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12248">
              <w:rPr>
                <w:rFonts w:eastAsia="Calibri"/>
                <w:sz w:val="20"/>
                <w:szCs w:val="20"/>
                <w:lang w:eastAsia="en-US"/>
              </w:rPr>
              <w:t>Reģenerēts (t</w:t>
            </w:r>
            <w:r w:rsidRPr="00E12248">
              <w:rPr>
                <w:bCs/>
                <w:sz w:val="20"/>
                <w:szCs w:val="20"/>
              </w:rPr>
              <w:t>ai skaitā pārstrādāts</w:t>
            </w:r>
            <w:r w:rsidRPr="00E12248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</w:tcPr>
          <w:p w:rsidR="00783FAA" w:rsidRPr="00E12248" w:rsidRDefault="00783FAA" w:rsidP="00576279">
            <w:pPr>
              <w:spacing w:before="100" w:beforeAutospacing="1" w:after="100" w:afterAutospacing="1" w:line="293" w:lineRule="atLeast"/>
              <w:jc w:val="center"/>
              <w:rPr>
                <w:bCs/>
                <w:sz w:val="20"/>
                <w:szCs w:val="20"/>
              </w:rPr>
            </w:pPr>
            <w:r w:rsidRPr="00E12248">
              <w:rPr>
                <w:bCs/>
                <w:sz w:val="20"/>
                <w:szCs w:val="20"/>
              </w:rPr>
              <w:t>Pārstrādāts</w:t>
            </w:r>
          </w:p>
        </w:tc>
      </w:tr>
      <w:tr w:rsidR="00783FAA" w:rsidRPr="00E12248" w:rsidTr="00783FAA">
        <w:tc>
          <w:tcPr>
            <w:tcW w:w="534" w:type="dxa"/>
            <w:shd w:val="clear" w:color="auto" w:fill="auto"/>
          </w:tcPr>
          <w:p w:rsidR="00783FAA" w:rsidRPr="00E12248" w:rsidRDefault="00783FAA" w:rsidP="00E4012F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1224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783FAA" w:rsidRPr="00E12248" w:rsidRDefault="00783FAA" w:rsidP="00E4012F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12248">
              <w:rPr>
                <w:rFonts w:eastAsia="Calibri"/>
                <w:sz w:val="22"/>
                <w:szCs w:val="22"/>
                <w:lang w:eastAsia="en-US"/>
              </w:rPr>
              <w:t>Stikls</w:t>
            </w:r>
          </w:p>
        </w:tc>
        <w:tc>
          <w:tcPr>
            <w:tcW w:w="2126" w:type="dxa"/>
          </w:tcPr>
          <w:p w:rsidR="00783FAA" w:rsidRPr="00E12248" w:rsidRDefault="00783FAA" w:rsidP="00E4012F">
            <w:pPr>
              <w:spacing w:before="100" w:beforeAutospacing="1" w:after="100" w:afterAutospacing="1" w:line="293" w:lineRule="atLeast"/>
              <w:jc w:val="center"/>
              <w:rPr>
                <w:bCs/>
                <w:sz w:val="22"/>
                <w:szCs w:val="22"/>
              </w:rPr>
            </w:pPr>
            <w:r w:rsidRPr="00E12248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2693" w:type="dxa"/>
          </w:tcPr>
          <w:p w:rsidR="00783FAA" w:rsidRPr="00E12248" w:rsidRDefault="00783FAA" w:rsidP="00E4012F">
            <w:pPr>
              <w:spacing w:before="100" w:beforeAutospacing="1" w:after="100" w:afterAutospacing="1" w:line="293" w:lineRule="atLeast"/>
              <w:jc w:val="center"/>
              <w:rPr>
                <w:bCs/>
                <w:sz w:val="22"/>
                <w:szCs w:val="22"/>
              </w:rPr>
            </w:pPr>
            <w:r w:rsidRPr="00E12248">
              <w:rPr>
                <w:bCs/>
                <w:sz w:val="22"/>
                <w:szCs w:val="22"/>
              </w:rPr>
              <w:t>65</w:t>
            </w:r>
          </w:p>
        </w:tc>
      </w:tr>
      <w:tr w:rsidR="00783FAA" w:rsidRPr="00E12248" w:rsidTr="00783FAA">
        <w:tc>
          <w:tcPr>
            <w:tcW w:w="534" w:type="dxa"/>
            <w:shd w:val="clear" w:color="auto" w:fill="auto"/>
          </w:tcPr>
          <w:p w:rsidR="00783FAA" w:rsidRPr="00E12248" w:rsidRDefault="00783FAA" w:rsidP="00E4012F">
            <w:r w:rsidRPr="00E12248">
              <w:t>2.</w:t>
            </w:r>
          </w:p>
        </w:tc>
        <w:tc>
          <w:tcPr>
            <w:tcW w:w="3827" w:type="dxa"/>
            <w:shd w:val="clear" w:color="auto" w:fill="auto"/>
          </w:tcPr>
          <w:p w:rsidR="00783FAA" w:rsidRPr="00E12248" w:rsidRDefault="00783FAA" w:rsidP="00E4012F">
            <w:pPr>
              <w:rPr>
                <w:sz w:val="22"/>
                <w:szCs w:val="22"/>
              </w:rPr>
            </w:pPr>
            <w:r w:rsidRPr="00E12248">
              <w:rPr>
                <w:sz w:val="22"/>
                <w:szCs w:val="22"/>
              </w:rPr>
              <w:t>Plastmasa</w:t>
            </w:r>
          </w:p>
        </w:tc>
        <w:tc>
          <w:tcPr>
            <w:tcW w:w="2126" w:type="dxa"/>
          </w:tcPr>
          <w:p w:rsidR="00783FAA" w:rsidRPr="00E12248" w:rsidRDefault="00783FAA" w:rsidP="00E4012F">
            <w:pPr>
              <w:jc w:val="center"/>
              <w:rPr>
                <w:sz w:val="22"/>
                <w:szCs w:val="22"/>
              </w:rPr>
            </w:pPr>
            <w:r w:rsidRPr="00E12248">
              <w:rPr>
                <w:sz w:val="22"/>
                <w:szCs w:val="22"/>
              </w:rPr>
              <w:t>46</w:t>
            </w:r>
          </w:p>
        </w:tc>
        <w:tc>
          <w:tcPr>
            <w:tcW w:w="2693" w:type="dxa"/>
          </w:tcPr>
          <w:p w:rsidR="00783FAA" w:rsidRPr="00E12248" w:rsidRDefault="00783FAA" w:rsidP="00E4012F">
            <w:pPr>
              <w:jc w:val="center"/>
              <w:rPr>
                <w:sz w:val="22"/>
                <w:szCs w:val="22"/>
              </w:rPr>
            </w:pPr>
            <w:r w:rsidRPr="00E12248">
              <w:rPr>
                <w:sz w:val="22"/>
                <w:szCs w:val="22"/>
              </w:rPr>
              <w:t>28</w:t>
            </w:r>
          </w:p>
        </w:tc>
      </w:tr>
      <w:tr w:rsidR="00783FAA" w:rsidRPr="00E12248" w:rsidTr="00783FAA">
        <w:tc>
          <w:tcPr>
            <w:tcW w:w="534" w:type="dxa"/>
            <w:shd w:val="clear" w:color="auto" w:fill="auto"/>
          </w:tcPr>
          <w:p w:rsidR="00783FAA" w:rsidRPr="00E12248" w:rsidRDefault="00783FAA" w:rsidP="00E4012F">
            <w:r w:rsidRPr="00E12248">
              <w:t>3.</w:t>
            </w:r>
          </w:p>
        </w:tc>
        <w:tc>
          <w:tcPr>
            <w:tcW w:w="3827" w:type="dxa"/>
            <w:shd w:val="clear" w:color="auto" w:fill="auto"/>
          </w:tcPr>
          <w:p w:rsidR="00783FAA" w:rsidRPr="00E12248" w:rsidRDefault="00783FAA" w:rsidP="00E4012F">
            <w:pPr>
              <w:rPr>
                <w:sz w:val="22"/>
                <w:szCs w:val="22"/>
              </w:rPr>
            </w:pPr>
            <w:r w:rsidRPr="00E12248">
              <w:rPr>
                <w:sz w:val="22"/>
                <w:szCs w:val="22"/>
              </w:rPr>
              <w:t>Papīrs, kartons</w:t>
            </w:r>
          </w:p>
        </w:tc>
        <w:tc>
          <w:tcPr>
            <w:tcW w:w="2126" w:type="dxa"/>
          </w:tcPr>
          <w:p w:rsidR="00783FAA" w:rsidRPr="00E12248" w:rsidRDefault="00783FAA" w:rsidP="00E4012F">
            <w:pPr>
              <w:jc w:val="center"/>
              <w:rPr>
                <w:sz w:val="22"/>
                <w:szCs w:val="22"/>
              </w:rPr>
            </w:pPr>
            <w:r w:rsidRPr="00E12248">
              <w:rPr>
                <w:sz w:val="22"/>
                <w:szCs w:val="22"/>
              </w:rPr>
              <w:t>85</w:t>
            </w:r>
          </w:p>
        </w:tc>
        <w:tc>
          <w:tcPr>
            <w:tcW w:w="2693" w:type="dxa"/>
          </w:tcPr>
          <w:p w:rsidR="00783FAA" w:rsidRPr="00E12248" w:rsidRDefault="00783FAA" w:rsidP="00E4012F">
            <w:pPr>
              <w:jc w:val="center"/>
              <w:rPr>
                <w:sz w:val="22"/>
                <w:szCs w:val="22"/>
              </w:rPr>
            </w:pPr>
            <w:r w:rsidRPr="00E12248">
              <w:rPr>
                <w:sz w:val="22"/>
                <w:szCs w:val="22"/>
              </w:rPr>
              <w:t>65</w:t>
            </w:r>
          </w:p>
        </w:tc>
      </w:tr>
      <w:tr w:rsidR="00783FAA" w:rsidRPr="00E12248" w:rsidTr="00783FAA">
        <w:tc>
          <w:tcPr>
            <w:tcW w:w="534" w:type="dxa"/>
            <w:shd w:val="clear" w:color="auto" w:fill="auto"/>
          </w:tcPr>
          <w:p w:rsidR="00783FAA" w:rsidRPr="00E12248" w:rsidRDefault="00783FAA" w:rsidP="00E4012F">
            <w:r w:rsidRPr="00E12248">
              <w:t>4.</w:t>
            </w:r>
          </w:p>
        </w:tc>
        <w:tc>
          <w:tcPr>
            <w:tcW w:w="3827" w:type="dxa"/>
            <w:shd w:val="clear" w:color="auto" w:fill="auto"/>
          </w:tcPr>
          <w:p w:rsidR="00783FAA" w:rsidRPr="00E12248" w:rsidRDefault="00783FAA" w:rsidP="00E4012F">
            <w:pPr>
              <w:rPr>
                <w:sz w:val="22"/>
                <w:szCs w:val="22"/>
              </w:rPr>
            </w:pPr>
            <w:r w:rsidRPr="00E12248">
              <w:rPr>
                <w:sz w:val="22"/>
                <w:szCs w:val="22"/>
              </w:rPr>
              <w:t>Metāls</w:t>
            </w:r>
          </w:p>
        </w:tc>
        <w:tc>
          <w:tcPr>
            <w:tcW w:w="2126" w:type="dxa"/>
          </w:tcPr>
          <w:p w:rsidR="00783FAA" w:rsidRPr="00E12248" w:rsidRDefault="00783FAA" w:rsidP="00E4012F">
            <w:pPr>
              <w:jc w:val="center"/>
              <w:rPr>
                <w:sz w:val="22"/>
                <w:szCs w:val="22"/>
              </w:rPr>
            </w:pPr>
            <w:r w:rsidRPr="00E12248"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</w:tcPr>
          <w:p w:rsidR="00783FAA" w:rsidRPr="00E12248" w:rsidRDefault="00783FAA" w:rsidP="00E4012F">
            <w:pPr>
              <w:jc w:val="center"/>
              <w:rPr>
                <w:sz w:val="22"/>
                <w:szCs w:val="22"/>
              </w:rPr>
            </w:pPr>
            <w:r w:rsidRPr="00E12248">
              <w:rPr>
                <w:sz w:val="22"/>
                <w:szCs w:val="22"/>
              </w:rPr>
              <w:t>55</w:t>
            </w:r>
          </w:p>
        </w:tc>
      </w:tr>
      <w:tr w:rsidR="00783FAA" w:rsidRPr="00E12248" w:rsidTr="00783FAA">
        <w:tc>
          <w:tcPr>
            <w:tcW w:w="534" w:type="dxa"/>
            <w:shd w:val="clear" w:color="auto" w:fill="auto"/>
          </w:tcPr>
          <w:p w:rsidR="00783FAA" w:rsidRPr="00E12248" w:rsidRDefault="00783FAA" w:rsidP="00E4012F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12248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783FAA" w:rsidRPr="00E12248" w:rsidRDefault="00783FAA" w:rsidP="00E4012F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12248">
              <w:rPr>
                <w:rFonts w:eastAsia="Calibri"/>
                <w:sz w:val="22"/>
                <w:szCs w:val="22"/>
                <w:lang w:eastAsia="en-US"/>
              </w:rPr>
              <w:t>Koksne</w:t>
            </w:r>
          </w:p>
        </w:tc>
        <w:tc>
          <w:tcPr>
            <w:tcW w:w="2126" w:type="dxa"/>
          </w:tcPr>
          <w:p w:rsidR="00783FAA" w:rsidRPr="00E12248" w:rsidRDefault="00783FAA" w:rsidP="00E4012F">
            <w:pPr>
              <w:spacing w:before="100" w:beforeAutospacing="1" w:after="100" w:afterAutospacing="1" w:line="293" w:lineRule="atLeast"/>
              <w:jc w:val="center"/>
              <w:rPr>
                <w:bCs/>
                <w:sz w:val="22"/>
                <w:szCs w:val="22"/>
              </w:rPr>
            </w:pPr>
            <w:r w:rsidRPr="00E12248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:rsidR="00783FAA" w:rsidRPr="00E12248" w:rsidRDefault="00783FAA" w:rsidP="00E4012F">
            <w:pPr>
              <w:spacing w:before="100" w:beforeAutospacing="1" w:after="100" w:afterAutospacing="1" w:line="293" w:lineRule="atLeast"/>
              <w:jc w:val="center"/>
              <w:rPr>
                <w:bCs/>
                <w:sz w:val="22"/>
                <w:szCs w:val="22"/>
              </w:rPr>
            </w:pPr>
            <w:r w:rsidRPr="00E12248">
              <w:rPr>
                <w:bCs/>
                <w:sz w:val="22"/>
                <w:szCs w:val="22"/>
              </w:rPr>
              <w:t>20</w:t>
            </w:r>
          </w:p>
        </w:tc>
      </w:tr>
      <w:tr w:rsidR="00783FAA" w:rsidRPr="00E12248" w:rsidTr="00783FAA">
        <w:tc>
          <w:tcPr>
            <w:tcW w:w="534" w:type="dxa"/>
            <w:shd w:val="clear" w:color="auto" w:fill="auto"/>
          </w:tcPr>
          <w:p w:rsidR="00783FAA" w:rsidRPr="00E12248" w:rsidRDefault="00783FAA" w:rsidP="00E4012F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783FAA" w:rsidRPr="00E12248" w:rsidRDefault="00783FAA" w:rsidP="00E4012F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12248">
              <w:rPr>
                <w:b/>
                <w:bCs/>
                <w:sz w:val="22"/>
                <w:szCs w:val="22"/>
              </w:rPr>
              <w:t>Kopā visiem materiāliem</w:t>
            </w:r>
            <w:r w:rsidRPr="00E12248">
              <w:rPr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783FAA" w:rsidRPr="00E12248" w:rsidRDefault="00783FAA" w:rsidP="00E4012F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2"/>
                <w:szCs w:val="22"/>
              </w:rPr>
            </w:pPr>
            <w:r w:rsidRPr="00E12248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693" w:type="dxa"/>
          </w:tcPr>
          <w:p w:rsidR="00783FAA" w:rsidRPr="00E12248" w:rsidRDefault="00783FAA" w:rsidP="00E4012F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2"/>
                <w:szCs w:val="22"/>
              </w:rPr>
            </w:pPr>
            <w:r w:rsidRPr="00E12248">
              <w:rPr>
                <w:b/>
                <w:bCs/>
                <w:sz w:val="22"/>
                <w:szCs w:val="22"/>
              </w:rPr>
              <w:t>60</w:t>
            </w:r>
          </w:p>
        </w:tc>
      </w:tr>
    </w:tbl>
    <w:p w:rsidR="00D900B7" w:rsidRDefault="00D900B7" w:rsidP="00D900B7">
      <w:pPr>
        <w:tabs>
          <w:tab w:val="left" w:pos="6946"/>
        </w:tabs>
        <w:spacing w:before="120"/>
        <w:jc w:val="both"/>
        <w:rPr>
          <w:rFonts w:eastAsia="Calibri"/>
          <w:lang w:eastAsia="en-US"/>
        </w:rPr>
      </w:pPr>
      <w:r w:rsidRPr="00E12248">
        <w:rPr>
          <w:rFonts w:eastAsia="Calibri"/>
          <w:lang w:eastAsia="en-US"/>
        </w:rPr>
        <w:t>Piezīme</w:t>
      </w:r>
      <w:r w:rsidR="00783FAA" w:rsidRPr="00E12248">
        <w:rPr>
          <w:rFonts w:eastAsia="Calibri"/>
          <w:lang w:eastAsia="en-US"/>
        </w:rPr>
        <w:t>s</w:t>
      </w:r>
      <w:r w:rsidRPr="00E12248">
        <w:rPr>
          <w:rFonts w:eastAsia="Calibri"/>
          <w:lang w:eastAsia="en-US"/>
        </w:rPr>
        <w:t>:</w:t>
      </w:r>
    </w:p>
    <w:p w:rsidR="00783FAA" w:rsidRDefault="00783FAA" w:rsidP="00783FAA">
      <w:pPr>
        <w:tabs>
          <w:tab w:val="left" w:pos="6946"/>
        </w:tabs>
        <w:spacing w:before="120"/>
        <w:jc w:val="both"/>
        <w:rPr>
          <w:rFonts w:eastAsia="Calibri"/>
          <w:lang w:eastAsia="en-US"/>
        </w:rPr>
      </w:pPr>
      <w:r w:rsidRPr="00783FAA">
        <w:rPr>
          <w:rFonts w:eastAsia="Calibri"/>
          <w:vertAlign w:val="superscript"/>
          <w:lang w:eastAsia="en-US"/>
        </w:rPr>
        <w:t>1</w:t>
      </w:r>
      <w:r>
        <w:t> </w:t>
      </w:r>
      <w:r w:rsidRPr="00783FAA">
        <w:rPr>
          <w:rFonts w:eastAsia="Calibri"/>
          <w:lang w:eastAsia="en-US"/>
        </w:rPr>
        <w:t>No 2022. gada 1. </w:t>
      </w:r>
      <w:r>
        <w:rPr>
          <w:rFonts w:eastAsia="Calibri"/>
          <w:lang w:eastAsia="en-US"/>
        </w:rPr>
        <w:t>janvāra i</w:t>
      </w:r>
      <w:r w:rsidRPr="00783FAA">
        <w:rPr>
          <w:bCs/>
        </w:rPr>
        <w:t>zlietotā iepakojuma materiāla veidu pārstrādes un reģenerācijas apjomi</w:t>
      </w:r>
      <w:r>
        <w:rPr>
          <w:bCs/>
        </w:rPr>
        <w:t xml:space="preserve"> ir noteikti </w:t>
      </w:r>
      <w:r>
        <w:rPr>
          <w:rFonts w:eastAsia="Calibri"/>
          <w:lang w:eastAsia="en-US"/>
        </w:rPr>
        <w:t>Ministru kabineta 2017. </w:t>
      </w:r>
      <w:r w:rsidRPr="00783FAA">
        <w:rPr>
          <w:rFonts w:eastAsia="Calibri"/>
          <w:lang w:eastAsia="en-US"/>
        </w:rPr>
        <w:t>gada 16.</w:t>
      </w:r>
      <w:r>
        <w:rPr>
          <w:rFonts w:eastAsia="Calibri"/>
          <w:lang w:eastAsia="en-US"/>
        </w:rPr>
        <w:t> </w:t>
      </w:r>
      <w:r w:rsidRPr="00783FAA">
        <w:rPr>
          <w:rFonts w:eastAsia="Calibri"/>
          <w:lang w:eastAsia="en-US"/>
        </w:rPr>
        <w:t>augusta noteikum</w:t>
      </w:r>
      <w:r>
        <w:rPr>
          <w:rFonts w:eastAsia="Calibri"/>
          <w:lang w:eastAsia="en-US"/>
        </w:rPr>
        <w:t>u Nr. </w:t>
      </w:r>
      <w:r w:rsidRPr="00783FAA">
        <w:rPr>
          <w:rFonts w:eastAsia="Calibri"/>
          <w:lang w:eastAsia="en-US"/>
        </w:rPr>
        <w:t>480 “Noteikumi par atbrīvojuma piemērošanu no dabas resursu nodokļa samaksas par iepakojumu un vienreiz lietojamiem galda traukiem un piederumiem”</w:t>
      </w:r>
      <w:r>
        <w:rPr>
          <w:rFonts w:eastAsia="Calibri"/>
          <w:lang w:eastAsia="en-US"/>
        </w:rPr>
        <w:t xml:space="preserve"> 1. </w:t>
      </w:r>
      <w:r w:rsidRPr="00783FAA">
        <w:rPr>
          <w:rFonts w:eastAsia="Calibri"/>
          <w:lang w:eastAsia="en-US"/>
        </w:rPr>
        <w:t>pielikumā</w:t>
      </w:r>
      <w:r>
        <w:rPr>
          <w:rFonts w:eastAsia="Calibri"/>
          <w:lang w:eastAsia="en-US"/>
        </w:rPr>
        <w:t>.</w:t>
      </w:r>
    </w:p>
    <w:p w:rsidR="00C0483C" w:rsidRDefault="00C0483C" w:rsidP="00C0483C">
      <w:pPr>
        <w:tabs>
          <w:tab w:val="left" w:pos="6946"/>
        </w:tabs>
        <w:jc w:val="both"/>
        <w:rPr>
          <w:rFonts w:eastAsia="Calibri"/>
          <w:lang w:eastAsia="en-US"/>
        </w:rPr>
      </w:pPr>
    </w:p>
    <w:p w:rsidR="00AA3326" w:rsidRPr="00783FAA" w:rsidRDefault="00AA3326" w:rsidP="00AA3326">
      <w:pPr>
        <w:jc w:val="both"/>
      </w:pPr>
      <w:r w:rsidRPr="00783FAA">
        <w:rPr>
          <w:vertAlign w:val="superscript"/>
        </w:rPr>
        <w:t>2</w:t>
      </w:r>
      <w:r w:rsidR="00C0483C">
        <w:t> </w:t>
      </w:r>
      <w:r w:rsidRPr="00783FAA">
        <w:t xml:space="preserve">Konkrētā iepakojuma materiāla veida reģenerācijas </w:t>
      </w:r>
      <w:r w:rsidR="00783FAA" w:rsidRPr="00783FAA">
        <w:t xml:space="preserve">(pārstrādes) </w:t>
      </w:r>
      <w:r w:rsidRPr="00783FAA">
        <w:t>normu izpildi aprēķina, izmantojot šādu formulu:</w:t>
      </w:r>
    </w:p>
    <w:p w:rsidR="00AA3326" w:rsidRPr="00783FAA" w:rsidRDefault="00AA3326" w:rsidP="00AA3326">
      <w:pPr>
        <w:jc w:val="both"/>
      </w:pPr>
      <w:r w:rsidRPr="00783FAA">
        <w:lastRenderedPageBreak/>
        <w:t xml:space="preserve">konkrētā izlietotā iepakojuma materiāla veida reģenerētais </w:t>
      </w:r>
      <w:r w:rsidR="00136DF7">
        <w:t xml:space="preserve">(pārstrādātais) </w:t>
      </w:r>
      <w:r w:rsidRPr="00783FAA">
        <w:t xml:space="preserve">iepakojuma apjoms (%) = (konkrētā izlietotā iepakojuma materiāla veida iepakotāja vai iepakojuma </w:t>
      </w:r>
      <w:proofErr w:type="spellStart"/>
      <w:r w:rsidRPr="00783FAA">
        <w:t>apsaimniekotāja</w:t>
      </w:r>
      <w:proofErr w:type="spellEnd"/>
      <w:r w:rsidRPr="00783FAA">
        <w:t xml:space="preserve"> reģenerētais</w:t>
      </w:r>
      <w:r w:rsidR="00136DF7">
        <w:t xml:space="preserve"> (</w:t>
      </w:r>
      <w:r w:rsidR="00C0483C">
        <w:t>C</w:t>
      </w:r>
      <w:r w:rsidR="00136DF7">
        <w:t>)</w:t>
      </w:r>
      <w:r w:rsidRPr="00783FAA">
        <w:t xml:space="preserve"> iepakojuma </w:t>
      </w:r>
      <w:r w:rsidR="003316E3">
        <w:t>daudzums</w:t>
      </w:r>
      <w:r w:rsidRPr="00783FAA">
        <w:t xml:space="preserve"> (kg) : kopējais iepakotāja vai iepakojuma </w:t>
      </w:r>
      <w:proofErr w:type="spellStart"/>
      <w:r w:rsidRPr="00783FAA">
        <w:t>apsaimniekotāja</w:t>
      </w:r>
      <w:proofErr w:type="spellEnd"/>
      <w:r w:rsidRPr="00783FAA">
        <w:t xml:space="preserve"> līgumpartneru radītā izlietotā konkrētā iepakojuma materiāla veida </w:t>
      </w:r>
      <w:r w:rsidR="003316E3">
        <w:t>daudzums</w:t>
      </w:r>
      <w:r w:rsidRPr="00783FAA">
        <w:t xml:space="preserve"> (kg)) x 100.</w:t>
      </w:r>
    </w:p>
    <w:p w:rsidR="00AA3326" w:rsidRPr="00AA3326" w:rsidRDefault="00AA3326" w:rsidP="00AA3326">
      <w:pPr>
        <w:jc w:val="both"/>
        <w:rPr>
          <w:sz w:val="28"/>
          <w:szCs w:val="28"/>
        </w:rPr>
      </w:pPr>
    </w:p>
    <w:p w:rsidR="00AA3326" w:rsidRPr="00C0483C" w:rsidRDefault="00AA3326" w:rsidP="00AA3326">
      <w:pPr>
        <w:jc w:val="both"/>
      </w:pPr>
      <w:r w:rsidRPr="00C0483C">
        <w:rPr>
          <w:vertAlign w:val="superscript"/>
        </w:rPr>
        <w:t>3</w:t>
      </w:r>
      <w:r w:rsidR="00C0483C">
        <w:t> </w:t>
      </w:r>
      <w:r w:rsidRPr="00C0483C">
        <w:t xml:space="preserve">Kopējo reģenerācijas </w:t>
      </w:r>
      <w:r w:rsidR="00C0483C">
        <w:t xml:space="preserve">(pārstrādes) </w:t>
      </w:r>
      <w:r w:rsidRPr="00C0483C">
        <w:t>normu izpildi aprēķina, izmantojot šādu formulu:</w:t>
      </w:r>
    </w:p>
    <w:p w:rsidR="00AA3326" w:rsidRPr="00C0483C" w:rsidRDefault="00AA3326" w:rsidP="00AA3326">
      <w:pPr>
        <w:jc w:val="both"/>
      </w:pPr>
      <w:r w:rsidRPr="00C0483C">
        <w:t xml:space="preserve">kopējais reģenerētais </w:t>
      </w:r>
      <w:r w:rsidR="00C0483C">
        <w:t xml:space="preserve">(pārstrādātais) </w:t>
      </w:r>
      <w:r w:rsidRPr="00C0483C">
        <w:t xml:space="preserve">izlietotā iepakojuma apjoms (%) = (kopējais iepakotāja vai iepakojuma </w:t>
      </w:r>
      <w:proofErr w:type="spellStart"/>
      <w:r w:rsidRPr="00C0483C">
        <w:t>apsaimniekotāja</w:t>
      </w:r>
      <w:proofErr w:type="spellEnd"/>
      <w:r w:rsidRPr="00C0483C">
        <w:t xml:space="preserve"> reģenerētais izlietotā iepakojuma </w:t>
      </w:r>
      <w:r w:rsidR="003316E3">
        <w:t>daudzums</w:t>
      </w:r>
      <w:r w:rsidRPr="00C0483C">
        <w:t xml:space="preserve"> (kg) : kopējais iepakotāja vai iepakojuma </w:t>
      </w:r>
      <w:proofErr w:type="spellStart"/>
      <w:r w:rsidRPr="00C0483C">
        <w:t>apsaimniekotāja</w:t>
      </w:r>
      <w:proofErr w:type="spellEnd"/>
      <w:r w:rsidRPr="00C0483C">
        <w:t xml:space="preserve"> līgumpartneru radītā izlietotā iepakojuma </w:t>
      </w:r>
      <w:r w:rsidR="003316E3">
        <w:t>daudzums</w:t>
      </w:r>
      <w:r w:rsidRPr="00C0483C">
        <w:t xml:space="preserve"> (kg)) x 100.</w:t>
      </w:r>
    </w:p>
    <w:p w:rsidR="00E26200" w:rsidRDefault="00E26200" w:rsidP="00D900B7">
      <w:pPr>
        <w:ind w:firstLine="720"/>
        <w:jc w:val="both"/>
        <w:rPr>
          <w:sz w:val="28"/>
          <w:szCs w:val="28"/>
        </w:rPr>
      </w:pPr>
    </w:p>
    <w:p w:rsidR="00E26200" w:rsidRPr="00C0483C" w:rsidRDefault="00C0483C" w:rsidP="003316E3">
      <w:pPr>
        <w:spacing w:after="120"/>
        <w:ind w:firstLine="720"/>
        <w:jc w:val="center"/>
        <w:rPr>
          <w:rFonts w:eastAsia="Arial Unicode MS"/>
          <w:b/>
          <w:bCs/>
        </w:rPr>
      </w:pPr>
      <w:r w:rsidRPr="00C0483C">
        <w:rPr>
          <w:b/>
        </w:rPr>
        <w:t xml:space="preserve">2. Izlietotā iepakojuma pārstrādes </w:t>
      </w:r>
      <w:proofErr w:type="spellStart"/>
      <w:r w:rsidRPr="00C0483C">
        <w:rPr>
          <w:rFonts w:eastAsia="Arial Unicode MS"/>
          <w:b/>
          <w:bCs/>
        </w:rPr>
        <w:t>aprēķinpunkti</w:t>
      </w:r>
      <w:proofErr w:type="spellEnd"/>
    </w:p>
    <w:tbl>
      <w:tblPr>
        <w:tblW w:w="91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2347"/>
        <w:gridCol w:w="6187"/>
      </w:tblGrid>
      <w:tr w:rsidR="00C0483C" w:rsidRPr="00C0483C" w:rsidTr="00C0483C">
        <w:trPr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83C" w:rsidRPr="00293BE5" w:rsidRDefault="00C0483C" w:rsidP="00C0483C">
            <w:pPr>
              <w:spacing w:after="120"/>
              <w:jc w:val="both"/>
              <w:rPr>
                <w:rFonts w:eastAsia="Calibri"/>
                <w:lang w:eastAsia="en-US"/>
              </w:rPr>
            </w:pPr>
            <w:proofErr w:type="spellStart"/>
            <w:r w:rsidRPr="00293BE5">
              <w:rPr>
                <w:rFonts w:eastAsia="Calibri"/>
                <w:lang w:eastAsia="en-US"/>
              </w:rPr>
              <w:t>Nr.p.k</w:t>
            </w:r>
            <w:proofErr w:type="spellEnd"/>
            <w:r w:rsidRPr="00293BE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483C" w:rsidRPr="00C0483C" w:rsidRDefault="00C0483C" w:rsidP="00C0483C">
            <w:pPr>
              <w:spacing w:before="60" w:after="60" w:line="312" w:lineRule="atLeast"/>
              <w:jc w:val="center"/>
              <w:rPr>
                <w:b/>
                <w:bCs/>
                <w:sz w:val="22"/>
                <w:szCs w:val="22"/>
              </w:rPr>
            </w:pPr>
            <w:r w:rsidRPr="00C0483C">
              <w:rPr>
                <w:b/>
                <w:bCs/>
                <w:sz w:val="22"/>
                <w:szCs w:val="22"/>
              </w:rPr>
              <w:t>Iepakojuma materiāla veids</w:t>
            </w:r>
          </w:p>
        </w:tc>
        <w:tc>
          <w:tcPr>
            <w:tcW w:w="6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483C" w:rsidRPr="00C0483C" w:rsidRDefault="00C0483C" w:rsidP="00C0483C">
            <w:pPr>
              <w:spacing w:before="60" w:after="60" w:line="312" w:lineRule="atLeas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0483C">
              <w:rPr>
                <w:b/>
                <w:bCs/>
                <w:sz w:val="22"/>
                <w:szCs w:val="22"/>
              </w:rPr>
              <w:t>Aprēķinpunkts</w:t>
            </w:r>
            <w:proofErr w:type="spellEnd"/>
          </w:p>
        </w:tc>
      </w:tr>
      <w:tr w:rsidR="00C0483C" w:rsidRPr="00C0483C" w:rsidTr="00C0483C">
        <w:trPr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83C" w:rsidRPr="00C0483C" w:rsidRDefault="00C0483C" w:rsidP="00E713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483C" w:rsidRPr="00C0483C" w:rsidRDefault="00C0483C" w:rsidP="00E713FB">
            <w:pPr>
              <w:jc w:val="both"/>
              <w:rPr>
                <w:sz w:val="22"/>
                <w:szCs w:val="22"/>
              </w:rPr>
            </w:pPr>
            <w:r w:rsidRPr="00C0483C">
              <w:rPr>
                <w:sz w:val="22"/>
                <w:szCs w:val="22"/>
              </w:rPr>
              <w:t>Stikls</w:t>
            </w:r>
          </w:p>
        </w:tc>
        <w:tc>
          <w:tcPr>
            <w:tcW w:w="6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483C" w:rsidRPr="00C0483C" w:rsidRDefault="00C0483C" w:rsidP="00E713FB">
            <w:pPr>
              <w:jc w:val="both"/>
              <w:rPr>
                <w:sz w:val="22"/>
                <w:szCs w:val="22"/>
              </w:rPr>
            </w:pPr>
            <w:r w:rsidRPr="00C0483C">
              <w:rPr>
                <w:sz w:val="22"/>
                <w:szCs w:val="22"/>
              </w:rPr>
              <w:t>Šķirots stikls, kas netiek tālāk pārstrādāts pirms nonākšanas kausēšanas krāsnī vai pirms nonākšanas filtrēšanas materiālu, abrazīvo materiālu, stikl</w:t>
            </w:r>
            <w:r w:rsidR="00A87777">
              <w:rPr>
                <w:sz w:val="22"/>
                <w:szCs w:val="22"/>
              </w:rPr>
              <w:t xml:space="preserve">a </w:t>
            </w:r>
            <w:r w:rsidRPr="00C0483C">
              <w:rPr>
                <w:sz w:val="22"/>
                <w:szCs w:val="22"/>
              </w:rPr>
              <w:t>šķiedras izolācijas materiālu vai būvmateriālu ražošanā.</w:t>
            </w:r>
          </w:p>
        </w:tc>
      </w:tr>
      <w:tr w:rsidR="00C0483C" w:rsidRPr="00C0483C" w:rsidTr="00C0483C">
        <w:trPr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83C" w:rsidRPr="00C0483C" w:rsidRDefault="00C0483C" w:rsidP="00E713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483C" w:rsidRPr="00C0483C" w:rsidRDefault="003316E3" w:rsidP="00E713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Metāls</w:t>
            </w:r>
          </w:p>
        </w:tc>
        <w:tc>
          <w:tcPr>
            <w:tcW w:w="6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483C" w:rsidRPr="00C0483C" w:rsidRDefault="00C0483C" w:rsidP="00E713FB">
            <w:pPr>
              <w:jc w:val="both"/>
              <w:rPr>
                <w:sz w:val="22"/>
                <w:szCs w:val="22"/>
              </w:rPr>
            </w:pPr>
            <w:r w:rsidRPr="00C0483C">
              <w:rPr>
                <w:sz w:val="22"/>
                <w:szCs w:val="22"/>
              </w:rPr>
              <w:t>Šķirots metāls, kas netiek tālāk pārstrādāts pirms nonākšanas kausētavā vai krāsnī.</w:t>
            </w:r>
          </w:p>
        </w:tc>
      </w:tr>
      <w:tr w:rsidR="00C0483C" w:rsidRPr="00C0483C" w:rsidTr="00C0483C">
        <w:trPr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83C" w:rsidRPr="00C0483C" w:rsidRDefault="00C0483C" w:rsidP="00E713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483C" w:rsidRPr="00C0483C" w:rsidRDefault="00C0483C" w:rsidP="00E713FB">
            <w:pPr>
              <w:jc w:val="both"/>
              <w:rPr>
                <w:sz w:val="22"/>
                <w:szCs w:val="22"/>
              </w:rPr>
            </w:pPr>
            <w:r w:rsidRPr="00C0483C">
              <w:rPr>
                <w:sz w:val="22"/>
                <w:szCs w:val="22"/>
              </w:rPr>
              <w:t>Papīrs/kartons</w:t>
            </w:r>
          </w:p>
        </w:tc>
        <w:tc>
          <w:tcPr>
            <w:tcW w:w="6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483C" w:rsidRPr="00C0483C" w:rsidRDefault="00C0483C" w:rsidP="00E713FB">
            <w:pPr>
              <w:jc w:val="both"/>
              <w:rPr>
                <w:sz w:val="22"/>
                <w:szCs w:val="22"/>
              </w:rPr>
            </w:pPr>
            <w:r w:rsidRPr="00C0483C">
              <w:rPr>
                <w:sz w:val="22"/>
                <w:szCs w:val="22"/>
              </w:rPr>
              <w:t>Šķirots papīrs, kas netiek tālāk pārstrādāts pirms nonākšanas pulpas ieguves operācijās.</w:t>
            </w:r>
          </w:p>
        </w:tc>
      </w:tr>
      <w:tr w:rsidR="00C0483C" w:rsidRPr="00C0483C" w:rsidTr="00C0483C">
        <w:trPr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83C" w:rsidRPr="00C0483C" w:rsidRDefault="00C0483C" w:rsidP="00E713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483C" w:rsidRPr="00C0483C" w:rsidRDefault="00C0483C" w:rsidP="00E713FB">
            <w:pPr>
              <w:jc w:val="both"/>
              <w:rPr>
                <w:sz w:val="22"/>
                <w:szCs w:val="22"/>
              </w:rPr>
            </w:pPr>
            <w:r w:rsidRPr="00C0483C">
              <w:rPr>
                <w:sz w:val="22"/>
                <w:szCs w:val="22"/>
              </w:rPr>
              <w:t>Plastmasas</w:t>
            </w:r>
          </w:p>
        </w:tc>
        <w:tc>
          <w:tcPr>
            <w:tcW w:w="6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483C" w:rsidRPr="00C0483C" w:rsidRDefault="00C0483C" w:rsidP="00E713FB">
            <w:pPr>
              <w:jc w:val="both"/>
              <w:rPr>
                <w:sz w:val="22"/>
                <w:szCs w:val="22"/>
              </w:rPr>
            </w:pPr>
            <w:r w:rsidRPr="00C0483C">
              <w:rPr>
                <w:sz w:val="22"/>
                <w:szCs w:val="22"/>
              </w:rPr>
              <w:t xml:space="preserve">Pēc polimēru sastāva šķirotas plastmasas, kas netiek tālāk pārstrādātas pirms nonākšanas granulēšanas, </w:t>
            </w:r>
            <w:proofErr w:type="spellStart"/>
            <w:r w:rsidRPr="00C0483C">
              <w:rPr>
                <w:sz w:val="22"/>
                <w:szCs w:val="22"/>
              </w:rPr>
              <w:t>ekstrūzijas</w:t>
            </w:r>
            <w:proofErr w:type="spellEnd"/>
            <w:r w:rsidRPr="00C0483C">
              <w:rPr>
                <w:sz w:val="22"/>
                <w:szCs w:val="22"/>
              </w:rPr>
              <w:t xml:space="preserve"> vai formēšanas operācijās.</w:t>
            </w:r>
          </w:p>
          <w:p w:rsidR="00C0483C" w:rsidRPr="00C0483C" w:rsidRDefault="00C0483C" w:rsidP="00E713FB">
            <w:pPr>
              <w:jc w:val="both"/>
              <w:rPr>
                <w:sz w:val="22"/>
                <w:szCs w:val="22"/>
              </w:rPr>
            </w:pPr>
            <w:r w:rsidRPr="00C0483C">
              <w:rPr>
                <w:sz w:val="22"/>
                <w:szCs w:val="22"/>
              </w:rPr>
              <w:t>Plastmasas pārslas, kas netiek tālāk pārstrādātas pirms to izmantošanas galaproduktā.</w:t>
            </w:r>
          </w:p>
        </w:tc>
      </w:tr>
      <w:tr w:rsidR="00C0483C" w:rsidRPr="00C0483C" w:rsidTr="00C0483C">
        <w:trPr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83C" w:rsidRPr="00C0483C" w:rsidRDefault="00C0483C" w:rsidP="00E713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483C" w:rsidRPr="00C0483C" w:rsidRDefault="00C0483C" w:rsidP="00E713FB">
            <w:pPr>
              <w:jc w:val="both"/>
              <w:rPr>
                <w:sz w:val="22"/>
                <w:szCs w:val="22"/>
              </w:rPr>
            </w:pPr>
            <w:r w:rsidRPr="00C0483C">
              <w:rPr>
                <w:sz w:val="22"/>
                <w:szCs w:val="22"/>
              </w:rPr>
              <w:t>Koks</w:t>
            </w:r>
            <w:r>
              <w:rPr>
                <w:sz w:val="22"/>
                <w:szCs w:val="22"/>
              </w:rPr>
              <w:t>ne</w:t>
            </w:r>
          </w:p>
        </w:tc>
        <w:tc>
          <w:tcPr>
            <w:tcW w:w="6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483C" w:rsidRPr="00C0483C" w:rsidRDefault="00C0483C" w:rsidP="00E713FB">
            <w:pPr>
              <w:jc w:val="both"/>
              <w:rPr>
                <w:sz w:val="22"/>
                <w:szCs w:val="22"/>
              </w:rPr>
            </w:pPr>
            <w:r w:rsidRPr="00C0483C">
              <w:rPr>
                <w:sz w:val="22"/>
                <w:szCs w:val="22"/>
              </w:rPr>
              <w:t>Šķirots koks, kas netiek tālāk pār</w:t>
            </w:r>
            <w:r w:rsidR="0001726A">
              <w:rPr>
                <w:sz w:val="22"/>
                <w:szCs w:val="22"/>
              </w:rPr>
              <w:t>strādāts pirms izmantošanas koka s</w:t>
            </w:r>
            <w:r w:rsidRPr="00C0483C">
              <w:rPr>
                <w:sz w:val="22"/>
                <w:szCs w:val="22"/>
              </w:rPr>
              <w:t>kaidu plātņu vai citu produktu ražošanā.</w:t>
            </w:r>
          </w:p>
          <w:p w:rsidR="00C0483C" w:rsidRPr="00C0483C" w:rsidRDefault="00C0483C" w:rsidP="00E713FB">
            <w:pPr>
              <w:jc w:val="both"/>
              <w:rPr>
                <w:sz w:val="22"/>
                <w:szCs w:val="22"/>
              </w:rPr>
            </w:pPr>
            <w:r w:rsidRPr="00C0483C">
              <w:rPr>
                <w:sz w:val="22"/>
                <w:szCs w:val="22"/>
              </w:rPr>
              <w:t>Šķirots koks, kas nonāk kompostēšanā.</w:t>
            </w:r>
          </w:p>
        </w:tc>
      </w:tr>
      <w:tr w:rsidR="00C0483C" w:rsidRPr="00C0483C" w:rsidTr="00C0483C">
        <w:trPr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83C" w:rsidRPr="00C0483C" w:rsidRDefault="00C0483C" w:rsidP="00E713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483C" w:rsidRPr="00C0483C" w:rsidRDefault="00C0483C" w:rsidP="00E713FB">
            <w:pPr>
              <w:jc w:val="both"/>
              <w:rPr>
                <w:sz w:val="22"/>
                <w:szCs w:val="22"/>
              </w:rPr>
            </w:pPr>
            <w:r w:rsidRPr="00C0483C">
              <w:rPr>
                <w:sz w:val="22"/>
                <w:szCs w:val="22"/>
              </w:rPr>
              <w:t>Kompozīta iepakojums un no vairākiem materiāliem sastāvošs iepakojums</w:t>
            </w:r>
          </w:p>
        </w:tc>
        <w:tc>
          <w:tcPr>
            <w:tcW w:w="6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483C" w:rsidRPr="00C0483C" w:rsidRDefault="00C0483C" w:rsidP="00E713FB">
            <w:pPr>
              <w:jc w:val="both"/>
              <w:rPr>
                <w:sz w:val="22"/>
                <w:szCs w:val="22"/>
              </w:rPr>
            </w:pPr>
            <w:r w:rsidRPr="00C0483C">
              <w:rPr>
                <w:sz w:val="22"/>
                <w:szCs w:val="22"/>
              </w:rPr>
              <w:t xml:space="preserve">Plastmasa, stikls, metāls, koks, papīrs/kartons un citi materiāli, kas iegūti kompozītā iepakojuma vai no vairākiem materiāliem sastāvoša iepakojuma apstrādē un netiek tālāk pārstrādāti, pirms sasniedz konkrētajam materiālam noteikto </w:t>
            </w:r>
            <w:proofErr w:type="spellStart"/>
            <w:r w:rsidRPr="00C0483C">
              <w:rPr>
                <w:sz w:val="22"/>
                <w:szCs w:val="22"/>
              </w:rPr>
              <w:t>aprēķinpunktu</w:t>
            </w:r>
            <w:proofErr w:type="spellEnd"/>
            <w:r w:rsidRPr="00C0483C">
              <w:rPr>
                <w:sz w:val="22"/>
                <w:szCs w:val="22"/>
              </w:rPr>
              <w:t>.”</w:t>
            </w:r>
          </w:p>
        </w:tc>
      </w:tr>
    </w:tbl>
    <w:p w:rsidR="00D900B7" w:rsidRDefault="00D900B7" w:rsidP="00D900B7">
      <w:pPr>
        <w:jc w:val="both"/>
        <w:rPr>
          <w:sz w:val="28"/>
          <w:szCs w:val="28"/>
        </w:rPr>
      </w:pPr>
    </w:p>
    <w:p w:rsidR="00261B02" w:rsidRPr="0080226B" w:rsidRDefault="00261B02" w:rsidP="00D900B7">
      <w:pPr>
        <w:jc w:val="both"/>
        <w:rPr>
          <w:sz w:val="28"/>
          <w:szCs w:val="28"/>
        </w:rPr>
      </w:pPr>
    </w:p>
    <w:p w:rsidR="00D900B7" w:rsidRDefault="00D900B7"/>
    <w:p w:rsidR="006F231B" w:rsidRDefault="002973FE" w:rsidP="006F231B">
      <w:pPr>
        <w:pStyle w:val="tv2131"/>
        <w:spacing w:after="120" w:line="240" w:lineRule="auto"/>
        <w:ind w:firstLine="0"/>
        <w:jc w:val="both"/>
        <w:rPr>
          <w:rStyle w:val="Strong"/>
          <w:b w:val="0"/>
          <w:color w:val="auto"/>
          <w:sz w:val="28"/>
          <w:szCs w:val="28"/>
        </w:rPr>
      </w:pPr>
      <w:r>
        <w:rPr>
          <w:rStyle w:val="Strong"/>
          <w:b w:val="0"/>
          <w:color w:val="auto"/>
          <w:sz w:val="28"/>
          <w:szCs w:val="28"/>
        </w:rPr>
        <w:t>9</w:t>
      </w:r>
      <w:r w:rsidR="006F231B" w:rsidRPr="007773FE">
        <w:rPr>
          <w:rStyle w:val="Strong"/>
          <w:b w:val="0"/>
          <w:color w:val="auto"/>
          <w:sz w:val="28"/>
          <w:szCs w:val="28"/>
        </w:rPr>
        <w:t>.</w:t>
      </w:r>
      <w:r w:rsidR="007773FE">
        <w:rPr>
          <w:rStyle w:val="Strong"/>
          <w:b w:val="0"/>
          <w:color w:val="auto"/>
          <w:sz w:val="28"/>
          <w:szCs w:val="28"/>
        </w:rPr>
        <w:t> </w:t>
      </w:r>
      <w:r w:rsidR="006F231B" w:rsidRPr="007773FE">
        <w:rPr>
          <w:rStyle w:val="Strong"/>
          <w:b w:val="0"/>
          <w:color w:val="auto"/>
          <w:sz w:val="28"/>
          <w:szCs w:val="28"/>
        </w:rPr>
        <w:t xml:space="preserve">Papildināt noteikumus ar </w:t>
      </w:r>
      <w:r w:rsidR="007773FE">
        <w:rPr>
          <w:rStyle w:val="Strong"/>
          <w:b w:val="0"/>
          <w:color w:val="auto"/>
          <w:sz w:val="28"/>
          <w:szCs w:val="28"/>
        </w:rPr>
        <w:t>4</w:t>
      </w:r>
      <w:r w:rsidR="006F231B" w:rsidRPr="007773FE">
        <w:rPr>
          <w:rStyle w:val="Strong"/>
          <w:b w:val="0"/>
          <w:color w:val="auto"/>
          <w:sz w:val="28"/>
          <w:szCs w:val="28"/>
        </w:rPr>
        <w:t xml:space="preserve">. un </w:t>
      </w:r>
      <w:r w:rsidR="007773FE">
        <w:rPr>
          <w:rStyle w:val="Strong"/>
          <w:b w:val="0"/>
          <w:color w:val="auto"/>
          <w:sz w:val="28"/>
          <w:szCs w:val="28"/>
        </w:rPr>
        <w:t>5</w:t>
      </w:r>
      <w:r w:rsidR="006F231B" w:rsidRPr="007773FE">
        <w:rPr>
          <w:rStyle w:val="Strong"/>
          <w:b w:val="0"/>
          <w:color w:val="auto"/>
          <w:sz w:val="28"/>
          <w:szCs w:val="28"/>
        </w:rPr>
        <w:t>. pielikumu šādā redakcijā:</w:t>
      </w:r>
    </w:p>
    <w:p w:rsidR="00D900B7" w:rsidRDefault="00D900B7"/>
    <w:p w:rsidR="00D900B7" w:rsidRDefault="00D900B7"/>
    <w:p w:rsidR="00D900B7" w:rsidRDefault="00D900B7">
      <w:pPr>
        <w:sectPr w:rsidR="00D900B7" w:rsidSect="00D900B7">
          <w:headerReference w:type="default" r:id="rId14"/>
          <w:footerReference w:type="default" r:id="rId15"/>
          <w:footerReference w:type="first" r:id="rId16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D900B7" w:rsidRPr="006C553B" w:rsidRDefault="00915322" w:rsidP="00D900B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“</w:t>
      </w:r>
      <w:r w:rsidR="00261B02">
        <w:rPr>
          <w:sz w:val="28"/>
          <w:szCs w:val="28"/>
        </w:rPr>
        <w:t>4</w:t>
      </w:r>
      <w:r w:rsidR="00D900B7" w:rsidRPr="006C553B">
        <w:rPr>
          <w:sz w:val="28"/>
          <w:szCs w:val="28"/>
        </w:rPr>
        <w:t>. </w:t>
      </w:r>
      <w:r w:rsidR="00261B02">
        <w:rPr>
          <w:sz w:val="28"/>
          <w:szCs w:val="28"/>
        </w:rPr>
        <w:t>pielikums</w:t>
      </w:r>
      <w:r w:rsidR="00261B02">
        <w:rPr>
          <w:sz w:val="28"/>
          <w:szCs w:val="28"/>
        </w:rPr>
        <w:br/>
        <w:t>Ministru kabineta</w:t>
      </w:r>
      <w:r w:rsidR="00261B02">
        <w:rPr>
          <w:sz w:val="28"/>
          <w:szCs w:val="28"/>
        </w:rPr>
        <w:br/>
        <w:t>2010</w:t>
      </w:r>
      <w:r w:rsidR="00D900B7" w:rsidRPr="006C553B">
        <w:rPr>
          <w:sz w:val="28"/>
          <w:szCs w:val="28"/>
        </w:rPr>
        <w:t xml:space="preserve">. gada </w:t>
      </w:r>
      <w:r w:rsidR="00261B02">
        <w:rPr>
          <w:sz w:val="28"/>
          <w:szCs w:val="28"/>
        </w:rPr>
        <w:t>19</w:t>
      </w:r>
      <w:r w:rsidR="00D900B7">
        <w:rPr>
          <w:sz w:val="28"/>
          <w:szCs w:val="28"/>
        </w:rPr>
        <w:t>. </w:t>
      </w:r>
      <w:r w:rsidR="00261B02">
        <w:rPr>
          <w:sz w:val="28"/>
          <w:szCs w:val="28"/>
        </w:rPr>
        <w:t>oktobra</w:t>
      </w:r>
    </w:p>
    <w:p w:rsidR="00D900B7" w:rsidRPr="006C553B" w:rsidRDefault="00261B02" w:rsidP="00D900B7">
      <w:pPr>
        <w:jc w:val="right"/>
      </w:pPr>
      <w:r w:rsidRPr="00261B02">
        <w:rPr>
          <w:sz w:val="28"/>
          <w:szCs w:val="28"/>
        </w:rPr>
        <w:t>noteikumiem Nr. 983</w:t>
      </w:r>
    </w:p>
    <w:p w:rsidR="00D900B7" w:rsidRPr="008C223D" w:rsidRDefault="00D900B7" w:rsidP="00D900B7">
      <w:pPr>
        <w:spacing w:after="120"/>
        <w:ind w:firstLine="720"/>
        <w:jc w:val="both"/>
        <w:rPr>
          <w:i/>
          <w:iCs/>
          <w:sz w:val="18"/>
          <w:szCs w:val="18"/>
        </w:rPr>
      </w:pPr>
    </w:p>
    <w:p w:rsidR="00261B02" w:rsidRPr="00915322" w:rsidRDefault="00392CAB" w:rsidP="00915322">
      <w:pPr>
        <w:pStyle w:val="BodyText2"/>
        <w:ind w:firstLine="720"/>
        <w:jc w:val="center"/>
        <w:rPr>
          <w:b/>
          <w:szCs w:val="28"/>
        </w:rPr>
      </w:pPr>
      <w:r>
        <w:rPr>
          <w:b/>
          <w:szCs w:val="28"/>
        </w:rPr>
        <w:t>Z</w:t>
      </w:r>
      <w:r w:rsidR="00261B02" w:rsidRPr="00915322">
        <w:rPr>
          <w:b/>
          <w:szCs w:val="28"/>
        </w:rPr>
        <w:t>iņojum</w:t>
      </w:r>
      <w:r w:rsidR="001D6539">
        <w:rPr>
          <w:b/>
          <w:szCs w:val="28"/>
        </w:rPr>
        <w:t>a paraugs</w:t>
      </w:r>
      <w:r w:rsidR="000F1BDB">
        <w:rPr>
          <w:b/>
          <w:szCs w:val="28"/>
        </w:rPr>
        <w:t xml:space="preserve"> par </w:t>
      </w:r>
      <w:r w:rsidR="00907183">
        <w:rPr>
          <w:b/>
          <w:szCs w:val="28"/>
        </w:rPr>
        <w:t xml:space="preserve">radīto </w:t>
      </w:r>
      <w:r w:rsidR="00261B02" w:rsidRPr="00915322">
        <w:rPr>
          <w:b/>
          <w:szCs w:val="28"/>
        </w:rPr>
        <w:t>izlietotā iepakojuma apjomu, mater</w:t>
      </w:r>
      <w:r>
        <w:rPr>
          <w:b/>
          <w:szCs w:val="28"/>
        </w:rPr>
        <w:t>iālu veidiem un apsaimniekošanu</w:t>
      </w:r>
      <w:hyperlink r:id="rId17" w:anchor="piel3" w:history="1"/>
    </w:p>
    <w:p w:rsidR="00D900B7" w:rsidRPr="008C223D" w:rsidRDefault="00D900B7" w:rsidP="00D900B7">
      <w:pPr>
        <w:spacing w:after="120"/>
        <w:jc w:val="center"/>
        <w:rPr>
          <w:b/>
        </w:rPr>
      </w:pPr>
    </w:p>
    <w:p w:rsidR="00D900B7" w:rsidRPr="00B43E47" w:rsidRDefault="00907183" w:rsidP="00D900B7">
      <w:pPr>
        <w:spacing w:after="120"/>
        <w:jc w:val="center"/>
        <w:rPr>
          <w:b/>
          <w:i/>
        </w:rPr>
      </w:pPr>
      <w:r>
        <w:rPr>
          <w:b/>
        </w:rPr>
        <w:t>1</w:t>
      </w:r>
      <w:r w:rsidR="00D900B7" w:rsidRPr="00B43E47">
        <w:rPr>
          <w:b/>
        </w:rPr>
        <w:t>.</w:t>
      </w:r>
      <w:r>
        <w:rPr>
          <w:b/>
        </w:rPr>
        <w:t> </w:t>
      </w:r>
      <w:r w:rsidR="00D900B7" w:rsidRPr="00B43E47">
        <w:rPr>
          <w:b/>
        </w:rPr>
        <w:t>Vieglās plastmasas iepirkumu maisiņu gada patēriņš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1548"/>
        <w:gridCol w:w="3534"/>
      </w:tblGrid>
      <w:tr w:rsidR="00392CAB" w:rsidRPr="00B43E47" w:rsidTr="00392CAB">
        <w:trPr>
          <w:jc w:val="center"/>
        </w:trPr>
        <w:tc>
          <w:tcPr>
            <w:tcW w:w="6191" w:type="dxa"/>
            <w:gridSpan w:val="2"/>
            <w:shd w:val="clear" w:color="auto" w:fill="auto"/>
          </w:tcPr>
          <w:p w:rsidR="00392CAB" w:rsidRPr="00B43E47" w:rsidRDefault="00392CAB" w:rsidP="00576279">
            <w:pPr>
              <w:spacing w:before="120"/>
              <w:jc w:val="center"/>
            </w:pPr>
            <w:r w:rsidRPr="00B43E47">
              <w:t>Vieglās plastmasas iepirkumu maisiņu masa (kg)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392CAB" w:rsidRPr="00B43E47" w:rsidRDefault="00392CAB" w:rsidP="00576279">
            <w:pPr>
              <w:spacing w:before="120"/>
              <w:jc w:val="center"/>
            </w:pPr>
            <w:r w:rsidRPr="00B43E47">
              <w:t>Viena plastmasas iepirkumu maisiņa svērtā vidējā masa</w:t>
            </w:r>
            <w:r w:rsidR="000F1BDB">
              <w:rPr>
                <w:vertAlign w:val="superscript"/>
              </w:rPr>
              <w:t>1</w:t>
            </w:r>
            <w:r w:rsidRPr="00B43E47">
              <w:t xml:space="preserve"> (kg)</w:t>
            </w:r>
          </w:p>
        </w:tc>
      </w:tr>
      <w:tr w:rsidR="00392CAB" w:rsidRPr="00B43E47" w:rsidTr="00392CAB">
        <w:trPr>
          <w:jc w:val="center"/>
        </w:trPr>
        <w:tc>
          <w:tcPr>
            <w:tcW w:w="6191" w:type="dxa"/>
            <w:gridSpan w:val="2"/>
            <w:shd w:val="clear" w:color="auto" w:fill="auto"/>
          </w:tcPr>
          <w:p w:rsidR="00392CAB" w:rsidRPr="00B43E47" w:rsidRDefault="00392CAB" w:rsidP="00576279">
            <w:pPr>
              <w:spacing w:before="120"/>
              <w:jc w:val="center"/>
            </w:pPr>
            <w:r w:rsidRPr="00B43E47">
              <w:t>Tai skaitā maisiņi, kuru sieniņu biezums ir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392CAB" w:rsidRPr="00B43E47" w:rsidRDefault="00392CAB" w:rsidP="00576279">
            <w:pPr>
              <w:spacing w:before="120"/>
              <w:jc w:val="center"/>
            </w:pPr>
            <w:r w:rsidRPr="00B43E47">
              <w:t>Ar sieniņu biezumu</w:t>
            </w:r>
          </w:p>
        </w:tc>
      </w:tr>
      <w:tr w:rsidR="00392CAB" w:rsidRPr="00B43E47" w:rsidTr="00392CAB">
        <w:trPr>
          <w:trHeight w:val="649"/>
          <w:jc w:val="center"/>
        </w:trPr>
        <w:tc>
          <w:tcPr>
            <w:tcW w:w="30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AB" w:rsidRPr="00B43E47" w:rsidRDefault="00392CAB" w:rsidP="00392CAB">
            <w:pPr>
              <w:jc w:val="center"/>
              <w:rPr>
                <w:color w:val="000000"/>
              </w:rPr>
            </w:pPr>
            <w:r w:rsidRPr="00B43E47">
              <w:t>&lt;15 mikroni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2CAB" w:rsidRPr="00B43E47" w:rsidRDefault="00392CAB" w:rsidP="00392CAB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B43E47">
              <w:rPr>
                <w:color w:val="000000"/>
                <w:sz w:val="22"/>
                <w:szCs w:val="22"/>
              </w:rPr>
              <w:t>15≤50 mikroni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AB" w:rsidRPr="00B43E47" w:rsidRDefault="00392CAB" w:rsidP="00576279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B43E47">
              <w:rPr>
                <w:color w:val="000000"/>
                <w:sz w:val="22"/>
                <w:szCs w:val="22"/>
              </w:rPr>
              <w:t>&lt;15 mikroni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AB" w:rsidRPr="00B43E47" w:rsidRDefault="00392CAB" w:rsidP="00576279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B43E47">
              <w:rPr>
                <w:color w:val="000000"/>
                <w:sz w:val="22"/>
                <w:szCs w:val="22"/>
              </w:rPr>
              <w:t>15≤50 mikroni</w:t>
            </w:r>
          </w:p>
        </w:tc>
      </w:tr>
      <w:tr w:rsidR="00392CAB" w:rsidTr="00392CAB">
        <w:trPr>
          <w:jc w:val="center"/>
        </w:trPr>
        <w:tc>
          <w:tcPr>
            <w:tcW w:w="3095" w:type="dxa"/>
            <w:tcBorders>
              <w:bottom w:val="single" w:sz="4" w:space="0" w:color="000000"/>
            </w:tcBorders>
            <w:shd w:val="clear" w:color="auto" w:fill="auto"/>
          </w:tcPr>
          <w:p w:rsidR="00392CAB" w:rsidRDefault="00392CAB" w:rsidP="00576279">
            <w:pPr>
              <w:spacing w:before="120"/>
            </w:pPr>
          </w:p>
        </w:tc>
        <w:tc>
          <w:tcPr>
            <w:tcW w:w="3096" w:type="dxa"/>
          </w:tcPr>
          <w:p w:rsidR="00392CAB" w:rsidRDefault="00392CAB" w:rsidP="00576279">
            <w:pPr>
              <w:spacing w:before="120"/>
            </w:pPr>
          </w:p>
        </w:tc>
        <w:tc>
          <w:tcPr>
            <w:tcW w:w="1548" w:type="dxa"/>
            <w:shd w:val="clear" w:color="auto" w:fill="auto"/>
          </w:tcPr>
          <w:p w:rsidR="00392CAB" w:rsidRDefault="00392CAB" w:rsidP="00576279">
            <w:pPr>
              <w:spacing w:before="120"/>
            </w:pPr>
          </w:p>
        </w:tc>
        <w:tc>
          <w:tcPr>
            <w:tcW w:w="3534" w:type="dxa"/>
            <w:shd w:val="clear" w:color="auto" w:fill="auto"/>
          </w:tcPr>
          <w:p w:rsidR="00392CAB" w:rsidRDefault="00392CAB" w:rsidP="00576279">
            <w:pPr>
              <w:spacing w:before="120"/>
            </w:pPr>
          </w:p>
        </w:tc>
      </w:tr>
    </w:tbl>
    <w:p w:rsidR="00D900B7" w:rsidRPr="00CC3457" w:rsidRDefault="00D900B7" w:rsidP="00D900B7">
      <w:pPr>
        <w:spacing w:before="120"/>
      </w:pPr>
      <w:r w:rsidRPr="00CC3457">
        <w:t>Piezīme</w:t>
      </w:r>
      <w:r w:rsidR="000F1BDB">
        <w:t>:</w:t>
      </w:r>
    </w:p>
    <w:p w:rsidR="00D900B7" w:rsidRPr="00CC3457" w:rsidRDefault="000F1BDB" w:rsidP="00D900B7">
      <w:pPr>
        <w:spacing w:after="120"/>
        <w:jc w:val="both"/>
      </w:pPr>
      <w:r>
        <w:rPr>
          <w:vertAlign w:val="superscript"/>
        </w:rPr>
        <w:t>1</w:t>
      </w:r>
      <w:r w:rsidR="00D900B7">
        <w:t xml:space="preserve"> </w:t>
      </w:r>
      <w:r w:rsidR="00D900B7" w:rsidRPr="00CC3457">
        <w:t>Maisiņa svērto vidējā masu (kg) aprēķina, izmantojot šādu formulu:</w:t>
      </w:r>
    </w:p>
    <w:p w:rsidR="00D900B7" w:rsidRPr="00ED0B99" w:rsidRDefault="00D900B7" w:rsidP="00D900B7">
      <m:oMath>
        <m:r>
          <w:rPr>
            <w:rFonts w:ascii="Cambria Math" w:hAnsi="Cambria Math"/>
          </w:rPr>
          <m:t>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…+m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+…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+ 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den>
        </m:f>
      </m:oMath>
      <w:r w:rsidRPr="00ED0B99">
        <w:t>, kur</w:t>
      </w:r>
    </w:p>
    <w:p w:rsidR="00D900B7" w:rsidRPr="00CC3457" w:rsidRDefault="00D900B7" w:rsidP="00D900B7">
      <w:pPr>
        <w:jc w:val="both"/>
      </w:pPr>
      <w:r w:rsidRPr="00CC3457">
        <w:t>m</w:t>
      </w:r>
      <w:r w:rsidRPr="00CC3457">
        <w:rPr>
          <w:vertAlign w:val="subscript"/>
        </w:rPr>
        <w:t xml:space="preserve">1, </w:t>
      </w:r>
      <w:r w:rsidRPr="00CC3457">
        <w:t>m</w:t>
      </w:r>
      <w:r w:rsidRPr="00CC3457">
        <w:rPr>
          <w:vertAlign w:val="subscript"/>
        </w:rPr>
        <w:t xml:space="preserve">2, </w:t>
      </w:r>
      <w:proofErr w:type="spellStart"/>
      <w:r w:rsidRPr="00CC3457">
        <w:t>m</w:t>
      </w:r>
      <w:r w:rsidRPr="00CC3457">
        <w:rPr>
          <w:vertAlign w:val="subscript"/>
        </w:rPr>
        <w:t>n</w:t>
      </w:r>
      <w:proofErr w:type="spellEnd"/>
      <w:r w:rsidRPr="00CC3457">
        <w:rPr>
          <w:vertAlign w:val="subscript"/>
        </w:rPr>
        <w:t xml:space="preserve"> </w:t>
      </w:r>
      <w:r w:rsidRPr="00CC3457">
        <w:t>– vieglas plastmasas iepirkumu maisi</w:t>
      </w:r>
      <w:r>
        <w:t xml:space="preserve">ņa ar noteikto materiāla biezumu (piemēram 14 mikroni, 30 mikroni un 49 mikroni) </w:t>
      </w:r>
      <w:r w:rsidRPr="00CC3457">
        <w:t>masa</w:t>
      </w:r>
      <w:r>
        <w:t xml:space="preserve"> (kg)</w:t>
      </w:r>
      <w:r w:rsidRPr="00CC3457">
        <w:t>;</w:t>
      </w:r>
    </w:p>
    <w:p w:rsidR="00D900B7" w:rsidRDefault="00D900B7" w:rsidP="00D900B7">
      <w:pPr>
        <w:jc w:val="both"/>
      </w:pPr>
      <w:r w:rsidRPr="00A03793">
        <w:t>x</w:t>
      </w:r>
      <w:r w:rsidRPr="00A03793">
        <w:rPr>
          <w:vertAlign w:val="subscript"/>
        </w:rPr>
        <w:t>1</w:t>
      </w:r>
      <w:r w:rsidRPr="00A03793">
        <w:t>, x</w:t>
      </w:r>
      <w:r w:rsidRPr="00A03793">
        <w:rPr>
          <w:vertAlign w:val="subscript"/>
        </w:rPr>
        <w:t>2</w:t>
      </w:r>
      <w:r w:rsidRPr="00A03793">
        <w:t xml:space="preserve">, </w:t>
      </w:r>
      <w:proofErr w:type="spellStart"/>
      <w:r w:rsidRPr="00A03793">
        <w:t>x</w:t>
      </w:r>
      <w:r w:rsidRPr="00A03793">
        <w:rPr>
          <w:vertAlign w:val="subscript"/>
        </w:rPr>
        <w:t>n</w:t>
      </w:r>
      <w:proofErr w:type="spellEnd"/>
      <w:r w:rsidRPr="00A03793">
        <w:rPr>
          <w:vertAlign w:val="subscript"/>
        </w:rPr>
        <w:t xml:space="preserve"> </w:t>
      </w:r>
      <w:r w:rsidRPr="00A03793">
        <w:t>– vieglas plastmasas iepirkumu maisiņu veidu skaits.”</w:t>
      </w:r>
    </w:p>
    <w:p w:rsidR="007773FE" w:rsidRDefault="007773FE" w:rsidP="00D900B7">
      <w:pPr>
        <w:spacing w:after="120"/>
        <w:jc w:val="center"/>
        <w:rPr>
          <w:b/>
        </w:rPr>
      </w:pPr>
    </w:p>
    <w:p w:rsidR="00D900B7" w:rsidRPr="00801E5A" w:rsidRDefault="00D900B7" w:rsidP="00D900B7">
      <w:pPr>
        <w:spacing w:after="120"/>
        <w:jc w:val="center"/>
        <w:rPr>
          <w:b/>
        </w:rPr>
      </w:pPr>
      <w:r>
        <w:rPr>
          <w:b/>
        </w:rPr>
        <w:t>2.</w:t>
      </w:r>
      <w:r w:rsidR="00C53EE7">
        <w:rPr>
          <w:b/>
        </w:rPr>
        <w:t> </w:t>
      </w:r>
      <w:r>
        <w:rPr>
          <w:b/>
        </w:rPr>
        <w:t>Atkārtoti lietojamais</w:t>
      </w:r>
      <w:r w:rsidRPr="00801E5A">
        <w:rPr>
          <w:b/>
        </w:rPr>
        <w:t xml:space="preserve"> iepakojums</w:t>
      </w:r>
    </w:p>
    <w:p w:rsidR="00D900B7" w:rsidRPr="00557160" w:rsidRDefault="00854AD0" w:rsidP="00D900B7">
      <w:pPr>
        <w:spacing w:after="120"/>
        <w:jc w:val="center"/>
        <w:rPr>
          <w:b/>
        </w:rPr>
      </w:pPr>
      <w:r>
        <w:rPr>
          <w:b/>
        </w:rPr>
        <w:t>2.</w:t>
      </w:r>
      <w:r w:rsidR="00C53EE7">
        <w:rPr>
          <w:b/>
        </w:rPr>
        <w:t>1. </w:t>
      </w:r>
      <w:r w:rsidR="00D900B7" w:rsidRPr="00557160">
        <w:rPr>
          <w:b/>
        </w:rPr>
        <w:t xml:space="preserve">Atkārtoti lietojamā </w:t>
      </w:r>
      <w:r w:rsidR="00532E18">
        <w:rPr>
          <w:b/>
        </w:rPr>
        <w:t xml:space="preserve">primārā </w:t>
      </w:r>
      <w:r w:rsidR="00D900B7" w:rsidRPr="00557160">
        <w:rPr>
          <w:b/>
        </w:rPr>
        <w:t>iepakojuma daļa</w:t>
      </w:r>
      <w:r w:rsidR="00D900B7" w:rsidRPr="00557160">
        <w:t xml:space="preserve"> </w:t>
      </w:r>
      <w:r w:rsidR="00D900B7" w:rsidRPr="00557160">
        <w:rPr>
          <w:b/>
        </w:rPr>
        <w:t>iepriekšējos trijos gados</w:t>
      </w:r>
      <w:r>
        <w:rPr>
          <w:b/>
          <w:vertAlign w:val="superscript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2692"/>
        <w:gridCol w:w="2692"/>
        <w:gridCol w:w="2692"/>
        <w:gridCol w:w="2692"/>
      </w:tblGrid>
      <w:tr w:rsidR="00557160" w:rsidRPr="00557160" w:rsidTr="00576279"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bCs/>
                <w:sz w:val="22"/>
                <w:szCs w:val="22"/>
              </w:rPr>
            </w:pPr>
            <w:r w:rsidRPr="00557160">
              <w:rPr>
                <w:bCs/>
                <w:sz w:val="22"/>
                <w:szCs w:val="22"/>
              </w:rPr>
              <w:t xml:space="preserve">Iepakojuma un vienreiz </w:t>
            </w:r>
            <w:r w:rsidRPr="00557160">
              <w:rPr>
                <w:bCs/>
                <w:sz w:val="22"/>
                <w:szCs w:val="22"/>
              </w:rPr>
              <w:lastRenderedPageBreak/>
              <w:t>lietojamo trauku materiāla veids</w:t>
            </w:r>
          </w:p>
        </w:tc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bCs/>
                <w:sz w:val="22"/>
                <w:szCs w:val="22"/>
              </w:rPr>
            </w:pPr>
            <w:r w:rsidRPr="00557160">
              <w:rPr>
                <w:bCs/>
                <w:sz w:val="22"/>
                <w:szCs w:val="22"/>
              </w:rPr>
              <w:lastRenderedPageBreak/>
              <w:t xml:space="preserve">Atkārtoti lietojamā </w:t>
            </w:r>
            <w:r w:rsidR="00532E18">
              <w:rPr>
                <w:bCs/>
                <w:sz w:val="22"/>
                <w:szCs w:val="22"/>
              </w:rPr>
              <w:t>primārā</w:t>
            </w:r>
            <w:r w:rsidRPr="00557160">
              <w:rPr>
                <w:bCs/>
                <w:sz w:val="22"/>
                <w:szCs w:val="22"/>
              </w:rPr>
              <w:t xml:space="preserve"> </w:t>
            </w:r>
            <w:r w:rsidRPr="00557160">
              <w:rPr>
                <w:bCs/>
                <w:sz w:val="22"/>
                <w:szCs w:val="22"/>
              </w:rPr>
              <w:lastRenderedPageBreak/>
              <w:t xml:space="preserve">iepakojuma daļa (%) no visa </w:t>
            </w:r>
            <w:r w:rsidR="00532E18">
              <w:rPr>
                <w:bCs/>
                <w:sz w:val="22"/>
                <w:szCs w:val="22"/>
              </w:rPr>
              <w:t xml:space="preserve">primārā </w:t>
            </w:r>
            <w:r w:rsidRPr="00557160">
              <w:rPr>
                <w:bCs/>
                <w:sz w:val="22"/>
                <w:szCs w:val="22"/>
              </w:rPr>
              <w:t xml:space="preserve">iepakojuma </w:t>
            </w:r>
          </w:p>
          <w:p w:rsidR="00D900B7" w:rsidRPr="00557160" w:rsidRDefault="00D900B7" w:rsidP="00576279">
            <w:pPr>
              <w:jc w:val="center"/>
              <w:rPr>
                <w:bCs/>
                <w:sz w:val="22"/>
                <w:szCs w:val="22"/>
              </w:rPr>
            </w:pPr>
            <w:r w:rsidRPr="00557160">
              <w:rPr>
                <w:bCs/>
                <w:sz w:val="22"/>
                <w:szCs w:val="22"/>
              </w:rPr>
              <w:t>(n - 3 gadā)</w:t>
            </w:r>
          </w:p>
        </w:tc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bCs/>
                <w:sz w:val="22"/>
                <w:szCs w:val="22"/>
              </w:rPr>
            </w:pPr>
            <w:r w:rsidRPr="00557160">
              <w:rPr>
                <w:bCs/>
                <w:sz w:val="22"/>
                <w:szCs w:val="22"/>
              </w:rPr>
              <w:lastRenderedPageBreak/>
              <w:t xml:space="preserve">Atkārtoti lietojamā </w:t>
            </w:r>
            <w:r w:rsidR="00532E18" w:rsidRPr="00532E18">
              <w:rPr>
                <w:bCs/>
                <w:sz w:val="22"/>
                <w:szCs w:val="22"/>
              </w:rPr>
              <w:t>primārā</w:t>
            </w:r>
            <w:r w:rsidRPr="00557160">
              <w:rPr>
                <w:bCs/>
                <w:sz w:val="22"/>
                <w:szCs w:val="22"/>
              </w:rPr>
              <w:t xml:space="preserve"> </w:t>
            </w:r>
            <w:r w:rsidRPr="00557160">
              <w:rPr>
                <w:bCs/>
                <w:sz w:val="22"/>
                <w:szCs w:val="22"/>
              </w:rPr>
              <w:lastRenderedPageBreak/>
              <w:t xml:space="preserve">iepakojuma daļa (%) no visa </w:t>
            </w:r>
            <w:r w:rsidR="00532E18" w:rsidRPr="00532E18">
              <w:rPr>
                <w:bCs/>
                <w:sz w:val="22"/>
                <w:szCs w:val="22"/>
              </w:rPr>
              <w:t>primārā</w:t>
            </w:r>
            <w:r w:rsidRPr="00557160">
              <w:rPr>
                <w:bCs/>
                <w:sz w:val="22"/>
                <w:szCs w:val="22"/>
              </w:rPr>
              <w:t xml:space="preserve"> iepakojuma </w:t>
            </w:r>
          </w:p>
          <w:p w:rsidR="00D900B7" w:rsidRPr="00557160" w:rsidRDefault="00D900B7" w:rsidP="00576279">
            <w:pPr>
              <w:jc w:val="center"/>
              <w:rPr>
                <w:bCs/>
                <w:sz w:val="22"/>
                <w:szCs w:val="22"/>
              </w:rPr>
            </w:pPr>
            <w:r w:rsidRPr="00557160">
              <w:rPr>
                <w:bCs/>
                <w:sz w:val="22"/>
                <w:szCs w:val="22"/>
              </w:rPr>
              <w:t>(n - 2 gadā)</w:t>
            </w:r>
          </w:p>
        </w:tc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bCs/>
                <w:sz w:val="22"/>
                <w:szCs w:val="22"/>
              </w:rPr>
            </w:pPr>
            <w:r w:rsidRPr="00557160">
              <w:rPr>
                <w:bCs/>
                <w:sz w:val="22"/>
                <w:szCs w:val="22"/>
              </w:rPr>
              <w:lastRenderedPageBreak/>
              <w:t xml:space="preserve">Atkārtoti lietojamā </w:t>
            </w:r>
            <w:r w:rsidR="00532E18" w:rsidRPr="00532E18">
              <w:rPr>
                <w:bCs/>
                <w:sz w:val="22"/>
                <w:szCs w:val="22"/>
              </w:rPr>
              <w:t>primārā</w:t>
            </w:r>
            <w:r w:rsidRPr="00557160">
              <w:rPr>
                <w:bCs/>
                <w:sz w:val="22"/>
                <w:szCs w:val="22"/>
              </w:rPr>
              <w:t xml:space="preserve"> </w:t>
            </w:r>
            <w:r w:rsidRPr="00557160">
              <w:rPr>
                <w:bCs/>
                <w:sz w:val="22"/>
                <w:szCs w:val="22"/>
              </w:rPr>
              <w:lastRenderedPageBreak/>
              <w:t xml:space="preserve">iepakojuma daļa (%) no visa </w:t>
            </w:r>
            <w:r w:rsidR="00532E18" w:rsidRPr="00532E18">
              <w:rPr>
                <w:bCs/>
                <w:sz w:val="22"/>
                <w:szCs w:val="22"/>
              </w:rPr>
              <w:t>primārā</w:t>
            </w:r>
            <w:r w:rsidRPr="00557160">
              <w:rPr>
                <w:bCs/>
                <w:sz w:val="22"/>
                <w:szCs w:val="22"/>
              </w:rPr>
              <w:t xml:space="preserve"> iepakojuma </w:t>
            </w:r>
          </w:p>
          <w:p w:rsidR="00D900B7" w:rsidRPr="00557160" w:rsidRDefault="00D900B7" w:rsidP="00576279">
            <w:pPr>
              <w:jc w:val="center"/>
              <w:rPr>
                <w:bCs/>
                <w:sz w:val="22"/>
                <w:szCs w:val="22"/>
              </w:rPr>
            </w:pPr>
            <w:r w:rsidRPr="00557160">
              <w:rPr>
                <w:bCs/>
                <w:sz w:val="22"/>
                <w:szCs w:val="22"/>
              </w:rPr>
              <w:t>(n - 1 gadā)</w:t>
            </w:r>
          </w:p>
        </w:tc>
        <w:tc>
          <w:tcPr>
            <w:tcW w:w="2692" w:type="dxa"/>
            <w:shd w:val="clear" w:color="auto" w:fill="auto"/>
          </w:tcPr>
          <w:p w:rsidR="00D900B7" w:rsidRPr="00854AD0" w:rsidRDefault="00D900B7" w:rsidP="00576279">
            <w:pPr>
              <w:jc w:val="center"/>
              <w:rPr>
                <w:bCs/>
                <w:sz w:val="22"/>
                <w:szCs w:val="22"/>
              </w:rPr>
            </w:pPr>
            <w:r w:rsidRPr="00854AD0">
              <w:rPr>
                <w:bCs/>
                <w:sz w:val="22"/>
                <w:szCs w:val="22"/>
              </w:rPr>
              <w:lastRenderedPageBreak/>
              <w:t>Vidējais trijos gados (%)</w:t>
            </w:r>
          </w:p>
          <w:p w:rsidR="00D900B7" w:rsidRPr="00557160" w:rsidRDefault="00D900B7" w:rsidP="00576279">
            <w:pPr>
              <w:jc w:val="center"/>
              <w:rPr>
                <w:bCs/>
                <w:sz w:val="22"/>
                <w:szCs w:val="22"/>
              </w:rPr>
            </w:pPr>
            <w:r w:rsidRPr="00854AD0">
              <w:rPr>
                <w:bCs/>
                <w:sz w:val="22"/>
                <w:szCs w:val="22"/>
              </w:rPr>
              <w:lastRenderedPageBreak/>
              <w:t>((2 + 3 + 4)/3)</w:t>
            </w:r>
          </w:p>
        </w:tc>
      </w:tr>
      <w:tr w:rsidR="00557160" w:rsidRPr="00557160" w:rsidTr="00576279"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sz w:val="22"/>
                <w:szCs w:val="22"/>
              </w:rPr>
            </w:pPr>
            <w:r w:rsidRPr="0055716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bCs/>
                <w:sz w:val="22"/>
                <w:szCs w:val="22"/>
              </w:rPr>
            </w:pPr>
            <w:r w:rsidRPr="0055716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bCs/>
                <w:sz w:val="22"/>
                <w:szCs w:val="22"/>
              </w:rPr>
            </w:pPr>
            <w:r w:rsidRPr="0055716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bCs/>
                <w:sz w:val="22"/>
                <w:szCs w:val="22"/>
              </w:rPr>
            </w:pPr>
            <w:r w:rsidRPr="0055716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bCs/>
                <w:sz w:val="22"/>
                <w:szCs w:val="22"/>
              </w:rPr>
            </w:pPr>
            <w:r w:rsidRPr="00557160">
              <w:rPr>
                <w:bCs/>
                <w:sz w:val="22"/>
                <w:szCs w:val="22"/>
              </w:rPr>
              <w:t>5</w:t>
            </w:r>
          </w:p>
        </w:tc>
      </w:tr>
      <w:tr w:rsidR="00557160" w:rsidRPr="00557160" w:rsidTr="00576279"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rPr>
                <w:sz w:val="22"/>
                <w:szCs w:val="22"/>
              </w:rPr>
            </w:pPr>
            <w:r w:rsidRPr="00557160">
              <w:rPr>
                <w:sz w:val="22"/>
                <w:szCs w:val="22"/>
              </w:rPr>
              <w:t>Stikls</w:t>
            </w:r>
          </w:p>
        </w:tc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b/>
                <w:bCs/>
              </w:rPr>
            </w:pPr>
          </w:p>
        </w:tc>
      </w:tr>
      <w:tr w:rsidR="00557160" w:rsidRPr="00557160" w:rsidTr="00576279"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rPr>
                <w:sz w:val="22"/>
                <w:szCs w:val="22"/>
              </w:rPr>
            </w:pPr>
            <w:r w:rsidRPr="00557160">
              <w:rPr>
                <w:sz w:val="22"/>
                <w:szCs w:val="22"/>
              </w:rPr>
              <w:t>Plastmasa</w:t>
            </w:r>
          </w:p>
        </w:tc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b/>
                <w:bCs/>
              </w:rPr>
            </w:pPr>
          </w:p>
        </w:tc>
      </w:tr>
      <w:tr w:rsidR="00557160" w:rsidRPr="00557160" w:rsidTr="00576279"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rPr>
                <w:sz w:val="22"/>
                <w:szCs w:val="22"/>
              </w:rPr>
            </w:pPr>
            <w:r w:rsidRPr="00557160">
              <w:rPr>
                <w:sz w:val="22"/>
                <w:szCs w:val="22"/>
              </w:rPr>
              <w:t xml:space="preserve">Papīrs un kartons </w:t>
            </w:r>
          </w:p>
          <w:p w:rsidR="00D900B7" w:rsidRPr="00557160" w:rsidRDefault="00D900B7" w:rsidP="00576279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b/>
                <w:bCs/>
              </w:rPr>
            </w:pPr>
          </w:p>
        </w:tc>
      </w:tr>
      <w:tr w:rsidR="00557160" w:rsidRPr="00557160" w:rsidTr="00576279"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rPr>
                <w:sz w:val="22"/>
                <w:szCs w:val="22"/>
              </w:rPr>
            </w:pPr>
            <w:r w:rsidRPr="00557160">
              <w:rPr>
                <w:sz w:val="22"/>
                <w:szCs w:val="22"/>
              </w:rPr>
              <w:t>Melnais metāls</w:t>
            </w:r>
          </w:p>
        </w:tc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b/>
                <w:bCs/>
              </w:rPr>
            </w:pPr>
          </w:p>
        </w:tc>
      </w:tr>
      <w:tr w:rsidR="00557160" w:rsidRPr="00557160" w:rsidTr="00576279"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rPr>
                <w:sz w:val="22"/>
                <w:szCs w:val="22"/>
              </w:rPr>
            </w:pPr>
            <w:r w:rsidRPr="00557160">
              <w:rPr>
                <w:sz w:val="22"/>
                <w:szCs w:val="22"/>
              </w:rPr>
              <w:t>Alumīnijs</w:t>
            </w:r>
          </w:p>
        </w:tc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b/>
                <w:bCs/>
              </w:rPr>
            </w:pPr>
          </w:p>
        </w:tc>
      </w:tr>
      <w:tr w:rsidR="00557160" w:rsidRPr="00557160" w:rsidTr="00576279"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rPr>
                <w:sz w:val="22"/>
                <w:szCs w:val="22"/>
              </w:rPr>
            </w:pPr>
            <w:r w:rsidRPr="00557160">
              <w:rPr>
                <w:sz w:val="22"/>
                <w:szCs w:val="22"/>
              </w:rPr>
              <w:t>Koksne</w:t>
            </w:r>
          </w:p>
        </w:tc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b/>
                <w:bCs/>
              </w:rPr>
            </w:pPr>
          </w:p>
        </w:tc>
      </w:tr>
      <w:tr w:rsidR="00557160" w:rsidRPr="00557160" w:rsidTr="00576279"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rPr>
                <w:b/>
                <w:sz w:val="22"/>
                <w:szCs w:val="22"/>
              </w:rPr>
            </w:pPr>
            <w:r w:rsidRPr="00557160">
              <w:rPr>
                <w:b/>
                <w:sz w:val="22"/>
                <w:szCs w:val="22"/>
              </w:rPr>
              <w:t>Kopā visiem materiāliem</w:t>
            </w:r>
          </w:p>
        </w:tc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shd w:val="clear" w:color="auto" w:fill="auto"/>
          </w:tcPr>
          <w:p w:rsidR="00D900B7" w:rsidRPr="00557160" w:rsidRDefault="00D900B7" w:rsidP="00576279">
            <w:pPr>
              <w:jc w:val="center"/>
              <w:rPr>
                <w:b/>
                <w:bCs/>
              </w:rPr>
            </w:pPr>
          </w:p>
        </w:tc>
      </w:tr>
    </w:tbl>
    <w:p w:rsidR="00D900B7" w:rsidRPr="00557160" w:rsidRDefault="00854AD0" w:rsidP="00AF435F">
      <w:pPr>
        <w:spacing w:before="120"/>
        <w:jc w:val="both"/>
      </w:pPr>
      <w:r>
        <w:t>Piezīme:</w:t>
      </w:r>
    </w:p>
    <w:p w:rsidR="006408FF" w:rsidRPr="0080674D" w:rsidRDefault="00854AD0" w:rsidP="00AF435F">
      <w:pPr>
        <w:jc w:val="both"/>
      </w:pPr>
      <w:r>
        <w:rPr>
          <w:vertAlign w:val="superscript"/>
        </w:rPr>
        <w:t>2</w:t>
      </w:r>
      <w:r w:rsidR="00D900B7" w:rsidRPr="00557160">
        <w:t xml:space="preserve"> Dati </w:t>
      </w:r>
      <w:r w:rsidR="006408FF" w:rsidRPr="006408FF">
        <w:t xml:space="preserve">obligāti jāsniedz tikai par to </w:t>
      </w:r>
      <w:r w:rsidR="006408FF">
        <w:t xml:space="preserve">iepakojuma </w:t>
      </w:r>
      <w:r w:rsidR="006408FF" w:rsidRPr="006408FF">
        <w:t>materiāl</w:t>
      </w:r>
      <w:r w:rsidR="006408FF">
        <w:t>a veidu</w:t>
      </w:r>
      <w:r w:rsidR="006408FF" w:rsidRPr="006408FF">
        <w:t xml:space="preserve">, </w:t>
      </w:r>
      <w:r w:rsidR="00D33D87">
        <w:t>pamatojoties</w:t>
      </w:r>
      <w:r w:rsidR="006408FF" w:rsidRPr="006408FF">
        <w:t xml:space="preserve"> uz kuru </w:t>
      </w:r>
      <w:r w:rsidR="006408FF">
        <w:t xml:space="preserve">tiek aprēķināts </w:t>
      </w:r>
      <w:r w:rsidR="006408FF">
        <w:rPr>
          <w:rFonts w:eastAsia="Calibri"/>
          <w:lang w:eastAsia="en-US"/>
        </w:rPr>
        <w:t xml:space="preserve">pārstrādes </w:t>
      </w:r>
      <w:proofErr w:type="spellStart"/>
      <w:r w:rsidR="006408FF" w:rsidRPr="00B44F6B">
        <w:rPr>
          <w:rFonts w:eastAsia="Calibri"/>
          <w:lang w:eastAsia="en-US"/>
        </w:rPr>
        <w:t>mērķrādītāju</w:t>
      </w:r>
      <w:proofErr w:type="spellEnd"/>
      <w:r w:rsidR="006408FF" w:rsidRPr="00B44F6B">
        <w:rPr>
          <w:rFonts w:eastAsia="Calibri"/>
          <w:lang w:eastAsia="en-US"/>
        </w:rPr>
        <w:t xml:space="preserve"> </w:t>
      </w:r>
      <w:r w:rsidR="006408FF" w:rsidRPr="0080674D">
        <w:rPr>
          <w:rFonts w:eastAsia="Calibri"/>
          <w:lang w:eastAsia="en-US"/>
        </w:rPr>
        <w:t>(</w:t>
      </w:r>
      <w:r w:rsidR="006408FF" w:rsidRPr="0080674D">
        <w:t xml:space="preserve">pārstrādes apjomu) </w:t>
      </w:r>
      <w:r w:rsidR="006408FF" w:rsidRPr="0080674D">
        <w:rPr>
          <w:rFonts w:eastAsia="Calibri"/>
          <w:lang w:eastAsia="en-US"/>
        </w:rPr>
        <w:t>pielāgots līmenis.</w:t>
      </w:r>
    </w:p>
    <w:p w:rsidR="00085852" w:rsidRDefault="00085852" w:rsidP="00D900B7">
      <w:pPr>
        <w:spacing w:after="120"/>
        <w:jc w:val="center"/>
        <w:rPr>
          <w:b/>
          <w:bCs/>
        </w:rPr>
      </w:pPr>
    </w:p>
    <w:p w:rsidR="00D900B7" w:rsidRPr="00557160" w:rsidRDefault="00854AD0" w:rsidP="00D900B7">
      <w:pPr>
        <w:spacing w:after="120"/>
        <w:jc w:val="center"/>
        <w:rPr>
          <w:b/>
          <w:bCs/>
        </w:rPr>
      </w:pPr>
      <w:r>
        <w:rPr>
          <w:b/>
          <w:bCs/>
        </w:rPr>
        <w:t>2.2. </w:t>
      </w:r>
      <w:r w:rsidR="00D900B7" w:rsidRPr="00557160">
        <w:rPr>
          <w:b/>
          <w:bCs/>
        </w:rPr>
        <w:t>Atkārtoti lietojamais iepakojums atskaites periodā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86"/>
        <w:gridCol w:w="992"/>
        <w:gridCol w:w="1157"/>
        <w:gridCol w:w="993"/>
        <w:gridCol w:w="1110"/>
        <w:gridCol w:w="1276"/>
        <w:gridCol w:w="1299"/>
        <w:gridCol w:w="969"/>
        <w:gridCol w:w="1134"/>
        <w:gridCol w:w="1208"/>
        <w:gridCol w:w="1231"/>
      </w:tblGrid>
      <w:tr w:rsidR="00A3349C" w:rsidRPr="008B77EC" w:rsidTr="004E322B">
        <w:trPr>
          <w:trHeight w:hRule="exact" w:val="831"/>
          <w:jc w:val="center"/>
        </w:trPr>
        <w:tc>
          <w:tcPr>
            <w:tcW w:w="2186" w:type="dxa"/>
            <w:vMerge w:val="restart"/>
            <w:vAlign w:val="center"/>
          </w:tcPr>
          <w:p w:rsidR="00A3349C" w:rsidRPr="004E322B" w:rsidRDefault="00A3349C" w:rsidP="003E3709">
            <w:pPr>
              <w:jc w:val="center"/>
              <w:rPr>
                <w:rFonts w:eastAsia="Calibri"/>
              </w:rPr>
            </w:pPr>
            <w:r w:rsidRPr="004E322B">
              <w:rPr>
                <w:color w:val="000000"/>
                <w:sz w:val="20"/>
              </w:rPr>
              <w:t>Iepakojuma materiāl</w:t>
            </w:r>
            <w:r w:rsidR="004E322B" w:rsidRPr="004E322B">
              <w:rPr>
                <w:color w:val="000000"/>
                <w:sz w:val="20"/>
              </w:rPr>
              <w:t>a veids</w:t>
            </w:r>
          </w:p>
        </w:tc>
        <w:tc>
          <w:tcPr>
            <w:tcW w:w="4252" w:type="dxa"/>
            <w:gridSpan w:val="4"/>
            <w:vAlign w:val="center"/>
          </w:tcPr>
          <w:p w:rsidR="00A3349C" w:rsidRPr="004E322B" w:rsidRDefault="00A3349C" w:rsidP="003E3709">
            <w:pPr>
              <w:jc w:val="center"/>
              <w:rPr>
                <w:rFonts w:eastAsia="Calibri"/>
              </w:rPr>
            </w:pPr>
            <w:r w:rsidRPr="004E322B">
              <w:rPr>
                <w:color w:val="000000"/>
                <w:sz w:val="20"/>
              </w:rPr>
              <w:t>Tirgū pirmo reizi laistais iepakojums</w:t>
            </w:r>
          </w:p>
        </w:tc>
        <w:tc>
          <w:tcPr>
            <w:tcW w:w="2575" w:type="dxa"/>
            <w:gridSpan w:val="2"/>
            <w:vAlign w:val="center"/>
          </w:tcPr>
          <w:p w:rsidR="00A3349C" w:rsidRPr="004E322B" w:rsidRDefault="00A3349C" w:rsidP="003E3709">
            <w:pPr>
              <w:jc w:val="center"/>
              <w:rPr>
                <w:rFonts w:eastAsia="Calibri"/>
              </w:rPr>
            </w:pPr>
            <w:r w:rsidRPr="004E322B">
              <w:rPr>
                <w:sz w:val="20"/>
              </w:rPr>
              <w:t xml:space="preserve">Tirgū </w:t>
            </w:r>
            <w:r w:rsidRPr="004E322B">
              <w:rPr>
                <w:color w:val="000000"/>
                <w:sz w:val="20"/>
              </w:rPr>
              <w:t>pirmo reizi laistais</w:t>
            </w:r>
            <w:r w:rsidRPr="004E322B">
              <w:rPr>
                <w:sz w:val="20"/>
              </w:rPr>
              <w:t xml:space="preserve"> atkārtoti lietojamais iepakojums</w:t>
            </w:r>
          </w:p>
        </w:tc>
        <w:tc>
          <w:tcPr>
            <w:tcW w:w="4542" w:type="dxa"/>
            <w:gridSpan w:val="4"/>
            <w:vAlign w:val="center"/>
          </w:tcPr>
          <w:p w:rsidR="00A3349C" w:rsidRPr="004E322B" w:rsidRDefault="00A3349C" w:rsidP="003E3709">
            <w:pPr>
              <w:jc w:val="center"/>
              <w:rPr>
                <w:rFonts w:eastAsia="Calibri"/>
              </w:rPr>
            </w:pPr>
            <w:r w:rsidRPr="004E322B">
              <w:rPr>
                <w:color w:val="000000"/>
                <w:sz w:val="20"/>
              </w:rPr>
              <w:t>Rotācijas</w:t>
            </w:r>
            <w:r w:rsidR="00C53EE7">
              <w:rPr>
                <w:sz w:val="20"/>
                <w:vertAlign w:val="superscript"/>
              </w:rPr>
              <w:t>5</w:t>
            </w:r>
          </w:p>
        </w:tc>
      </w:tr>
      <w:tr w:rsidR="00A3349C" w:rsidRPr="008B77EC" w:rsidTr="004E322B">
        <w:trPr>
          <w:trHeight w:hRule="exact" w:val="645"/>
          <w:jc w:val="center"/>
        </w:trPr>
        <w:tc>
          <w:tcPr>
            <w:tcW w:w="2186" w:type="dxa"/>
            <w:vMerge/>
            <w:vAlign w:val="center"/>
          </w:tcPr>
          <w:p w:rsidR="00A3349C" w:rsidRPr="004E322B" w:rsidRDefault="00A3349C" w:rsidP="003E3709">
            <w:pPr>
              <w:jc w:val="center"/>
              <w:rPr>
                <w:rFonts w:eastAsia="Calibri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A3349C" w:rsidRPr="004E322B" w:rsidRDefault="00A3349C" w:rsidP="003E3709">
            <w:pPr>
              <w:jc w:val="center"/>
              <w:rPr>
                <w:rFonts w:eastAsia="Calibri"/>
              </w:rPr>
            </w:pPr>
            <w:r w:rsidRPr="004E322B">
              <w:rPr>
                <w:color w:val="000000"/>
                <w:sz w:val="20"/>
              </w:rPr>
              <w:t>Viss iepakojums</w:t>
            </w:r>
            <w:r w:rsidR="00C53EE7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103" w:type="dxa"/>
            <w:gridSpan w:val="2"/>
            <w:vAlign w:val="center"/>
          </w:tcPr>
          <w:p w:rsidR="00A3349C" w:rsidRPr="004E322B" w:rsidRDefault="00532E18" w:rsidP="00532E18">
            <w:pPr>
              <w:jc w:val="center"/>
              <w:rPr>
                <w:rFonts w:eastAsia="Calibri"/>
              </w:rPr>
            </w:pPr>
            <w:r>
              <w:rPr>
                <w:color w:val="000000"/>
                <w:sz w:val="20"/>
              </w:rPr>
              <w:t>P</w:t>
            </w:r>
            <w:r w:rsidRPr="00532E18">
              <w:rPr>
                <w:color w:val="000000"/>
                <w:sz w:val="20"/>
              </w:rPr>
              <w:t>rimār</w:t>
            </w:r>
            <w:r>
              <w:rPr>
                <w:color w:val="000000"/>
                <w:sz w:val="20"/>
              </w:rPr>
              <w:t>ais</w:t>
            </w:r>
            <w:r w:rsidR="00A3349C" w:rsidRPr="004E322B">
              <w:rPr>
                <w:color w:val="000000"/>
                <w:sz w:val="20"/>
              </w:rPr>
              <w:t xml:space="preserve"> iepakojums</w:t>
            </w:r>
            <w:r w:rsidR="00C53EE7">
              <w:rPr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1276" w:type="dxa"/>
            <w:vMerge w:val="restart"/>
          </w:tcPr>
          <w:p w:rsidR="00A3349C" w:rsidRPr="004E322B" w:rsidRDefault="00A3349C" w:rsidP="003E370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E322B">
              <w:rPr>
                <w:color w:val="000000"/>
                <w:sz w:val="20"/>
              </w:rPr>
              <w:t>Viss atkārtoti lietojamais iepakojums</w:t>
            </w:r>
          </w:p>
          <w:p w:rsidR="00A3349C" w:rsidRPr="004E322B" w:rsidRDefault="00C53EE7" w:rsidP="003E370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(tonna</w:t>
            </w:r>
            <w:r w:rsidR="00A3349C" w:rsidRPr="004E322B">
              <w:rPr>
                <w:color w:val="000000"/>
                <w:sz w:val="20"/>
              </w:rPr>
              <w:t>)</w:t>
            </w:r>
          </w:p>
          <w:p w:rsidR="00A3349C" w:rsidRPr="004E322B" w:rsidRDefault="00A3349C" w:rsidP="003E3709">
            <w:pPr>
              <w:jc w:val="center"/>
              <w:rPr>
                <w:rFonts w:eastAsia="Calibri"/>
              </w:rPr>
            </w:pPr>
          </w:p>
        </w:tc>
        <w:tc>
          <w:tcPr>
            <w:tcW w:w="1299" w:type="dxa"/>
            <w:vMerge w:val="restart"/>
          </w:tcPr>
          <w:p w:rsidR="00A3349C" w:rsidRPr="004E322B" w:rsidRDefault="00A3349C" w:rsidP="003E370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E322B">
              <w:rPr>
                <w:sz w:val="20"/>
              </w:rPr>
              <w:t xml:space="preserve">Atkārtoti lietojamais </w:t>
            </w:r>
            <w:r w:rsidR="00532E18">
              <w:rPr>
                <w:sz w:val="20"/>
              </w:rPr>
              <w:t>primārais</w:t>
            </w:r>
            <w:r w:rsidRPr="004E322B">
              <w:rPr>
                <w:sz w:val="20"/>
              </w:rPr>
              <w:t xml:space="preserve"> iepakojums</w:t>
            </w:r>
          </w:p>
          <w:p w:rsidR="00A3349C" w:rsidRPr="004E322B" w:rsidRDefault="00A3349C" w:rsidP="003E370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E322B">
              <w:rPr>
                <w:sz w:val="20"/>
              </w:rPr>
              <w:t>(</w:t>
            </w:r>
            <w:r w:rsidR="00C53EE7">
              <w:rPr>
                <w:sz w:val="20"/>
              </w:rPr>
              <w:t>tonna</w:t>
            </w:r>
            <w:r w:rsidRPr="004E322B">
              <w:rPr>
                <w:sz w:val="20"/>
              </w:rPr>
              <w:t>)</w:t>
            </w:r>
          </w:p>
          <w:p w:rsidR="00A3349C" w:rsidRPr="004E322B" w:rsidRDefault="00A3349C" w:rsidP="003E3709">
            <w:pPr>
              <w:jc w:val="center"/>
              <w:rPr>
                <w:rFonts w:eastAsia="Calibri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A3349C" w:rsidRPr="004E322B" w:rsidRDefault="00A3349C" w:rsidP="003E370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E322B">
              <w:rPr>
                <w:color w:val="000000"/>
                <w:sz w:val="20"/>
              </w:rPr>
              <w:t>Viss atkārtoti lietojamais iepakojums</w:t>
            </w:r>
          </w:p>
          <w:p w:rsidR="00A3349C" w:rsidRPr="004E322B" w:rsidRDefault="00A3349C" w:rsidP="003E3709">
            <w:pPr>
              <w:jc w:val="center"/>
              <w:rPr>
                <w:rFonts w:eastAsia="Calibri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A3349C" w:rsidRPr="004E322B" w:rsidRDefault="00A3349C" w:rsidP="003E370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E322B">
              <w:rPr>
                <w:color w:val="000000"/>
                <w:sz w:val="20"/>
              </w:rPr>
              <w:t xml:space="preserve">Atkārtoti lietojamais </w:t>
            </w:r>
            <w:r w:rsidR="00532E18">
              <w:rPr>
                <w:color w:val="000000"/>
                <w:sz w:val="20"/>
              </w:rPr>
              <w:t>primārais</w:t>
            </w:r>
            <w:r w:rsidRPr="004E322B">
              <w:rPr>
                <w:color w:val="000000"/>
                <w:sz w:val="20"/>
              </w:rPr>
              <w:t xml:space="preserve"> iepakojums</w:t>
            </w:r>
          </w:p>
          <w:p w:rsidR="00A3349C" w:rsidRPr="004E322B" w:rsidRDefault="00A3349C" w:rsidP="003E3709">
            <w:pPr>
              <w:jc w:val="center"/>
              <w:rPr>
                <w:rFonts w:eastAsia="Calibri"/>
              </w:rPr>
            </w:pPr>
          </w:p>
        </w:tc>
      </w:tr>
      <w:tr w:rsidR="00A3349C" w:rsidRPr="008B77EC" w:rsidTr="00854AD0">
        <w:trPr>
          <w:trHeight w:hRule="exact" w:val="995"/>
          <w:jc w:val="center"/>
        </w:trPr>
        <w:tc>
          <w:tcPr>
            <w:tcW w:w="2186" w:type="dxa"/>
            <w:vMerge/>
            <w:vAlign w:val="center"/>
          </w:tcPr>
          <w:p w:rsidR="00A3349C" w:rsidRPr="004E322B" w:rsidRDefault="00A3349C" w:rsidP="003E3709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Align w:val="center"/>
          </w:tcPr>
          <w:p w:rsidR="00A3349C" w:rsidRPr="004E322B" w:rsidRDefault="00854AD0" w:rsidP="00C53EE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(tonna</w:t>
            </w:r>
            <w:r w:rsidR="00A3349C" w:rsidRPr="004E322B">
              <w:rPr>
                <w:color w:val="000000"/>
                <w:sz w:val="20"/>
              </w:rPr>
              <w:t>)</w:t>
            </w:r>
          </w:p>
        </w:tc>
        <w:tc>
          <w:tcPr>
            <w:tcW w:w="1157" w:type="dxa"/>
            <w:vAlign w:val="center"/>
          </w:tcPr>
          <w:p w:rsidR="00A3349C" w:rsidRPr="004E322B" w:rsidRDefault="00A3349C" w:rsidP="003E370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E322B">
              <w:rPr>
                <w:color w:val="000000"/>
                <w:sz w:val="20"/>
              </w:rPr>
              <w:t>(vienības)</w:t>
            </w:r>
          </w:p>
        </w:tc>
        <w:tc>
          <w:tcPr>
            <w:tcW w:w="993" w:type="dxa"/>
            <w:vAlign w:val="center"/>
          </w:tcPr>
          <w:p w:rsidR="00A3349C" w:rsidRPr="004E322B" w:rsidRDefault="00854AD0" w:rsidP="00C53EE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(tonna</w:t>
            </w:r>
            <w:r w:rsidR="00A3349C" w:rsidRPr="004E322B">
              <w:rPr>
                <w:color w:val="000000"/>
                <w:sz w:val="20"/>
              </w:rPr>
              <w:t>)</w:t>
            </w:r>
          </w:p>
        </w:tc>
        <w:tc>
          <w:tcPr>
            <w:tcW w:w="1110" w:type="dxa"/>
            <w:vAlign w:val="center"/>
          </w:tcPr>
          <w:p w:rsidR="00A3349C" w:rsidRPr="004E322B" w:rsidRDefault="00A3349C" w:rsidP="003E370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E322B">
              <w:rPr>
                <w:color w:val="000000"/>
                <w:sz w:val="20"/>
              </w:rPr>
              <w:t>(vienības)</w:t>
            </w:r>
          </w:p>
        </w:tc>
        <w:tc>
          <w:tcPr>
            <w:tcW w:w="1276" w:type="dxa"/>
            <w:vMerge/>
            <w:vAlign w:val="center"/>
          </w:tcPr>
          <w:p w:rsidR="00A3349C" w:rsidRPr="004E322B" w:rsidRDefault="00A3349C" w:rsidP="003E3709">
            <w:pPr>
              <w:jc w:val="center"/>
              <w:rPr>
                <w:rFonts w:eastAsia="Calibri"/>
              </w:rPr>
            </w:pPr>
          </w:p>
        </w:tc>
        <w:tc>
          <w:tcPr>
            <w:tcW w:w="1299" w:type="dxa"/>
            <w:vMerge/>
            <w:vAlign w:val="center"/>
          </w:tcPr>
          <w:p w:rsidR="00A3349C" w:rsidRPr="004E322B" w:rsidRDefault="00A3349C" w:rsidP="003E3709">
            <w:pPr>
              <w:jc w:val="center"/>
              <w:rPr>
                <w:rFonts w:eastAsia="Calibri"/>
              </w:rPr>
            </w:pPr>
          </w:p>
        </w:tc>
        <w:tc>
          <w:tcPr>
            <w:tcW w:w="969" w:type="dxa"/>
            <w:vAlign w:val="center"/>
          </w:tcPr>
          <w:p w:rsidR="00A3349C" w:rsidRPr="004E322B" w:rsidRDefault="00854AD0" w:rsidP="00C53EE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(tonna</w:t>
            </w:r>
            <w:r w:rsidR="00A3349C" w:rsidRPr="004E322B">
              <w:rPr>
                <w:color w:val="000000"/>
                <w:sz w:val="20"/>
              </w:rPr>
              <w:t>)</w:t>
            </w:r>
            <w:r w:rsidR="00C53EE7">
              <w:rPr>
                <w:color w:val="000000"/>
                <w:sz w:val="20"/>
                <w:vertAlign w:val="superscript"/>
              </w:rPr>
              <w:t>6</w:t>
            </w:r>
          </w:p>
        </w:tc>
        <w:tc>
          <w:tcPr>
            <w:tcW w:w="1134" w:type="dxa"/>
            <w:vAlign w:val="center"/>
          </w:tcPr>
          <w:p w:rsidR="00A3349C" w:rsidRPr="004E322B" w:rsidRDefault="00A3349C" w:rsidP="003E370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E322B">
              <w:rPr>
                <w:color w:val="000000"/>
                <w:sz w:val="20"/>
              </w:rPr>
              <w:t>(skaits)</w:t>
            </w:r>
          </w:p>
        </w:tc>
        <w:tc>
          <w:tcPr>
            <w:tcW w:w="1208" w:type="dxa"/>
            <w:vAlign w:val="center"/>
          </w:tcPr>
          <w:p w:rsidR="00A3349C" w:rsidRPr="004E322B" w:rsidRDefault="00C53EE7" w:rsidP="003E370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(tonna</w:t>
            </w:r>
            <w:r w:rsidR="00A3349C" w:rsidRPr="004E322B">
              <w:rPr>
                <w:color w:val="000000"/>
                <w:sz w:val="20"/>
              </w:rPr>
              <w:t>)</w:t>
            </w:r>
            <w:r>
              <w:rPr>
                <w:color w:val="000000"/>
                <w:sz w:val="20"/>
                <w:vertAlign w:val="superscript"/>
              </w:rPr>
              <w:t>6</w:t>
            </w:r>
          </w:p>
        </w:tc>
        <w:tc>
          <w:tcPr>
            <w:tcW w:w="1231" w:type="dxa"/>
            <w:vAlign w:val="center"/>
          </w:tcPr>
          <w:p w:rsidR="00A3349C" w:rsidRPr="004E322B" w:rsidRDefault="00A3349C" w:rsidP="003E370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E322B">
              <w:rPr>
                <w:color w:val="000000"/>
                <w:sz w:val="20"/>
              </w:rPr>
              <w:t>(skaits)</w:t>
            </w:r>
          </w:p>
        </w:tc>
      </w:tr>
      <w:tr w:rsidR="004E322B" w:rsidRPr="008B77EC" w:rsidTr="00854AD0">
        <w:trPr>
          <w:trHeight w:hRule="exact" w:val="397"/>
          <w:jc w:val="center"/>
        </w:trPr>
        <w:tc>
          <w:tcPr>
            <w:tcW w:w="2186" w:type="dxa"/>
            <w:shd w:val="clear" w:color="auto" w:fill="auto"/>
          </w:tcPr>
          <w:p w:rsidR="004E322B" w:rsidRPr="004E322B" w:rsidRDefault="004E322B" w:rsidP="003E370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E322B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E322B" w:rsidRPr="004E322B" w:rsidRDefault="004E322B" w:rsidP="003E370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E322B">
              <w:rPr>
                <w:color w:val="000000"/>
                <w:sz w:val="20"/>
              </w:rPr>
              <w:t>2</w:t>
            </w:r>
          </w:p>
        </w:tc>
        <w:tc>
          <w:tcPr>
            <w:tcW w:w="1157" w:type="dxa"/>
            <w:shd w:val="clear" w:color="auto" w:fill="auto"/>
          </w:tcPr>
          <w:p w:rsidR="004E322B" w:rsidRPr="004E322B" w:rsidRDefault="004E322B" w:rsidP="003E370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E322B">
              <w:rPr>
                <w:color w:val="000000"/>
                <w:sz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E322B" w:rsidRPr="004E322B" w:rsidRDefault="004E322B" w:rsidP="003E370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E322B">
              <w:rPr>
                <w:color w:val="000000"/>
                <w:sz w:val="20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:rsidR="004E322B" w:rsidRPr="004E322B" w:rsidRDefault="004E322B" w:rsidP="003E370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E322B">
              <w:rPr>
                <w:color w:val="000000"/>
                <w:sz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E322B" w:rsidRPr="004E322B" w:rsidRDefault="004E322B" w:rsidP="003E370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E322B">
              <w:rPr>
                <w:color w:val="000000"/>
                <w:sz w:val="20"/>
              </w:rPr>
              <w:t>6</w:t>
            </w:r>
          </w:p>
        </w:tc>
        <w:tc>
          <w:tcPr>
            <w:tcW w:w="1299" w:type="dxa"/>
            <w:shd w:val="clear" w:color="auto" w:fill="auto"/>
          </w:tcPr>
          <w:p w:rsidR="004E322B" w:rsidRPr="004E322B" w:rsidRDefault="004E322B" w:rsidP="003E370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0674D">
              <w:rPr>
                <w:color w:val="000000"/>
                <w:sz w:val="20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4E322B" w:rsidRPr="004E322B" w:rsidRDefault="004E322B" w:rsidP="003E370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E322B">
              <w:rPr>
                <w:color w:val="000000"/>
                <w:sz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E322B" w:rsidRPr="004E322B" w:rsidRDefault="004E322B" w:rsidP="003E370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E322B">
              <w:rPr>
                <w:color w:val="000000"/>
                <w:sz w:val="20"/>
              </w:rPr>
              <w:t>9</w:t>
            </w:r>
          </w:p>
        </w:tc>
        <w:tc>
          <w:tcPr>
            <w:tcW w:w="1208" w:type="dxa"/>
            <w:shd w:val="clear" w:color="auto" w:fill="auto"/>
          </w:tcPr>
          <w:p w:rsidR="004E322B" w:rsidRPr="004E322B" w:rsidRDefault="004E322B" w:rsidP="003E370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E322B">
              <w:rPr>
                <w:color w:val="000000"/>
                <w:sz w:val="20"/>
              </w:rPr>
              <w:t>10</w:t>
            </w:r>
          </w:p>
        </w:tc>
        <w:tc>
          <w:tcPr>
            <w:tcW w:w="1231" w:type="dxa"/>
            <w:shd w:val="clear" w:color="auto" w:fill="auto"/>
          </w:tcPr>
          <w:p w:rsidR="004E322B" w:rsidRPr="004E322B" w:rsidRDefault="004E322B" w:rsidP="003E370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E322B">
              <w:rPr>
                <w:color w:val="000000"/>
                <w:sz w:val="20"/>
              </w:rPr>
              <w:t>11</w:t>
            </w:r>
          </w:p>
        </w:tc>
      </w:tr>
      <w:tr w:rsidR="004E322B" w:rsidRPr="008B77EC" w:rsidTr="00854AD0">
        <w:trPr>
          <w:trHeight w:hRule="exact" w:val="397"/>
          <w:jc w:val="center"/>
        </w:trPr>
        <w:tc>
          <w:tcPr>
            <w:tcW w:w="2186" w:type="dxa"/>
          </w:tcPr>
          <w:p w:rsidR="004E322B" w:rsidRPr="00557160" w:rsidRDefault="004E322B" w:rsidP="003E3709">
            <w:pPr>
              <w:rPr>
                <w:sz w:val="22"/>
                <w:szCs w:val="22"/>
              </w:rPr>
            </w:pPr>
            <w:r w:rsidRPr="00557160">
              <w:rPr>
                <w:sz w:val="22"/>
                <w:szCs w:val="22"/>
              </w:rPr>
              <w:t>Stikls</w:t>
            </w:r>
          </w:p>
        </w:tc>
        <w:tc>
          <w:tcPr>
            <w:tcW w:w="992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299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969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208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231" w:type="dxa"/>
            <w:shd w:val="clear" w:color="auto" w:fill="D9D9D9" w:themeFill="background1" w:themeFillShade="D9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</w:tr>
      <w:tr w:rsidR="004E322B" w:rsidRPr="008B77EC" w:rsidTr="00854AD0">
        <w:trPr>
          <w:trHeight w:hRule="exact" w:val="397"/>
          <w:jc w:val="center"/>
        </w:trPr>
        <w:tc>
          <w:tcPr>
            <w:tcW w:w="2186" w:type="dxa"/>
          </w:tcPr>
          <w:p w:rsidR="004E322B" w:rsidRPr="00557160" w:rsidRDefault="004E322B" w:rsidP="003E3709">
            <w:pPr>
              <w:rPr>
                <w:sz w:val="22"/>
                <w:szCs w:val="22"/>
              </w:rPr>
            </w:pPr>
            <w:r w:rsidRPr="00557160">
              <w:rPr>
                <w:sz w:val="22"/>
                <w:szCs w:val="22"/>
              </w:rPr>
              <w:lastRenderedPageBreak/>
              <w:t>Plastmasa</w:t>
            </w:r>
          </w:p>
        </w:tc>
        <w:tc>
          <w:tcPr>
            <w:tcW w:w="992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299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969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208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231" w:type="dxa"/>
            <w:shd w:val="clear" w:color="auto" w:fill="D9D9D9" w:themeFill="background1" w:themeFillShade="D9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</w:tr>
      <w:tr w:rsidR="004E322B" w:rsidRPr="008B77EC" w:rsidTr="00854AD0">
        <w:trPr>
          <w:trHeight w:hRule="exact" w:val="376"/>
          <w:jc w:val="center"/>
        </w:trPr>
        <w:tc>
          <w:tcPr>
            <w:tcW w:w="2186" w:type="dxa"/>
          </w:tcPr>
          <w:p w:rsidR="004E322B" w:rsidRPr="00557160" w:rsidRDefault="004E322B" w:rsidP="003E3709">
            <w:pPr>
              <w:rPr>
                <w:sz w:val="22"/>
                <w:szCs w:val="22"/>
              </w:rPr>
            </w:pPr>
            <w:r w:rsidRPr="00557160">
              <w:rPr>
                <w:sz w:val="22"/>
                <w:szCs w:val="22"/>
              </w:rPr>
              <w:t xml:space="preserve">Papīrs un kartons </w:t>
            </w:r>
          </w:p>
        </w:tc>
        <w:tc>
          <w:tcPr>
            <w:tcW w:w="992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299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969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208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231" w:type="dxa"/>
            <w:shd w:val="clear" w:color="auto" w:fill="D9D9D9" w:themeFill="background1" w:themeFillShade="D9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</w:tr>
      <w:tr w:rsidR="004E322B" w:rsidRPr="008B77EC" w:rsidTr="00854AD0">
        <w:trPr>
          <w:trHeight w:hRule="exact" w:val="397"/>
          <w:jc w:val="center"/>
        </w:trPr>
        <w:tc>
          <w:tcPr>
            <w:tcW w:w="2186" w:type="dxa"/>
          </w:tcPr>
          <w:p w:rsidR="004E322B" w:rsidRPr="00557160" w:rsidRDefault="004E322B" w:rsidP="003E3709">
            <w:pPr>
              <w:rPr>
                <w:sz w:val="22"/>
                <w:szCs w:val="22"/>
              </w:rPr>
            </w:pPr>
            <w:r w:rsidRPr="00557160">
              <w:rPr>
                <w:sz w:val="22"/>
                <w:szCs w:val="22"/>
              </w:rPr>
              <w:t>Melnais metāls</w:t>
            </w:r>
          </w:p>
        </w:tc>
        <w:tc>
          <w:tcPr>
            <w:tcW w:w="992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299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969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208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231" w:type="dxa"/>
            <w:shd w:val="clear" w:color="auto" w:fill="D9D9D9" w:themeFill="background1" w:themeFillShade="D9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</w:tr>
      <w:tr w:rsidR="004E322B" w:rsidRPr="008B77EC" w:rsidTr="00854AD0">
        <w:trPr>
          <w:trHeight w:hRule="exact" w:val="397"/>
          <w:jc w:val="center"/>
        </w:trPr>
        <w:tc>
          <w:tcPr>
            <w:tcW w:w="2186" w:type="dxa"/>
          </w:tcPr>
          <w:p w:rsidR="004E322B" w:rsidRPr="00557160" w:rsidRDefault="004E322B" w:rsidP="003E3709">
            <w:pPr>
              <w:rPr>
                <w:sz w:val="22"/>
                <w:szCs w:val="22"/>
              </w:rPr>
            </w:pPr>
            <w:r w:rsidRPr="00557160">
              <w:rPr>
                <w:sz w:val="22"/>
                <w:szCs w:val="22"/>
              </w:rPr>
              <w:t>Alumīnijs</w:t>
            </w:r>
          </w:p>
        </w:tc>
        <w:tc>
          <w:tcPr>
            <w:tcW w:w="992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299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969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208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231" w:type="dxa"/>
            <w:shd w:val="clear" w:color="auto" w:fill="D9D9D9" w:themeFill="background1" w:themeFillShade="D9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</w:tr>
      <w:tr w:rsidR="004E322B" w:rsidRPr="008B77EC" w:rsidTr="00854AD0">
        <w:trPr>
          <w:trHeight w:hRule="exact" w:val="397"/>
          <w:jc w:val="center"/>
        </w:trPr>
        <w:tc>
          <w:tcPr>
            <w:tcW w:w="2186" w:type="dxa"/>
          </w:tcPr>
          <w:p w:rsidR="004E322B" w:rsidRPr="00557160" w:rsidRDefault="004E322B" w:rsidP="003E3709">
            <w:pPr>
              <w:rPr>
                <w:sz w:val="22"/>
                <w:szCs w:val="22"/>
              </w:rPr>
            </w:pPr>
            <w:r w:rsidRPr="00557160">
              <w:rPr>
                <w:sz w:val="22"/>
                <w:szCs w:val="22"/>
              </w:rPr>
              <w:t>Koksne</w:t>
            </w:r>
          </w:p>
        </w:tc>
        <w:tc>
          <w:tcPr>
            <w:tcW w:w="992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299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969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208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231" w:type="dxa"/>
            <w:shd w:val="clear" w:color="auto" w:fill="D9D9D9" w:themeFill="background1" w:themeFillShade="D9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</w:tr>
      <w:tr w:rsidR="004E322B" w:rsidRPr="008B77EC" w:rsidTr="00854AD0">
        <w:trPr>
          <w:trHeight w:hRule="exact" w:val="625"/>
          <w:jc w:val="center"/>
        </w:trPr>
        <w:tc>
          <w:tcPr>
            <w:tcW w:w="2186" w:type="dxa"/>
          </w:tcPr>
          <w:p w:rsidR="004E322B" w:rsidRPr="00557160" w:rsidRDefault="004E322B" w:rsidP="003E3709">
            <w:pPr>
              <w:rPr>
                <w:b/>
                <w:sz w:val="22"/>
                <w:szCs w:val="22"/>
              </w:rPr>
            </w:pPr>
            <w:r w:rsidRPr="00557160">
              <w:rPr>
                <w:b/>
                <w:sz w:val="22"/>
                <w:szCs w:val="22"/>
              </w:rPr>
              <w:t>Kopā visiem materiāliem</w:t>
            </w:r>
          </w:p>
        </w:tc>
        <w:tc>
          <w:tcPr>
            <w:tcW w:w="992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299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969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208" w:type="dxa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  <w:tc>
          <w:tcPr>
            <w:tcW w:w="1231" w:type="dxa"/>
            <w:shd w:val="clear" w:color="auto" w:fill="D9D9D9" w:themeFill="background1" w:themeFillShade="D9"/>
          </w:tcPr>
          <w:p w:rsidR="004E322B" w:rsidRPr="008B77EC" w:rsidRDefault="004E322B" w:rsidP="003E3709">
            <w:pPr>
              <w:rPr>
                <w:rFonts w:eastAsia="Calibri"/>
              </w:rPr>
            </w:pPr>
          </w:p>
        </w:tc>
      </w:tr>
    </w:tbl>
    <w:p w:rsidR="00D900B7" w:rsidRPr="00557160" w:rsidRDefault="00D900B7" w:rsidP="00AF435F">
      <w:pPr>
        <w:spacing w:before="120"/>
        <w:jc w:val="both"/>
      </w:pPr>
      <w:r w:rsidRPr="00557160">
        <w:t>Piezīme</w:t>
      </w:r>
      <w:r w:rsidR="004E322B">
        <w:t>s</w:t>
      </w:r>
      <w:r w:rsidRPr="00557160">
        <w:t>.</w:t>
      </w:r>
    </w:p>
    <w:p w:rsidR="00D900B7" w:rsidRDefault="00D900B7" w:rsidP="00AF435F">
      <w:pPr>
        <w:shd w:val="clear" w:color="auto" w:fill="FFFFFF"/>
        <w:jc w:val="both"/>
      </w:pPr>
      <w:r w:rsidRPr="00557160">
        <w:t xml:space="preserve">Iekrāsoto lauku aizpildīšana </w:t>
      </w:r>
      <w:r w:rsidR="0042576C" w:rsidRPr="00557160">
        <w:t>nav obligāta</w:t>
      </w:r>
      <w:r w:rsidRPr="00557160">
        <w:t>.</w:t>
      </w:r>
    </w:p>
    <w:p w:rsidR="00A3349C" w:rsidRPr="00A3349C" w:rsidRDefault="00C53EE7" w:rsidP="00AF435F">
      <w:pPr>
        <w:shd w:val="clear" w:color="auto" w:fill="FFFFFF"/>
        <w:jc w:val="both"/>
      </w:pPr>
      <w:r>
        <w:rPr>
          <w:vertAlign w:val="superscript"/>
        </w:rPr>
        <w:t>3</w:t>
      </w:r>
      <w:r w:rsidR="00A3349C" w:rsidRPr="00A3349C">
        <w:t xml:space="preserve"> </w:t>
      </w:r>
      <w:r w:rsidR="00435B2A">
        <w:t>V</w:t>
      </w:r>
      <w:r w:rsidR="00A3349C" w:rsidRPr="00A3349C">
        <w:t>iss atkārtoti lietojamais un vienreizlietojamais iepakojums, t. i. </w:t>
      </w:r>
      <w:r w:rsidR="00532E18">
        <w:t xml:space="preserve">primārais </w:t>
      </w:r>
      <w:r w:rsidR="00A3349C" w:rsidRPr="00A3349C">
        <w:t xml:space="preserve">iepakojums, </w:t>
      </w:r>
      <w:r w:rsidR="00532E18">
        <w:t xml:space="preserve">sekundārais </w:t>
      </w:r>
      <w:r w:rsidR="00A3349C" w:rsidRPr="00A3349C">
        <w:t xml:space="preserve">iepakojums un </w:t>
      </w:r>
      <w:r w:rsidR="00532E18">
        <w:t>terciārais (transporta)</w:t>
      </w:r>
      <w:r w:rsidR="00A3349C" w:rsidRPr="00A3349C">
        <w:t xml:space="preserve"> iepakojums.</w:t>
      </w:r>
    </w:p>
    <w:p w:rsidR="00A3349C" w:rsidRPr="00A3349C" w:rsidRDefault="00C53EE7" w:rsidP="00AF435F">
      <w:pPr>
        <w:shd w:val="clear" w:color="auto" w:fill="FFFFFF"/>
        <w:jc w:val="both"/>
      </w:pPr>
      <w:r>
        <w:rPr>
          <w:vertAlign w:val="superscript"/>
        </w:rPr>
        <w:t>4</w:t>
      </w:r>
      <w:r w:rsidR="00A3349C" w:rsidRPr="00A3349C">
        <w:t xml:space="preserve"> </w:t>
      </w:r>
      <w:r w:rsidR="00435B2A">
        <w:t>A</w:t>
      </w:r>
      <w:r w:rsidR="00A3349C" w:rsidRPr="00A3349C">
        <w:t xml:space="preserve">tkārtoti lietojamais un vienreizlietojamais </w:t>
      </w:r>
      <w:r w:rsidR="00532E18">
        <w:t>primārais</w:t>
      </w:r>
      <w:r w:rsidR="00A3349C" w:rsidRPr="00A3349C">
        <w:t xml:space="preserve"> iepakojums.</w:t>
      </w:r>
    </w:p>
    <w:p w:rsidR="00A3349C" w:rsidRPr="00A3349C" w:rsidRDefault="00C53EE7" w:rsidP="00AF435F">
      <w:pPr>
        <w:shd w:val="clear" w:color="auto" w:fill="FFFFFF"/>
        <w:jc w:val="both"/>
        <w:rPr>
          <w:rFonts w:eastAsia="Calibri"/>
        </w:rPr>
      </w:pPr>
      <w:r>
        <w:rPr>
          <w:vertAlign w:val="superscript"/>
        </w:rPr>
        <w:t>5</w:t>
      </w:r>
      <w:r w:rsidR="00435B2A">
        <w:t xml:space="preserve"> A</w:t>
      </w:r>
      <w:r w:rsidR="00A3349C" w:rsidRPr="00A3349C">
        <w:t>tkārtoti lietojamā iepakojuma pilno rotāciju skaits attiecīgajā gadā.</w:t>
      </w:r>
    </w:p>
    <w:p w:rsidR="00A3349C" w:rsidRDefault="00C53EE7" w:rsidP="00AF435F">
      <w:pPr>
        <w:shd w:val="clear" w:color="auto" w:fill="FFFFFF"/>
        <w:jc w:val="both"/>
      </w:pPr>
      <w:r>
        <w:rPr>
          <w:vertAlign w:val="superscript"/>
        </w:rPr>
        <w:t>6</w:t>
      </w:r>
      <w:r w:rsidR="00435B2A">
        <w:t xml:space="preserve"> A</w:t>
      </w:r>
      <w:r w:rsidR="00A3349C" w:rsidRPr="00A3349C">
        <w:t>tkārtoti lietojamā iepakojuma pilno rotāciju skaits attiecīgajā gadā, kas pareizināts ar iepakojuma masu</w:t>
      </w:r>
      <w:r w:rsidR="00435B2A">
        <w:t>.</w:t>
      </w:r>
    </w:p>
    <w:p w:rsidR="00D900B7" w:rsidRPr="008C223D" w:rsidRDefault="00D900B7" w:rsidP="00D900B7">
      <w:pPr>
        <w:jc w:val="center"/>
        <w:rPr>
          <w:b/>
          <w:bCs/>
        </w:rPr>
      </w:pPr>
    </w:p>
    <w:p w:rsidR="00D900B7" w:rsidRPr="008C223D" w:rsidRDefault="00D900B7" w:rsidP="00D900B7">
      <w:pPr>
        <w:spacing w:after="120"/>
        <w:jc w:val="center"/>
        <w:rPr>
          <w:b/>
          <w:bCs/>
        </w:rPr>
      </w:pPr>
      <w:r w:rsidRPr="008C223D">
        <w:rPr>
          <w:b/>
          <w:bCs/>
        </w:rPr>
        <w:t>3. Informācija par iepakojumu un to apsaimniekošanu</w:t>
      </w:r>
    </w:p>
    <w:tbl>
      <w:tblPr>
        <w:tblW w:w="13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51"/>
        <w:gridCol w:w="1418"/>
        <w:gridCol w:w="1701"/>
        <w:gridCol w:w="1842"/>
        <w:gridCol w:w="1843"/>
        <w:gridCol w:w="1559"/>
        <w:gridCol w:w="1701"/>
        <w:gridCol w:w="1843"/>
      </w:tblGrid>
      <w:tr w:rsidR="00D86E3B" w:rsidRPr="00C43977" w:rsidTr="006E25CA">
        <w:tc>
          <w:tcPr>
            <w:tcW w:w="1375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C43977">
            <w:pPr>
              <w:spacing w:before="60" w:after="6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43977">
              <w:rPr>
                <w:i/>
                <w:iCs/>
                <w:color w:val="000000"/>
                <w:sz w:val="22"/>
                <w:szCs w:val="22"/>
              </w:rPr>
              <w:t>(tonnas)</w:t>
            </w:r>
          </w:p>
        </w:tc>
      </w:tr>
      <w:tr w:rsidR="00D86E3B" w:rsidRPr="00C43977" w:rsidTr="006E25CA">
        <w:tc>
          <w:tcPr>
            <w:tcW w:w="1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C43977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977">
              <w:rPr>
                <w:b/>
                <w:bCs/>
                <w:color w:val="000000"/>
                <w:sz w:val="22"/>
                <w:szCs w:val="22"/>
              </w:rPr>
              <w:t>Izlietotā iepakojuma materiāl</w:t>
            </w:r>
            <w:r w:rsidR="00427D0E" w:rsidRPr="00C43977">
              <w:rPr>
                <w:b/>
                <w:bCs/>
                <w:color w:val="000000"/>
                <w:sz w:val="22"/>
                <w:szCs w:val="22"/>
              </w:rPr>
              <w:t>a veid</w:t>
            </w:r>
            <w:r w:rsidRPr="00C43977">
              <w:rPr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C43977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977">
              <w:rPr>
                <w:b/>
                <w:bCs/>
                <w:color w:val="000000"/>
                <w:sz w:val="22"/>
                <w:szCs w:val="22"/>
              </w:rPr>
              <w:t>Atkritumu rašanās</w:t>
            </w:r>
            <w:r w:rsidR="0032499E">
              <w:rPr>
                <w:b/>
                <w:bCs/>
                <w:color w:val="000000"/>
                <w:sz w:val="22"/>
                <w:szCs w:val="22"/>
              </w:rPr>
              <w:t xml:space="preserve"> Latvijā</w:t>
            </w:r>
          </w:p>
        </w:tc>
        <w:tc>
          <w:tcPr>
            <w:tcW w:w="5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C43977" w:rsidP="00C43977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Pārstrāde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8A5E05" w:rsidP="00C43977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977">
              <w:rPr>
                <w:b/>
                <w:bCs/>
                <w:color w:val="000000"/>
                <w:sz w:val="22"/>
                <w:szCs w:val="22"/>
              </w:rPr>
              <w:t>Koksnes</w:t>
            </w:r>
            <w:r w:rsidR="00D86E3B" w:rsidRPr="00C43977">
              <w:rPr>
                <w:b/>
                <w:bCs/>
                <w:color w:val="000000"/>
                <w:sz w:val="22"/>
                <w:szCs w:val="22"/>
              </w:rPr>
              <w:t xml:space="preserve"> iepakojuma labošana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C43977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977">
              <w:rPr>
                <w:b/>
                <w:bCs/>
                <w:color w:val="000000"/>
                <w:sz w:val="22"/>
                <w:szCs w:val="22"/>
              </w:rPr>
              <w:t>En</w:t>
            </w:r>
            <w:r w:rsidR="00C43977" w:rsidRPr="00C43977">
              <w:rPr>
                <w:b/>
                <w:bCs/>
                <w:color w:val="000000"/>
                <w:sz w:val="22"/>
                <w:szCs w:val="22"/>
              </w:rPr>
              <w:t>erģija</w:t>
            </w:r>
            <w:r w:rsidR="00C43977">
              <w:rPr>
                <w:b/>
                <w:bCs/>
                <w:color w:val="000000"/>
                <w:sz w:val="22"/>
                <w:szCs w:val="22"/>
              </w:rPr>
              <w:t>s reģenerācija</w:t>
            </w:r>
            <w:r w:rsidR="00085852" w:rsidRPr="00085852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C43977" w:rsidP="00C43977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Cita reģenerācija</w:t>
            </w:r>
            <w:r w:rsidR="00085852" w:rsidRPr="00085852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8</w:t>
            </w:r>
          </w:p>
        </w:tc>
      </w:tr>
      <w:tr w:rsidR="00D86E3B" w:rsidRPr="00C43977" w:rsidTr="006E25CA">
        <w:tc>
          <w:tcPr>
            <w:tcW w:w="1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3B" w:rsidRPr="00C43977" w:rsidRDefault="00D86E3B" w:rsidP="00C439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3B" w:rsidRPr="00C43977" w:rsidRDefault="00D86E3B" w:rsidP="00C439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C43977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977">
              <w:rPr>
                <w:b/>
                <w:bCs/>
                <w:color w:val="000000"/>
                <w:sz w:val="22"/>
                <w:szCs w:val="22"/>
              </w:rPr>
              <w:t xml:space="preserve">Pārstrāde </w:t>
            </w:r>
            <w:r w:rsidR="00C43977">
              <w:rPr>
                <w:b/>
                <w:bCs/>
                <w:color w:val="000000"/>
                <w:sz w:val="22"/>
                <w:szCs w:val="22"/>
              </w:rPr>
              <w:t>Latvijā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C43977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977">
              <w:rPr>
                <w:b/>
                <w:bCs/>
                <w:color w:val="000000"/>
                <w:sz w:val="22"/>
                <w:szCs w:val="22"/>
              </w:rPr>
              <w:t xml:space="preserve">Pārstrāde citās </w:t>
            </w:r>
            <w:r w:rsidR="00C43977">
              <w:rPr>
                <w:b/>
                <w:bCs/>
                <w:color w:val="000000"/>
                <w:sz w:val="22"/>
                <w:szCs w:val="22"/>
              </w:rPr>
              <w:t xml:space="preserve">ES </w:t>
            </w:r>
            <w:r w:rsidRPr="00C43977">
              <w:rPr>
                <w:b/>
                <w:bCs/>
                <w:color w:val="000000"/>
                <w:sz w:val="22"/>
                <w:szCs w:val="22"/>
              </w:rPr>
              <w:t>dalībvalstīs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C43977" w:rsidP="00C43977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Pārstrāde </w:t>
            </w:r>
            <w:r w:rsidR="00D86E3B" w:rsidRPr="00C43977">
              <w:rPr>
                <w:b/>
                <w:bCs/>
                <w:color w:val="000000"/>
                <w:sz w:val="22"/>
                <w:szCs w:val="22"/>
              </w:rPr>
              <w:t>ārpus ES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3B" w:rsidRPr="00C43977" w:rsidRDefault="00D86E3B" w:rsidP="00C439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3B" w:rsidRPr="00C43977" w:rsidRDefault="00D86E3B" w:rsidP="00C439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3B" w:rsidRPr="00C43977" w:rsidRDefault="00D86E3B" w:rsidP="00C439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6E3B" w:rsidRPr="00C43977" w:rsidTr="008A5E05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427D0E" w:rsidP="00D86E3B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6E3B" w:rsidRPr="00C43977" w:rsidTr="008A5E05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Plastmasa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6E3B" w:rsidRPr="00C43977" w:rsidTr="008A5E05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Koks</w:t>
            </w:r>
            <w:r w:rsidR="008A5E05" w:rsidRPr="00C43977">
              <w:rPr>
                <w:color w:val="000000"/>
                <w:sz w:val="22"/>
                <w:szCs w:val="22"/>
              </w:rPr>
              <w:t>ne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6E3B" w:rsidRPr="00C43977" w:rsidTr="008A5E05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lastRenderedPageBreak/>
              <w:t>Metāls (visi)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6E3B" w:rsidRPr="00C43977" w:rsidTr="008A5E05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Melnie metāli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6E3B" w:rsidRPr="00C43977" w:rsidTr="00427D0E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085852" w:rsidP="00C43977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Melnie metāli no ISP</w:t>
            </w:r>
            <w:r w:rsidRPr="00085852">
              <w:rPr>
                <w:color w:val="000000"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6E3B" w:rsidRPr="00C43977" w:rsidTr="008A5E05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Alumīnijs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6E3B" w:rsidRPr="00C43977" w:rsidTr="00427D0E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085852" w:rsidP="00C43977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Alumīnijs no ISP</w:t>
            </w:r>
            <w:r w:rsidRPr="00085852">
              <w:rPr>
                <w:color w:val="000000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6E3B" w:rsidRPr="00C43977" w:rsidTr="008A5E05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Stikls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6E3B" w:rsidRPr="00C43977" w:rsidTr="008A5E05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Papīrs un kartons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E3B" w:rsidRPr="00C43977" w:rsidRDefault="00D86E3B" w:rsidP="00D86E3B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C4397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45A62" w:rsidRDefault="00345A62" w:rsidP="00345A62">
      <w:pPr>
        <w:spacing w:before="120"/>
        <w:jc w:val="both"/>
      </w:pPr>
      <w:r w:rsidRPr="008C223D">
        <w:t>Piezīmes.</w:t>
      </w:r>
    </w:p>
    <w:p w:rsidR="00345A62" w:rsidRPr="00A72DCD" w:rsidRDefault="00345A62" w:rsidP="00345A62">
      <w:pPr>
        <w:shd w:val="clear" w:color="auto" w:fill="FFFFFF"/>
        <w:spacing w:after="120"/>
        <w:jc w:val="both"/>
      </w:pPr>
      <w:r>
        <w:t>Tumši pelēko</w:t>
      </w:r>
      <w:r w:rsidRPr="00A72DCD">
        <w:t xml:space="preserve">s </w:t>
      </w:r>
      <w:r>
        <w:t>laukus neaizpilda</w:t>
      </w:r>
      <w:r w:rsidRPr="00A72DCD">
        <w:t xml:space="preserve">. </w:t>
      </w:r>
    </w:p>
    <w:p w:rsidR="00345A62" w:rsidRDefault="00345A62" w:rsidP="00345A62">
      <w:pPr>
        <w:shd w:val="clear" w:color="auto" w:fill="FFFFFF"/>
        <w:spacing w:after="120"/>
        <w:jc w:val="both"/>
      </w:pPr>
      <w:r>
        <w:t>Gaiši pelēko</w:t>
      </w:r>
      <w:r w:rsidRPr="00A72DCD">
        <w:t xml:space="preserve">s </w:t>
      </w:r>
      <w:r>
        <w:t>laukus</w:t>
      </w:r>
      <w:r w:rsidRPr="00A72DCD">
        <w:t>: ziņošana ir obligāta tikai</w:t>
      </w:r>
      <w:r>
        <w:t xml:space="preserve">, ja </w:t>
      </w:r>
      <w:r w:rsidRPr="00A72DCD">
        <w:t xml:space="preserve">šos daudzumus ietver pārstrādes rādītājā. Ja ziņo par metāliem no sadedzināšanas smagajiem pelniem (ISP), jāaizpilda </w:t>
      </w:r>
      <w:proofErr w:type="spellStart"/>
      <w:r w:rsidR="00D33D87">
        <w:t>šās</w:t>
      </w:r>
      <w:proofErr w:type="spellEnd"/>
      <w:r w:rsidR="00D33D87">
        <w:t xml:space="preserve"> tabulas </w:t>
      </w:r>
      <w:r>
        <w:t xml:space="preserve">laukus </w:t>
      </w:r>
      <w:r w:rsidRPr="00A72DCD">
        <w:t xml:space="preserve">gan par pārstrādi </w:t>
      </w:r>
      <w:r w:rsidRPr="00C95980">
        <w:rPr>
          <w:sz w:val="22"/>
          <w:szCs w:val="22"/>
        </w:rPr>
        <w:t>Latvij</w:t>
      </w:r>
      <w:r>
        <w:rPr>
          <w:sz w:val="22"/>
          <w:szCs w:val="22"/>
        </w:rPr>
        <w:t>ā</w:t>
      </w:r>
      <w:r w:rsidRPr="00A72DCD">
        <w:t>, gan ārpus tās.</w:t>
      </w:r>
    </w:p>
    <w:p w:rsidR="00345A62" w:rsidRPr="00C86392" w:rsidRDefault="00085852" w:rsidP="00345A62">
      <w:pPr>
        <w:spacing w:after="120"/>
        <w:rPr>
          <w:rFonts w:eastAsia="Calibri"/>
        </w:rPr>
      </w:pPr>
      <w:r>
        <w:rPr>
          <w:vertAlign w:val="superscript"/>
        </w:rPr>
        <w:t>7</w:t>
      </w:r>
      <w:r w:rsidR="00345A62">
        <w:t xml:space="preserve"> </w:t>
      </w:r>
      <w:r w:rsidR="00345A62" w:rsidRPr="00C86392">
        <w:t>Ietver sadedzināšanu ar enerģijas a</w:t>
      </w:r>
      <w:r w:rsidR="00C43977">
        <w:t>tgūšanu un to atkritumu apstrādi</w:t>
      </w:r>
      <w:r w:rsidR="00345A62" w:rsidRPr="00C86392">
        <w:t>, kas izmantojami par kurināmo vai cits enerģijas ražošanas līdzekli.</w:t>
      </w:r>
    </w:p>
    <w:p w:rsidR="00345A62" w:rsidRPr="00C86392" w:rsidRDefault="00085852" w:rsidP="00345A62">
      <w:pPr>
        <w:spacing w:after="120"/>
      </w:pPr>
      <w:r>
        <w:rPr>
          <w:vertAlign w:val="superscript"/>
        </w:rPr>
        <w:t>8</w:t>
      </w:r>
      <w:r w:rsidR="00345A62" w:rsidRPr="00C86392">
        <w:t xml:space="preserve"> </w:t>
      </w:r>
      <w:r w:rsidR="00345A62">
        <w:t>N</w:t>
      </w:r>
      <w:r w:rsidR="00345A62" w:rsidRPr="00C86392">
        <w:t>eietver koksnes iepakojuma labošan</w:t>
      </w:r>
      <w:r w:rsidR="00C43977">
        <w:t>u</w:t>
      </w:r>
      <w:r w:rsidR="00345A62" w:rsidRPr="00C86392">
        <w:t>, pārstrād</w:t>
      </w:r>
      <w:r w:rsidR="00C43977">
        <w:t>i un enerģijas atgūšanu</w:t>
      </w:r>
      <w:r w:rsidR="00345A62" w:rsidRPr="00C86392">
        <w:t>, bet ietver aizbēršanu.</w:t>
      </w:r>
    </w:p>
    <w:p w:rsidR="00C43977" w:rsidRPr="00BA5765" w:rsidRDefault="00085852" w:rsidP="00C43977">
      <w:pPr>
        <w:spacing w:after="120"/>
        <w:jc w:val="both"/>
        <w:rPr>
          <w:rFonts w:eastAsia="Calibri"/>
        </w:rPr>
      </w:pPr>
      <w:r>
        <w:rPr>
          <w:vertAlign w:val="superscript"/>
        </w:rPr>
        <w:t>9</w:t>
      </w:r>
      <w:r w:rsidR="00C43977" w:rsidRPr="00BA5765">
        <w:t xml:space="preserve"> Par melnajiem metāliem, ko pārstrādā pēc tam, kad tie atdalīti no sadedzināšanas smagajiem pelniem, ziņo atsevišķi; tos nenorāda rindā, kurā ziņo par melnajiem metāliem.</w:t>
      </w:r>
    </w:p>
    <w:p w:rsidR="00C43977" w:rsidRPr="00BA5765" w:rsidRDefault="00085852" w:rsidP="00C43977">
      <w:pPr>
        <w:jc w:val="both"/>
        <w:rPr>
          <w:rFonts w:eastAsia="Calibri"/>
        </w:rPr>
      </w:pPr>
      <w:r>
        <w:rPr>
          <w:vertAlign w:val="superscript"/>
        </w:rPr>
        <w:t>10</w:t>
      </w:r>
      <w:r w:rsidR="00C43977" w:rsidRPr="00BA5765">
        <w:t xml:space="preserve"> Par alumīniju, ko pārstrādā pēc tam, kad tas atdalīts no sadedzināšanas smagajiem pelniem, ziņo atsevišķi; to nenorāda rindā, kurā ziņo par alumīniju.</w:t>
      </w:r>
    </w:p>
    <w:p w:rsidR="00C43977" w:rsidRPr="00AA3580" w:rsidRDefault="00C43977" w:rsidP="00C43977">
      <w:pPr>
        <w:jc w:val="both"/>
      </w:pPr>
      <w:r w:rsidRPr="00AA3580">
        <w:t xml:space="preserve">Aprēķinos, kurus veic, lai noteiktu, vai </w:t>
      </w:r>
      <w:proofErr w:type="spellStart"/>
      <w:r w:rsidRPr="00AA3580">
        <w:t>mērķrādītāji</w:t>
      </w:r>
      <w:proofErr w:type="spellEnd"/>
      <w:r w:rsidRPr="00AA3580">
        <w:t xml:space="preserve"> ir sasniegti, var ņemt vērā pēc atkritumu sadedzināšanas atdalīto metālu daudzumu proporcionāli sadedzinātā izlietotā iepakojuma īpatsvaram ar noteikumu, ka pārstrādātie metāli atbilst noteiktiem kvalitātes kritērijiem.</w:t>
      </w:r>
    </w:p>
    <w:p w:rsidR="00345A62" w:rsidRDefault="00345A62" w:rsidP="00345A62">
      <w:pPr>
        <w:spacing w:after="120"/>
        <w:rPr>
          <w:b/>
          <w:bCs/>
        </w:rPr>
      </w:pPr>
    </w:p>
    <w:p w:rsidR="00D900B7" w:rsidRPr="00421110" w:rsidRDefault="00D900B7" w:rsidP="00D900B7">
      <w:pPr>
        <w:tabs>
          <w:tab w:val="left" w:pos="1132"/>
        </w:tabs>
        <w:ind w:firstLine="720"/>
        <w:rPr>
          <w:sz w:val="28"/>
          <w:szCs w:val="28"/>
        </w:rPr>
      </w:pPr>
      <w:r w:rsidRPr="00421110">
        <w:rPr>
          <w:sz w:val="28"/>
          <w:szCs w:val="28"/>
        </w:rPr>
        <w:t xml:space="preserve">Vides aizsardzības un </w:t>
      </w:r>
    </w:p>
    <w:p w:rsidR="00D900B7" w:rsidRDefault="00D900B7" w:rsidP="00D900B7">
      <w:pPr>
        <w:tabs>
          <w:tab w:val="left" w:pos="1132"/>
        </w:tabs>
        <w:ind w:firstLine="720"/>
        <w:rPr>
          <w:sz w:val="28"/>
          <w:szCs w:val="28"/>
        </w:rPr>
      </w:pPr>
      <w:r w:rsidRPr="00421110">
        <w:rPr>
          <w:sz w:val="28"/>
          <w:szCs w:val="28"/>
        </w:rPr>
        <w:t>reģionālās attīstības ministrs</w:t>
      </w:r>
      <w:r w:rsidRPr="008C223D">
        <w:rPr>
          <w:sz w:val="28"/>
          <w:szCs w:val="28"/>
        </w:rPr>
        <w:tab/>
      </w:r>
      <w:r w:rsidRPr="008C223D">
        <w:rPr>
          <w:sz w:val="28"/>
          <w:szCs w:val="28"/>
        </w:rPr>
        <w:tab/>
      </w:r>
      <w:r w:rsidRPr="008C223D">
        <w:rPr>
          <w:sz w:val="28"/>
          <w:szCs w:val="28"/>
        </w:rPr>
        <w:tab/>
      </w:r>
      <w:r w:rsidRPr="008C223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  <w:r w:rsidR="00727A40">
        <w:rPr>
          <w:sz w:val="28"/>
          <w:szCs w:val="28"/>
        </w:rPr>
        <w:t>J</w:t>
      </w:r>
      <w:r w:rsidR="003667B8">
        <w:rPr>
          <w:sz w:val="28"/>
          <w:szCs w:val="28"/>
        </w:rPr>
        <w:t>. </w:t>
      </w:r>
      <w:r w:rsidR="00727A40">
        <w:rPr>
          <w:sz w:val="28"/>
          <w:szCs w:val="28"/>
        </w:rPr>
        <w:t xml:space="preserve">Pūce </w:t>
      </w:r>
      <w:r>
        <w:rPr>
          <w:sz w:val="28"/>
          <w:szCs w:val="28"/>
        </w:rPr>
        <w:t>”</w:t>
      </w:r>
    </w:p>
    <w:p w:rsidR="00F52905" w:rsidRDefault="00F52905" w:rsidP="00D900B7">
      <w:pPr>
        <w:tabs>
          <w:tab w:val="left" w:pos="1132"/>
        </w:tabs>
        <w:ind w:firstLine="720"/>
        <w:rPr>
          <w:sz w:val="28"/>
          <w:szCs w:val="28"/>
        </w:rPr>
        <w:sectPr w:rsidR="00F52905" w:rsidSect="00D900B7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261B02" w:rsidRPr="006C553B" w:rsidRDefault="00261B02" w:rsidP="00261B0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C553B">
        <w:rPr>
          <w:sz w:val="28"/>
          <w:szCs w:val="28"/>
        </w:rPr>
        <w:t>. </w:t>
      </w:r>
      <w:r>
        <w:rPr>
          <w:sz w:val="28"/>
          <w:szCs w:val="28"/>
        </w:rPr>
        <w:t>pielikums</w:t>
      </w:r>
      <w:r>
        <w:rPr>
          <w:sz w:val="28"/>
          <w:szCs w:val="28"/>
        </w:rPr>
        <w:br/>
        <w:t>Ministru kabineta</w:t>
      </w:r>
      <w:r>
        <w:rPr>
          <w:sz w:val="28"/>
          <w:szCs w:val="28"/>
        </w:rPr>
        <w:br/>
        <w:t>2010</w:t>
      </w:r>
      <w:r w:rsidRPr="006C553B">
        <w:rPr>
          <w:sz w:val="28"/>
          <w:szCs w:val="28"/>
        </w:rPr>
        <w:t xml:space="preserve">. gada </w:t>
      </w:r>
      <w:r>
        <w:rPr>
          <w:sz w:val="28"/>
          <w:szCs w:val="28"/>
        </w:rPr>
        <w:t>19. oktobra</w:t>
      </w:r>
    </w:p>
    <w:p w:rsidR="00261B02" w:rsidRPr="006C553B" w:rsidRDefault="00261B02" w:rsidP="00261B02">
      <w:pPr>
        <w:jc w:val="right"/>
      </w:pPr>
      <w:r w:rsidRPr="00261B02">
        <w:rPr>
          <w:sz w:val="28"/>
          <w:szCs w:val="28"/>
        </w:rPr>
        <w:t>noteikumiem Nr. 983</w:t>
      </w:r>
    </w:p>
    <w:p w:rsidR="00353F54" w:rsidRDefault="00353F54" w:rsidP="00D900B7">
      <w:pPr>
        <w:tabs>
          <w:tab w:val="left" w:pos="1132"/>
        </w:tabs>
        <w:ind w:firstLine="720"/>
        <w:rPr>
          <w:sz w:val="28"/>
          <w:szCs w:val="28"/>
        </w:rPr>
      </w:pPr>
    </w:p>
    <w:p w:rsidR="0032499E" w:rsidRPr="0032499E" w:rsidRDefault="0032499E" w:rsidP="0032499E">
      <w:pPr>
        <w:tabs>
          <w:tab w:val="left" w:pos="1132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Īstenošanas plāns</w:t>
      </w:r>
    </w:p>
    <w:p w:rsidR="009A73CE" w:rsidRPr="0032499E" w:rsidRDefault="009A73CE" w:rsidP="009A73CE">
      <w:pPr>
        <w:pStyle w:val="norm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436644">
        <w:rPr>
          <w:color w:val="000000"/>
          <w:sz w:val="28"/>
          <w:szCs w:val="28"/>
        </w:rPr>
        <w:t xml:space="preserve">Īstenošanas plānā, kas jāiesniedz </w:t>
      </w:r>
      <w:r w:rsidR="0032499E" w:rsidRPr="00436644">
        <w:rPr>
          <w:color w:val="000000"/>
          <w:sz w:val="28"/>
          <w:szCs w:val="28"/>
        </w:rPr>
        <w:t xml:space="preserve">Eiropas Komisijai </w:t>
      </w:r>
      <w:r w:rsidRPr="00436644">
        <w:rPr>
          <w:color w:val="000000"/>
          <w:sz w:val="28"/>
          <w:szCs w:val="28"/>
        </w:rPr>
        <w:t xml:space="preserve">saskaņā ar </w:t>
      </w:r>
      <w:r w:rsidR="0032499E" w:rsidRPr="00436644">
        <w:rPr>
          <w:color w:val="000000"/>
          <w:sz w:val="28"/>
          <w:szCs w:val="28"/>
        </w:rPr>
        <w:t xml:space="preserve">šo noteikumu </w:t>
      </w:r>
      <w:r w:rsidR="00436644" w:rsidRPr="00436644">
        <w:rPr>
          <w:color w:val="000000"/>
          <w:sz w:val="28"/>
          <w:szCs w:val="28"/>
        </w:rPr>
        <w:t>20.</w:t>
      </w:r>
      <w:r w:rsidR="00436644" w:rsidRPr="00436644">
        <w:rPr>
          <w:color w:val="000000"/>
          <w:sz w:val="28"/>
          <w:szCs w:val="28"/>
          <w:vertAlign w:val="superscript"/>
        </w:rPr>
        <w:t>2</w:t>
      </w:r>
      <w:r w:rsidR="00436644" w:rsidRPr="00436644">
        <w:rPr>
          <w:color w:val="000000"/>
          <w:sz w:val="28"/>
          <w:szCs w:val="28"/>
        </w:rPr>
        <w:t> </w:t>
      </w:r>
      <w:r w:rsidR="00436644">
        <w:rPr>
          <w:color w:val="000000"/>
          <w:sz w:val="28"/>
          <w:szCs w:val="28"/>
        </w:rPr>
        <w:t xml:space="preserve">punktu, </w:t>
      </w:r>
      <w:r w:rsidRPr="0032499E">
        <w:rPr>
          <w:color w:val="000000"/>
          <w:sz w:val="28"/>
          <w:szCs w:val="28"/>
        </w:rPr>
        <w:t>iekļauj:</w:t>
      </w:r>
    </w:p>
    <w:p w:rsidR="0032499E" w:rsidRDefault="0032499E" w:rsidP="009A73CE">
      <w:pPr>
        <w:pStyle w:val="norm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9A73CE" w:rsidRDefault="009A73CE" w:rsidP="00436644">
      <w:pPr>
        <w:pStyle w:val="BodyText2"/>
        <w:spacing w:after="120"/>
        <w:jc w:val="both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1</w:t>
      </w:r>
      <w:r w:rsidRPr="0032499E">
        <w:rPr>
          <w:color w:val="000000"/>
          <w:szCs w:val="28"/>
        </w:rPr>
        <w:t>.</w:t>
      </w:r>
      <w:r>
        <w:rPr>
          <w:rFonts w:ascii="inherit" w:hAnsi="inherit"/>
          <w:color w:val="000000"/>
        </w:rPr>
        <w:t> novērtējumu par iepriekšējiem, pašreizējiem un plānotajiem sadzīves atkritumu pārstrādes, apglabāšanas poligonos un citas apstrādes rādītājiem, un plūsmām, no kurām šie atkritumi sastāv;</w:t>
      </w:r>
    </w:p>
    <w:p w:rsidR="009A73CE" w:rsidRDefault="009A73CE" w:rsidP="00436644">
      <w:pPr>
        <w:pStyle w:val="BodyText2"/>
        <w:spacing w:after="120"/>
        <w:jc w:val="both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2. novē</w:t>
      </w:r>
      <w:r w:rsidR="00436644">
        <w:rPr>
          <w:rFonts w:ascii="inherit" w:hAnsi="inherit"/>
          <w:color w:val="000000"/>
        </w:rPr>
        <w:t>rtējumu par to, kā tiek īstenots</w:t>
      </w:r>
      <w:r>
        <w:rPr>
          <w:rFonts w:ascii="inherit" w:hAnsi="inherit"/>
          <w:color w:val="000000"/>
        </w:rPr>
        <w:t xml:space="preserve"> atkritumu apsaimniekošanas </w:t>
      </w:r>
      <w:r w:rsidR="00436644">
        <w:rPr>
          <w:rFonts w:ascii="inherit" w:hAnsi="inherit"/>
          <w:color w:val="000000"/>
        </w:rPr>
        <w:t>valsts plāns</w:t>
      </w:r>
      <w:r>
        <w:rPr>
          <w:rFonts w:ascii="inherit" w:hAnsi="inherit"/>
          <w:color w:val="000000"/>
        </w:rPr>
        <w:t xml:space="preserve"> un atkritu</w:t>
      </w:r>
      <w:r w:rsidR="00436644">
        <w:rPr>
          <w:rFonts w:ascii="inherit" w:hAnsi="inherit"/>
          <w:color w:val="000000"/>
        </w:rPr>
        <w:t>mu rašanās novēršanas programma</w:t>
      </w:r>
      <w:r>
        <w:rPr>
          <w:rFonts w:ascii="inherit" w:hAnsi="inherit"/>
          <w:color w:val="000000"/>
        </w:rPr>
        <w:t>;</w:t>
      </w:r>
    </w:p>
    <w:p w:rsidR="009A73CE" w:rsidRDefault="009A73CE" w:rsidP="00436644">
      <w:pPr>
        <w:pStyle w:val="BodyText2"/>
        <w:spacing w:after="120"/>
        <w:jc w:val="both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3. </w:t>
      </w:r>
      <w:r w:rsidR="00D33D87">
        <w:rPr>
          <w:rFonts w:ascii="inherit" w:hAnsi="inherit"/>
          <w:color w:val="000000"/>
        </w:rPr>
        <w:t>apsvērumus</w:t>
      </w:r>
      <w:r>
        <w:rPr>
          <w:rFonts w:ascii="inherit" w:hAnsi="inherit"/>
          <w:color w:val="000000"/>
        </w:rPr>
        <w:t xml:space="preserve">, </w:t>
      </w:r>
      <w:r w:rsidR="00D33D87">
        <w:rPr>
          <w:rFonts w:ascii="inherit" w:hAnsi="inherit"/>
          <w:color w:val="000000"/>
        </w:rPr>
        <w:t>uz kuriem pamatojoties</w:t>
      </w:r>
      <w:r>
        <w:rPr>
          <w:rFonts w:ascii="inherit" w:hAnsi="inherit"/>
          <w:color w:val="000000"/>
        </w:rPr>
        <w:t xml:space="preserve"> </w:t>
      </w:r>
      <w:r w:rsidR="00834F40">
        <w:rPr>
          <w:rFonts w:ascii="inherit" w:hAnsi="inherit"/>
          <w:color w:val="000000"/>
        </w:rPr>
        <w:t xml:space="preserve">Latvija </w:t>
      </w:r>
      <w:r>
        <w:rPr>
          <w:rFonts w:ascii="inherit" w:hAnsi="inherit"/>
          <w:color w:val="000000"/>
        </w:rPr>
        <w:t xml:space="preserve">uzskata, ka tā, iespējams, nespēs noteiktajā termiņā sasniegt attiecīgo </w:t>
      </w:r>
      <w:r w:rsidR="00251549">
        <w:rPr>
          <w:rFonts w:ascii="inherit" w:hAnsi="inherit"/>
          <w:color w:val="000000"/>
        </w:rPr>
        <w:t xml:space="preserve">izlietotā iepakojuma </w:t>
      </w:r>
      <w:r w:rsidR="00834F40">
        <w:rPr>
          <w:rFonts w:ascii="inherit" w:hAnsi="inherit"/>
          <w:color w:val="000000"/>
        </w:rPr>
        <w:t xml:space="preserve">pārstrādes </w:t>
      </w:r>
      <w:proofErr w:type="spellStart"/>
      <w:r>
        <w:rPr>
          <w:rFonts w:ascii="inherit" w:hAnsi="inherit"/>
          <w:color w:val="000000"/>
        </w:rPr>
        <w:t>mērķrādītāju</w:t>
      </w:r>
      <w:proofErr w:type="spellEnd"/>
      <w:r>
        <w:rPr>
          <w:rFonts w:ascii="inherit" w:hAnsi="inherit"/>
          <w:color w:val="000000"/>
        </w:rPr>
        <w:t>, un novērtējumu attiecībā uz termiņa pagarinājumu, kas vajadzīgs, lai sasniegtu minēto mērķi;</w:t>
      </w:r>
    </w:p>
    <w:p w:rsidR="005F54CC" w:rsidRDefault="009A73CE" w:rsidP="00436644">
      <w:pPr>
        <w:pStyle w:val="BodyText2"/>
        <w:spacing w:after="120"/>
        <w:jc w:val="both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4. pasākumus, kas nepieciešami, lai sasniegtu </w:t>
      </w:r>
      <w:r w:rsidR="00251549">
        <w:rPr>
          <w:rFonts w:ascii="inherit" w:hAnsi="inherit"/>
          <w:color w:val="000000"/>
        </w:rPr>
        <w:t>izlietotā iepakojuma pārstrādes</w:t>
      </w:r>
      <w:r>
        <w:rPr>
          <w:rFonts w:ascii="inherit" w:hAnsi="inherit"/>
          <w:color w:val="000000"/>
        </w:rPr>
        <w:t xml:space="preserve"> </w:t>
      </w:r>
      <w:proofErr w:type="spellStart"/>
      <w:r>
        <w:rPr>
          <w:rFonts w:ascii="inherit" w:hAnsi="inherit"/>
          <w:color w:val="000000"/>
        </w:rPr>
        <w:t>mērķrādītājus</w:t>
      </w:r>
      <w:proofErr w:type="spellEnd"/>
      <w:r>
        <w:rPr>
          <w:rFonts w:ascii="inherit" w:hAnsi="inherit"/>
          <w:color w:val="000000"/>
        </w:rPr>
        <w:t xml:space="preserve">, kas ir piemērojami termiņa pagarinājuma laikā, tostarp atbilstīgus ekonomikas instrumentus un citus pasākumus, </w:t>
      </w:r>
      <w:r w:rsidR="005F54CC" w:rsidRPr="00666EB6">
        <w:rPr>
          <w:szCs w:val="28"/>
        </w:rPr>
        <w:t>ievērojot Atkritumu apsaimniekošanas likumā noteikto atkritumu apsaimnie</w:t>
      </w:r>
      <w:r w:rsidR="005F54CC">
        <w:rPr>
          <w:szCs w:val="28"/>
        </w:rPr>
        <w:t>košanas veidu prioritāro secību;</w:t>
      </w:r>
    </w:p>
    <w:p w:rsidR="009A73CE" w:rsidRDefault="009A73CE" w:rsidP="00436644">
      <w:pPr>
        <w:pStyle w:val="BodyText2"/>
        <w:spacing w:after="120"/>
        <w:jc w:val="both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5. grafiku, kādā tiek īstenoti pasākumi, kas minēti 4. punktā, kompetentās </w:t>
      </w:r>
      <w:r w:rsidR="005F54CC">
        <w:rPr>
          <w:rFonts w:ascii="inherit" w:hAnsi="inherit"/>
          <w:color w:val="000000"/>
        </w:rPr>
        <w:t xml:space="preserve">institūcijas, </w:t>
      </w:r>
      <w:r>
        <w:rPr>
          <w:rFonts w:ascii="inherit" w:hAnsi="inherit"/>
          <w:color w:val="000000"/>
        </w:rPr>
        <w:t xml:space="preserve">kas ir </w:t>
      </w:r>
      <w:r w:rsidR="005F54CC">
        <w:rPr>
          <w:rFonts w:ascii="inherit" w:hAnsi="inherit"/>
          <w:color w:val="000000"/>
        </w:rPr>
        <w:t xml:space="preserve">atbildīgas </w:t>
      </w:r>
      <w:r w:rsidR="00416FDB">
        <w:rPr>
          <w:rFonts w:ascii="inherit" w:hAnsi="inherit"/>
          <w:color w:val="000000"/>
        </w:rPr>
        <w:t>par</w:t>
      </w:r>
      <w:r>
        <w:rPr>
          <w:rFonts w:ascii="inherit" w:hAnsi="inherit"/>
          <w:color w:val="000000"/>
        </w:rPr>
        <w:t xml:space="preserve"> to īstenošan</w:t>
      </w:r>
      <w:r w:rsidR="00416FDB">
        <w:rPr>
          <w:rFonts w:ascii="inherit" w:hAnsi="inherit"/>
          <w:color w:val="000000"/>
        </w:rPr>
        <w:t>u</w:t>
      </w:r>
      <w:r>
        <w:rPr>
          <w:rFonts w:ascii="inherit" w:hAnsi="inherit"/>
          <w:color w:val="000000"/>
        </w:rPr>
        <w:t xml:space="preserve">, un novērtējumu par </w:t>
      </w:r>
      <w:r w:rsidR="00416FDB">
        <w:rPr>
          <w:rFonts w:ascii="inherit" w:hAnsi="inherit"/>
          <w:color w:val="000000"/>
        </w:rPr>
        <w:t xml:space="preserve">katras institūcijas </w:t>
      </w:r>
      <w:r>
        <w:rPr>
          <w:rFonts w:ascii="inherit" w:hAnsi="inherit"/>
          <w:color w:val="000000"/>
        </w:rPr>
        <w:t>individuālo ieguldījumu to mērķu sasniegšanā, kas piemērojami, ja ir noteikts termiņa pagarinājums;</w:t>
      </w:r>
    </w:p>
    <w:p w:rsidR="009A73CE" w:rsidRDefault="009A73CE" w:rsidP="00436644">
      <w:pPr>
        <w:pStyle w:val="BodyText2"/>
        <w:spacing w:after="120"/>
        <w:jc w:val="both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6. informācija par atkritumu apsaimniekošanas finansēšanu saskaņā ar principu “piesārņotājs maksā”;</w:t>
      </w:r>
    </w:p>
    <w:p w:rsidR="009A73CE" w:rsidRDefault="009A73CE" w:rsidP="00436644">
      <w:pPr>
        <w:pStyle w:val="BodyText2"/>
        <w:spacing w:after="120"/>
        <w:jc w:val="both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7. pasākumus datu kvalitātes uzlabošanai, kas nepieciešami, lai uzlabotu atkritumu apsaimniekošanas plānošanu un uzraudzītu tās rezultātus.</w:t>
      </w:r>
    </w:p>
    <w:p w:rsidR="009A73CE" w:rsidRDefault="009A73CE" w:rsidP="009A73CE">
      <w:pPr>
        <w:spacing w:after="120"/>
        <w:jc w:val="center"/>
        <w:rPr>
          <w:b/>
          <w:bCs/>
        </w:rPr>
      </w:pPr>
    </w:p>
    <w:p w:rsidR="009A73CE" w:rsidRDefault="009A73CE" w:rsidP="009A73CE">
      <w:pPr>
        <w:spacing w:after="120"/>
        <w:jc w:val="center"/>
        <w:rPr>
          <w:b/>
          <w:bCs/>
        </w:rPr>
      </w:pPr>
    </w:p>
    <w:p w:rsidR="003667B8" w:rsidRPr="00421110" w:rsidRDefault="003667B8" w:rsidP="003667B8">
      <w:pPr>
        <w:tabs>
          <w:tab w:val="left" w:pos="1132"/>
        </w:tabs>
        <w:ind w:firstLine="720"/>
        <w:rPr>
          <w:sz w:val="28"/>
          <w:szCs w:val="28"/>
        </w:rPr>
      </w:pPr>
      <w:r w:rsidRPr="00421110">
        <w:rPr>
          <w:sz w:val="28"/>
          <w:szCs w:val="28"/>
        </w:rPr>
        <w:t xml:space="preserve">Vides aizsardzības un </w:t>
      </w:r>
    </w:p>
    <w:p w:rsidR="007773FE" w:rsidRDefault="003667B8" w:rsidP="00D900B7">
      <w:pPr>
        <w:tabs>
          <w:tab w:val="left" w:pos="1132"/>
        </w:tabs>
        <w:ind w:firstLine="720"/>
        <w:rPr>
          <w:sz w:val="28"/>
          <w:szCs w:val="28"/>
        </w:rPr>
      </w:pPr>
      <w:r w:rsidRPr="00421110">
        <w:rPr>
          <w:sz w:val="28"/>
          <w:szCs w:val="28"/>
        </w:rPr>
        <w:t>reģionālās attīstības ministrs</w:t>
      </w:r>
      <w:r w:rsidRPr="008C223D">
        <w:rPr>
          <w:sz w:val="28"/>
          <w:szCs w:val="28"/>
        </w:rPr>
        <w:tab/>
      </w:r>
      <w:r w:rsidRPr="008C223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 Pūce”</w:t>
      </w:r>
    </w:p>
    <w:p w:rsidR="007773FE" w:rsidRDefault="007773FE" w:rsidP="00D900B7">
      <w:pPr>
        <w:tabs>
          <w:tab w:val="left" w:pos="1132"/>
        </w:tabs>
        <w:ind w:firstLine="720"/>
        <w:rPr>
          <w:sz w:val="28"/>
          <w:szCs w:val="28"/>
        </w:rPr>
      </w:pPr>
    </w:p>
    <w:p w:rsidR="007773FE" w:rsidRDefault="007773FE" w:rsidP="00D900B7">
      <w:pPr>
        <w:tabs>
          <w:tab w:val="left" w:pos="1132"/>
        </w:tabs>
        <w:ind w:firstLine="720"/>
        <w:rPr>
          <w:sz w:val="28"/>
          <w:szCs w:val="28"/>
        </w:rPr>
      </w:pPr>
    </w:p>
    <w:p w:rsidR="007773FE" w:rsidRDefault="007773FE" w:rsidP="00D900B7">
      <w:pPr>
        <w:tabs>
          <w:tab w:val="left" w:pos="1132"/>
        </w:tabs>
        <w:ind w:firstLine="720"/>
        <w:rPr>
          <w:sz w:val="28"/>
          <w:szCs w:val="28"/>
        </w:rPr>
      </w:pPr>
    </w:p>
    <w:p w:rsidR="00353F54" w:rsidRDefault="00353F54" w:rsidP="00D900B7">
      <w:pPr>
        <w:tabs>
          <w:tab w:val="left" w:pos="1132"/>
        </w:tabs>
        <w:ind w:firstLine="720"/>
        <w:rPr>
          <w:sz w:val="28"/>
          <w:szCs w:val="28"/>
        </w:rPr>
      </w:pPr>
    </w:p>
    <w:p w:rsidR="00D900B7" w:rsidRDefault="00D900B7" w:rsidP="00D900B7">
      <w:pPr>
        <w:rPr>
          <w:sz w:val="28"/>
          <w:szCs w:val="28"/>
        </w:rPr>
      </w:pPr>
      <w:r w:rsidRPr="00F47278">
        <w:rPr>
          <w:sz w:val="28"/>
          <w:szCs w:val="28"/>
        </w:rPr>
        <w:lastRenderedPageBreak/>
        <w:t>Ministru prezidents</w:t>
      </w:r>
      <w:r w:rsidRPr="00F47278">
        <w:rPr>
          <w:sz w:val="28"/>
          <w:szCs w:val="28"/>
        </w:rPr>
        <w:tab/>
        <w:t xml:space="preserve">                                        </w:t>
      </w:r>
      <w:r w:rsidR="005B225F">
        <w:rPr>
          <w:sz w:val="28"/>
          <w:szCs w:val="28"/>
        </w:rPr>
        <w:t xml:space="preserve">                                       </w:t>
      </w:r>
      <w:r w:rsidR="00910249" w:rsidRPr="00910249">
        <w:rPr>
          <w:sz w:val="28"/>
          <w:szCs w:val="28"/>
        </w:rPr>
        <w:t>A</w:t>
      </w:r>
      <w:r w:rsidR="003667B8">
        <w:rPr>
          <w:sz w:val="28"/>
          <w:szCs w:val="28"/>
        </w:rPr>
        <w:t xml:space="preserve">. </w:t>
      </w:r>
      <w:r w:rsidR="00910249" w:rsidRPr="00910249">
        <w:rPr>
          <w:sz w:val="28"/>
          <w:szCs w:val="28"/>
        </w:rPr>
        <w:t>K</w:t>
      </w:r>
      <w:r w:rsidR="003667B8">
        <w:rPr>
          <w:sz w:val="28"/>
          <w:szCs w:val="28"/>
        </w:rPr>
        <w:t>. </w:t>
      </w:r>
      <w:r w:rsidR="00910249" w:rsidRPr="00910249">
        <w:rPr>
          <w:sz w:val="28"/>
          <w:szCs w:val="28"/>
        </w:rPr>
        <w:t>Kariņš</w:t>
      </w:r>
    </w:p>
    <w:p w:rsidR="00D900B7" w:rsidRDefault="00D900B7" w:rsidP="00D900B7">
      <w:pPr>
        <w:tabs>
          <w:tab w:val="left" w:pos="1132"/>
        </w:tabs>
        <w:rPr>
          <w:sz w:val="28"/>
          <w:szCs w:val="28"/>
        </w:rPr>
      </w:pPr>
    </w:p>
    <w:p w:rsidR="00D900B7" w:rsidRPr="008C223D" w:rsidRDefault="00D900B7" w:rsidP="00D900B7">
      <w:pPr>
        <w:tabs>
          <w:tab w:val="left" w:pos="1132"/>
        </w:tabs>
        <w:rPr>
          <w:sz w:val="28"/>
          <w:szCs w:val="28"/>
        </w:rPr>
      </w:pPr>
      <w:r w:rsidRPr="008C223D">
        <w:rPr>
          <w:sz w:val="28"/>
          <w:szCs w:val="28"/>
        </w:rPr>
        <w:t xml:space="preserve">Vides aizsardzības un </w:t>
      </w:r>
    </w:p>
    <w:p w:rsidR="00D900B7" w:rsidRDefault="00D900B7">
      <w:r w:rsidRPr="008C223D">
        <w:rPr>
          <w:sz w:val="28"/>
          <w:szCs w:val="28"/>
        </w:rPr>
        <w:t xml:space="preserve">reģionālās attīstības </w:t>
      </w:r>
      <w:r w:rsidRPr="00A7161C">
        <w:rPr>
          <w:sz w:val="28"/>
          <w:szCs w:val="28"/>
        </w:rPr>
        <w:t>mini</w:t>
      </w:r>
      <w:r w:rsidRPr="008C223D">
        <w:rPr>
          <w:sz w:val="28"/>
          <w:szCs w:val="28"/>
        </w:rPr>
        <w:t>s</w:t>
      </w:r>
      <w:r>
        <w:rPr>
          <w:sz w:val="28"/>
          <w:szCs w:val="28"/>
        </w:rPr>
        <w:t>trs</w:t>
      </w:r>
      <w:r w:rsidRPr="008C223D">
        <w:rPr>
          <w:sz w:val="28"/>
          <w:szCs w:val="28"/>
        </w:rPr>
        <w:tab/>
      </w:r>
      <w:r w:rsidRPr="008C223D">
        <w:rPr>
          <w:sz w:val="28"/>
          <w:szCs w:val="28"/>
        </w:rPr>
        <w:tab/>
      </w:r>
      <w:r w:rsidRPr="008C223D">
        <w:rPr>
          <w:sz w:val="28"/>
          <w:szCs w:val="28"/>
        </w:rPr>
        <w:tab/>
      </w:r>
      <w:r w:rsidRPr="008C223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  <w:r w:rsidR="00727A40">
        <w:rPr>
          <w:sz w:val="28"/>
          <w:szCs w:val="28"/>
        </w:rPr>
        <w:t>J</w:t>
      </w:r>
      <w:r w:rsidR="003667B8">
        <w:rPr>
          <w:sz w:val="28"/>
          <w:szCs w:val="28"/>
        </w:rPr>
        <w:t>. </w:t>
      </w:r>
      <w:r w:rsidR="00727A40">
        <w:rPr>
          <w:sz w:val="28"/>
          <w:szCs w:val="28"/>
        </w:rPr>
        <w:t>Pūce</w:t>
      </w:r>
    </w:p>
    <w:sectPr w:rsidR="00D900B7" w:rsidSect="00E179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D56E4" w16cid:durableId="205997CB"/>
  <w16cid:commentId w16cid:paraId="435B4032" w16cid:durableId="20599811"/>
  <w16cid:commentId w16cid:paraId="1EBA9010" w16cid:durableId="2059983A"/>
  <w16cid:commentId w16cid:paraId="00E97922" w16cid:durableId="205999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689" w:rsidRDefault="00265689" w:rsidP="00D900B7">
      <w:r>
        <w:separator/>
      </w:r>
    </w:p>
  </w:endnote>
  <w:endnote w:type="continuationSeparator" w:id="0">
    <w:p w:rsidR="00265689" w:rsidRDefault="00265689" w:rsidP="00D9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F40" w:rsidRPr="005010D2" w:rsidRDefault="00834F40" w:rsidP="005D4615">
    <w:pPr>
      <w:jc w:val="both"/>
      <w:rPr>
        <w:sz w:val="22"/>
        <w:szCs w:val="22"/>
      </w:rPr>
    </w:pPr>
    <w:r w:rsidRPr="005010D2">
      <w:rPr>
        <w:color w:val="000000"/>
        <w:sz w:val="22"/>
        <w:szCs w:val="22"/>
      </w:rPr>
      <w:t>VARAMnot_</w:t>
    </w:r>
    <w:r w:rsidR="002937B3">
      <w:rPr>
        <w:color w:val="000000"/>
        <w:sz w:val="22"/>
        <w:szCs w:val="22"/>
      </w:rPr>
      <w:t>30</w:t>
    </w:r>
    <w:r w:rsidR="006C3E02">
      <w:rPr>
        <w:color w:val="000000"/>
        <w:sz w:val="22"/>
        <w:szCs w:val="22"/>
      </w:rPr>
      <w:t>0420</w:t>
    </w:r>
    <w:r>
      <w:rPr>
        <w:color w:val="000000"/>
        <w:sz w:val="22"/>
        <w:szCs w:val="22"/>
      </w:rPr>
      <w:t>_iepakreg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F40" w:rsidRPr="005010D2" w:rsidRDefault="002937B3" w:rsidP="005D4615">
    <w:pPr>
      <w:jc w:val="both"/>
      <w:rPr>
        <w:sz w:val="22"/>
        <w:szCs w:val="22"/>
      </w:rPr>
    </w:pPr>
    <w:r>
      <w:rPr>
        <w:color w:val="000000"/>
        <w:sz w:val="22"/>
        <w:szCs w:val="22"/>
      </w:rPr>
      <w:t>VARAMnot_30</w:t>
    </w:r>
    <w:r w:rsidR="006C3E02">
      <w:rPr>
        <w:color w:val="000000"/>
        <w:sz w:val="22"/>
        <w:szCs w:val="22"/>
      </w:rPr>
      <w:t>0420</w:t>
    </w:r>
    <w:r w:rsidR="00834F40">
      <w:rPr>
        <w:color w:val="000000"/>
        <w:sz w:val="22"/>
        <w:szCs w:val="22"/>
      </w:rPr>
      <w:t>_iepakreg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689" w:rsidRDefault="00265689" w:rsidP="00D900B7">
      <w:r>
        <w:separator/>
      </w:r>
    </w:p>
  </w:footnote>
  <w:footnote w:type="continuationSeparator" w:id="0">
    <w:p w:rsidR="00265689" w:rsidRDefault="00265689" w:rsidP="00D90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676396"/>
      <w:docPartObj>
        <w:docPartGallery w:val="Page Numbers (Top of Page)"/>
        <w:docPartUnique/>
      </w:docPartObj>
    </w:sdtPr>
    <w:sdtEndPr/>
    <w:sdtContent>
      <w:p w:rsidR="00834F40" w:rsidRDefault="00834F40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1363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34F40" w:rsidRDefault="00834F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5E85DEA"/>
    <w:multiLevelType w:val="hybridMultilevel"/>
    <w:tmpl w:val="A2A6624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B28F5"/>
    <w:multiLevelType w:val="hybridMultilevel"/>
    <w:tmpl w:val="BDC47D3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C31FB"/>
    <w:multiLevelType w:val="hybridMultilevel"/>
    <w:tmpl w:val="69C2BA9A"/>
    <w:lvl w:ilvl="0" w:tplc="D4C07CE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00172C"/>
    <w:multiLevelType w:val="hybridMultilevel"/>
    <w:tmpl w:val="543CEC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B7"/>
    <w:rsid w:val="00006463"/>
    <w:rsid w:val="00006B36"/>
    <w:rsid w:val="00011468"/>
    <w:rsid w:val="00013D5F"/>
    <w:rsid w:val="0001614D"/>
    <w:rsid w:val="0001726A"/>
    <w:rsid w:val="0001754A"/>
    <w:rsid w:val="00024FA5"/>
    <w:rsid w:val="000349CA"/>
    <w:rsid w:val="000352AC"/>
    <w:rsid w:val="00044307"/>
    <w:rsid w:val="00047D55"/>
    <w:rsid w:val="000555F7"/>
    <w:rsid w:val="00062C3A"/>
    <w:rsid w:val="00064F46"/>
    <w:rsid w:val="00070D53"/>
    <w:rsid w:val="00071DCA"/>
    <w:rsid w:val="0007315D"/>
    <w:rsid w:val="000842B9"/>
    <w:rsid w:val="00085852"/>
    <w:rsid w:val="000906B4"/>
    <w:rsid w:val="00094765"/>
    <w:rsid w:val="000A565B"/>
    <w:rsid w:val="000A7361"/>
    <w:rsid w:val="000B3612"/>
    <w:rsid w:val="000D0BBE"/>
    <w:rsid w:val="000D2EFC"/>
    <w:rsid w:val="000D3CF0"/>
    <w:rsid w:val="000E1A4A"/>
    <w:rsid w:val="000F1066"/>
    <w:rsid w:val="000F1BDB"/>
    <w:rsid w:val="000F2D47"/>
    <w:rsid w:val="000F73AA"/>
    <w:rsid w:val="00104B36"/>
    <w:rsid w:val="00106A91"/>
    <w:rsid w:val="00116A47"/>
    <w:rsid w:val="001202F9"/>
    <w:rsid w:val="00122688"/>
    <w:rsid w:val="00125DC1"/>
    <w:rsid w:val="00131672"/>
    <w:rsid w:val="001340D6"/>
    <w:rsid w:val="00136DF7"/>
    <w:rsid w:val="0014228B"/>
    <w:rsid w:val="00147297"/>
    <w:rsid w:val="0014795F"/>
    <w:rsid w:val="001507D7"/>
    <w:rsid w:val="00162B98"/>
    <w:rsid w:val="00170EAF"/>
    <w:rsid w:val="0017236F"/>
    <w:rsid w:val="00175D01"/>
    <w:rsid w:val="00181BE1"/>
    <w:rsid w:val="001844B5"/>
    <w:rsid w:val="001A02D7"/>
    <w:rsid w:val="001A62F9"/>
    <w:rsid w:val="001A6649"/>
    <w:rsid w:val="001A6AA6"/>
    <w:rsid w:val="001B4FF9"/>
    <w:rsid w:val="001C0F52"/>
    <w:rsid w:val="001C22C6"/>
    <w:rsid w:val="001C23AA"/>
    <w:rsid w:val="001C2B3F"/>
    <w:rsid w:val="001D1072"/>
    <w:rsid w:val="001D6539"/>
    <w:rsid w:val="001E27F5"/>
    <w:rsid w:val="001E4789"/>
    <w:rsid w:val="001E69CF"/>
    <w:rsid w:val="001F41E7"/>
    <w:rsid w:val="00202D74"/>
    <w:rsid w:val="00204BFC"/>
    <w:rsid w:val="00211017"/>
    <w:rsid w:val="00216BFF"/>
    <w:rsid w:val="002225C5"/>
    <w:rsid w:val="0022425D"/>
    <w:rsid w:val="00227872"/>
    <w:rsid w:val="0023269F"/>
    <w:rsid w:val="00234127"/>
    <w:rsid w:val="002362CB"/>
    <w:rsid w:val="00241174"/>
    <w:rsid w:val="0024214B"/>
    <w:rsid w:val="002502F5"/>
    <w:rsid w:val="00251549"/>
    <w:rsid w:val="0025400E"/>
    <w:rsid w:val="00257030"/>
    <w:rsid w:val="0025738C"/>
    <w:rsid w:val="00257B3D"/>
    <w:rsid w:val="00261B02"/>
    <w:rsid w:val="00263414"/>
    <w:rsid w:val="0026547B"/>
    <w:rsid w:val="00265689"/>
    <w:rsid w:val="00293714"/>
    <w:rsid w:val="002937B3"/>
    <w:rsid w:val="00296D82"/>
    <w:rsid w:val="002973FE"/>
    <w:rsid w:val="002A0FF4"/>
    <w:rsid w:val="002B4FB4"/>
    <w:rsid w:val="002C7B41"/>
    <w:rsid w:val="002D193A"/>
    <w:rsid w:val="002E0969"/>
    <w:rsid w:val="002E7BE7"/>
    <w:rsid w:val="003005AB"/>
    <w:rsid w:val="00305ED4"/>
    <w:rsid w:val="00307F77"/>
    <w:rsid w:val="00313637"/>
    <w:rsid w:val="003177D4"/>
    <w:rsid w:val="0032499E"/>
    <w:rsid w:val="00327526"/>
    <w:rsid w:val="003316E3"/>
    <w:rsid w:val="00337443"/>
    <w:rsid w:val="00345A62"/>
    <w:rsid w:val="00347A5F"/>
    <w:rsid w:val="00353012"/>
    <w:rsid w:val="00353F54"/>
    <w:rsid w:val="00354593"/>
    <w:rsid w:val="00354610"/>
    <w:rsid w:val="00365543"/>
    <w:rsid w:val="003667B8"/>
    <w:rsid w:val="003709C2"/>
    <w:rsid w:val="00380C0E"/>
    <w:rsid w:val="00381C93"/>
    <w:rsid w:val="00392CAB"/>
    <w:rsid w:val="003B1E1B"/>
    <w:rsid w:val="003B61EA"/>
    <w:rsid w:val="003C0E1F"/>
    <w:rsid w:val="003E34A7"/>
    <w:rsid w:val="003E3709"/>
    <w:rsid w:val="003E4355"/>
    <w:rsid w:val="003E6167"/>
    <w:rsid w:val="003F3D99"/>
    <w:rsid w:val="00403ADF"/>
    <w:rsid w:val="00410286"/>
    <w:rsid w:val="00416DD9"/>
    <w:rsid w:val="00416FDB"/>
    <w:rsid w:val="00421110"/>
    <w:rsid w:val="0042576C"/>
    <w:rsid w:val="00427BA5"/>
    <w:rsid w:val="00427D0E"/>
    <w:rsid w:val="00432F70"/>
    <w:rsid w:val="00434851"/>
    <w:rsid w:val="00434DCC"/>
    <w:rsid w:val="00434E99"/>
    <w:rsid w:val="00435B2A"/>
    <w:rsid w:val="00436644"/>
    <w:rsid w:val="00442C8E"/>
    <w:rsid w:val="00447625"/>
    <w:rsid w:val="0045690F"/>
    <w:rsid w:val="00460430"/>
    <w:rsid w:val="00463D4D"/>
    <w:rsid w:val="004719DF"/>
    <w:rsid w:val="00471A61"/>
    <w:rsid w:val="00475887"/>
    <w:rsid w:val="00481559"/>
    <w:rsid w:val="0048488F"/>
    <w:rsid w:val="00490E21"/>
    <w:rsid w:val="00492CED"/>
    <w:rsid w:val="00493DDA"/>
    <w:rsid w:val="0049698E"/>
    <w:rsid w:val="004A198B"/>
    <w:rsid w:val="004B56C4"/>
    <w:rsid w:val="004C4132"/>
    <w:rsid w:val="004C67E7"/>
    <w:rsid w:val="004C744D"/>
    <w:rsid w:val="004C783C"/>
    <w:rsid w:val="004D458B"/>
    <w:rsid w:val="004E322B"/>
    <w:rsid w:val="004F598C"/>
    <w:rsid w:val="005010D2"/>
    <w:rsid w:val="005010FF"/>
    <w:rsid w:val="00506180"/>
    <w:rsid w:val="00517C5F"/>
    <w:rsid w:val="00524D8B"/>
    <w:rsid w:val="00525C70"/>
    <w:rsid w:val="0053125E"/>
    <w:rsid w:val="005315B3"/>
    <w:rsid w:val="00532E18"/>
    <w:rsid w:val="00535092"/>
    <w:rsid w:val="005355C3"/>
    <w:rsid w:val="005356D5"/>
    <w:rsid w:val="00535993"/>
    <w:rsid w:val="00536BC5"/>
    <w:rsid w:val="00541BF7"/>
    <w:rsid w:val="005447C2"/>
    <w:rsid w:val="0055383E"/>
    <w:rsid w:val="00557160"/>
    <w:rsid w:val="00564D11"/>
    <w:rsid w:val="00566892"/>
    <w:rsid w:val="00573541"/>
    <w:rsid w:val="00576279"/>
    <w:rsid w:val="00577B30"/>
    <w:rsid w:val="005931ED"/>
    <w:rsid w:val="005B225F"/>
    <w:rsid w:val="005C0312"/>
    <w:rsid w:val="005C31D4"/>
    <w:rsid w:val="005C42C0"/>
    <w:rsid w:val="005C49A6"/>
    <w:rsid w:val="005D34D7"/>
    <w:rsid w:val="005D4615"/>
    <w:rsid w:val="005F54CC"/>
    <w:rsid w:val="005F74DE"/>
    <w:rsid w:val="00614EEA"/>
    <w:rsid w:val="0061514D"/>
    <w:rsid w:val="00615900"/>
    <w:rsid w:val="00621F2F"/>
    <w:rsid w:val="0062225A"/>
    <w:rsid w:val="00623E8F"/>
    <w:rsid w:val="00627F5A"/>
    <w:rsid w:val="006314C3"/>
    <w:rsid w:val="00631D39"/>
    <w:rsid w:val="00636D54"/>
    <w:rsid w:val="006408FF"/>
    <w:rsid w:val="006521E1"/>
    <w:rsid w:val="0067418F"/>
    <w:rsid w:val="00683407"/>
    <w:rsid w:val="00686647"/>
    <w:rsid w:val="006926CC"/>
    <w:rsid w:val="0069360F"/>
    <w:rsid w:val="006A2953"/>
    <w:rsid w:val="006A2F03"/>
    <w:rsid w:val="006A4E44"/>
    <w:rsid w:val="006A61A2"/>
    <w:rsid w:val="006A6F7B"/>
    <w:rsid w:val="006B6E9F"/>
    <w:rsid w:val="006B7C33"/>
    <w:rsid w:val="006C0140"/>
    <w:rsid w:val="006C3E02"/>
    <w:rsid w:val="006C709E"/>
    <w:rsid w:val="006D4652"/>
    <w:rsid w:val="006D54F0"/>
    <w:rsid w:val="006D63BB"/>
    <w:rsid w:val="006E25CA"/>
    <w:rsid w:val="006F231B"/>
    <w:rsid w:val="006F7635"/>
    <w:rsid w:val="00703A19"/>
    <w:rsid w:val="007047DA"/>
    <w:rsid w:val="00704D77"/>
    <w:rsid w:val="00705604"/>
    <w:rsid w:val="00707B5C"/>
    <w:rsid w:val="00716BA1"/>
    <w:rsid w:val="00724D8E"/>
    <w:rsid w:val="00727A40"/>
    <w:rsid w:val="007345D5"/>
    <w:rsid w:val="00744203"/>
    <w:rsid w:val="00746663"/>
    <w:rsid w:val="007506D1"/>
    <w:rsid w:val="0076228E"/>
    <w:rsid w:val="00762C7A"/>
    <w:rsid w:val="00764EED"/>
    <w:rsid w:val="00772203"/>
    <w:rsid w:val="00772582"/>
    <w:rsid w:val="0077727F"/>
    <w:rsid w:val="007773FE"/>
    <w:rsid w:val="0078090A"/>
    <w:rsid w:val="007821B9"/>
    <w:rsid w:val="00783FAA"/>
    <w:rsid w:val="00790DD4"/>
    <w:rsid w:val="00790EFF"/>
    <w:rsid w:val="007A1411"/>
    <w:rsid w:val="007A3139"/>
    <w:rsid w:val="007C04DB"/>
    <w:rsid w:val="007C5CD8"/>
    <w:rsid w:val="007C6772"/>
    <w:rsid w:val="007D0D90"/>
    <w:rsid w:val="007D37FB"/>
    <w:rsid w:val="007D4E53"/>
    <w:rsid w:val="007D7DA1"/>
    <w:rsid w:val="007E31A7"/>
    <w:rsid w:val="007E6325"/>
    <w:rsid w:val="007F5487"/>
    <w:rsid w:val="007F57DA"/>
    <w:rsid w:val="00802579"/>
    <w:rsid w:val="0080674D"/>
    <w:rsid w:val="008105A8"/>
    <w:rsid w:val="00811DEF"/>
    <w:rsid w:val="008127CA"/>
    <w:rsid w:val="00820A94"/>
    <w:rsid w:val="0082307C"/>
    <w:rsid w:val="0082602F"/>
    <w:rsid w:val="00830419"/>
    <w:rsid w:val="008324E4"/>
    <w:rsid w:val="008331D8"/>
    <w:rsid w:val="008334AD"/>
    <w:rsid w:val="00834F40"/>
    <w:rsid w:val="00840037"/>
    <w:rsid w:val="008440FF"/>
    <w:rsid w:val="00845F37"/>
    <w:rsid w:val="0085405C"/>
    <w:rsid w:val="00854AD0"/>
    <w:rsid w:val="00865C55"/>
    <w:rsid w:val="00870D73"/>
    <w:rsid w:val="00872BB7"/>
    <w:rsid w:val="00872C19"/>
    <w:rsid w:val="00880812"/>
    <w:rsid w:val="008827FE"/>
    <w:rsid w:val="00882CFF"/>
    <w:rsid w:val="0088389D"/>
    <w:rsid w:val="008A441A"/>
    <w:rsid w:val="008A5E05"/>
    <w:rsid w:val="008B083C"/>
    <w:rsid w:val="008B6424"/>
    <w:rsid w:val="008C22B8"/>
    <w:rsid w:val="008C27F8"/>
    <w:rsid w:val="008C7A0F"/>
    <w:rsid w:val="008D15A6"/>
    <w:rsid w:val="008D4E05"/>
    <w:rsid w:val="008D6ABB"/>
    <w:rsid w:val="008D75CE"/>
    <w:rsid w:val="008F65D9"/>
    <w:rsid w:val="00903594"/>
    <w:rsid w:val="00907183"/>
    <w:rsid w:val="00910249"/>
    <w:rsid w:val="00915322"/>
    <w:rsid w:val="00923518"/>
    <w:rsid w:val="009251B3"/>
    <w:rsid w:val="009257DC"/>
    <w:rsid w:val="00926605"/>
    <w:rsid w:val="00937168"/>
    <w:rsid w:val="00961F5E"/>
    <w:rsid w:val="00963B56"/>
    <w:rsid w:val="0097441C"/>
    <w:rsid w:val="0097562E"/>
    <w:rsid w:val="00980B27"/>
    <w:rsid w:val="0098337E"/>
    <w:rsid w:val="00983F7F"/>
    <w:rsid w:val="009863A3"/>
    <w:rsid w:val="009865AD"/>
    <w:rsid w:val="00994941"/>
    <w:rsid w:val="009A592F"/>
    <w:rsid w:val="009A73CE"/>
    <w:rsid w:val="009B1A0A"/>
    <w:rsid w:val="009B269D"/>
    <w:rsid w:val="009B3A19"/>
    <w:rsid w:val="009B6752"/>
    <w:rsid w:val="009B6A62"/>
    <w:rsid w:val="009C017D"/>
    <w:rsid w:val="009C3E57"/>
    <w:rsid w:val="009D5952"/>
    <w:rsid w:val="009D5A02"/>
    <w:rsid w:val="009E78B9"/>
    <w:rsid w:val="00A051A4"/>
    <w:rsid w:val="00A1001C"/>
    <w:rsid w:val="00A16EC1"/>
    <w:rsid w:val="00A25E83"/>
    <w:rsid w:val="00A3349C"/>
    <w:rsid w:val="00A43426"/>
    <w:rsid w:val="00A45352"/>
    <w:rsid w:val="00A55B55"/>
    <w:rsid w:val="00A6295C"/>
    <w:rsid w:val="00A72DCD"/>
    <w:rsid w:val="00A737D0"/>
    <w:rsid w:val="00A73AD3"/>
    <w:rsid w:val="00A767D7"/>
    <w:rsid w:val="00A87777"/>
    <w:rsid w:val="00AA0B37"/>
    <w:rsid w:val="00AA3326"/>
    <w:rsid w:val="00AA3580"/>
    <w:rsid w:val="00AA47EA"/>
    <w:rsid w:val="00AC7837"/>
    <w:rsid w:val="00AD3E13"/>
    <w:rsid w:val="00AD5BBD"/>
    <w:rsid w:val="00AE1220"/>
    <w:rsid w:val="00AF0335"/>
    <w:rsid w:val="00AF0A9A"/>
    <w:rsid w:val="00AF2394"/>
    <w:rsid w:val="00AF435F"/>
    <w:rsid w:val="00AF4635"/>
    <w:rsid w:val="00B112F5"/>
    <w:rsid w:val="00B16B06"/>
    <w:rsid w:val="00B34C6E"/>
    <w:rsid w:val="00B406A6"/>
    <w:rsid w:val="00B43E47"/>
    <w:rsid w:val="00B44F6B"/>
    <w:rsid w:val="00B47844"/>
    <w:rsid w:val="00B50EAD"/>
    <w:rsid w:val="00B52811"/>
    <w:rsid w:val="00B56F75"/>
    <w:rsid w:val="00B601F7"/>
    <w:rsid w:val="00B82AC9"/>
    <w:rsid w:val="00B841F2"/>
    <w:rsid w:val="00B874EB"/>
    <w:rsid w:val="00B943B6"/>
    <w:rsid w:val="00BA0BBB"/>
    <w:rsid w:val="00BA2CF1"/>
    <w:rsid w:val="00BA5765"/>
    <w:rsid w:val="00BA6582"/>
    <w:rsid w:val="00BB59B5"/>
    <w:rsid w:val="00BD1A00"/>
    <w:rsid w:val="00BE4BB9"/>
    <w:rsid w:val="00BF3303"/>
    <w:rsid w:val="00C0483C"/>
    <w:rsid w:val="00C069B1"/>
    <w:rsid w:val="00C254A3"/>
    <w:rsid w:val="00C30C67"/>
    <w:rsid w:val="00C33B6A"/>
    <w:rsid w:val="00C33E6F"/>
    <w:rsid w:val="00C42BBF"/>
    <w:rsid w:val="00C43977"/>
    <w:rsid w:val="00C53EE7"/>
    <w:rsid w:val="00C56A94"/>
    <w:rsid w:val="00C66D62"/>
    <w:rsid w:val="00C71E12"/>
    <w:rsid w:val="00C7646B"/>
    <w:rsid w:val="00C801DE"/>
    <w:rsid w:val="00C84C3A"/>
    <w:rsid w:val="00C86392"/>
    <w:rsid w:val="00C91B80"/>
    <w:rsid w:val="00CA0A7C"/>
    <w:rsid w:val="00CA689A"/>
    <w:rsid w:val="00CC0145"/>
    <w:rsid w:val="00CC669B"/>
    <w:rsid w:val="00CD6821"/>
    <w:rsid w:val="00CE2413"/>
    <w:rsid w:val="00D1364C"/>
    <w:rsid w:val="00D159E2"/>
    <w:rsid w:val="00D2476F"/>
    <w:rsid w:val="00D26C1D"/>
    <w:rsid w:val="00D3209F"/>
    <w:rsid w:val="00D33D87"/>
    <w:rsid w:val="00D42C45"/>
    <w:rsid w:val="00D44549"/>
    <w:rsid w:val="00D5532A"/>
    <w:rsid w:val="00D57831"/>
    <w:rsid w:val="00D62065"/>
    <w:rsid w:val="00D73CF7"/>
    <w:rsid w:val="00D76DDC"/>
    <w:rsid w:val="00D8064D"/>
    <w:rsid w:val="00D86E3B"/>
    <w:rsid w:val="00D900B7"/>
    <w:rsid w:val="00DA5762"/>
    <w:rsid w:val="00DC0834"/>
    <w:rsid w:val="00DC275F"/>
    <w:rsid w:val="00DD000B"/>
    <w:rsid w:val="00DD3D67"/>
    <w:rsid w:val="00DE149E"/>
    <w:rsid w:val="00DE5E9A"/>
    <w:rsid w:val="00DF2351"/>
    <w:rsid w:val="00DF4736"/>
    <w:rsid w:val="00E04D28"/>
    <w:rsid w:val="00E12248"/>
    <w:rsid w:val="00E1662B"/>
    <w:rsid w:val="00E17934"/>
    <w:rsid w:val="00E23BBB"/>
    <w:rsid w:val="00E26200"/>
    <w:rsid w:val="00E30CD9"/>
    <w:rsid w:val="00E3189E"/>
    <w:rsid w:val="00E4012F"/>
    <w:rsid w:val="00E412BE"/>
    <w:rsid w:val="00E4668C"/>
    <w:rsid w:val="00E53099"/>
    <w:rsid w:val="00E53AEF"/>
    <w:rsid w:val="00E67EF8"/>
    <w:rsid w:val="00E713FB"/>
    <w:rsid w:val="00E76ED6"/>
    <w:rsid w:val="00E842F5"/>
    <w:rsid w:val="00E84BEC"/>
    <w:rsid w:val="00E85BDA"/>
    <w:rsid w:val="00EA6CC8"/>
    <w:rsid w:val="00EB0894"/>
    <w:rsid w:val="00EB4E38"/>
    <w:rsid w:val="00EB5EB4"/>
    <w:rsid w:val="00EB71D5"/>
    <w:rsid w:val="00EC02E8"/>
    <w:rsid w:val="00EC327E"/>
    <w:rsid w:val="00EC34DA"/>
    <w:rsid w:val="00ED0906"/>
    <w:rsid w:val="00ED0B99"/>
    <w:rsid w:val="00ED5991"/>
    <w:rsid w:val="00EE0B2C"/>
    <w:rsid w:val="00EF4CC1"/>
    <w:rsid w:val="00F002CB"/>
    <w:rsid w:val="00F02CAB"/>
    <w:rsid w:val="00F03EC0"/>
    <w:rsid w:val="00F0722C"/>
    <w:rsid w:val="00F123C9"/>
    <w:rsid w:val="00F127EB"/>
    <w:rsid w:val="00F134A3"/>
    <w:rsid w:val="00F23BF9"/>
    <w:rsid w:val="00F2596B"/>
    <w:rsid w:val="00F27B75"/>
    <w:rsid w:val="00F30B0D"/>
    <w:rsid w:val="00F504E7"/>
    <w:rsid w:val="00F52905"/>
    <w:rsid w:val="00F636AF"/>
    <w:rsid w:val="00F74676"/>
    <w:rsid w:val="00F771F8"/>
    <w:rsid w:val="00F77DA3"/>
    <w:rsid w:val="00F90656"/>
    <w:rsid w:val="00F9077B"/>
    <w:rsid w:val="00F92651"/>
    <w:rsid w:val="00FA4F37"/>
    <w:rsid w:val="00FA68E2"/>
    <w:rsid w:val="00FA7300"/>
    <w:rsid w:val="00FC2C95"/>
    <w:rsid w:val="00FD2DFA"/>
    <w:rsid w:val="00FE1018"/>
    <w:rsid w:val="00FE5212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80FD92-1E39-4304-859A-A28795AC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82"/>
    <w:pPr>
      <w:spacing w:after="0" w:line="240" w:lineRule="auto"/>
    </w:pPr>
    <w:rPr>
      <w:rFonts w:eastAsia="Times New Roman"/>
      <w:color w:val="auto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D900B7"/>
    <w:pPr>
      <w:keepNext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00B7"/>
    <w:rPr>
      <w:rFonts w:eastAsia="Times New Roman"/>
      <w:color w:val="auto"/>
      <w:sz w:val="28"/>
      <w:lang w:eastAsia="lv-LV"/>
    </w:rPr>
  </w:style>
  <w:style w:type="paragraph" w:styleId="NormalWeb">
    <w:name w:val="Normal (Web)"/>
    <w:basedOn w:val="Normal"/>
    <w:uiPriority w:val="99"/>
    <w:rsid w:val="00D900B7"/>
    <w:pPr>
      <w:spacing w:before="75" w:after="75"/>
    </w:pPr>
  </w:style>
  <w:style w:type="paragraph" w:styleId="BodyText">
    <w:name w:val="Body Text"/>
    <w:basedOn w:val="Normal"/>
    <w:link w:val="BodyTextChar"/>
    <w:rsid w:val="00D900B7"/>
    <w:pPr>
      <w:tabs>
        <w:tab w:val="left" w:pos="6804"/>
      </w:tabs>
    </w:pPr>
    <w:rPr>
      <w:b/>
    </w:rPr>
  </w:style>
  <w:style w:type="character" w:customStyle="1" w:styleId="BodyTextChar">
    <w:name w:val="Body Text Char"/>
    <w:basedOn w:val="DefaultParagraphFont"/>
    <w:link w:val="BodyText"/>
    <w:rsid w:val="00D900B7"/>
    <w:rPr>
      <w:rFonts w:eastAsia="Times New Roman"/>
      <w:b/>
      <w:color w:val="auto"/>
      <w:lang w:eastAsia="lv-LV"/>
    </w:rPr>
  </w:style>
  <w:style w:type="paragraph" w:styleId="BodyText2">
    <w:name w:val="Body Text 2"/>
    <w:basedOn w:val="Normal"/>
    <w:link w:val="BodyText2Char"/>
    <w:rsid w:val="00D900B7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D900B7"/>
    <w:rPr>
      <w:rFonts w:eastAsia="Times New Roman"/>
      <w:color w:val="auto"/>
      <w:sz w:val="28"/>
    </w:rPr>
  </w:style>
  <w:style w:type="paragraph" w:customStyle="1" w:styleId="tv2131">
    <w:name w:val="tv2131"/>
    <w:basedOn w:val="Normal"/>
    <w:rsid w:val="00D900B7"/>
    <w:pPr>
      <w:spacing w:line="360" w:lineRule="auto"/>
      <w:ind w:firstLine="240"/>
    </w:pPr>
    <w:rPr>
      <w:color w:val="414142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0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0B7"/>
    <w:rPr>
      <w:rFonts w:eastAsia="Times New Roman"/>
      <w:color w:val="auto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900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0B7"/>
    <w:rPr>
      <w:rFonts w:eastAsia="Times New Roman"/>
      <w:color w:val="auto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B7"/>
    <w:rPr>
      <w:rFonts w:ascii="Tahoma" w:eastAsia="Times New Roman" w:hAnsi="Tahoma" w:cs="Tahoma"/>
      <w:color w:val="auto"/>
      <w:sz w:val="16"/>
      <w:szCs w:val="16"/>
      <w:lang w:eastAsia="lv-LV"/>
    </w:rPr>
  </w:style>
  <w:style w:type="character" w:styleId="Strong">
    <w:name w:val="Strong"/>
    <w:uiPriority w:val="22"/>
    <w:qFormat/>
    <w:rsid w:val="00D900B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34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4C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4C6E"/>
    <w:rPr>
      <w:rFonts w:eastAsia="Times New Roman"/>
      <w:color w:val="auto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C6E"/>
    <w:rPr>
      <w:rFonts w:eastAsia="Times New Roman"/>
      <w:b/>
      <w:bCs/>
      <w:color w:val="auto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BD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8A441A"/>
    <w:pPr>
      <w:jc w:val="center"/>
    </w:pPr>
    <w:rPr>
      <w:rFonts w:eastAsiaTheme="minorHAnsi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A441A"/>
    <w:rPr>
      <w:color w:val="auto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35301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QuotedNumPar">
    <w:name w:val="Quoted NumPar"/>
    <w:basedOn w:val="Normal"/>
    <w:rsid w:val="003C0E1F"/>
    <w:pPr>
      <w:spacing w:before="120" w:after="120"/>
      <w:ind w:left="1417" w:hanging="567"/>
      <w:jc w:val="both"/>
    </w:pPr>
    <w:rPr>
      <w:rFonts w:eastAsiaTheme="minorHAnsi"/>
      <w:szCs w:val="22"/>
      <w:lang w:eastAsia="en-US"/>
    </w:rPr>
  </w:style>
  <w:style w:type="paragraph" w:customStyle="1" w:styleId="NumPar1">
    <w:name w:val="NumPar 1"/>
    <w:basedOn w:val="Normal"/>
    <w:next w:val="Normal"/>
    <w:rsid w:val="006408FF"/>
    <w:pPr>
      <w:numPr>
        <w:numId w:val="5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NumPar2">
    <w:name w:val="NumPar 2"/>
    <w:basedOn w:val="Normal"/>
    <w:next w:val="Normal"/>
    <w:rsid w:val="006408FF"/>
    <w:pPr>
      <w:numPr>
        <w:ilvl w:val="1"/>
        <w:numId w:val="5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NumPar3">
    <w:name w:val="NumPar 3"/>
    <w:basedOn w:val="Normal"/>
    <w:next w:val="Normal"/>
    <w:rsid w:val="006408FF"/>
    <w:pPr>
      <w:numPr>
        <w:ilvl w:val="2"/>
        <w:numId w:val="5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NumPar4">
    <w:name w:val="NumPar 4"/>
    <w:basedOn w:val="Normal"/>
    <w:next w:val="Normal"/>
    <w:rsid w:val="006408FF"/>
    <w:pPr>
      <w:numPr>
        <w:ilvl w:val="3"/>
        <w:numId w:val="5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tv213">
    <w:name w:val="tv213"/>
    <w:basedOn w:val="Normal"/>
    <w:rsid w:val="008F65D9"/>
    <w:pPr>
      <w:spacing w:before="100" w:beforeAutospacing="1" w:after="100" w:afterAutospacing="1"/>
    </w:pPr>
  </w:style>
  <w:style w:type="paragraph" w:customStyle="1" w:styleId="CM1">
    <w:name w:val="CM1"/>
    <w:basedOn w:val="Normal"/>
    <w:next w:val="Normal"/>
    <w:uiPriority w:val="99"/>
    <w:rsid w:val="0085405C"/>
    <w:pPr>
      <w:autoSpaceDE w:val="0"/>
      <w:autoSpaceDN w:val="0"/>
      <w:adjustRightInd w:val="0"/>
    </w:pPr>
    <w:rPr>
      <w:rFonts w:ascii="EUAlbertina" w:eastAsiaTheme="minorHAnsi" w:hAnsi="EUAlbertina"/>
      <w:color w:val="000000"/>
      <w:lang w:eastAsia="en-US"/>
    </w:rPr>
  </w:style>
  <w:style w:type="paragraph" w:customStyle="1" w:styleId="CM3">
    <w:name w:val="CM3"/>
    <w:basedOn w:val="Normal"/>
    <w:next w:val="Normal"/>
    <w:uiPriority w:val="99"/>
    <w:rsid w:val="0085405C"/>
    <w:pPr>
      <w:autoSpaceDE w:val="0"/>
      <w:autoSpaceDN w:val="0"/>
      <w:adjustRightInd w:val="0"/>
    </w:pPr>
    <w:rPr>
      <w:rFonts w:ascii="EUAlbertina" w:eastAsiaTheme="minorHAnsi" w:hAnsi="EUAlbertina"/>
      <w:color w:val="000000"/>
      <w:lang w:eastAsia="en-US"/>
    </w:rPr>
  </w:style>
  <w:style w:type="paragraph" w:customStyle="1" w:styleId="CM4">
    <w:name w:val="CM4"/>
    <w:basedOn w:val="Normal"/>
    <w:next w:val="Normal"/>
    <w:uiPriority w:val="99"/>
    <w:rsid w:val="0085405C"/>
    <w:pPr>
      <w:autoSpaceDE w:val="0"/>
      <w:autoSpaceDN w:val="0"/>
      <w:adjustRightInd w:val="0"/>
    </w:pPr>
    <w:rPr>
      <w:rFonts w:ascii="EUAlbertina" w:eastAsiaTheme="minorHAnsi" w:hAnsi="EUAlbertina"/>
      <w:color w:val="000000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7A1411"/>
    <w:rPr>
      <w:rFonts w:ascii="Calibri" w:hAnsi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80C0E"/>
    <w:rPr>
      <w:color w:val="0000FF"/>
      <w:u w:val="single"/>
    </w:rPr>
  </w:style>
  <w:style w:type="paragraph" w:customStyle="1" w:styleId="norm">
    <w:name w:val="norm"/>
    <w:basedOn w:val="Normal"/>
    <w:rsid w:val="001C22C6"/>
    <w:pPr>
      <w:spacing w:before="100" w:beforeAutospacing="1" w:after="100" w:afterAutospacing="1"/>
    </w:pPr>
  </w:style>
  <w:style w:type="paragraph" w:customStyle="1" w:styleId="title-article-norm">
    <w:name w:val="title-article-norm"/>
    <w:basedOn w:val="Normal"/>
    <w:rsid w:val="001C22C6"/>
    <w:pPr>
      <w:spacing w:before="100" w:beforeAutospacing="1" w:after="100" w:afterAutospacing="1"/>
    </w:pPr>
  </w:style>
  <w:style w:type="paragraph" w:customStyle="1" w:styleId="List1">
    <w:name w:val="List1"/>
    <w:basedOn w:val="Normal"/>
    <w:rsid w:val="001C23AA"/>
    <w:pPr>
      <w:spacing w:before="100" w:beforeAutospacing="1" w:after="100" w:afterAutospacing="1"/>
    </w:pPr>
  </w:style>
  <w:style w:type="paragraph" w:customStyle="1" w:styleId="title-annex-1">
    <w:name w:val="title-annex-1"/>
    <w:basedOn w:val="Normal"/>
    <w:rsid w:val="00D86E3B"/>
    <w:pPr>
      <w:spacing w:before="100" w:beforeAutospacing="1" w:after="100" w:afterAutospacing="1"/>
    </w:pPr>
  </w:style>
  <w:style w:type="paragraph" w:customStyle="1" w:styleId="title-gr-seq-level-1">
    <w:name w:val="title-gr-seq-level-1"/>
    <w:basedOn w:val="Normal"/>
    <w:rsid w:val="00D86E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1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3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26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3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28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4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8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4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2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2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9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3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0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8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6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443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35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65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07-iepakojuma-likums" TargetMode="External"/><Relationship Id="rId13" Type="http://schemas.openxmlformats.org/officeDocument/2006/relationships/hyperlink" Target="https://m.likumi.lv/ta/id/21985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57207-iepakojuma-likums" TargetMode="External"/><Relationship Id="rId17" Type="http://schemas.openxmlformats.org/officeDocument/2006/relationships/hyperlink" Target="https://m.likumi.lv/ta/id/219851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57207-iepakojuma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kumi.lv/ta/id/57207-iepakojuma-likums" TargetMode="External"/><Relationship Id="rId19" Type="http://schemas.openxmlformats.org/officeDocument/2006/relationships/theme" Target="theme/theme1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7207-iepakojuma-likum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73B7F-70CB-4E07-998E-28EF0DF3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9737</Words>
  <Characters>5551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 gada 19. oktobra noteikumos Nr. 983 ”Noteikumi par izlietotā iepakojuma reģenerācijas procentuālo apjomu, reģistrēšanas un ziņojumu sniegšanas kārtību un iepakojuma definīcijas kritēriju piemērošanas piemēriem”</vt:lpstr>
    </vt:vector>
  </TitlesOfParts>
  <Company>VARAM</Company>
  <LinksUpToDate>false</LinksUpToDate>
  <CharactersWithSpaces>15258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 gada 19. oktobra noteikumos Nr. 983 ”Noteikumi par izlietotā iepakojuma reģenerācijas procentuālo apjomu, reģistrēšanas un ziņojumu sniegšanas kārtību un iepakojuma definīcijas kritēriju piemērošanas piemēriem”</dc:title>
  <dc:subject>Ministru kabineta noteikumu projekts</dc:subject>
  <dc:creator>Tatjana Alekse</dc:creator>
  <dc:description>tālrunis 67026479;_x000d_
e-pasts tatjana.alekse@varam.gov.lv</dc:description>
  <cp:lastModifiedBy>Tatjana Alekse</cp:lastModifiedBy>
  <cp:revision>40</cp:revision>
  <cp:lastPrinted>2019-06-11T13:28:00Z</cp:lastPrinted>
  <dcterms:created xsi:type="dcterms:W3CDTF">2020-04-17T11:44:00Z</dcterms:created>
  <dcterms:modified xsi:type="dcterms:W3CDTF">2020-04-30T08:24:00Z</dcterms:modified>
</cp:coreProperties>
</file>