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F422" w14:textId="77777777" w:rsidR="00226964" w:rsidRPr="00642234" w:rsidRDefault="00226964" w:rsidP="00226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234">
        <w:rPr>
          <w:rFonts w:ascii="Times New Roman" w:eastAsia="Calibri" w:hAnsi="Times New Roman" w:cs="Times New Roman"/>
          <w:b/>
          <w:sz w:val="28"/>
          <w:szCs w:val="28"/>
        </w:rPr>
        <w:t>Ministru kabineta noteikumu projekta „Grozījumi Ministru kabineta 2010. gada 28. decembra noteikumos Nr.1229 „Noteikumi par šķirnes atšķirīguma, viendabīguma un stabilitātes pārbaudi”” sākotnējās ietekmes novērtējuma ziņojums (anotācija)</w:t>
      </w:r>
    </w:p>
    <w:p w14:paraId="4D588136" w14:textId="77777777" w:rsidR="00894C55" w:rsidRPr="00642234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0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2"/>
        <w:gridCol w:w="5584"/>
      </w:tblGrid>
      <w:tr w:rsidR="00642234" w:rsidRPr="00642234" w14:paraId="5DCFD4F6" w14:textId="77777777" w:rsidTr="00B02A16">
        <w:trPr>
          <w:cantSplit/>
        </w:trPr>
        <w:tc>
          <w:tcPr>
            <w:tcW w:w="9313" w:type="dxa"/>
            <w:gridSpan w:val="2"/>
            <w:shd w:val="clear" w:color="auto" w:fill="FFFFFF"/>
            <w:vAlign w:val="center"/>
            <w:hideMark/>
          </w:tcPr>
          <w:p w14:paraId="5761CBAF" w14:textId="77777777" w:rsidR="00A901C0" w:rsidRPr="00642234" w:rsidRDefault="00A901C0" w:rsidP="00CD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642234" w:rsidRPr="00642234" w14:paraId="5D1FCE90" w14:textId="77777777" w:rsidTr="002B4720">
        <w:trPr>
          <w:cantSplit/>
        </w:trPr>
        <w:tc>
          <w:tcPr>
            <w:tcW w:w="3686" w:type="dxa"/>
            <w:shd w:val="clear" w:color="auto" w:fill="FFFFFF"/>
            <w:hideMark/>
          </w:tcPr>
          <w:p w14:paraId="0929B9C9" w14:textId="77777777" w:rsidR="00A901C0" w:rsidRPr="00642234" w:rsidRDefault="00A901C0" w:rsidP="00CD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627" w:type="dxa"/>
            <w:shd w:val="clear" w:color="auto" w:fill="FFFFFF"/>
          </w:tcPr>
          <w:p w14:paraId="20C91463" w14:textId="77777777" w:rsidR="002B4720" w:rsidRPr="00642234" w:rsidRDefault="00A901C0" w:rsidP="00CD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EAD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84457C9" w14:textId="77777777" w:rsidR="00A901C0" w:rsidRPr="00642234" w:rsidRDefault="00A901C0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30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1"/>
        <w:gridCol w:w="2103"/>
        <w:gridCol w:w="6616"/>
      </w:tblGrid>
      <w:tr w:rsidR="00642234" w:rsidRPr="00642234" w14:paraId="51E839D9" w14:textId="77777777" w:rsidTr="00756EAD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87BF4" w14:textId="77777777" w:rsidR="00894C55" w:rsidRPr="00642234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642234" w:rsidRPr="00642234" w14:paraId="5D1CD2F5" w14:textId="77777777" w:rsidTr="00756EAD">
        <w:trPr>
          <w:trHeight w:val="324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01D7C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80E38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62A9A" w14:textId="77777777" w:rsidR="00894C55" w:rsidRPr="00FB0800" w:rsidRDefault="00226964" w:rsidP="00E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 šķirņu aizsardzības likuma 18.</w:t>
            </w:r>
            <w:r w:rsidR="007D624D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piektā daļa</w:t>
            </w:r>
            <w:r w:rsidR="00E84F29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055D0887" w14:textId="093E8240" w:rsidR="00E84F29" w:rsidRPr="00FB0800" w:rsidRDefault="00E84F29" w:rsidP="00E51364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Komisijas 2019. gada 28. novembra Īstenošanas </w:t>
            </w:r>
            <w:bookmarkStart w:id="0" w:name="_Hlk36460173"/>
            <w:r w:rsidR="00252884"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>irektīva 2019/1985</w:t>
            </w:r>
            <w:bookmarkEnd w:id="0"/>
            <w:r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>/ES, ar ko groza</w:t>
            </w:r>
            <w:r w:rsidRPr="00B11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>Direktīvu 2003/90/EK un Direktīvu 2003/91/EK, kurās nosaka attiecīgi Padomes Direktīvas 2002/53/EK 7. panta un Padomes Direktīvas 2002/55/EK 7. panta īstenošanas pasākumus attiecībā uz obligāti pārbaudāmajām pazīmēm un atsevišķu lauksaimniecības augu sugu šķirņu un dārzeņu sugu šķirņu obligātajiem pārbaudes nosacījumiem</w:t>
            </w:r>
            <w:r w:rsidRPr="00B11149">
              <w:rPr>
                <w:b/>
                <w:bCs/>
                <w:sz w:val="24"/>
                <w:szCs w:val="24"/>
              </w:rPr>
              <w:t xml:space="preserve"> </w:t>
            </w:r>
            <w:r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>(turpmāk</w:t>
            </w:r>
            <w:r w:rsidR="008A27B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Komisijas Īstenošanas </w:t>
            </w:r>
            <w:r w:rsidR="00252884"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B11149">
              <w:rPr>
                <w:rFonts w:ascii="Times New Roman" w:eastAsia="Calibri" w:hAnsi="Times New Roman" w:cs="Times New Roman"/>
                <w:sz w:val="24"/>
                <w:szCs w:val="24"/>
              </w:rPr>
              <w:t>irektīva 2019/1985/ES).</w:t>
            </w:r>
          </w:p>
        </w:tc>
      </w:tr>
      <w:tr w:rsidR="00642234" w:rsidRPr="00FB0800" w14:paraId="204E9586" w14:textId="77777777" w:rsidTr="00756EAD">
        <w:trPr>
          <w:trHeight w:val="372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5F422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9F603" w14:textId="77777777" w:rsidR="00B87354" w:rsidRDefault="00B87354" w:rsidP="005B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2F64993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25527D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BB8977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450BB4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92FA5A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B4E366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C346DE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2F8D4B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0AE944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80A2EC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5B2431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FE8098" w14:textId="77777777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038687" w14:textId="29883FA6" w:rsidR="0073772C" w:rsidRPr="0073772C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4CE280" w14:textId="2B668E91" w:rsidR="00226964" w:rsidRPr="00901CD2" w:rsidRDefault="00226964" w:rsidP="004F6E1F">
            <w:pPr>
              <w:pStyle w:val="Default"/>
              <w:ind w:right="14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16EE8">
              <w:rPr>
                <w:rFonts w:ascii="Times New Roman" w:eastAsia="Calibri" w:hAnsi="Times New Roman" w:cs="Times New Roman"/>
                <w:color w:val="auto"/>
              </w:rPr>
              <w:t>Patlaban ir spēkā Ministru kabineta 2010. gada 28. decembra noteikumi Nr.1229 „Noteikumi par šķirnes atšķirīguma, viendabīguma un stabilitātes pārbaudi” (tu</w:t>
            </w:r>
            <w:r w:rsidR="009E1688" w:rsidRPr="00901CD2">
              <w:rPr>
                <w:rFonts w:ascii="Times New Roman" w:eastAsia="Calibri" w:hAnsi="Times New Roman" w:cs="Times New Roman"/>
                <w:color w:val="auto"/>
              </w:rPr>
              <w:t>rpmāk – noteikumi Nr.1229). 201</w:t>
            </w:r>
            <w:r w:rsidR="00DF3EB4" w:rsidRPr="00901CD2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901CD2">
              <w:rPr>
                <w:rFonts w:ascii="Times New Roman" w:eastAsia="Calibri" w:hAnsi="Times New Roman" w:cs="Times New Roman"/>
                <w:color w:val="auto"/>
              </w:rPr>
              <w:t xml:space="preserve">. gada </w:t>
            </w:r>
            <w:r w:rsidR="00423664" w:rsidRPr="00901CD2">
              <w:rPr>
                <w:rFonts w:ascii="Times New Roman" w:eastAsia="Calibri" w:hAnsi="Times New Roman" w:cs="Times New Roman"/>
                <w:color w:val="auto"/>
              </w:rPr>
              <w:t xml:space="preserve">28. novembrī </w:t>
            </w:r>
            <w:r w:rsidRPr="00901CD2">
              <w:rPr>
                <w:rFonts w:ascii="Times New Roman" w:eastAsia="Calibri" w:hAnsi="Times New Roman" w:cs="Times New Roman"/>
                <w:color w:val="auto"/>
              </w:rPr>
              <w:t xml:space="preserve">ir pieņemta Komisijas Īstenošanas </w:t>
            </w:r>
            <w:r w:rsidR="00C00555">
              <w:rPr>
                <w:rFonts w:ascii="Times New Roman" w:eastAsia="Calibri" w:hAnsi="Times New Roman" w:cs="Times New Roman"/>
                <w:color w:val="auto"/>
              </w:rPr>
              <w:t>d</w:t>
            </w:r>
            <w:r w:rsidRPr="00901CD2">
              <w:rPr>
                <w:rFonts w:ascii="Times New Roman" w:eastAsia="Calibri" w:hAnsi="Times New Roman" w:cs="Times New Roman"/>
                <w:color w:val="auto"/>
              </w:rPr>
              <w:t>irektīva 201</w:t>
            </w:r>
            <w:r w:rsidR="00DF3EB4" w:rsidRPr="00901CD2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901CD2">
              <w:rPr>
                <w:rFonts w:ascii="Times New Roman" w:eastAsia="Calibri" w:hAnsi="Times New Roman" w:cs="Times New Roman"/>
                <w:color w:val="auto"/>
              </w:rPr>
              <w:t>/</w:t>
            </w:r>
            <w:r w:rsidR="00423664" w:rsidRPr="00901CD2">
              <w:rPr>
                <w:rFonts w:ascii="Times New Roman" w:eastAsia="Calibri" w:hAnsi="Times New Roman" w:cs="Times New Roman"/>
                <w:color w:val="auto"/>
              </w:rPr>
              <w:t>1985</w:t>
            </w:r>
            <w:r w:rsidR="009E1688" w:rsidRPr="00901CD2">
              <w:rPr>
                <w:rFonts w:ascii="Times New Roman" w:eastAsia="Calibri" w:hAnsi="Times New Roman" w:cs="Times New Roman"/>
                <w:color w:val="auto"/>
              </w:rPr>
              <w:t>/</w:t>
            </w:r>
            <w:r w:rsidRPr="00901CD2">
              <w:rPr>
                <w:rFonts w:ascii="Times New Roman" w:eastAsia="Calibri" w:hAnsi="Times New Roman" w:cs="Times New Roman"/>
                <w:color w:val="auto"/>
              </w:rPr>
              <w:t>ES</w:t>
            </w:r>
            <w:r w:rsidR="00E84F29" w:rsidRPr="00901CD2">
              <w:rPr>
                <w:rFonts w:ascii="Times New Roman" w:eastAsia="Calibri" w:hAnsi="Times New Roman" w:cs="Times New Roman"/>
                <w:color w:val="auto"/>
              </w:rPr>
              <w:t>.</w:t>
            </w:r>
            <w:r w:rsidRPr="00901CD2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  <w:p w14:paraId="24ADD80D" w14:textId="0FCAC433" w:rsidR="00046AA8" w:rsidRPr="00901CD2" w:rsidRDefault="00046AA8" w:rsidP="00E51364">
            <w:pPr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Noteikumu projekts paredz precizēt sarakstu ar jauniem Kopienas Augu šķirņu biroja (turpmāk – </w:t>
            </w:r>
            <w:r w:rsidRPr="00901C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CPVO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) pārbaudes protokoliem laukaugu sugām un dārzeņu sugām, kā arī informatīvo atsauci uz Eiropas Savienības direktīvām.</w:t>
            </w:r>
          </w:p>
          <w:p w14:paraId="6D17AD1F" w14:textId="0D9E88F1" w:rsidR="005878F3" w:rsidRPr="00901CD2" w:rsidRDefault="005878F3" w:rsidP="004F6E1F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 </w:t>
            </w:r>
            <w:r w:rsidRPr="00901C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CPVO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pārbaudes protokoli ir izstrādāti 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ādām laukaugu sugām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kā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Hordeum</w:t>
            </w:r>
            <w:proofErr w:type="spellEnd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vulgare</w:t>
            </w:r>
            <w:proofErr w:type="spellEnd"/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mieži</w:t>
            </w:r>
            <w:r w:rsidR="00D84DD0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(TP</w:t>
            </w:r>
            <w:r w:rsidR="00D84DD0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19/5, 19.03.2019.), </w:t>
            </w:r>
            <w:proofErr w:type="spellStart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Lolium</w:t>
            </w:r>
            <w:proofErr w:type="spellEnd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multiflorum</w:t>
            </w:r>
            <w:proofErr w:type="spellEnd"/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Lam</w:t>
            </w:r>
            <w:proofErr w:type="spellEnd"/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daudzziedu airene, viengadīgā (TP 4/2, 19.03.2019.), </w:t>
            </w:r>
            <w:proofErr w:type="spellStart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Lolium</w:t>
            </w:r>
            <w:proofErr w:type="spellEnd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perenne</w:t>
            </w:r>
            <w:proofErr w:type="spellEnd"/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anību airene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TP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4/2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19.03.2019.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Lolium</w:t>
            </w:r>
            <w:proofErr w:type="spellEnd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x </w:t>
            </w:r>
            <w:proofErr w:type="spellStart"/>
            <w:r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hybridum</w:t>
            </w:r>
            <w:proofErr w:type="spellEnd"/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Hausskn</w:t>
            </w:r>
            <w:proofErr w:type="spellEnd"/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– 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ibrīdā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airene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TP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4/2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19.03.2019.</w:t>
            </w:r>
            <w:r w:rsidR="0071234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150AA7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Triticum</w:t>
            </w:r>
            <w:proofErr w:type="spellEnd"/>
            <w:r w:rsidR="00150AA7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0AA7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aestivum</w:t>
            </w:r>
            <w:proofErr w:type="spellEnd"/>
            <w:r w:rsidR="00150AA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50AA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mīkstie kvieši (TP 3/5, 19.03.2019.) un 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tādām </w:t>
            </w:r>
            <w:r w:rsidR="00150AA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dārzeņu sugām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kā</w:t>
            </w:r>
            <w:r w:rsidR="00150AA7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Cichorium</w:t>
            </w:r>
            <w:proofErr w:type="spellEnd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intybus</w:t>
            </w:r>
            <w:proofErr w:type="spellEnd"/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apu cigoriņi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TP 154/1 </w:t>
            </w:r>
            <w:proofErr w:type="spellStart"/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rev</w:t>
            </w:r>
            <w:proofErr w:type="spellEnd"/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19.03.2019.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Cucumis</w:t>
            </w:r>
            <w:proofErr w:type="spellEnd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sativus</w:t>
            </w:r>
            <w:proofErr w:type="spellEnd"/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urķi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TP 61/2 rev.2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19.03.2019.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Lactuca</w:t>
            </w:r>
            <w:proofErr w:type="spellEnd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67AB" w:rsidRPr="00901C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– 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ārza salāti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TP 13/6 </w:t>
            </w:r>
            <w:proofErr w:type="spellStart"/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rev</w:t>
            </w:r>
            <w:proofErr w:type="spellEnd"/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67A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19.03.2019.</w:t>
            </w:r>
            <w:r w:rsidR="004F670B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45C3B10" w14:textId="18782BCB" w:rsidR="00AA4347" w:rsidRDefault="00E62C64" w:rsidP="004F6E1F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N</w:t>
            </w:r>
            <w:r w:rsidR="00E606D7" w:rsidRPr="00901CD2">
              <w:rPr>
                <w:rFonts w:ascii="Times New Roman" w:hAnsi="Times New Roman"/>
                <w:sz w:val="24"/>
                <w:szCs w:val="24"/>
              </w:rPr>
              <w:t xml:space="preserve">oteikumu projektā ir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iekļaut</w:t>
            </w:r>
            <w:r w:rsidR="00E606D7" w:rsidRPr="00901CD2">
              <w:rPr>
                <w:rFonts w:ascii="Times New Roman" w:hAnsi="Times New Roman"/>
                <w:sz w:val="24"/>
                <w:szCs w:val="24"/>
              </w:rPr>
              <w:t>as arī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sugas, kas nav</w:t>
            </w:r>
            <w:r w:rsidRPr="00901C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03A6" w:rsidRPr="00901CD2">
              <w:rPr>
                <w:rFonts w:ascii="Times New Roman" w:hAnsi="Times New Roman"/>
                <w:bCs/>
                <w:sz w:val="24"/>
                <w:szCs w:val="24"/>
              </w:rPr>
              <w:t xml:space="preserve">minētas </w:t>
            </w:r>
            <w:r w:rsidR="00500C95" w:rsidRPr="00901CD2">
              <w:rPr>
                <w:rFonts w:ascii="Times New Roman" w:hAnsi="Times New Roman"/>
                <w:bCs/>
                <w:sz w:val="24"/>
                <w:szCs w:val="24"/>
              </w:rPr>
              <w:t xml:space="preserve">Komisijas </w:t>
            </w:r>
            <w:r w:rsidR="00C00555">
              <w:rPr>
                <w:rFonts w:ascii="Times New Roman" w:hAnsi="Times New Roman"/>
                <w:bCs/>
                <w:sz w:val="24"/>
                <w:szCs w:val="24"/>
              </w:rPr>
              <w:t>Īstenošanas d</w:t>
            </w:r>
            <w:r w:rsidRPr="00901CD2">
              <w:rPr>
                <w:rFonts w:ascii="Times New Roman" w:hAnsi="Times New Roman"/>
                <w:bCs/>
                <w:sz w:val="24"/>
                <w:szCs w:val="24"/>
              </w:rPr>
              <w:t xml:space="preserve">irektīvā </w:t>
            </w:r>
            <w:r w:rsidR="005878F3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2019/1985</w:t>
            </w:r>
            <w:r w:rsidR="00E606D7" w:rsidRPr="00901CD2">
              <w:rPr>
                <w:rFonts w:ascii="Times New Roman" w:hAnsi="Times New Roman"/>
                <w:bCs/>
                <w:sz w:val="24"/>
                <w:szCs w:val="24"/>
              </w:rPr>
              <w:t>, bet</w:t>
            </w:r>
            <w:r w:rsidRPr="00901CD2">
              <w:rPr>
                <w:rFonts w:ascii="Times New Roman" w:hAnsi="Times New Roman"/>
                <w:bCs/>
                <w:sz w:val="24"/>
                <w:szCs w:val="24"/>
              </w:rPr>
              <w:t xml:space="preserve"> ir </w:t>
            </w:r>
            <w:r w:rsidR="007003A6" w:rsidRPr="00901CD2">
              <w:rPr>
                <w:rFonts w:ascii="Times New Roman" w:hAnsi="Times New Roman"/>
                <w:bCs/>
                <w:sz w:val="24"/>
                <w:szCs w:val="24"/>
              </w:rPr>
              <w:t xml:space="preserve">ietvertas </w:t>
            </w:r>
            <w:r w:rsidRPr="00901CD2">
              <w:rPr>
                <w:rFonts w:ascii="Times New Roman" w:hAnsi="Times New Roman"/>
                <w:bCs/>
                <w:sz w:val="24"/>
                <w:szCs w:val="24"/>
              </w:rPr>
              <w:t>sēklaudzēšanas direktīvās</w:t>
            </w:r>
            <w:r w:rsidR="00E606D7" w:rsidRPr="00901CD2">
              <w:rPr>
                <w:rFonts w:ascii="Times New Roman" w:hAnsi="Times New Roman"/>
                <w:bCs/>
                <w:sz w:val="24"/>
                <w:szCs w:val="24"/>
              </w:rPr>
              <w:t xml:space="preserve"> un Latvijas normatīvajos aktos</w:t>
            </w:r>
            <w:r w:rsidR="007003A6" w:rsidRPr="00901C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01500" w:rsidRPr="00901C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lai selekcionārs, k</w:t>
            </w:r>
            <w:r w:rsidR="007003A6" w:rsidRPr="00901CD2">
              <w:rPr>
                <w:rFonts w:ascii="Times New Roman" w:hAnsi="Times New Roman"/>
                <w:sz w:val="24"/>
                <w:szCs w:val="24"/>
              </w:rPr>
              <w:t>as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vēlas iekļaut šķirni Latvijas augu šķirņu katalogā</w:t>
            </w:r>
            <w:r w:rsidR="004D3DAB" w:rsidRPr="00901CD2">
              <w:rPr>
                <w:rFonts w:ascii="Times New Roman" w:hAnsi="Times New Roman"/>
                <w:sz w:val="24"/>
                <w:szCs w:val="24"/>
              </w:rPr>
              <w:t>,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zinātu</w:t>
            </w:r>
            <w:r w:rsidR="0013459A" w:rsidRPr="00901CD2">
              <w:rPr>
                <w:rFonts w:ascii="Times New Roman" w:hAnsi="Times New Roman"/>
                <w:sz w:val="24"/>
                <w:szCs w:val="24"/>
              </w:rPr>
              <w:t>,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A6" w:rsidRPr="00901CD2">
              <w:rPr>
                <w:rFonts w:ascii="Times New Roman" w:hAnsi="Times New Roman"/>
                <w:sz w:val="24"/>
                <w:szCs w:val="24"/>
              </w:rPr>
              <w:t xml:space="preserve">kuri </w:t>
            </w:r>
            <w:r w:rsidR="004D3DAB" w:rsidRPr="00901CD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CPVO</w:t>
            </w:r>
            <w:r w:rsidRPr="00901CD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protokoli vai </w:t>
            </w:r>
            <w:r w:rsidR="004F670B" w:rsidRPr="00901CD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Starptautiskās jaunu augu šķirņu aizsardzības savienības (turpmāk – UPOV) vadlīnijas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ir jā</w:t>
            </w:r>
            <w:r w:rsidR="007003A6" w:rsidRPr="00901CD2">
              <w:rPr>
                <w:rFonts w:ascii="Times New Roman" w:hAnsi="Times New Roman"/>
                <w:sz w:val="24"/>
                <w:szCs w:val="24"/>
              </w:rPr>
              <w:t xml:space="preserve">ievēro,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veic</w:t>
            </w:r>
            <w:r w:rsidR="007003A6" w:rsidRPr="00901CD2">
              <w:rPr>
                <w:rFonts w:ascii="Times New Roman" w:hAnsi="Times New Roman"/>
                <w:sz w:val="24"/>
                <w:szCs w:val="24"/>
              </w:rPr>
              <w:t>ot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šķirnes atšķirīguma, vienda</w:t>
            </w:r>
            <w:r w:rsidR="00C603AF" w:rsidRPr="00901CD2">
              <w:rPr>
                <w:rFonts w:ascii="Times New Roman" w:hAnsi="Times New Roman"/>
                <w:sz w:val="24"/>
                <w:szCs w:val="24"/>
              </w:rPr>
              <w:t>bīguma un stabilitātes pārbaud</w:t>
            </w:r>
            <w:r w:rsidR="007003A6" w:rsidRPr="00901CD2">
              <w:rPr>
                <w:rFonts w:ascii="Times New Roman" w:hAnsi="Times New Roman"/>
                <w:sz w:val="24"/>
                <w:szCs w:val="24"/>
              </w:rPr>
              <w:t>i</w:t>
            </w:r>
            <w:r w:rsidR="008A1878" w:rsidRPr="00901C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93E23A" w14:textId="091B95C0" w:rsidR="00854678" w:rsidRPr="00901CD2" w:rsidRDefault="00AE092E" w:rsidP="00AA4347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2019.</w:t>
            </w:r>
            <w:r w:rsidR="002A6DAA">
              <w:rPr>
                <w:rFonts w:ascii="Times New Roman" w:hAnsi="Times New Roman"/>
                <w:sz w:val="24"/>
                <w:szCs w:val="24"/>
              </w:rPr>
              <w:t xml:space="preserve">gada 14.decembrī 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ir stājušās spēkā augu veselības regulas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Eiropas Parlamenta un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Padomes 2016. gada 26. oktobra Regula (ES) 2016/2031 par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 xml:space="preserve">aizsardzības pasākumiem pret augiem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lastRenderedPageBreak/>
              <w:t>kaitīgajiem organismiem,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ar ko groza Eiropas Parlamenta un Padomes Regulas (ES)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Nr. 228/2013, (ES) Nr. 652/2014 un (ES) Nr. 1143/2014 un atceļ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Padomes Direktīvas 69/464/EEK, 74/647/EEK, 93/85/EEK,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98/57/EK, 2000/29/EK, 2006/91/EK un 2007/33/EK (turpmāk –</w:t>
            </w:r>
            <w:r w:rsid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Regula 2016/2031)</w:t>
            </w:r>
            <w:r w:rsidR="002A6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Komisijas</w:t>
            </w:r>
            <w:r w:rsidR="003F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A89" w:rsidRPr="00AA4347">
              <w:rPr>
                <w:rFonts w:ascii="Times New Roman" w:hAnsi="Times New Roman"/>
                <w:sz w:val="24"/>
                <w:szCs w:val="24"/>
              </w:rPr>
              <w:t>2019. gada 28. novembra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 xml:space="preserve"> Īstenošanas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egula</w:t>
            </w:r>
            <w:r w:rsidR="00B1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(ES) 2019/2072, ar ko paredz vienotus nosacījumus Eiropas</w:t>
            </w:r>
            <w:r w:rsidR="00B1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Parlamenta un Padomes Regulas (ES) 2016/2031 par aizsardzības</w:t>
            </w:r>
            <w:r w:rsidR="00B1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pasākumiem pret augiem kaitīgajiem organismiem īstenošanai,</w:t>
            </w:r>
            <w:r w:rsidR="00B1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atceļ Komisijas Regulu (EK) Nr. 690/2008 un groza Komisijas Īstenošanas regulu (ES) 2018/2019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 xml:space="preserve"> (turpmāk – Regula</w:t>
            </w:r>
            <w:r w:rsidR="00B1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347" w:rsidRPr="00AA4347">
              <w:rPr>
                <w:rFonts w:ascii="Times New Roman" w:hAnsi="Times New Roman"/>
                <w:sz w:val="24"/>
                <w:szCs w:val="24"/>
              </w:rPr>
              <w:t>2019/2072)</w:t>
            </w:r>
            <w:r w:rsidR="00B139F7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B139F7" w:rsidRPr="009B438B">
              <w:rPr>
                <w:rFonts w:ascii="Times New Roman" w:hAnsi="Times New Roman"/>
                <w:sz w:val="24"/>
                <w:szCs w:val="24"/>
              </w:rPr>
              <w:t>Komisijas</w:t>
            </w:r>
            <w:r w:rsidR="003F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A89" w:rsidRPr="009B438B">
              <w:rPr>
                <w:rFonts w:ascii="Times New Roman" w:hAnsi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4A89" w:rsidRPr="009B438B">
              <w:rPr>
                <w:rFonts w:ascii="Times New Roman" w:hAnsi="Times New Roman"/>
                <w:sz w:val="24"/>
                <w:szCs w:val="24"/>
              </w:rPr>
              <w:t>gada 13. decembra</w:t>
            </w:r>
            <w:r w:rsidR="00B139F7" w:rsidRPr="009B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A89">
              <w:rPr>
                <w:rFonts w:ascii="Times New Roman" w:hAnsi="Times New Roman"/>
                <w:sz w:val="24"/>
                <w:szCs w:val="24"/>
              </w:rPr>
              <w:t>Ī</w:t>
            </w:r>
            <w:r w:rsidR="00B139F7" w:rsidRPr="009B438B">
              <w:rPr>
                <w:rFonts w:ascii="Times New Roman" w:hAnsi="Times New Roman"/>
                <w:sz w:val="24"/>
                <w:szCs w:val="24"/>
              </w:rPr>
              <w:t xml:space="preserve">stenošanas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B139F7" w:rsidRPr="009B438B">
              <w:rPr>
                <w:rFonts w:ascii="Times New Roman" w:hAnsi="Times New Roman"/>
                <w:sz w:val="24"/>
                <w:szCs w:val="24"/>
              </w:rPr>
              <w:t>egul</w:t>
            </w:r>
            <w:r w:rsidR="00B139F7">
              <w:rPr>
                <w:rFonts w:ascii="Times New Roman" w:hAnsi="Times New Roman"/>
                <w:sz w:val="24"/>
                <w:szCs w:val="24"/>
              </w:rPr>
              <w:t>a</w:t>
            </w:r>
            <w:r w:rsidR="00B139F7" w:rsidRPr="009B438B">
              <w:rPr>
                <w:rFonts w:ascii="Times New Roman" w:hAnsi="Times New Roman"/>
                <w:sz w:val="24"/>
                <w:szCs w:val="24"/>
              </w:rPr>
              <w:t xml:space="preserve"> (ES) 2017/2313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39F7" w:rsidRPr="009B438B">
              <w:rPr>
                <w:rFonts w:ascii="Times New Roman" w:hAnsi="Times New Roman"/>
                <w:sz w:val="24"/>
                <w:szCs w:val="24"/>
              </w:rPr>
              <w:t xml:space="preserve"> ar ko nosaka </w:t>
            </w:r>
            <w:r w:rsidR="00B139F7">
              <w:rPr>
                <w:rFonts w:ascii="Times New Roman" w:hAnsi="Times New Roman"/>
                <w:sz w:val="24"/>
                <w:szCs w:val="24"/>
              </w:rPr>
              <w:t>prasības</w:t>
            </w:r>
            <w:r w:rsidR="00B139F7" w:rsidRPr="009B438B">
              <w:rPr>
                <w:rFonts w:ascii="Times New Roman" w:hAnsi="Times New Roman"/>
                <w:sz w:val="24"/>
                <w:szCs w:val="24"/>
              </w:rPr>
              <w:t xml:space="preserve"> augu pas</w:t>
            </w:r>
            <w:r w:rsidR="00B139F7">
              <w:rPr>
                <w:rFonts w:ascii="Times New Roman" w:hAnsi="Times New Roman"/>
                <w:sz w:val="24"/>
                <w:szCs w:val="24"/>
              </w:rPr>
              <w:t>ēm, to fo</w:t>
            </w:r>
            <w:r w:rsidR="001F1AE7">
              <w:rPr>
                <w:rFonts w:ascii="Times New Roman" w:hAnsi="Times New Roman"/>
                <w:sz w:val="24"/>
                <w:szCs w:val="24"/>
              </w:rPr>
              <w:t>r</w:t>
            </w:r>
            <w:r w:rsidR="00B139F7">
              <w:rPr>
                <w:rFonts w:ascii="Times New Roman" w:hAnsi="Times New Roman"/>
                <w:sz w:val="24"/>
                <w:szCs w:val="24"/>
              </w:rPr>
              <w:t>mai</w:t>
            </w:r>
            <w:r w:rsidR="001F1AE7">
              <w:rPr>
                <w:rFonts w:ascii="Times New Roman" w:hAnsi="Times New Roman"/>
                <w:sz w:val="24"/>
                <w:szCs w:val="24"/>
              </w:rPr>
              <w:t xml:space="preserve"> un lietošanai</w:t>
            </w:r>
            <w:r w:rsidR="00B139F7" w:rsidRPr="009B438B">
              <w:rPr>
                <w:rFonts w:ascii="Times New Roman" w:hAnsi="Times New Roman"/>
                <w:sz w:val="24"/>
                <w:szCs w:val="24"/>
              </w:rPr>
              <w:t>, pārvietošanai Savienības teritorijā</w:t>
            </w:r>
            <w:r w:rsidR="00D804A5">
              <w:rPr>
                <w:rFonts w:ascii="Times New Roman" w:hAnsi="Times New Roman"/>
                <w:sz w:val="24"/>
                <w:szCs w:val="24"/>
              </w:rPr>
              <w:t>, nepieciešams</w:t>
            </w:r>
            <w:r w:rsidR="00B1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4A5">
              <w:rPr>
                <w:rFonts w:ascii="Times New Roman" w:hAnsi="Times New Roman"/>
                <w:sz w:val="24"/>
                <w:szCs w:val="24"/>
              </w:rPr>
              <w:t>precizēt noteikum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14CC3">
              <w:rPr>
                <w:rFonts w:ascii="Times New Roman" w:hAnsi="Times New Roman"/>
                <w:sz w:val="24"/>
                <w:szCs w:val="24"/>
              </w:rPr>
              <w:t xml:space="preserve"> Nr. 1229</w:t>
            </w:r>
            <w:r w:rsidR="002A6DAA">
              <w:rPr>
                <w:rFonts w:ascii="Times New Roman" w:hAnsi="Times New Roman"/>
                <w:sz w:val="24"/>
                <w:szCs w:val="24"/>
              </w:rPr>
              <w:t xml:space="preserve"> normu </w:t>
            </w:r>
            <w:r w:rsidR="00F244A5">
              <w:rPr>
                <w:rFonts w:ascii="Times New Roman" w:hAnsi="Times New Roman"/>
                <w:sz w:val="24"/>
                <w:szCs w:val="24"/>
              </w:rPr>
              <w:t>par</w:t>
            </w:r>
            <w:r w:rsidR="002A6DAA">
              <w:rPr>
                <w:rFonts w:ascii="Times New Roman" w:hAnsi="Times New Roman"/>
                <w:sz w:val="24"/>
                <w:szCs w:val="24"/>
              </w:rPr>
              <w:t xml:space="preserve"> augu pasēm.</w:t>
            </w:r>
            <w:r w:rsidR="00D80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AEB47A" w14:textId="7E66D8DC" w:rsidR="00894C55" w:rsidRPr="00901CD2" w:rsidRDefault="00452DCE">
            <w:pPr>
              <w:shd w:val="clear" w:color="auto" w:fill="FFFFFF"/>
              <w:spacing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Regulā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2016/2031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noteikti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aizsardzības pasākumi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 xml:space="preserve"> pret augiem kaitīgajiem organismiem,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AE092E"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arī prasības augu pārvietošanai </w:t>
            </w:r>
            <w:r w:rsidR="00FD268D">
              <w:rPr>
                <w:rFonts w:ascii="Times New Roman" w:hAnsi="Times New Roman"/>
                <w:sz w:val="24"/>
                <w:szCs w:val="24"/>
              </w:rPr>
              <w:t xml:space="preserve">un augu pasu lietošanai. Savukārt </w:t>
            </w:r>
            <w:r w:rsidR="002A6DAA">
              <w:rPr>
                <w:rFonts w:ascii="Times New Roman" w:hAnsi="Times New Roman"/>
                <w:sz w:val="24"/>
                <w:szCs w:val="24"/>
              </w:rPr>
              <w:t xml:space="preserve">Regulā </w:t>
            </w:r>
            <w:r w:rsidR="002A6DAA" w:rsidRPr="00AA4347">
              <w:rPr>
                <w:rFonts w:ascii="Times New Roman" w:hAnsi="Times New Roman"/>
                <w:sz w:val="24"/>
                <w:szCs w:val="24"/>
              </w:rPr>
              <w:t>2019/2072</w:t>
            </w:r>
            <w:r w:rsidR="002A6DAA">
              <w:rPr>
                <w:rFonts w:ascii="Times New Roman" w:hAnsi="Times New Roman"/>
                <w:sz w:val="24"/>
                <w:szCs w:val="24"/>
              </w:rPr>
              <w:t xml:space="preserve"> ir noteiktas sugas, kuru pārvietošanai Savien</w:t>
            </w:r>
            <w:r w:rsidR="00F244A5">
              <w:rPr>
                <w:rFonts w:ascii="Times New Roman" w:hAnsi="Times New Roman"/>
                <w:sz w:val="24"/>
                <w:szCs w:val="24"/>
              </w:rPr>
              <w:t>ī</w:t>
            </w:r>
            <w:r w:rsidR="002A6DAA">
              <w:rPr>
                <w:rFonts w:ascii="Times New Roman" w:hAnsi="Times New Roman"/>
                <w:sz w:val="24"/>
                <w:szCs w:val="24"/>
              </w:rPr>
              <w:t>bas teritorijā ir nepieciešama augu pase.</w:t>
            </w:r>
            <w:r w:rsidR="002A6DAA" w:rsidRPr="0090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92E">
              <w:rPr>
                <w:rFonts w:ascii="Times New Roman" w:hAnsi="Times New Roman"/>
                <w:sz w:val="24"/>
                <w:szCs w:val="24"/>
              </w:rPr>
              <w:t>Ievērojot minēto,</w:t>
            </w:r>
            <w:r w:rsidR="00D804A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E51364" w:rsidRPr="00901CD2">
              <w:rPr>
                <w:rFonts w:ascii="Times New Roman" w:hAnsi="Times New Roman"/>
                <w:sz w:val="24"/>
                <w:szCs w:val="24"/>
              </w:rPr>
              <w:t>oteikumu projektā</w:t>
            </w:r>
            <w:r w:rsidR="00D804A5">
              <w:rPr>
                <w:rFonts w:ascii="Times New Roman" w:hAnsi="Times New Roman"/>
                <w:sz w:val="24"/>
                <w:szCs w:val="24"/>
              </w:rPr>
              <w:t xml:space="preserve"> tiek</w:t>
            </w:r>
            <w:r w:rsidR="00E51364" w:rsidRPr="00901CD2">
              <w:rPr>
                <w:rFonts w:ascii="Times New Roman" w:hAnsi="Times New Roman"/>
                <w:sz w:val="24"/>
                <w:szCs w:val="24"/>
              </w:rPr>
              <w:t xml:space="preserve"> precizēt</w:t>
            </w:r>
            <w:r w:rsidR="002A6DAA">
              <w:rPr>
                <w:rFonts w:ascii="Times New Roman" w:hAnsi="Times New Roman"/>
                <w:sz w:val="24"/>
                <w:szCs w:val="24"/>
              </w:rPr>
              <w:t>a</w:t>
            </w:r>
            <w:r w:rsidR="00E51364" w:rsidRPr="00901CD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2A6DAA">
              <w:rPr>
                <w:rFonts w:ascii="Times New Roman" w:hAnsi="Times New Roman"/>
                <w:sz w:val="24"/>
                <w:szCs w:val="24"/>
              </w:rPr>
              <w:t>rma par augu pasē</w:t>
            </w:r>
            <w:r>
              <w:rPr>
                <w:rFonts w:ascii="Times New Roman" w:hAnsi="Times New Roman"/>
                <w:sz w:val="24"/>
                <w:szCs w:val="24"/>
              </w:rPr>
              <w:t>m sēklām un pavairojamajam materiālam, kas tiek iesniegts šķirņu pārbaudei.</w:t>
            </w:r>
            <w:r w:rsidR="002A6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60">
              <w:rPr>
                <w:rFonts w:ascii="Times New Roman" w:hAnsi="Times New Roman"/>
                <w:sz w:val="24"/>
                <w:szCs w:val="24"/>
              </w:rPr>
              <w:t>J</w:t>
            </w:r>
            <w:r w:rsidR="00EF6688" w:rsidRPr="00901CD2">
              <w:rPr>
                <w:rFonts w:ascii="Times New Roman" w:hAnsi="Times New Roman"/>
                <w:sz w:val="24"/>
                <w:szCs w:val="24"/>
              </w:rPr>
              <w:t>a saskaņā ar</w:t>
            </w:r>
            <w:r w:rsidR="00F2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9F7" w:rsidRPr="00AA4347">
              <w:rPr>
                <w:rFonts w:ascii="Times New Roman" w:hAnsi="Times New Roman"/>
                <w:sz w:val="24"/>
                <w:szCs w:val="24"/>
              </w:rPr>
              <w:t>Regul</w:t>
            </w:r>
            <w:r w:rsidR="002A6DAA">
              <w:rPr>
                <w:rFonts w:ascii="Times New Roman" w:hAnsi="Times New Roman"/>
                <w:sz w:val="24"/>
                <w:szCs w:val="24"/>
              </w:rPr>
              <w:t>u</w:t>
            </w:r>
            <w:r w:rsidR="00B1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9F7" w:rsidRPr="00AA4347">
              <w:rPr>
                <w:rFonts w:ascii="Times New Roman" w:hAnsi="Times New Roman"/>
                <w:sz w:val="24"/>
                <w:szCs w:val="24"/>
              </w:rPr>
              <w:t>2019/2072</w:t>
            </w:r>
            <w:r w:rsidR="00EF6688" w:rsidRPr="00901CD2">
              <w:rPr>
                <w:rFonts w:ascii="Times New Roman" w:hAnsi="Times New Roman"/>
                <w:sz w:val="24"/>
                <w:szCs w:val="24"/>
              </w:rPr>
              <w:t xml:space="preserve"> veģetatīvi pavairojamam materiālam vai sēklām ir nepieciešama augu pase,</w:t>
            </w:r>
            <w:r w:rsidR="00953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74">
              <w:rPr>
                <w:rFonts w:ascii="Times New Roman" w:hAnsi="Times New Roman"/>
                <w:sz w:val="24"/>
                <w:szCs w:val="24"/>
              </w:rPr>
              <w:t>tad</w:t>
            </w:r>
            <w:r w:rsidR="00953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688" w:rsidRPr="00901CD2">
              <w:rPr>
                <w:rFonts w:ascii="Times New Roman" w:hAnsi="Times New Roman"/>
                <w:sz w:val="24"/>
                <w:szCs w:val="24"/>
              </w:rPr>
              <w:t>etiķeti var apvienot ar augu pasi</w:t>
            </w:r>
            <w:r w:rsidR="00953AE3">
              <w:rPr>
                <w:rFonts w:ascii="Times New Roman" w:hAnsi="Times New Roman"/>
                <w:sz w:val="24"/>
                <w:szCs w:val="24"/>
              </w:rPr>
              <w:t>,</w:t>
            </w:r>
            <w:r w:rsidR="009B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38B" w:rsidRPr="009B438B">
              <w:rPr>
                <w:rFonts w:ascii="Times New Roman" w:hAnsi="Times New Roman"/>
                <w:sz w:val="24"/>
                <w:szCs w:val="24"/>
              </w:rPr>
              <w:t xml:space="preserve">kā noteikts Komisijas </w:t>
            </w:r>
            <w:r w:rsidR="009023D3" w:rsidRPr="009B438B">
              <w:rPr>
                <w:rFonts w:ascii="Times New Roman" w:hAnsi="Times New Roman"/>
                <w:sz w:val="24"/>
                <w:szCs w:val="24"/>
              </w:rPr>
              <w:t xml:space="preserve">2017. gada 13. decembra </w:t>
            </w:r>
            <w:r w:rsidR="009023D3">
              <w:rPr>
                <w:rFonts w:ascii="Times New Roman" w:hAnsi="Times New Roman"/>
                <w:sz w:val="24"/>
                <w:szCs w:val="24"/>
              </w:rPr>
              <w:t>Ī</w:t>
            </w:r>
            <w:r w:rsidR="009B438B" w:rsidRPr="009B438B">
              <w:rPr>
                <w:rFonts w:ascii="Times New Roman" w:hAnsi="Times New Roman"/>
                <w:sz w:val="24"/>
                <w:szCs w:val="24"/>
              </w:rPr>
              <w:t xml:space="preserve">stenošanas </w:t>
            </w:r>
            <w:r w:rsidR="00AE092E">
              <w:rPr>
                <w:rFonts w:ascii="Times New Roman" w:hAnsi="Times New Roman"/>
                <w:sz w:val="24"/>
                <w:szCs w:val="24"/>
              </w:rPr>
              <w:t>r</w:t>
            </w:r>
            <w:r w:rsidR="009B438B" w:rsidRPr="009B438B">
              <w:rPr>
                <w:rFonts w:ascii="Times New Roman" w:hAnsi="Times New Roman"/>
                <w:sz w:val="24"/>
                <w:szCs w:val="24"/>
              </w:rPr>
              <w:t>egulā (ES) 2017/2313</w:t>
            </w:r>
            <w:r w:rsidR="009C2E12">
              <w:rPr>
                <w:rFonts w:ascii="Times New Roman" w:hAnsi="Times New Roman"/>
                <w:sz w:val="24"/>
                <w:szCs w:val="24"/>
              </w:rPr>
              <w:t>,</w:t>
            </w:r>
            <w:r w:rsidR="009B438B" w:rsidRPr="009B438B">
              <w:rPr>
                <w:rFonts w:ascii="Times New Roman" w:hAnsi="Times New Roman"/>
                <w:sz w:val="24"/>
                <w:szCs w:val="24"/>
              </w:rPr>
              <w:t xml:space="preserve"> ar ko nosaka formāta specifikācijas augu pasei, kas nepieciešama pārvietošanai Savienības teritorijā, un augu </w:t>
            </w:r>
            <w:bookmarkStart w:id="1" w:name="_Hlk35328289"/>
            <w:r w:rsidR="009B438B" w:rsidRPr="009B438B">
              <w:rPr>
                <w:rFonts w:ascii="Times New Roman" w:hAnsi="Times New Roman"/>
                <w:sz w:val="24"/>
                <w:szCs w:val="24"/>
              </w:rPr>
              <w:t>pasei, kas nepieciešama ievešanai un pārvietošanai aizsargājamā zonā</w:t>
            </w:r>
            <w:bookmarkEnd w:id="1"/>
            <w:r w:rsidR="00D804A5">
              <w:rPr>
                <w:rFonts w:ascii="Times New Roman" w:hAnsi="Times New Roman"/>
                <w:sz w:val="24"/>
                <w:szCs w:val="24"/>
              </w:rPr>
              <w:t>.</w:t>
            </w:r>
            <w:r w:rsidR="00BC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B8" w:rsidRPr="00016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Līdz ar noteikumu projekta pieņemšanu pilnībā tiks pārņemta Komisijas </w:t>
            </w:r>
            <w:r w:rsidR="00426325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Īstenošanas </w:t>
            </w:r>
            <w:r w:rsidR="00C2319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irektīva </w:t>
            </w:r>
            <w:r w:rsidR="00046AA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2019/1985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/ES. Tā kā direktīvas normas jā</w:t>
            </w:r>
            <w:r w:rsidR="00C2319A">
              <w:rPr>
                <w:rFonts w:ascii="Times New Roman" w:eastAsia="Calibri" w:hAnsi="Times New Roman" w:cs="Times New Roman"/>
                <w:sz w:val="24"/>
                <w:szCs w:val="24"/>
              </w:rPr>
              <w:t>pārņem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</w:t>
            </w:r>
            <w:r w:rsidR="00616979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vēlāk kā līdz 20</w:t>
            </w:r>
            <w:r w:rsidR="005878F3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. gada 3</w:t>
            </w:r>
            <w:r w:rsidR="00C408B5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="00046AA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mai</w:t>
            </w:r>
            <w:r w:rsidR="008537D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am,</w:t>
            </w:r>
            <w:r w:rsidR="008537D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ir paredzēts</w:t>
            </w:r>
            <w:r w:rsidR="00252884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 noteikum</w:t>
            </w:r>
            <w:r w:rsidR="00C2319A">
              <w:rPr>
                <w:rFonts w:ascii="Times New Roman" w:eastAsia="Calibri" w:hAnsi="Times New Roman" w:cs="Times New Roman"/>
                <w:sz w:val="24"/>
                <w:szCs w:val="24"/>
              </w:rPr>
              <w:t>u projekts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stāsies spēkā 20</w:t>
            </w:r>
            <w:r w:rsidR="005878F3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. gada 1.</w:t>
            </w:r>
            <w:r w:rsidR="00FE531E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878F3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jūnij</w:t>
            </w:r>
            <w:r w:rsidR="008537D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ā</w:t>
            </w:r>
            <w:r w:rsidR="000562B8" w:rsidRPr="0090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2234" w:rsidRPr="00FB0800" w14:paraId="18D6E2D2" w14:textId="77777777" w:rsidTr="00756EAD">
        <w:trPr>
          <w:trHeight w:val="372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AEA0F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81F3A6" w14:textId="77777777" w:rsidR="00894C55" w:rsidRPr="00FB0800" w:rsidRDefault="00E762F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D1BF8" w14:textId="07702555" w:rsidR="00894C55" w:rsidRPr="00FB0800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Valsts augu aizsardzības dienests</w:t>
            </w:r>
          </w:p>
        </w:tc>
      </w:tr>
      <w:tr w:rsidR="00642234" w:rsidRPr="00FB0800" w14:paraId="14735740" w14:textId="77777777" w:rsidTr="00756EAD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85128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E2E38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9FE725" w14:textId="77777777" w:rsidR="00894C55" w:rsidRPr="00FB0800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F24F0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3F0353C" w14:textId="77777777" w:rsidR="0015777D" w:rsidRPr="00FB0800" w:rsidRDefault="0015777D" w:rsidP="0058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0"/>
        <w:gridCol w:w="2807"/>
        <w:gridCol w:w="5796"/>
      </w:tblGrid>
      <w:tr w:rsidR="00642234" w:rsidRPr="00FB0800" w14:paraId="0D340ECD" w14:textId="77777777" w:rsidTr="0020699D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372FDE" w14:textId="77777777" w:rsidR="00894C55" w:rsidRPr="00FB0800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642234" w:rsidRPr="00FB0800" w14:paraId="11147CE8" w14:textId="77777777" w:rsidTr="0020699D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875F6" w14:textId="77777777" w:rsidR="00894C55" w:rsidRPr="00FB0800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22DA5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DDCD2A" w14:textId="77777777" w:rsidR="00894C55" w:rsidRPr="00FB0800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attiecas uz </w:t>
            </w:r>
            <w:r w:rsidR="00EC4874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lauksaimniecības augu </w:t>
            </w:r>
            <w:r w:rsidR="00D815A3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sugu</w:t>
            </w:r>
            <w:r w:rsidR="00EC4874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15A3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šķirņu </w:t>
            </w:r>
            <w:r w:rsidR="00EC4874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dārzeņu </w:t>
            </w:r>
            <w:r w:rsidR="00D815A3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sugu </w:t>
            </w:r>
            <w:r w:rsidR="00EC4874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šķirņu </w:t>
            </w: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selekcionāriem.</w:t>
            </w:r>
          </w:p>
        </w:tc>
      </w:tr>
      <w:tr w:rsidR="00642234" w:rsidRPr="00FB0800" w14:paraId="0D10BFA5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8900B" w14:textId="77777777" w:rsidR="00894C55" w:rsidRPr="00FB0800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AE5F1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41044" w14:textId="77777777" w:rsidR="00894C55" w:rsidRPr="00FB0800" w:rsidRDefault="0010503C" w:rsidP="001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tiesiskais regulējums nemaina līdzšinējo administratīvo procedūru. Noteikumu projekts neuzliek papildu administratīvo slogu selekcionāriem, jo neparedz papildu informācijas sniegšanas vai uzglabāšanas pienākumus.</w:t>
            </w:r>
          </w:p>
        </w:tc>
      </w:tr>
      <w:tr w:rsidR="00642234" w:rsidRPr="00FB0800" w14:paraId="6656A1B5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4E698" w14:textId="77777777" w:rsidR="00894C55" w:rsidRPr="00FB0800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F4444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A9F86" w14:textId="77777777" w:rsidR="00894C55" w:rsidRPr="00FB0800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2234" w:rsidRPr="00FB0800" w14:paraId="03163C6D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68847" w14:textId="77777777" w:rsidR="00C44823" w:rsidRPr="00FB0800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6D85E" w14:textId="77777777" w:rsidR="00C44823" w:rsidRPr="00FB0800" w:rsidRDefault="00C4482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47806A" w14:textId="77777777" w:rsidR="00C44823" w:rsidRPr="00FB0800" w:rsidRDefault="00C44823" w:rsidP="0089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2234" w:rsidRPr="00FB0800" w14:paraId="31765603" w14:textId="77777777" w:rsidTr="0020699D">
        <w:trPr>
          <w:trHeight w:val="276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8D3E1" w14:textId="77777777" w:rsidR="00894C55" w:rsidRPr="00FB0800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94C55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50DA5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95889" w14:textId="77777777" w:rsidR="00894C55" w:rsidRPr="00FB0800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F24F0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3CE8D8E" w14:textId="77777777" w:rsidR="0010503C" w:rsidRPr="00FB0800" w:rsidRDefault="0010503C" w:rsidP="001050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tbl>
      <w:tblPr>
        <w:tblStyle w:val="Reatabula1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42234" w:rsidRPr="00FB0800" w14:paraId="50C3D1EA" w14:textId="777777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99B" w14:textId="77777777" w:rsidR="00673277" w:rsidRPr="00FB0800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00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42234" w:rsidRPr="00FB0800" w14:paraId="0296EEEC" w14:textId="777777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D959" w14:textId="77777777" w:rsidR="00673277" w:rsidRPr="00FB0800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255C3EE6" w14:textId="77777777" w:rsidR="00D60069" w:rsidRPr="00FB0800" w:rsidRDefault="00D60069" w:rsidP="0058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2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42234" w:rsidRPr="00FB0800" w14:paraId="2F0FB732" w14:textId="777777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C050" w14:textId="77777777" w:rsidR="00673277" w:rsidRPr="00FB0800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00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642234" w:rsidRPr="00FB0800" w14:paraId="0D5FDA20" w14:textId="77777777" w:rsidTr="00CD6E4A">
        <w:trPr>
          <w:trHeight w:val="2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D5DB" w14:textId="77777777" w:rsidR="00673277" w:rsidRPr="00FB0800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72F00A52" w14:textId="77777777" w:rsidR="00D60069" w:rsidRPr="00FB0800" w:rsidRDefault="00D60069" w:rsidP="0064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9"/>
        <w:gridCol w:w="2627"/>
        <w:gridCol w:w="5977"/>
      </w:tblGrid>
      <w:tr w:rsidR="00642234" w:rsidRPr="00FB0800" w14:paraId="20E6F774" w14:textId="77777777" w:rsidTr="0020699D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8F188" w14:textId="77777777" w:rsidR="00894C55" w:rsidRPr="00FB0800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642234" w:rsidRPr="00FB0800" w14:paraId="39CD75CD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AFD928" w14:textId="77777777" w:rsidR="00894C55" w:rsidRPr="00FB0800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AC055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B43EA" w14:textId="77777777" w:rsidR="00547ED8" w:rsidRPr="003E4B80" w:rsidRDefault="009B07CA" w:rsidP="00261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7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Komisijas </w:t>
            </w:r>
            <w:r w:rsidR="005C5EBA" w:rsidRPr="00F7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2019. gada 28. novembra </w:t>
            </w:r>
            <w:r w:rsidRPr="00F7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Īstenošanas </w:t>
            </w:r>
            <w:r w:rsidR="00252884" w:rsidRPr="00F7007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70076">
              <w:rPr>
                <w:rFonts w:ascii="Times New Roman" w:eastAsia="Calibri" w:hAnsi="Times New Roman" w:cs="Times New Roman"/>
                <w:sz w:val="24"/>
                <w:szCs w:val="24"/>
              </w:rPr>
              <w:t>irektīva 2019/1985/ES, ar ko groza Direktīvu 2003/90/EK un Direktīvu 2003/91/EK, kurās nosaka attiecīgi Padomes Direktīvas 2002/53/EK 7. panta un Padomes Direktīvas 2002/55/EK 7. panta īstenošanas pasākumus attiecībā uz obligāti pārbaudāmajām pazīmēm un at</w:t>
            </w:r>
            <w:r w:rsidRPr="00FF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sevišķu lauksaimniecības augu sugu šķirņu un dārzeņu sugu šķirņu obligātajiem pārbaudes nosacījumiem. </w:t>
            </w:r>
            <w:r w:rsidR="00A51596" w:rsidRPr="00FF34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Direktīvas normas ir jāievieš un normatīvais akts jāizdod un jāpublicē ne vēlāk kā līdz</w:t>
            </w:r>
            <w:r w:rsidR="007E55E1" w:rsidRPr="004814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1596" w:rsidRPr="004814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</w:t>
            </w:r>
            <w:r w:rsidR="00CF2378" w:rsidRPr="004814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</w:t>
            </w:r>
            <w:r w:rsidR="00A51596" w:rsidRPr="004814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gada 31. </w:t>
            </w:r>
            <w:r w:rsidR="00CF2378" w:rsidRPr="004910A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mai</w:t>
            </w:r>
            <w:r w:rsidR="007E55E1" w:rsidRPr="004910A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</w:t>
            </w:r>
            <w:r w:rsidR="00A51596" w:rsidRPr="004910A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am.</w:t>
            </w:r>
          </w:p>
          <w:p w14:paraId="04F3D419" w14:textId="1FAFFC9E" w:rsidR="009B438B" w:rsidRDefault="009B438B" w:rsidP="00F70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973CB9"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 gada 13. decembra</w:t>
            </w:r>
            <w:r w:rsidR="00973C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0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stenošanas </w:t>
            </w:r>
            <w:r w:rsidR="00AE0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egul</w:t>
            </w:r>
            <w:r w:rsidR="00F7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(ES) 2017/2313</w:t>
            </w:r>
            <w:r w:rsidR="00AE0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ko nosaka formāta specifikācijas augu pasei, kas nepieciešama pārvietošanai Savienības teritorijā, un augu pasei, kas nepieciešama ievešanai un pārvietošanai aizsargājamā zonā</w:t>
            </w:r>
            <w:r w:rsidR="00A67A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</w:t>
            </w:r>
            <w:r w:rsidR="00AE09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A67A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Regula 2017/2013).</w:t>
            </w:r>
            <w:r w:rsidR="00973C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3212677" w14:textId="3D7AEADA" w:rsidR="00BC65E4" w:rsidRPr="00F70076" w:rsidRDefault="00D804A5" w:rsidP="00973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A4347">
              <w:rPr>
                <w:rFonts w:ascii="Times New Roman" w:hAnsi="Times New Roman"/>
                <w:sz w:val="24"/>
                <w:szCs w:val="24"/>
              </w:rPr>
              <w:t xml:space="preserve">Komisijas </w:t>
            </w:r>
            <w:r w:rsidR="00973CB9" w:rsidRPr="00AA4347">
              <w:rPr>
                <w:rFonts w:ascii="Times New Roman" w:hAnsi="Times New Roman"/>
                <w:sz w:val="24"/>
                <w:szCs w:val="24"/>
              </w:rPr>
              <w:t xml:space="preserve">2019. gada 28. novembra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 xml:space="preserve">Īstenošanas </w:t>
            </w:r>
            <w:r w:rsidR="00AE092E">
              <w:rPr>
                <w:rFonts w:ascii="Times New Roman" w:hAnsi="Times New Roman"/>
                <w:sz w:val="24"/>
                <w:szCs w:val="24"/>
              </w:rPr>
              <w:t>r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egula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(ES) 2019/2072, ar ko paredz vienotus nosacījumus Eiropas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Parlamenta un Padomes Regulas (ES) 2016/2031 par aizsardzības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pasākumiem pret augiem kaitīgajiem organismiem īstenošanai,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atceļ Komisijas Regulu (EK) Nr. 690/2008 un groza Komisijas Īstenošanas regulu (ES) 2018/2019 (turpmāk – Regula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2019/2072)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00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2234" w:rsidRPr="00FB0800" w14:paraId="56B80D99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D19C2" w14:textId="77777777" w:rsidR="00894C55" w:rsidRPr="00FB0800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1EA9D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D25949" w14:textId="77777777" w:rsidR="00894C55" w:rsidRPr="00FB0800" w:rsidRDefault="0010503C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42234" w:rsidRPr="00FB0800" w14:paraId="17DC8A6F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E9CBE" w14:textId="77777777" w:rsidR="00894C55" w:rsidRPr="00FB0800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01005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737857" w14:textId="77777777" w:rsidR="00894C55" w:rsidRPr="00FB0800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003A6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4283D62" w14:textId="77777777" w:rsidR="00BF3003" w:rsidRPr="00FB0800" w:rsidRDefault="00BF3003" w:rsidP="0058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4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56"/>
        <w:gridCol w:w="1992"/>
        <w:gridCol w:w="2535"/>
        <w:gridCol w:w="2361"/>
      </w:tblGrid>
      <w:tr w:rsidR="00642234" w:rsidRPr="00FB0800" w14:paraId="59349DC6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C7C746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3E0791"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FB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642234" w:rsidRPr="00FB0800" w14:paraId="67F682C8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58A7F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99C91" w14:textId="77777777" w:rsidR="00894C55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426325" w:rsidRPr="00FB0800">
              <w:rPr>
                <w:rFonts w:ascii="Times New Roman" w:eastAsia="Calibri" w:hAnsi="Times New Roman" w:cs="Times New Roman"/>
                <w:sz w:val="24"/>
                <w:szCs w:val="24"/>
              </w:rPr>
              <w:t>Īstenošanas</w:t>
            </w:r>
            <w:r w:rsidR="00426325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52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irektīva 201</w:t>
            </w:r>
            <w:r w:rsidR="00DC21D2"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CF2378" w:rsidRPr="00FB0800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//ES</w:t>
            </w:r>
            <w:r w:rsidR="00A67A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4B45FCF" w14:textId="77777777" w:rsidR="00A67A74" w:rsidRDefault="00A67A7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Regula 2017/2013.</w:t>
            </w:r>
          </w:p>
          <w:p w14:paraId="595E02F8" w14:textId="55ECBDB3" w:rsidR="00BC65E4" w:rsidRPr="008B0BB1" w:rsidRDefault="00D804A5" w:rsidP="005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4347">
              <w:rPr>
                <w:rFonts w:ascii="Times New Roman" w:hAnsi="Times New Roman"/>
                <w:sz w:val="24"/>
                <w:szCs w:val="24"/>
              </w:rPr>
              <w:t>Regula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2019/2072</w:t>
            </w:r>
            <w:r w:rsidR="00F244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04ED" w:rsidRPr="00FB0800" w14:paraId="5CD5E19A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A11A9" w14:textId="7636667F" w:rsidR="00894C55" w:rsidRPr="008B0BB1" w:rsidRDefault="00894C55" w:rsidP="00581AE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F2C7F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CAE7DE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2E0080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8204ED" w:rsidRPr="00FB0800" w14:paraId="0F168F4F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CA625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t xml:space="preserve">Attiecīgā ES tiesību akta panta numurs (uzskaitot katru tiesību akta </w:t>
            </w: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vienību – pantu, daļu, punktu, apakšpunktu)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E862C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Projekta vienība, kas pārņem vai ievieš katru šīs tabulas </w:t>
            </w: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A ailē minēto ES tiesību akta vienību, vai tiesību akts, kur attiecīgā ES tiesību akta vienība pārņemta vai ieviesta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E30AF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Informācija par to, vai šīs tabulas A ailē minētās ES tiesību akta vienības </w:t>
            </w: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tiek pārņemtas vai ieviestas pilnībā vai daļēji.</w:t>
            </w:r>
          </w:p>
          <w:p w14:paraId="6C0E7639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1DA61F2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EC307F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Informācija par to, vai šīs tabulas B ailē minētās projekta vienības paredz </w:t>
            </w: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stingrākas prasības nekā šīs tabulas A ailē minētās ES tiesību akta vienības.</w:t>
            </w:r>
          </w:p>
          <w:p w14:paraId="4D0D38BA" w14:textId="77777777" w:rsidR="00894C55" w:rsidRPr="00FB0800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t>Ja projekts satur stingrākas prasības nekā attiecīgais ES tiesību akts, norāda pamatojumu un samērīgumu.</w:t>
            </w:r>
          </w:p>
          <w:p w14:paraId="0F461815" w14:textId="77777777" w:rsidR="00252484" w:rsidRPr="00FB0800" w:rsidRDefault="00894C55" w:rsidP="004F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42234" w:rsidRPr="00FB0800" w14:paraId="4B387CB2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48D95" w14:textId="07A504EA" w:rsidR="00402C1C" w:rsidRPr="00FB0800" w:rsidRDefault="00402C1C" w:rsidP="005A1269">
            <w:pPr>
              <w:pStyle w:val="Bezatstarpm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B0800">
              <w:rPr>
                <w:rFonts w:ascii="Times New Roman" w:hAnsi="Times New Roman"/>
                <w:b/>
                <w:lang w:eastAsia="lv-LV"/>
              </w:rPr>
              <w:lastRenderedPageBreak/>
              <w:t xml:space="preserve">Komisijas </w:t>
            </w:r>
            <w:r w:rsidR="00426325" w:rsidRPr="00D804A5">
              <w:rPr>
                <w:rFonts w:ascii="Times New Roman" w:hAnsi="Times New Roman"/>
                <w:b/>
              </w:rPr>
              <w:t>Īstenošanas</w:t>
            </w:r>
            <w:r w:rsidR="00426325" w:rsidRPr="00FB0800">
              <w:rPr>
                <w:rFonts w:ascii="Times New Roman" w:hAnsi="Times New Roman"/>
              </w:rPr>
              <w:t xml:space="preserve"> </w:t>
            </w:r>
            <w:r w:rsidR="00252884">
              <w:rPr>
                <w:rFonts w:ascii="Times New Roman" w:hAnsi="Times New Roman"/>
                <w:b/>
                <w:lang w:eastAsia="lv-LV"/>
              </w:rPr>
              <w:t>d</w:t>
            </w:r>
            <w:r w:rsidRPr="00FB0800">
              <w:rPr>
                <w:rFonts w:ascii="Times New Roman" w:hAnsi="Times New Roman"/>
                <w:b/>
                <w:lang w:eastAsia="lv-LV"/>
              </w:rPr>
              <w:t xml:space="preserve">irektīva </w:t>
            </w:r>
            <w:r w:rsidRPr="00FB0800">
              <w:rPr>
                <w:rFonts w:ascii="Times New Roman" w:hAnsi="Times New Roman"/>
                <w:b/>
              </w:rPr>
              <w:t>201</w:t>
            </w:r>
            <w:r w:rsidR="00DC21D2" w:rsidRPr="00FB0800">
              <w:rPr>
                <w:rFonts w:ascii="Times New Roman" w:hAnsi="Times New Roman"/>
                <w:b/>
              </w:rPr>
              <w:t>9</w:t>
            </w:r>
            <w:r w:rsidRPr="00FB0800">
              <w:rPr>
                <w:rFonts w:ascii="Times New Roman" w:hAnsi="Times New Roman"/>
                <w:b/>
              </w:rPr>
              <w:t>/</w:t>
            </w:r>
            <w:r w:rsidR="00CF2378" w:rsidRPr="00FB0800">
              <w:rPr>
                <w:rFonts w:ascii="Times New Roman" w:hAnsi="Times New Roman"/>
                <w:b/>
              </w:rPr>
              <w:t>1985</w:t>
            </w:r>
            <w:r w:rsidRPr="00FB0800">
              <w:rPr>
                <w:rFonts w:ascii="Times New Roman" w:hAnsi="Times New Roman"/>
                <w:b/>
                <w:lang w:eastAsia="lv-LV"/>
              </w:rPr>
              <w:t>/ES</w:t>
            </w:r>
          </w:p>
        </w:tc>
      </w:tr>
      <w:tr w:rsidR="008204ED" w:rsidRPr="00FB0800" w14:paraId="242DCB9B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4A456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1. 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6D2711" w14:textId="77777777" w:rsidR="00B439EB" w:rsidRDefault="00B439EB" w:rsidP="005A1269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Noteikumu projekta</w:t>
            </w:r>
          </w:p>
          <w:p w14:paraId="5B4E7060" w14:textId="20071A9D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1.</w:t>
            </w:r>
            <w:r w:rsidR="00B439EB">
              <w:rPr>
                <w:rFonts w:ascii="Times New Roman" w:hAnsi="Times New Roman"/>
              </w:rPr>
              <w:t>3</w:t>
            </w:r>
            <w:r w:rsidRPr="00FB0800">
              <w:rPr>
                <w:rFonts w:ascii="Times New Roman" w:hAnsi="Times New Roman"/>
              </w:rPr>
              <w:t>.</w:t>
            </w:r>
            <w:r w:rsidR="00AD5757" w:rsidRPr="00FB0800">
              <w:rPr>
                <w:rFonts w:ascii="Times New Roman" w:hAnsi="Times New Roman"/>
              </w:rPr>
              <w:t> </w:t>
            </w:r>
            <w:r w:rsidRPr="00FB0800">
              <w:rPr>
                <w:rFonts w:ascii="Times New Roman" w:hAnsi="Times New Roman"/>
              </w:rPr>
              <w:t>apakšpunkt</w:t>
            </w:r>
            <w:r w:rsidR="00F40B50">
              <w:rPr>
                <w:rFonts w:ascii="Times New Roman" w:hAnsi="Times New Roman"/>
              </w:rPr>
              <w:t>ā izteiktā noteikumu Nr. 1229 1. pielikuma I nodaļa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3A0AD5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E862A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8204ED" w:rsidRPr="00FB0800" w14:paraId="73B2E63D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E8C4B1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2.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98ED0" w14:textId="39777EDC" w:rsidR="00402C1C" w:rsidRPr="00FB0800" w:rsidRDefault="00F40B50" w:rsidP="005A1269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Noteikumu projekta </w:t>
            </w:r>
            <w:r w:rsidR="00402C1C" w:rsidRPr="00FB0800">
              <w:rPr>
                <w:rFonts w:ascii="Times New Roman" w:hAnsi="Times New Roman"/>
              </w:rPr>
              <w:t>1.</w:t>
            </w:r>
            <w:r w:rsidR="00921DE2">
              <w:rPr>
                <w:rFonts w:ascii="Times New Roman" w:hAnsi="Times New Roman"/>
              </w:rPr>
              <w:t>3</w:t>
            </w:r>
            <w:r w:rsidR="00402C1C" w:rsidRPr="00FB0800">
              <w:rPr>
                <w:rFonts w:ascii="Times New Roman" w:hAnsi="Times New Roman"/>
              </w:rPr>
              <w:t>.</w:t>
            </w:r>
            <w:r w:rsidR="00AD5757" w:rsidRPr="00FB0800">
              <w:rPr>
                <w:rFonts w:ascii="Times New Roman" w:hAnsi="Times New Roman"/>
              </w:rPr>
              <w:t xml:space="preserve"> </w:t>
            </w:r>
            <w:r w:rsidR="00402C1C" w:rsidRPr="00FB0800">
              <w:rPr>
                <w:rFonts w:ascii="Times New Roman" w:hAnsi="Times New Roman"/>
              </w:rPr>
              <w:t>apakšpunkt</w:t>
            </w:r>
            <w:r>
              <w:rPr>
                <w:rFonts w:ascii="Times New Roman" w:hAnsi="Times New Roman"/>
              </w:rPr>
              <w:t xml:space="preserve">ā izteiktā noteikumu Nr. 1229 1. pielikuma II nodaļa 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789435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DA9C82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8204ED" w:rsidRPr="00FB0800" w14:paraId="3A68DD3D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37A926" w14:textId="77777777" w:rsidR="00402C1C" w:rsidRPr="00FB0800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3.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0DB5D" w14:textId="77777777" w:rsidR="00402C1C" w:rsidRPr="00FB0800" w:rsidRDefault="00402C1C" w:rsidP="005A1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CC6059" w14:textId="77777777" w:rsidR="00402C1C" w:rsidRPr="00FB0800" w:rsidRDefault="00402C1C" w:rsidP="005A12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800">
              <w:rPr>
                <w:rFonts w:ascii="Times New Roman" w:hAnsi="Times New Roman" w:cs="Times New Roman"/>
              </w:rPr>
              <w:t xml:space="preserve">Minētā norma </w:t>
            </w:r>
            <w:r w:rsidRPr="00FB0800">
              <w:rPr>
                <w:rStyle w:val="Izteiksmgs"/>
                <w:rFonts w:ascii="Times New Roman" w:hAnsi="Times New Roman" w:cs="Times New Roman"/>
                <w:b w:val="0"/>
              </w:rPr>
              <w:t xml:space="preserve">paredz dalībvalstīm izvēles iespēju attiecībā par tās pārņemšanu. 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98D67B" w14:textId="77777777" w:rsidR="00402C1C" w:rsidRPr="00FB0800" w:rsidRDefault="00402C1C" w:rsidP="005A1269">
            <w:pPr>
              <w:jc w:val="both"/>
              <w:rPr>
                <w:rFonts w:ascii="Times New Roman" w:hAnsi="Times New Roman" w:cs="Times New Roman"/>
              </w:rPr>
            </w:pPr>
            <w:r w:rsidRPr="00FB0800">
              <w:rPr>
                <w:rFonts w:ascii="Times New Roman" w:hAnsi="Times New Roman" w:cs="Times New Roman"/>
              </w:rPr>
              <w:t>Nav attiecināms.</w:t>
            </w:r>
          </w:p>
        </w:tc>
      </w:tr>
      <w:tr w:rsidR="008204ED" w:rsidRPr="00FB0800" w14:paraId="253DABE5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FC529C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4. panta pirmā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A28A0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jāpārņem</w:t>
            </w:r>
            <w:r w:rsidR="00EF24F0" w:rsidRPr="00FB0800">
              <w:rPr>
                <w:rFonts w:ascii="Times New Roman" w:hAnsi="Times New Roman"/>
              </w:rPr>
              <w:t>;</w:t>
            </w:r>
            <w:r w:rsidRPr="00FB0800">
              <w:rPr>
                <w:rFonts w:ascii="Times New Roman" w:hAnsi="Times New Roman"/>
              </w:rPr>
              <w:t xml:space="preserve"> noteikts termiņš normatīvo aktu pieņemšanai un publicēšanai.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F568ED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C72E07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attiecināms.</w:t>
            </w:r>
          </w:p>
        </w:tc>
      </w:tr>
      <w:tr w:rsidR="008204ED" w:rsidRPr="00FB0800" w14:paraId="4D89CD5D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F83281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4. panta otrā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B64F30" w14:textId="2D2B8DC3" w:rsidR="00402C1C" w:rsidRPr="00FB0800" w:rsidRDefault="00D3038F" w:rsidP="005A1269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Noteikumu projekta </w:t>
            </w:r>
            <w:r w:rsidR="00402C1C" w:rsidRPr="00FB0800">
              <w:rPr>
                <w:rFonts w:ascii="Times New Roman" w:hAnsi="Times New Roman"/>
              </w:rPr>
              <w:t>2. 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08B37C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DA8E17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8204ED" w:rsidRPr="00FB0800" w14:paraId="39142D0C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984DCA" w14:textId="77777777" w:rsidR="00402C1C" w:rsidRPr="00E57CB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57CB4">
              <w:rPr>
                <w:rFonts w:ascii="Times New Roman" w:hAnsi="Times New Roman"/>
                <w:sz w:val="24"/>
                <w:szCs w:val="24"/>
              </w:rPr>
              <w:t>4. panta trešā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ED1286" w14:textId="3BA4024C" w:rsidR="00402C1C" w:rsidRPr="00E57CB4" w:rsidRDefault="008204ED" w:rsidP="005A1269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Noteikumu projekta </w:t>
            </w:r>
            <w:r w:rsidR="00402C1C" w:rsidRPr="00E57CB4">
              <w:rPr>
                <w:rFonts w:ascii="Times New Roman" w:hAnsi="Times New Roman"/>
              </w:rPr>
              <w:t>1.</w:t>
            </w:r>
            <w:r w:rsidR="00E57CB4" w:rsidRPr="00E57CB4">
              <w:rPr>
                <w:rFonts w:ascii="Times New Roman" w:hAnsi="Times New Roman"/>
              </w:rPr>
              <w:t>2</w:t>
            </w:r>
            <w:r w:rsidR="00402C1C" w:rsidRPr="00E57CB4">
              <w:rPr>
                <w:rFonts w:ascii="Times New Roman" w:hAnsi="Times New Roman"/>
              </w:rPr>
              <w:t>. 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C9E35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7E3716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Pārņemtā norma neparedz stingrākas prasības.</w:t>
            </w:r>
            <w:r w:rsidRPr="00FB0800" w:rsidDel="004E6CDF">
              <w:rPr>
                <w:rFonts w:ascii="Times New Roman" w:hAnsi="Times New Roman"/>
              </w:rPr>
              <w:t xml:space="preserve"> </w:t>
            </w:r>
          </w:p>
        </w:tc>
      </w:tr>
      <w:tr w:rsidR="008204ED" w:rsidRPr="00FB0800" w14:paraId="7BFD5FF1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10E7F8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5.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0014A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jāpārņem</w:t>
            </w:r>
            <w:r w:rsidR="00EF24F0" w:rsidRPr="00FB0800">
              <w:rPr>
                <w:rFonts w:ascii="Times New Roman" w:hAnsi="Times New Roman"/>
              </w:rPr>
              <w:t>;</w:t>
            </w:r>
            <w:r w:rsidRPr="00FB0800">
              <w:rPr>
                <w:rFonts w:ascii="Times New Roman" w:hAnsi="Times New Roman"/>
              </w:rPr>
              <w:t xml:space="preserve"> noteikta spēkā stāšanās kārtība.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E58CF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1F0BE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attiecināms.</w:t>
            </w:r>
          </w:p>
        </w:tc>
      </w:tr>
      <w:tr w:rsidR="008204ED" w:rsidRPr="00FB0800" w14:paraId="18389D34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6A639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B0800">
              <w:rPr>
                <w:rFonts w:ascii="Times New Roman" w:hAnsi="Times New Roman"/>
                <w:sz w:val="24"/>
                <w:szCs w:val="24"/>
              </w:rPr>
              <w:t>6.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33B459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jāpārņem</w:t>
            </w:r>
            <w:r w:rsidR="00EF24F0" w:rsidRPr="00FB0800">
              <w:rPr>
                <w:rFonts w:ascii="Times New Roman" w:hAnsi="Times New Roman"/>
              </w:rPr>
              <w:t>;</w:t>
            </w:r>
            <w:r w:rsidRPr="00FB0800">
              <w:rPr>
                <w:rFonts w:ascii="Times New Roman" w:hAnsi="Times New Roman"/>
              </w:rPr>
              <w:t xml:space="preserve"> minēti direktīvas adresāti.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A736E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4B062C" w14:textId="77777777" w:rsidR="00402C1C" w:rsidRPr="00FB0800" w:rsidRDefault="00402C1C" w:rsidP="005A1269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Nav attiecināms.</w:t>
            </w:r>
          </w:p>
        </w:tc>
      </w:tr>
      <w:tr w:rsidR="008204ED" w:rsidRPr="00FB0800" w14:paraId="246E980A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53AC86" w14:textId="77777777" w:rsidR="007F0FD6" w:rsidRPr="002462F0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462F0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730E4C78" w14:textId="1DDE0DE0" w:rsidR="007F0FD6" w:rsidRPr="002462F0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462F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r w:rsidR="00AE09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F62F2E" w14:textId="3C068359" w:rsidR="007F0FD6" w:rsidRPr="00FB0800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46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</w:t>
            </w:r>
            <w:r w:rsidR="00C42ED8">
              <w:rPr>
                <w:rFonts w:ascii="Times New Roman" w:hAnsi="Times New Roman"/>
                <w:sz w:val="24"/>
                <w:szCs w:val="24"/>
              </w:rPr>
              <w:t>pielikums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B5B09A" w14:textId="17E0FA63" w:rsidR="007F0FD6" w:rsidRPr="009475D1" w:rsidRDefault="00FE1F7C" w:rsidP="007F0FD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Noteikumu projekta </w:t>
            </w:r>
            <w:r w:rsidR="007F0FD6" w:rsidRPr="009475D1">
              <w:rPr>
                <w:rFonts w:ascii="Times New Roman" w:hAnsi="Times New Roman"/>
              </w:rPr>
              <w:t>1.3. apakšpunkt</w:t>
            </w:r>
            <w:r>
              <w:rPr>
                <w:rFonts w:ascii="Times New Roman" w:hAnsi="Times New Roman"/>
              </w:rPr>
              <w:t xml:space="preserve">ā </w:t>
            </w:r>
            <w:r>
              <w:rPr>
                <w:rFonts w:ascii="Times New Roman" w:hAnsi="Times New Roman"/>
              </w:rPr>
              <w:lastRenderedPageBreak/>
              <w:t xml:space="preserve">izteiktā noteikumu Nr.1229 </w:t>
            </w:r>
            <w:r w:rsidR="007F0FD6" w:rsidRPr="009475D1">
              <w:rPr>
                <w:rFonts w:ascii="Times New Roman" w:hAnsi="Times New Roman"/>
              </w:rPr>
              <w:t xml:space="preserve"> </w:t>
            </w:r>
          </w:p>
          <w:p w14:paraId="6ECAAF3D" w14:textId="692E06A3" w:rsidR="007F0FD6" w:rsidRPr="00F72D4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F72D48">
              <w:rPr>
                <w:rFonts w:ascii="Times New Roman" w:hAnsi="Times New Roman"/>
              </w:rPr>
              <w:t xml:space="preserve">1.pielikuma </w:t>
            </w:r>
          </w:p>
          <w:p w14:paraId="60BB1392" w14:textId="2CF26BDA" w:rsidR="009475D1" w:rsidRPr="009475D1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9475D1">
              <w:rPr>
                <w:rFonts w:ascii="Times New Roman" w:hAnsi="Times New Roman"/>
              </w:rPr>
              <w:t>I nodaļa</w:t>
            </w:r>
            <w:r w:rsidR="00FE1F7C">
              <w:rPr>
                <w:rFonts w:ascii="Times New Roman" w:hAnsi="Times New Roman"/>
              </w:rPr>
              <w:t>s</w:t>
            </w:r>
            <w:r w:rsidR="009475D1" w:rsidRPr="009475D1">
              <w:rPr>
                <w:rFonts w:ascii="Times New Roman" w:hAnsi="Times New Roman"/>
              </w:rPr>
              <w:t xml:space="preserve"> </w:t>
            </w:r>
          </w:p>
          <w:p w14:paraId="6C7CE21B" w14:textId="622280FB" w:rsidR="007F0FD6" w:rsidRPr="009475D1" w:rsidRDefault="009475D1" w:rsidP="007F0FD6">
            <w:pPr>
              <w:pStyle w:val="Bezatstarpm"/>
              <w:rPr>
                <w:rFonts w:ascii="Times New Roman" w:hAnsi="Times New Roman"/>
              </w:rPr>
            </w:pPr>
            <w:r w:rsidRPr="009475D1">
              <w:rPr>
                <w:rFonts w:ascii="Times New Roman" w:hAnsi="Times New Roman"/>
              </w:rPr>
              <w:t>1.1. 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FB2351" w14:textId="4E7D963F" w:rsidR="007F0FD6" w:rsidRPr="00FB0800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lastRenderedPageBreak/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86977D" w14:textId="0AAAEDBF" w:rsidR="007F0FD6" w:rsidRPr="00FB0800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Pārņemtā norma neparedz stingrākas prasības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204ED" w:rsidRPr="00FB0800" w14:paraId="6FE52342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56A5E2" w14:textId="77777777" w:rsidR="009475D1" w:rsidRPr="00663DB8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63DB8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5C49E57B" w14:textId="1D3A6D38" w:rsidR="009475D1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63DB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r w:rsidR="00AE09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A121B4" w14:textId="2D350D50" w:rsidR="009475D1" w:rsidRPr="002462F0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63DB8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9475D1">
              <w:rPr>
                <w:rFonts w:ascii="Times New Roman" w:hAnsi="Times New Roman"/>
                <w:sz w:val="24"/>
                <w:szCs w:val="24"/>
              </w:rPr>
              <w:t>pielikums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84123C" w14:textId="6B205366" w:rsidR="009475D1" w:rsidRPr="009475D1" w:rsidRDefault="00DB56E9" w:rsidP="009475D1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Noteikumu projekta </w:t>
            </w:r>
            <w:r w:rsidR="009475D1" w:rsidRPr="009475D1">
              <w:rPr>
                <w:rFonts w:ascii="Times New Roman" w:hAnsi="Times New Roman"/>
              </w:rPr>
              <w:t>1.3. apakšpunkt</w:t>
            </w:r>
            <w:r>
              <w:rPr>
                <w:rFonts w:ascii="Times New Roman" w:hAnsi="Times New Roman"/>
              </w:rPr>
              <w:t xml:space="preserve">ā izteiktā noteikumu Nr. 1229 </w:t>
            </w:r>
            <w:r w:rsidR="009475D1" w:rsidRPr="009475D1">
              <w:rPr>
                <w:rFonts w:ascii="Times New Roman" w:hAnsi="Times New Roman"/>
              </w:rPr>
              <w:t xml:space="preserve"> </w:t>
            </w:r>
          </w:p>
          <w:p w14:paraId="75BC732B" w14:textId="77777777" w:rsidR="009475D1" w:rsidRPr="009475D1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9475D1">
              <w:rPr>
                <w:rFonts w:ascii="Times New Roman" w:hAnsi="Times New Roman"/>
              </w:rPr>
              <w:t xml:space="preserve">1.pielikuma </w:t>
            </w:r>
          </w:p>
          <w:p w14:paraId="3921DFE3" w14:textId="657CAF8B" w:rsidR="009475D1" w:rsidRPr="00F72D4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F72D48">
              <w:rPr>
                <w:rFonts w:ascii="Times New Roman" w:hAnsi="Times New Roman"/>
              </w:rPr>
              <w:t>I nodaļa</w:t>
            </w:r>
            <w:r w:rsidR="00DB56E9">
              <w:rPr>
                <w:rFonts w:ascii="Times New Roman" w:hAnsi="Times New Roman"/>
              </w:rPr>
              <w:t>s</w:t>
            </w:r>
            <w:r w:rsidR="00AE092E">
              <w:rPr>
                <w:rFonts w:ascii="Times New Roman" w:hAnsi="Times New Roman"/>
              </w:rPr>
              <w:t xml:space="preserve"> </w:t>
            </w:r>
          </w:p>
          <w:p w14:paraId="1296F912" w14:textId="730C26E4" w:rsidR="009475D1" w:rsidRPr="009475D1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9475D1">
              <w:rPr>
                <w:rFonts w:ascii="Times New Roman" w:hAnsi="Times New Roman"/>
              </w:rPr>
              <w:t>1.2. 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DDD29F" w14:textId="763EA0A3" w:rsidR="009475D1" w:rsidRPr="00FB0800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E6089D" w14:textId="5BA573B7" w:rsidR="009475D1" w:rsidRPr="00FB0800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8204ED" w:rsidRPr="00FB0800" w14:paraId="73192321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28C050" w14:textId="77777777" w:rsidR="007F0FD6" w:rsidRPr="002462F0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462F0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5966A7C2" w14:textId="6AC71813" w:rsidR="007F0FD6" w:rsidRPr="002462F0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246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r w:rsidR="00AE09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1AA2E4" w14:textId="6D947009" w:rsidR="007F0FD6" w:rsidRPr="002462F0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462F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42ED8">
              <w:rPr>
                <w:rFonts w:ascii="Times New Roman" w:hAnsi="Times New Roman"/>
                <w:sz w:val="24"/>
                <w:szCs w:val="24"/>
              </w:rPr>
              <w:t>pielikums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01A90F" w14:textId="0AC4E937" w:rsidR="007F0FD6" w:rsidRPr="009475D1" w:rsidRDefault="00BF6E56" w:rsidP="007F0FD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Noteikumu projekta </w:t>
            </w:r>
            <w:r w:rsidR="007F0FD6" w:rsidRPr="009475D1">
              <w:rPr>
                <w:rFonts w:ascii="Times New Roman" w:hAnsi="Times New Roman"/>
              </w:rPr>
              <w:t>1.3. apakšpunkt</w:t>
            </w:r>
            <w:r>
              <w:rPr>
                <w:rFonts w:ascii="Times New Roman" w:hAnsi="Times New Roman"/>
              </w:rPr>
              <w:t>ā izteiktā noteikumu Nr. 1229</w:t>
            </w:r>
            <w:r w:rsidR="007F0FD6" w:rsidRPr="009475D1">
              <w:rPr>
                <w:rFonts w:ascii="Times New Roman" w:hAnsi="Times New Roman"/>
              </w:rPr>
              <w:t xml:space="preserve"> </w:t>
            </w:r>
          </w:p>
          <w:p w14:paraId="2EBF9BBD" w14:textId="77777777" w:rsidR="007F0FD6" w:rsidRPr="00F72D4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F72D48">
              <w:rPr>
                <w:rFonts w:ascii="Times New Roman" w:hAnsi="Times New Roman"/>
              </w:rPr>
              <w:t xml:space="preserve">1.pielikuma </w:t>
            </w:r>
          </w:p>
          <w:p w14:paraId="52CA02AE" w14:textId="614387E9" w:rsidR="007F0FD6" w:rsidRPr="009475D1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9475D1">
              <w:rPr>
                <w:rFonts w:ascii="Times New Roman" w:hAnsi="Times New Roman"/>
              </w:rPr>
              <w:t>I</w:t>
            </w:r>
            <w:r w:rsidR="009475D1" w:rsidRPr="009475D1">
              <w:rPr>
                <w:rFonts w:ascii="Times New Roman" w:hAnsi="Times New Roman"/>
              </w:rPr>
              <w:t>I</w:t>
            </w:r>
            <w:r w:rsidRPr="009475D1">
              <w:rPr>
                <w:rFonts w:ascii="Times New Roman" w:hAnsi="Times New Roman"/>
              </w:rPr>
              <w:t xml:space="preserve"> nodaļa</w:t>
            </w:r>
            <w:r w:rsidR="00BF6E56">
              <w:rPr>
                <w:rFonts w:ascii="Times New Roman" w:hAnsi="Times New Roman"/>
              </w:rPr>
              <w:t>s</w:t>
            </w:r>
          </w:p>
          <w:p w14:paraId="38E7C365" w14:textId="1DFC4C69" w:rsidR="009475D1" w:rsidRPr="009475D1" w:rsidRDefault="009475D1" w:rsidP="007F0FD6">
            <w:pPr>
              <w:pStyle w:val="Bezatstarpm"/>
              <w:rPr>
                <w:rFonts w:ascii="Times New Roman" w:hAnsi="Times New Roman"/>
              </w:rPr>
            </w:pPr>
            <w:r w:rsidRPr="009475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2.1.</w:t>
            </w:r>
            <w:r w:rsidRPr="009475D1">
              <w:rPr>
                <w:rFonts w:ascii="Times New Roman" w:hAnsi="Times New Roman"/>
              </w:rPr>
              <w:t xml:space="preserve"> 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3FC6DE" w14:textId="5FB9E601" w:rsidR="007F0FD6" w:rsidRPr="00FB0800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BD0FEF" w14:textId="79B9A2BB" w:rsidR="007F0FD6" w:rsidRPr="00FB0800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8204ED" w:rsidRPr="00FB0800" w14:paraId="0F98BE58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03AF5B" w14:textId="77777777" w:rsidR="009475D1" w:rsidRPr="002462F0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462F0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106ADEBF" w14:textId="016694C6" w:rsidR="009475D1" w:rsidRPr="002462F0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246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daļa</w:t>
            </w:r>
            <w:r w:rsidR="00AE09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199859" w14:textId="0ACB7E30" w:rsidR="009475D1" w:rsidRPr="002462F0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462F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46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pielikums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193BAD" w14:textId="3F33AAC3" w:rsidR="009475D1" w:rsidRPr="009475D1" w:rsidRDefault="005743B1" w:rsidP="009475D1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Noteikumu projekta </w:t>
            </w:r>
            <w:r w:rsidR="009475D1" w:rsidRPr="009475D1">
              <w:rPr>
                <w:rFonts w:ascii="Times New Roman" w:hAnsi="Times New Roman"/>
              </w:rPr>
              <w:t>1.3. apakšpunkt</w:t>
            </w:r>
            <w:r>
              <w:rPr>
                <w:rFonts w:ascii="Times New Roman" w:hAnsi="Times New Roman"/>
              </w:rPr>
              <w:t>ā izteiktā noteikumu Nr. 1229</w:t>
            </w:r>
            <w:r w:rsidR="009475D1" w:rsidRPr="009475D1">
              <w:rPr>
                <w:rFonts w:ascii="Times New Roman" w:hAnsi="Times New Roman"/>
              </w:rPr>
              <w:t xml:space="preserve"> </w:t>
            </w:r>
          </w:p>
          <w:p w14:paraId="2D135023" w14:textId="6A94ABDF" w:rsidR="009475D1" w:rsidRPr="00B82945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B82945">
              <w:rPr>
                <w:rFonts w:ascii="Times New Roman" w:hAnsi="Times New Roman"/>
              </w:rPr>
              <w:t>1.</w:t>
            </w:r>
            <w:r w:rsidR="00DB56E9">
              <w:rPr>
                <w:rFonts w:ascii="Times New Roman" w:hAnsi="Times New Roman"/>
              </w:rPr>
              <w:t xml:space="preserve"> </w:t>
            </w:r>
            <w:r w:rsidRPr="00B82945">
              <w:rPr>
                <w:rFonts w:ascii="Times New Roman" w:hAnsi="Times New Roman"/>
              </w:rPr>
              <w:t xml:space="preserve">pielikuma </w:t>
            </w:r>
          </w:p>
          <w:p w14:paraId="58F624F5" w14:textId="087B0623" w:rsidR="009475D1" w:rsidRPr="00B82945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B82945">
              <w:rPr>
                <w:rFonts w:ascii="Times New Roman" w:hAnsi="Times New Roman"/>
              </w:rPr>
              <w:t>II nodaļa</w:t>
            </w:r>
            <w:r w:rsidR="005743B1">
              <w:rPr>
                <w:rFonts w:ascii="Times New Roman" w:hAnsi="Times New Roman"/>
              </w:rPr>
              <w:t>s</w:t>
            </w:r>
          </w:p>
          <w:p w14:paraId="57F65A15" w14:textId="5965ECB7" w:rsidR="009475D1" w:rsidRPr="009475D1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B8294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  <w:r w:rsidRPr="00B8294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  <w:r w:rsidRPr="009475D1">
              <w:rPr>
                <w:rFonts w:ascii="Times New Roman" w:hAnsi="Times New Roman"/>
              </w:rPr>
              <w:t xml:space="preserve"> 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EAC9F9" w14:textId="20BC28CA" w:rsidR="009475D1" w:rsidRPr="00FB0800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530FF9" w14:textId="6D759DC7" w:rsidR="009475D1" w:rsidRPr="00FB0800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FB0800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D8625A" w:rsidRPr="00FB0800" w14:paraId="2168108C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55CC8E" w14:textId="77777777" w:rsidR="00D8625A" w:rsidRDefault="00D8625A" w:rsidP="00D8625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AA4347">
              <w:rPr>
                <w:rFonts w:ascii="Times New Roman" w:hAnsi="Times New Roman"/>
                <w:sz w:val="24"/>
                <w:szCs w:val="24"/>
              </w:rPr>
              <w:t>Regula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AA4347">
              <w:rPr>
                <w:rFonts w:ascii="Times New Roman" w:hAnsi="Times New Roman"/>
                <w:sz w:val="24"/>
                <w:szCs w:val="24"/>
              </w:rPr>
              <w:t>2019/2072</w:t>
            </w:r>
          </w:p>
          <w:p w14:paraId="3AD0DC38" w14:textId="149539D5" w:rsidR="00D8625A" w:rsidRPr="002462F0" w:rsidRDefault="00D8625A" w:rsidP="00D8625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 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D33D8" w14:textId="3BD8567A" w:rsidR="00D8625A" w:rsidRDefault="00D8625A" w:rsidP="00D8625A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Noteikumu projekta 1.1. apakšpunktā izteiktais noteikumu Nr. 1229 31. punkts.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DAEE11" w14:textId="757A65B3" w:rsidR="00D8625A" w:rsidRPr="00FB0800" w:rsidRDefault="00D8625A" w:rsidP="00D8625A">
            <w:pPr>
              <w:pStyle w:val="Bezatstarpm"/>
              <w:rPr>
                <w:rFonts w:ascii="Times New Roman" w:hAnsi="Times New Roman"/>
              </w:rPr>
            </w:pPr>
            <w:r w:rsidRPr="007F0FD6">
              <w:rPr>
                <w:rFonts w:ascii="Times New Roman" w:hAnsi="Times New Roman"/>
              </w:rPr>
              <w:t xml:space="preserve">Minētā norma ir </w:t>
            </w:r>
            <w:r>
              <w:rPr>
                <w:rFonts w:ascii="Times New Roman" w:hAnsi="Times New Roman"/>
              </w:rPr>
              <w:t>ieviesta</w:t>
            </w:r>
            <w:r w:rsidRPr="007F0FD6">
              <w:rPr>
                <w:rFonts w:ascii="Times New Roman" w:hAnsi="Times New Roman"/>
              </w:rPr>
              <w:t xml:space="preserve">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EBBABF" w14:textId="739C8CFE" w:rsidR="00D8625A" w:rsidRPr="00FB0800" w:rsidRDefault="00D8625A" w:rsidP="00D8625A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Ieviestā</w:t>
            </w:r>
            <w:r w:rsidRPr="007F0FD6">
              <w:rPr>
                <w:rFonts w:ascii="Times New Roman" w:hAnsi="Times New Roman"/>
              </w:rPr>
              <w:t xml:space="preserve"> norma neparedz stingrākas prasības.</w:t>
            </w:r>
          </w:p>
        </w:tc>
      </w:tr>
      <w:tr w:rsidR="008204ED" w:rsidRPr="00FB0800" w14:paraId="7332F500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E4F572" w14:textId="7B675C28" w:rsidR="00FF3498" w:rsidRPr="00FB0800" w:rsidRDefault="00FF3498" w:rsidP="00956CBF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7007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D804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F7007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2017/2313 </w:t>
            </w:r>
            <w:r w:rsidRPr="00F70076">
              <w:rPr>
                <w:rFonts w:ascii="Times New Roman" w:hAnsi="Times New Roman"/>
                <w:sz w:val="24"/>
                <w:szCs w:val="24"/>
              </w:rPr>
              <w:t>1.pants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A8EA56" w14:textId="3C2AD521" w:rsidR="00FF3498" w:rsidRPr="00FB0800" w:rsidRDefault="0053604D" w:rsidP="00FF3498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Noteikumu projekta </w:t>
            </w:r>
            <w:r w:rsidR="004814D2">
              <w:rPr>
                <w:rFonts w:ascii="Times New Roman" w:hAnsi="Times New Roman"/>
              </w:rPr>
              <w:t>1</w:t>
            </w:r>
            <w:r w:rsidR="00FF3498">
              <w:rPr>
                <w:rFonts w:ascii="Times New Roman" w:hAnsi="Times New Roman"/>
              </w:rPr>
              <w:t>.</w:t>
            </w:r>
            <w:r w:rsidR="00D804A5">
              <w:rPr>
                <w:rFonts w:ascii="Times New Roman" w:hAnsi="Times New Roman"/>
              </w:rPr>
              <w:t>1.</w:t>
            </w:r>
            <w:r w:rsidR="00DB56E9">
              <w:rPr>
                <w:rFonts w:ascii="Times New Roman" w:hAnsi="Times New Roman"/>
              </w:rPr>
              <w:t xml:space="preserve"> </w:t>
            </w:r>
            <w:r w:rsidR="00D804A5">
              <w:rPr>
                <w:rFonts w:ascii="Times New Roman" w:hAnsi="Times New Roman"/>
              </w:rPr>
              <w:t>apakš</w:t>
            </w:r>
            <w:r w:rsidR="00FF3498">
              <w:rPr>
                <w:rFonts w:ascii="Times New Roman" w:hAnsi="Times New Roman"/>
              </w:rPr>
              <w:t>p</w:t>
            </w:r>
            <w:r w:rsidR="004814D2">
              <w:rPr>
                <w:rFonts w:ascii="Times New Roman" w:hAnsi="Times New Roman"/>
              </w:rPr>
              <w:t>un</w:t>
            </w:r>
            <w:r w:rsidR="00FF3498">
              <w:rPr>
                <w:rFonts w:ascii="Times New Roman" w:hAnsi="Times New Roman"/>
              </w:rPr>
              <w:t>kt</w:t>
            </w:r>
            <w:r>
              <w:rPr>
                <w:rFonts w:ascii="Times New Roman" w:hAnsi="Times New Roman"/>
              </w:rPr>
              <w:t xml:space="preserve">ā izteiktais noteikumu Nr. 1229 31. punkts. 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32A980" w14:textId="523F281B" w:rsidR="00FF3498" w:rsidRPr="007F0FD6" w:rsidRDefault="00FF3498" w:rsidP="00FF3498">
            <w:pPr>
              <w:pStyle w:val="Bezatstarpm"/>
              <w:rPr>
                <w:rFonts w:ascii="Times New Roman" w:hAnsi="Times New Roman"/>
              </w:rPr>
            </w:pPr>
            <w:r w:rsidRPr="007F0FD6">
              <w:rPr>
                <w:rFonts w:ascii="Times New Roman" w:hAnsi="Times New Roman"/>
              </w:rPr>
              <w:t xml:space="preserve">Minētā norma ir </w:t>
            </w:r>
            <w:r w:rsidR="0062031D">
              <w:rPr>
                <w:rFonts w:ascii="Times New Roman" w:hAnsi="Times New Roman"/>
              </w:rPr>
              <w:t>ieviesta</w:t>
            </w:r>
            <w:r w:rsidRPr="007F0FD6">
              <w:rPr>
                <w:rFonts w:ascii="Times New Roman" w:hAnsi="Times New Roman"/>
              </w:rPr>
              <w:t xml:space="preserve">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9D7F8C" w14:textId="5BF27AD5" w:rsidR="00FF3498" w:rsidRPr="007F0FD6" w:rsidRDefault="0062031D" w:rsidP="00FF3498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Ieviestā</w:t>
            </w:r>
            <w:r w:rsidRPr="007F0FD6">
              <w:rPr>
                <w:rFonts w:ascii="Times New Roman" w:hAnsi="Times New Roman"/>
              </w:rPr>
              <w:t xml:space="preserve"> </w:t>
            </w:r>
            <w:r w:rsidR="00FF3498" w:rsidRPr="007F0FD6">
              <w:rPr>
                <w:rFonts w:ascii="Times New Roman" w:hAnsi="Times New Roman"/>
              </w:rPr>
              <w:t>norma neparedz stingrākas prasības.</w:t>
            </w:r>
          </w:p>
        </w:tc>
      </w:tr>
      <w:tr w:rsidR="00642234" w:rsidRPr="00642234" w14:paraId="379F3BA0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397DA" w14:textId="77777777" w:rsidR="00894C55" w:rsidRPr="00FB080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FB0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5565E" w14:textId="60BA3962" w:rsidR="000A4C25" w:rsidRPr="00D84DD0" w:rsidRDefault="00E20BBB" w:rsidP="005B59DB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 w:rsidR="00426325" w:rsidRPr="00D8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Īstenošanas </w:t>
            </w:r>
            <w:r w:rsidR="00252884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irektīvas </w:t>
            </w:r>
            <w:r w:rsidR="00CE2688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2019/1985</w:t>
            </w: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/ES 3.</w:t>
            </w:r>
            <w:r w:rsidR="00ED130A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pantā ir paredzēta izvēles iespēja dalībvalstīm noteikt prasības attiecībā uz pārbaudēm, kas sāktas pirms 20</w:t>
            </w:r>
            <w:r w:rsidR="006C0A4C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271BB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6C0A4C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8271BB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C0A4C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maij</w:t>
            </w: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a. Dalībvalstis var piemērot Direktīvu 2003/90/EK un Direktīvu 2003/91 EK tajā redakcijā, kāda bija pirms grozījumu izdarīšanas ar Komisijas Direktīvu </w:t>
            </w:r>
            <w:r w:rsidR="006C0A4C"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2019/1985</w:t>
            </w:r>
            <w:r w:rsidRPr="00D84DD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/ES. Šī panta izvēle Latvijai nav jāpārņem, jo Latvijā laukaugu un dārzeņu sugām netiek veiktas atšķirīguma, viendabīguma un stabilitātes pārbaudes.</w:t>
            </w:r>
            <w:r w:rsidR="005B59DB" w:rsidRPr="00D84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42234" w:rsidRPr="00642234" w14:paraId="448F129C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F4301" w14:textId="77777777" w:rsid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un finanšu noteikumu (attiecībā uz monetāro politiku) projektiem</w:t>
            </w:r>
          </w:p>
          <w:p w14:paraId="417607DC" w14:textId="77777777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EE1612" w14:textId="77777777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1BF1EF" w14:textId="77777777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1B445D" w14:textId="77777777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1F2529" w14:textId="77777777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3983F7" w14:textId="77777777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C46D02" w14:textId="77777777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9B11A9" w14:textId="77777777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BF3D1E" w14:textId="3A96E34F" w:rsidR="00F244A5" w:rsidRPr="00F244A5" w:rsidRDefault="00F244A5" w:rsidP="00F2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8997E" w14:textId="77777777" w:rsidR="00CE7A3E" w:rsidRPr="005B59DB" w:rsidRDefault="00CE7A3E" w:rsidP="00D60069">
            <w:pPr>
              <w:spacing w:after="0" w:line="240" w:lineRule="auto"/>
              <w:ind w:left="31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Noteikumu projekts nesatur valsts normatīvajos aktos noteiktās tehniskās prasības un nav paziņojams Eiropas Komisijai kā tehnisko noteikumu projekts atbilstoši Ministru kabineta 2010.</w:t>
            </w:r>
            <w:r w:rsidR="0006521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23.</w:t>
            </w:r>
            <w:r w:rsidR="0006521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februāra Ministru kabineta instrukcijai Nr.1 „Kārtība, kādā valsts pārvaldes iestādes sniedz informāciju par tehnisko noteikumu projektu”.</w:t>
            </w:r>
          </w:p>
          <w:p w14:paraId="52453856" w14:textId="4CDD96F2" w:rsidR="004C115A" w:rsidRPr="005B59DB" w:rsidRDefault="00CE7A3E" w:rsidP="007A34EE">
            <w:pPr>
              <w:spacing w:after="0" w:line="240" w:lineRule="auto"/>
              <w:ind w:right="64" w:firstLine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426325" w:rsidRPr="005B59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Komisijas </w:t>
            </w:r>
            <w:r w:rsidR="00426325" w:rsidRPr="00FB0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Īstenošanas </w:t>
            </w:r>
            <w:r w:rsidR="0025288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irektīvas </w:t>
            </w:r>
            <w:r w:rsidR="006C0A4C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2019/1985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/E</w:t>
            </w:r>
            <w:r w:rsidR="005825D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pielikuma A</w:t>
            </w:r>
            <w:r w:rsidR="00545DA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daļas netiks pārņemtas dažu sugu pārbaudes vadlīnijas</w:t>
            </w:r>
            <w:r w:rsidR="007003A6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ievērojot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Komisijas</w:t>
            </w:r>
            <w:r w:rsidR="007A34E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A34E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2017. gada 16. marta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Lēmumu 201</w:t>
            </w:r>
            <w:r w:rsidR="00680AA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  <w:r w:rsidR="00680AA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478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/ES, ar ko Bulgāriju, Čehiju, Dāniju, Vāciju, Igauniju, Īriju, Spāniju, Franciju, Kipru, Latviju,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Lietuvu, Maltu, Nīderlandi, Poliju, Slovēniju, Slovākiju, Somiju, Zviedriju un Apvienoto Karalisti atbrīvo no pienākuma konkrētām sugām piemērot Padomes Direktīvas 66/401/EEK, 66/402/EEK, 68/193/EEK, 1999/105/EK, 2002/54/EK, 2002/55/EK un 2002/57/EK attiecīgi par lopbarības augu sēklu, graudaugu sēklu, vīnogulāju veģetatīvās pavairošanas materiāla, meža reproduktīvā materiāla, biešu sēklu, dārzeņu sēklu un eļļas augu un šķiedraugu sēklu tirdzniecību</w:t>
            </w:r>
            <w:r w:rsidR="006E7F83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Latvija ir atbrīvota no tādu sugu pārņemšanas savos normatīvajos aktos</w:t>
            </w:r>
            <w:r w:rsidR="004050A3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nav piemērotas Latvijas klimatiskajiem apstākļiem un</w:t>
            </w:r>
            <w:r w:rsidR="003A7A59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valstī 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="00C163FE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</w:t>
            </w:r>
            <w:r w:rsidR="00C163FE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163FE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tāpēc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nav pamata </w:t>
            </w:r>
            <w:r w:rsidR="0006521D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521D" w:rsidRPr="005B59DB">
              <w:rPr>
                <w:rFonts w:ascii="Times New Roman" w:hAnsi="Times New Roman"/>
                <w:sz w:val="24"/>
                <w:szCs w:val="24"/>
                <w:lang w:eastAsia="lv-LV"/>
              </w:rPr>
              <w:t>Komisijas</w:t>
            </w:r>
            <w:r w:rsidR="00FB080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B0800" w:rsidRPr="00FB0800">
              <w:rPr>
                <w:rFonts w:ascii="Times New Roman" w:eastAsia="Calibri" w:hAnsi="Times New Roman" w:cs="Times New Roman"/>
                <w:sz w:val="24"/>
                <w:szCs w:val="24"/>
              </w:rPr>
              <w:t>Īstenošanas</w:t>
            </w:r>
            <w:r w:rsidR="0006521D" w:rsidRPr="005B59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52884">
              <w:rPr>
                <w:rFonts w:ascii="Times New Roman" w:hAnsi="Times New Roman"/>
                <w:sz w:val="24"/>
                <w:szCs w:val="24"/>
                <w:lang w:eastAsia="lv-LV"/>
              </w:rPr>
              <w:t>d</w:t>
            </w:r>
            <w:r w:rsidR="0006521D" w:rsidRPr="005B59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irektīvā </w:t>
            </w:r>
            <w:r w:rsidR="00B81736" w:rsidRPr="005B5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2019/1985 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esošo sugu šķirņu obligāti pārbaudāmās prasības tām sugām, kas </w:t>
            </w:r>
            <w:r w:rsidR="00C163FE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Latvijā 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="00252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5825D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</w:t>
            </w:r>
            <w:r w:rsidR="00252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6E7F83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A7A5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Atbrīvojums </w:t>
            </w:r>
            <w:r w:rsidR="008A27B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attiecas uz</w:t>
            </w:r>
            <w:r w:rsidR="003A7A5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šādām sugām: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Agrostis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canina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  <w:r w:rsidRPr="005B59DB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– suņu smilg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30/6, 12.10.1990.),</w:t>
            </w:r>
            <w:r w:rsidRPr="005B59D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Bromus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catharticus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Vahl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– akotu lāčauz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Bromus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sitchensis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Trin. – 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Sitkas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lāčauz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TG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180/3, 04.04.2001.),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doliata</w:t>
            </w:r>
            <w:proofErr w:type="spellEnd"/>
            <w:r w:rsidR="007A49C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A49C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Carmign</w:t>
            </w:r>
            <w:proofErr w:type="spellEnd"/>
            <w:r w:rsidR="00580DBC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7A49C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7A49C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A49C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taisndzeloņu</w:t>
            </w:r>
            <w:proofErr w:type="spellEnd"/>
            <w:r w:rsidR="007A49C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7A49C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TG</w:t>
            </w:r>
            <w:r w:rsidR="007D624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italica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Mill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.)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Fiori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Itālijas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littoralis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Rohde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ex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Loisel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–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piekrastes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lupulina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apiņu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murex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Willd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dzeloņain</w:t>
            </w:r>
            <w:r w:rsidR="00EF24F0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ajai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polymorpha</w:t>
            </w:r>
            <w:proofErr w:type="spellEnd"/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zobain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o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rugosa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Desr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2C65B9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krokain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o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scutellata</w:t>
            </w:r>
            <w:proofErr w:type="spellEnd"/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(L.) </w:t>
            </w:r>
            <w:proofErr w:type="spellStart"/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Mill</w:t>
            </w:r>
            <w:proofErr w:type="spellEnd"/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vairoga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truncatula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Gaertn</w:t>
            </w:r>
            <w:proofErr w:type="spellEnd"/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nošķelt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o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Arachis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hypogea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zemesrieksti</w:t>
            </w:r>
            <w:r w:rsidR="00EF24F0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em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93/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09.04.2014.),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Carthamus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tinctorius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saflor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(TP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134/3, 12.10.1990.),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Gossypium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spp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 – kokviln</w:t>
            </w:r>
            <w:r w:rsidR="00AE09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(TP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88/1, 19.04.2016.),</w:t>
            </w:r>
            <w:r w:rsidR="00CB7E41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B7E41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Oryza</w:t>
            </w:r>
            <w:proofErr w:type="spellEnd"/>
            <w:r w:rsidR="00CB7E41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B7E41"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sativa</w:t>
            </w:r>
            <w:proofErr w:type="spellEnd"/>
            <w:r w:rsidR="00CB7E41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rīsi</w:t>
            </w:r>
            <w:r w:rsidR="00EF24F0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em</w:t>
            </w:r>
            <w:r w:rsidR="00CB7E41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(TP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B7E41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16/3, 01.10.2015.),</w:t>
            </w:r>
            <w:r w:rsidR="00802A8A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bicolor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(L.) 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Moench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– sorgo (TG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122/4, 25.03.2015.),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sudanense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Piper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Stapf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397266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Sudānas zāl</w:t>
            </w:r>
            <w:r w:rsidR="00EF24F0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D544BD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122/4, 25.</w:t>
            </w:r>
            <w:r w:rsidR="00656B50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3.2015.),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bicolor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(L.) 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Moench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x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sudanense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Piper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Stapf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hibrīdi</w:t>
            </w:r>
            <w:r w:rsidR="00EF24F0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em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kas radušies, krustojot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bicolor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</w:t>
            </w:r>
            <w:proofErr w:type="spellEnd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B59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sudanense</w:t>
            </w:r>
            <w:proofErr w:type="spellEnd"/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397266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122/4, 25.</w:t>
            </w:r>
            <w:r w:rsidR="00E3727E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3.2015.)</w:t>
            </w:r>
            <w:r w:rsidR="00D911C8" w:rsidRPr="005B59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642234" w:rsidRPr="00642234" w14:paraId="64E9B651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9BC92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3F4F9" w14:textId="77777777" w:rsidR="00894C55" w:rsidRPr="005B59DB" w:rsidRDefault="00CE7A3E" w:rsidP="00CE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163FE"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42234" w:rsidRPr="00642234" w14:paraId="3D654589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434AA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642234" w:rsidRPr="00642234" w14:paraId="5BABF889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296246" w14:textId="77777777" w:rsidR="00646898" w:rsidRPr="00642234" w:rsidRDefault="00CE7A3E" w:rsidP="00B817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51E0C71" w14:textId="77777777" w:rsidR="0015777D" w:rsidRPr="00642234" w:rsidRDefault="0015777D" w:rsidP="00D84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5"/>
        <w:gridCol w:w="2923"/>
        <w:gridCol w:w="5885"/>
      </w:tblGrid>
      <w:tr w:rsidR="00642234" w:rsidRPr="00642234" w14:paraId="6BDE6590" w14:textId="77777777" w:rsidTr="002F73FF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D03DC4" w14:textId="6BF4A0C6" w:rsidR="00EE70D2" w:rsidRPr="00EE70D2" w:rsidRDefault="00894C55" w:rsidP="00581AE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642234" w:rsidRPr="00642234" w14:paraId="1F02BAEA" w14:textId="77777777" w:rsidTr="00742158">
        <w:trPr>
          <w:trHeight w:val="43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B2B97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41772" w14:textId="77777777" w:rsidR="00894C55" w:rsidRPr="005B59D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45738" w14:textId="77777777" w:rsidR="00894C55" w:rsidRPr="005B59DB" w:rsidRDefault="00BF3003" w:rsidP="00904602">
            <w:pPr>
              <w:spacing w:after="0" w:line="300" w:lineRule="atLeast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B59DB">
              <w:rPr>
                <w:rFonts w:ascii="Times New Roman" w:hAnsi="Times New Roman"/>
                <w:sz w:val="24"/>
                <w:szCs w:val="24"/>
                <w:lang w:eastAsia="lv-LV"/>
              </w:rPr>
              <w:t>Atbilstoši Ministru kabineta 2009. gada 25. augusta noteikumu Nr.970 „Sabiedrības līdzdalības kārtība attīstības plānošanas procesā” 7.4.</w:t>
            </w:r>
            <w:r w:rsidRPr="005B59DB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5B59DB">
              <w:rPr>
                <w:rFonts w:ascii="Times New Roman" w:hAnsi="Times New Roman"/>
                <w:sz w:val="24"/>
                <w:szCs w:val="24"/>
                <w:lang w:eastAsia="lv-LV"/>
              </w:rPr>
              <w:t>apakšpunktam sabiedrībai dota iespēja rakstiski sniegt viedokli par noteikumu projektu tā izstrādes stadijā.</w:t>
            </w:r>
          </w:p>
        </w:tc>
      </w:tr>
      <w:tr w:rsidR="00642234" w:rsidRPr="00642234" w14:paraId="760DF350" w14:textId="77777777" w:rsidTr="00742158">
        <w:trPr>
          <w:trHeight w:val="264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65FE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5B28CE" w14:textId="77777777" w:rsid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59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  <w:p w14:paraId="33B2BE35" w14:textId="77777777" w:rsidR="0091598A" w:rsidRPr="0091598A" w:rsidRDefault="0091598A" w:rsidP="00A46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60E54D" w14:textId="77777777" w:rsidR="0091598A" w:rsidRPr="00A46F46" w:rsidRDefault="0091598A" w:rsidP="00A46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96B8F4" w14:textId="77777777" w:rsidR="0091598A" w:rsidRPr="00A46F46" w:rsidRDefault="0091598A" w:rsidP="00A46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63B0B6" w14:textId="77777777" w:rsidR="0091598A" w:rsidRPr="00A46F46" w:rsidRDefault="0091598A" w:rsidP="00A46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5AA9F3" w14:textId="24D09135" w:rsidR="0091598A" w:rsidRPr="0091598A" w:rsidRDefault="0091598A" w:rsidP="0058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69F9A" w14:textId="23EA1026" w:rsidR="005B59DB" w:rsidRPr="00956E6A" w:rsidRDefault="005B59DB" w:rsidP="00904602">
            <w:pPr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Informācija par noteikumu projektu no 6. līdz </w:t>
            </w:r>
            <w:r w:rsidR="009C1303"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</w:t>
            </w:r>
            <w:r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8A27B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9C1303"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</w:t>
            </w:r>
            <w:r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ebruārim </w:t>
            </w:r>
            <w:r w:rsidR="008A27B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bija</w:t>
            </w:r>
            <w:r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ievietota Zemkopības ministrijas tīmekļvietnes </w:t>
            </w:r>
            <w:hyperlink r:id="rId8" w:history="1">
              <w:r w:rsidRPr="00956E6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lv-LV"/>
                </w:rPr>
                <w:t>www.zm.gov.lv</w:t>
              </w:r>
            </w:hyperlink>
            <w:r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sadaļā „Sabiedr</w:t>
            </w:r>
            <w:r w:rsidR="00B57B7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ības</w:t>
            </w:r>
            <w:r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7B7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līdzdalība</w:t>
            </w:r>
            <w:r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Pr="0095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3BE0" w:rsidRPr="00956E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956E6A" w:rsidRPr="00956E6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https://www.zm.gov.lv/zemkopibas-ministrija/apspriesanas/ministru-kabineta-noteikumu-projekts-grozijumi-ministru-kabineta-2010-?id=883</w:t>
              </w:r>
            </w:hyperlink>
            <w:r w:rsidR="00904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un Ministru kabineta tīmekļvietnes sadaļā “Valsts kanceleja” – “Sabiedrības līdzdalība”</w:t>
            </w:r>
            <w:r w:rsidR="00A43BE0" w:rsidRPr="00956E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695A5FF" w14:textId="77777777" w:rsidR="00894C55" w:rsidRPr="005B59DB" w:rsidRDefault="005B59DB" w:rsidP="00904602">
            <w:pPr>
              <w:ind w:right="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59DB">
              <w:rPr>
                <w:rFonts w:ascii="Times New Roman" w:eastAsia="Calibri" w:hAnsi="Times New Roman" w:cs="Times New Roman"/>
                <w:sz w:val="24"/>
                <w:szCs w:val="24"/>
              </w:rPr>
              <w:t>Noteikumu projekts elektroniski tika nosūtīts saskaņošanai Lauksaimnieku organizāciju sadarbības padomei un Zemnieku saeimai.</w:t>
            </w:r>
            <w:r w:rsidRPr="005B59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42234" w:rsidRPr="00642234" w14:paraId="0A230274" w14:textId="77777777" w:rsidTr="00742158">
        <w:trPr>
          <w:trHeight w:val="37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3C2F70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F49A66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43C89" w14:textId="4774C89E" w:rsidR="00894C55" w:rsidRPr="00642234" w:rsidRDefault="00A43BE0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</w:t>
            </w:r>
            <w:r w:rsidR="007272A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etika saņemti</w:t>
            </w:r>
            <w:r w:rsidR="00AC43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iebildumi.</w:t>
            </w:r>
          </w:p>
        </w:tc>
      </w:tr>
      <w:tr w:rsidR="00642234" w:rsidRPr="00642234" w14:paraId="46049A63" w14:textId="77777777" w:rsidTr="00742158">
        <w:trPr>
          <w:trHeight w:val="37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1D5D5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54756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E8AEF" w14:textId="77777777" w:rsidR="00894C55" w:rsidRPr="00642234" w:rsidRDefault="00C3267B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C163FE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9A39E36" w14:textId="77777777" w:rsidR="007D624D" w:rsidRDefault="007D624D" w:rsidP="0061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F9421A" w14:textId="77777777" w:rsidR="0015777D" w:rsidRPr="00642234" w:rsidRDefault="0015777D" w:rsidP="0061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1"/>
        <w:gridCol w:w="2750"/>
        <w:gridCol w:w="5852"/>
      </w:tblGrid>
      <w:tr w:rsidR="00642234" w:rsidRPr="00642234" w14:paraId="6812B5E5" w14:textId="77777777" w:rsidTr="0080539D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69BA08" w14:textId="77777777" w:rsidR="00894C55" w:rsidRPr="00642234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642234" w:rsidRPr="00642234" w14:paraId="34EAB6A7" w14:textId="77777777" w:rsidTr="00500C95">
        <w:trPr>
          <w:trHeight w:val="336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D90F19" w14:textId="77777777" w:rsidR="00A91DC6" w:rsidRPr="00642234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5040F" w14:textId="77777777" w:rsidR="00A91DC6" w:rsidRPr="00642234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95BFD" w14:textId="77777777" w:rsidR="00A91DC6" w:rsidRPr="00642234" w:rsidRDefault="00A91DC6" w:rsidP="005A1269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Izpildi nodrošinās Zemkopības ministrijas padotībā esošais Valsts augu aizsardzības dienests.</w:t>
            </w:r>
          </w:p>
        </w:tc>
      </w:tr>
      <w:tr w:rsidR="00642234" w:rsidRPr="00642234" w14:paraId="3E3A0ED7" w14:textId="77777777" w:rsidTr="00500C95">
        <w:trPr>
          <w:trHeight w:val="360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DF1EC" w14:textId="77777777" w:rsidR="00A91DC6" w:rsidRPr="00642234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6A8A0" w14:textId="77777777" w:rsidR="00A91DC6" w:rsidRPr="00642234" w:rsidRDefault="00A91DC6" w:rsidP="005B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5B59DB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FDD50" w14:textId="77777777" w:rsidR="00A91DC6" w:rsidRPr="00642234" w:rsidRDefault="00A91DC6" w:rsidP="005A1269">
            <w:pPr>
              <w:pStyle w:val="Bezatstarpm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513A2213" w14:textId="77777777" w:rsidR="00A91DC6" w:rsidRPr="00642234" w:rsidRDefault="00A91DC6" w:rsidP="005A1269">
            <w:pPr>
              <w:pStyle w:val="Bezatstarpm"/>
              <w:ind w:left="110"/>
              <w:jc w:val="both"/>
              <w:rPr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642234" w:rsidRPr="00642234" w14:paraId="4930B626" w14:textId="77777777" w:rsidTr="00500C95">
        <w:trPr>
          <w:trHeight w:val="31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582313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668FE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6B0FD" w14:textId="77777777" w:rsidR="00894C55" w:rsidRPr="00642234" w:rsidRDefault="00A91DC6" w:rsidP="00A9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BF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CC89A48" w14:textId="5FB99B7B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EA681" w14:textId="7196A77C" w:rsidR="007A4011" w:rsidRDefault="007A4011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42D5E" w14:textId="77777777" w:rsidR="007A4011" w:rsidRDefault="007A4011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3AB1F" w14:textId="0C3ED22B" w:rsidR="00BF3003" w:rsidRPr="00BF3003" w:rsidRDefault="007A4011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003" w:rsidRPr="00BF3003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="00BF3003" w:rsidRPr="00BF3003">
        <w:rPr>
          <w:rFonts w:ascii="Times New Roman" w:hAnsi="Times New Roman" w:cs="Times New Roman"/>
          <w:sz w:val="28"/>
          <w:szCs w:val="28"/>
        </w:rPr>
        <w:tab/>
      </w:r>
      <w:r w:rsidR="00BF3003" w:rsidRPr="00BF3003">
        <w:rPr>
          <w:rFonts w:ascii="Times New Roman" w:hAnsi="Times New Roman" w:cs="Times New Roman"/>
          <w:sz w:val="28"/>
          <w:szCs w:val="28"/>
        </w:rPr>
        <w:tab/>
      </w:r>
      <w:r w:rsidR="00BF3003" w:rsidRPr="00BF3003">
        <w:rPr>
          <w:rFonts w:ascii="Times New Roman" w:hAnsi="Times New Roman" w:cs="Times New Roman"/>
          <w:sz w:val="28"/>
          <w:szCs w:val="28"/>
        </w:rPr>
        <w:tab/>
      </w:r>
      <w:r w:rsidR="00BF3003" w:rsidRPr="00BF3003">
        <w:rPr>
          <w:rFonts w:ascii="Times New Roman" w:hAnsi="Times New Roman" w:cs="Times New Roman"/>
          <w:sz w:val="28"/>
          <w:szCs w:val="28"/>
        </w:rPr>
        <w:tab/>
      </w:r>
      <w:r w:rsidR="00BF3003" w:rsidRPr="00BF30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003" w:rsidRPr="00BF3003">
        <w:rPr>
          <w:rFonts w:ascii="Times New Roman" w:hAnsi="Times New Roman" w:cs="Times New Roman"/>
          <w:sz w:val="28"/>
          <w:szCs w:val="28"/>
        </w:rPr>
        <w:t>K</w:t>
      </w:r>
      <w:r w:rsidR="00B57B79">
        <w:rPr>
          <w:rFonts w:ascii="Times New Roman" w:hAnsi="Times New Roman" w:cs="Times New Roman"/>
          <w:sz w:val="28"/>
          <w:szCs w:val="28"/>
        </w:rPr>
        <w:t>.</w:t>
      </w:r>
      <w:r w:rsidR="00BF3003" w:rsidRPr="00BF3003">
        <w:rPr>
          <w:rFonts w:ascii="Times New Roman" w:hAnsi="Times New Roman" w:cs="Times New Roman"/>
          <w:sz w:val="28"/>
          <w:szCs w:val="28"/>
        </w:rPr>
        <w:t xml:space="preserve"> Gerhards</w:t>
      </w:r>
    </w:p>
    <w:p w14:paraId="6158C4E9" w14:textId="77777777" w:rsidR="00BF3003" w:rsidRPr="00BF3003" w:rsidRDefault="00BF3003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71A21" w14:textId="77777777" w:rsidR="00BF3003" w:rsidRPr="00BF3003" w:rsidRDefault="00BF3003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24A7" w14:textId="77777777" w:rsidR="00BF3003" w:rsidRPr="00BF3003" w:rsidRDefault="00BF3003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4EB24" w14:textId="77777777" w:rsidR="00BF3003" w:rsidRPr="00BF3003" w:rsidRDefault="00BF3003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DA110" w14:textId="77777777" w:rsidR="00BF3003" w:rsidRPr="00BF3003" w:rsidRDefault="00BF3003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8CC9D" w14:textId="77777777" w:rsidR="00BF3003" w:rsidRPr="00BF3003" w:rsidRDefault="00BF3003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E68CC" w14:textId="77777777" w:rsidR="00BF3003" w:rsidRPr="00BF3003" w:rsidRDefault="00BF3003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711B5" w14:textId="77777777" w:rsidR="00BF3003" w:rsidRPr="002C7A08" w:rsidRDefault="00BF3003" w:rsidP="00BF3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2F1E0D" w14:textId="77777777" w:rsidR="00BF3003" w:rsidRPr="007A4011" w:rsidRDefault="00BF3003" w:rsidP="00BF3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11">
        <w:rPr>
          <w:rFonts w:ascii="Times New Roman" w:hAnsi="Times New Roman" w:cs="Times New Roman"/>
          <w:sz w:val="24"/>
          <w:szCs w:val="24"/>
        </w:rPr>
        <w:t xml:space="preserve">Magone 67027258 </w:t>
      </w:r>
      <w:bookmarkStart w:id="2" w:name="_GoBack"/>
      <w:bookmarkEnd w:id="2"/>
    </w:p>
    <w:p w14:paraId="0BA0B5A3" w14:textId="27D00D6A" w:rsidR="00577A61" w:rsidRPr="007A4011" w:rsidRDefault="007A4011" w:rsidP="00BF3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3003" w:rsidRPr="007A4011">
          <w:rPr>
            <w:rStyle w:val="Hipersaite"/>
            <w:rFonts w:ascii="Times New Roman" w:hAnsi="Times New Roman" w:cs="Times New Roman"/>
            <w:sz w:val="24"/>
            <w:szCs w:val="24"/>
          </w:rPr>
          <w:t>Ilze.Magone@zm.gov.lv</w:t>
        </w:r>
      </w:hyperlink>
    </w:p>
    <w:sectPr w:rsidR="00577A61" w:rsidRPr="007A4011" w:rsidSect="007A4011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9B32" w14:textId="77777777" w:rsidR="007B243D" w:rsidRDefault="007B243D" w:rsidP="00894C55">
      <w:pPr>
        <w:spacing w:after="0" w:line="240" w:lineRule="auto"/>
      </w:pPr>
      <w:r>
        <w:separator/>
      </w:r>
    </w:p>
  </w:endnote>
  <w:endnote w:type="continuationSeparator" w:id="0">
    <w:p w14:paraId="018209C4" w14:textId="77777777" w:rsidR="007B243D" w:rsidRDefault="007B243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C039" w14:textId="2B43B669" w:rsidR="00894C55" w:rsidRPr="007A4011" w:rsidRDefault="007A4011" w:rsidP="007A4011">
    <w:pPr>
      <w:pStyle w:val="Kjene"/>
    </w:pPr>
    <w:r w:rsidRPr="007A4011">
      <w:rPr>
        <w:rFonts w:ascii="Times New Roman" w:hAnsi="Times New Roman" w:cs="Times New Roman"/>
        <w:sz w:val="20"/>
        <w:szCs w:val="20"/>
      </w:rPr>
      <w:t>ZManot_310320_AVSparb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05C7" w14:textId="157D8452" w:rsidR="009A2654" w:rsidRPr="007A4011" w:rsidRDefault="007A4011" w:rsidP="007A4011">
    <w:pPr>
      <w:pStyle w:val="Kjene"/>
    </w:pPr>
    <w:r w:rsidRPr="007A4011">
      <w:rPr>
        <w:rFonts w:ascii="Times New Roman" w:hAnsi="Times New Roman" w:cs="Times New Roman"/>
        <w:sz w:val="20"/>
        <w:szCs w:val="20"/>
      </w:rPr>
      <w:t>ZManot_310320_AVSparb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58A1" w14:textId="77777777" w:rsidR="007B243D" w:rsidRDefault="007B243D" w:rsidP="00894C55">
      <w:pPr>
        <w:spacing w:after="0" w:line="240" w:lineRule="auto"/>
      </w:pPr>
      <w:r>
        <w:separator/>
      </w:r>
    </w:p>
  </w:footnote>
  <w:footnote w:type="continuationSeparator" w:id="0">
    <w:p w14:paraId="274AC469" w14:textId="77777777" w:rsidR="007B243D" w:rsidRDefault="007B243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DB7634E" w14:textId="379D7946"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E092E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52F"/>
    <w:multiLevelType w:val="multilevel"/>
    <w:tmpl w:val="008A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94F"/>
    <w:multiLevelType w:val="hybridMultilevel"/>
    <w:tmpl w:val="ECC6E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50B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516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25C3"/>
    <w:rsid w:val="00002F84"/>
    <w:rsid w:val="00016EE8"/>
    <w:rsid w:val="000277FE"/>
    <w:rsid w:val="00046AA8"/>
    <w:rsid w:val="00046D6E"/>
    <w:rsid w:val="00053957"/>
    <w:rsid w:val="000553AE"/>
    <w:rsid w:val="000562B8"/>
    <w:rsid w:val="0006308D"/>
    <w:rsid w:val="0006521D"/>
    <w:rsid w:val="00070925"/>
    <w:rsid w:val="00072D0A"/>
    <w:rsid w:val="00076676"/>
    <w:rsid w:val="0007738E"/>
    <w:rsid w:val="00080BD6"/>
    <w:rsid w:val="0008577A"/>
    <w:rsid w:val="00091FB0"/>
    <w:rsid w:val="000A2EE3"/>
    <w:rsid w:val="000A3A25"/>
    <w:rsid w:val="000A4C25"/>
    <w:rsid w:val="000B7C9D"/>
    <w:rsid w:val="000C26AD"/>
    <w:rsid w:val="000C7F7B"/>
    <w:rsid w:val="000D0D9E"/>
    <w:rsid w:val="000E0362"/>
    <w:rsid w:val="000E3DEC"/>
    <w:rsid w:val="000F1E9D"/>
    <w:rsid w:val="000F6880"/>
    <w:rsid w:val="0010503C"/>
    <w:rsid w:val="00105AA7"/>
    <w:rsid w:val="00116E7C"/>
    <w:rsid w:val="00123A64"/>
    <w:rsid w:val="00125C7E"/>
    <w:rsid w:val="0013459A"/>
    <w:rsid w:val="0013534D"/>
    <w:rsid w:val="001407D9"/>
    <w:rsid w:val="00141FAE"/>
    <w:rsid w:val="00150AA7"/>
    <w:rsid w:val="0015777D"/>
    <w:rsid w:val="00160B0C"/>
    <w:rsid w:val="00161508"/>
    <w:rsid w:val="00161918"/>
    <w:rsid w:val="001767AB"/>
    <w:rsid w:val="001863E7"/>
    <w:rsid w:val="00192975"/>
    <w:rsid w:val="001B3C98"/>
    <w:rsid w:val="001C1906"/>
    <w:rsid w:val="001C6449"/>
    <w:rsid w:val="001D1DE3"/>
    <w:rsid w:val="001E7E19"/>
    <w:rsid w:val="001E7EC3"/>
    <w:rsid w:val="001F1AE7"/>
    <w:rsid w:val="001F1F07"/>
    <w:rsid w:val="002003F7"/>
    <w:rsid w:val="0020699D"/>
    <w:rsid w:val="00211AF5"/>
    <w:rsid w:val="00216697"/>
    <w:rsid w:val="00223B72"/>
    <w:rsid w:val="0022511C"/>
    <w:rsid w:val="00226964"/>
    <w:rsid w:val="00230794"/>
    <w:rsid w:val="00232B2F"/>
    <w:rsid w:val="00234AFF"/>
    <w:rsid w:val="00243426"/>
    <w:rsid w:val="002462F0"/>
    <w:rsid w:val="002506A5"/>
    <w:rsid w:val="002513B2"/>
    <w:rsid w:val="00252484"/>
    <w:rsid w:val="00252884"/>
    <w:rsid w:val="00261B4C"/>
    <w:rsid w:val="00274DD9"/>
    <w:rsid w:val="002802A1"/>
    <w:rsid w:val="002923DC"/>
    <w:rsid w:val="00294F3D"/>
    <w:rsid w:val="002A1618"/>
    <w:rsid w:val="002A6DAA"/>
    <w:rsid w:val="002A7085"/>
    <w:rsid w:val="002A736C"/>
    <w:rsid w:val="002B4720"/>
    <w:rsid w:val="002C4887"/>
    <w:rsid w:val="002C65B9"/>
    <w:rsid w:val="002C7A08"/>
    <w:rsid w:val="002D373D"/>
    <w:rsid w:val="002D4DEC"/>
    <w:rsid w:val="002E1C05"/>
    <w:rsid w:val="002F1B12"/>
    <w:rsid w:val="002F73FF"/>
    <w:rsid w:val="003000B8"/>
    <w:rsid w:val="00303641"/>
    <w:rsid w:val="0031177A"/>
    <w:rsid w:val="00313387"/>
    <w:rsid w:val="0033311E"/>
    <w:rsid w:val="00341DD3"/>
    <w:rsid w:val="003445AB"/>
    <w:rsid w:val="00345F9B"/>
    <w:rsid w:val="00351525"/>
    <w:rsid w:val="00352FAF"/>
    <w:rsid w:val="0035319B"/>
    <w:rsid w:val="0036502D"/>
    <w:rsid w:val="0037334D"/>
    <w:rsid w:val="0037355B"/>
    <w:rsid w:val="00374584"/>
    <w:rsid w:val="00387EC7"/>
    <w:rsid w:val="00397266"/>
    <w:rsid w:val="003A6DAE"/>
    <w:rsid w:val="003A7A59"/>
    <w:rsid w:val="003B0BF9"/>
    <w:rsid w:val="003B5F18"/>
    <w:rsid w:val="003B6462"/>
    <w:rsid w:val="003B75EB"/>
    <w:rsid w:val="003C018D"/>
    <w:rsid w:val="003C6ED0"/>
    <w:rsid w:val="003D0524"/>
    <w:rsid w:val="003D1773"/>
    <w:rsid w:val="003E0791"/>
    <w:rsid w:val="003E2E12"/>
    <w:rsid w:val="003E2F86"/>
    <w:rsid w:val="003E4B80"/>
    <w:rsid w:val="003F0F63"/>
    <w:rsid w:val="003F28AC"/>
    <w:rsid w:val="003F4A89"/>
    <w:rsid w:val="003F669C"/>
    <w:rsid w:val="00402C1C"/>
    <w:rsid w:val="004050A3"/>
    <w:rsid w:val="00413895"/>
    <w:rsid w:val="00416BCE"/>
    <w:rsid w:val="00423664"/>
    <w:rsid w:val="00426325"/>
    <w:rsid w:val="004269D2"/>
    <w:rsid w:val="00434BA2"/>
    <w:rsid w:val="00435E45"/>
    <w:rsid w:val="00436029"/>
    <w:rsid w:val="00436D0F"/>
    <w:rsid w:val="00440ABC"/>
    <w:rsid w:val="00441AF9"/>
    <w:rsid w:val="004454FE"/>
    <w:rsid w:val="00452DCE"/>
    <w:rsid w:val="004542DD"/>
    <w:rsid w:val="00454D03"/>
    <w:rsid w:val="00455AEF"/>
    <w:rsid w:val="004568E2"/>
    <w:rsid w:val="00456DB3"/>
    <w:rsid w:val="004712B8"/>
    <w:rsid w:val="00471F27"/>
    <w:rsid w:val="004814D2"/>
    <w:rsid w:val="004910AA"/>
    <w:rsid w:val="00495A22"/>
    <w:rsid w:val="0049737D"/>
    <w:rsid w:val="00497BBC"/>
    <w:rsid w:val="004A0BDF"/>
    <w:rsid w:val="004A560E"/>
    <w:rsid w:val="004A5E56"/>
    <w:rsid w:val="004B3CDD"/>
    <w:rsid w:val="004B5130"/>
    <w:rsid w:val="004B7E29"/>
    <w:rsid w:val="004C115A"/>
    <w:rsid w:val="004D0785"/>
    <w:rsid w:val="004D0CE5"/>
    <w:rsid w:val="004D3DAB"/>
    <w:rsid w:val="004E2DFC"/>
    <w:rsid w:val="004E7F3C"/>
    <w:rsid w:val="004F4049"/>
    <w:rsid w:val="004F480E"/>
    <w:rsid w:val="004F670B"/>
    <w:rsid w:val="004F6E1F"/>
    <w:rsid w:val="00500C95"/>
    <w:rsid w:val="0050178F"/>
    <w:rsid w:val="00502C8E"/>
    <w:rsid w:val="00505268"/>
    <w:rsid w:val="0052312B"/>
    <w:rsid w:val="0053604D"/>
    <w:rsid w:val="005412F5"/>
    <w:rsid w:val="00545DAD"/>
    <w:rsid w:val="00546A6D"/>
    <w:rsid w:val="0054774F"/>
    <w:rsid w:val="00547B88"/>
    <w:rsid w:val="00547ED8"/>
    <w:rsid w:val="00554FB7"/>
    <w:rsid w:val="0056624B"/>
    <w:rsid w:val="005674D1"/>
    <w:rsid w:val="00570152"/>
    <w:rsid w:val="005743B1"/>
    <w:rsid w:val="00577A61"/>
    <w:rsid w:val="00580DBC"/>
    <w:rsid w:val="00581AE6"/>
    <w:rsid w:val="005825DA"/>
    <w:rsid w:val="005878F3"/>
    <w:rsid w:val="00596000"/>
    <w:rsid w:val="00596451"/>
    <w:rsid w:val="005A1706"/>
    <w:rsid w:val="005A1842"/>
    <w:rsid w:val="005B4752"/>
    <w:rsid w:val="005B59DB"/>
    <w:rsid w:val="005C1A82"/>
    <w:rsid w:val="005C5EBA"/>
    <w:rsid w:val="005C7BA3"/>
    <w:rsid w:val="005D15D8"/>
    <w:rsid w:val="005D61E2"/>
    <w:rsid w:val="005F0C86"/>
    <w:rsid w:val="005F3958"/>
    <w:rsid w:val="00611A6A"/>
    <w:rsid w:val="00616979"/>
    <w:rsid w:val="0062031D"/>
    <w:rsid w:val="00625A87"/>
    <w:rsid w:val="006324E1"/>
    <w:rsid w:val="006337FF"/>
    <w:rsid w:val="006417BB"/>
    <w:rsid w:val="00642234"/>
    <w:rsid w:val="00646898"/>
    <w:rsid w:val="0064691C"/>
    <w:rsid w:val="00655B72"/>
    <w:rsid w:val="00656B50"/>
    <w:rsid w:val="00657EEC"/>
    <w:rsid w:val="006609EB"/>
    <w:rsid w:val="006614CE"/>
    <w:rsid w:val="00662074"/>
    <w:rsid w:val="006634B4"/>
    <w:rsid w:val="00663DB8"/>
    <w:rsid w:val="00665083"/>
    <w:rsid w:val="00672495"/>
    <w:rsid w:val="00673277"/>
    <w:rsid w:val="006732FE"/>
    <w:rsid w:val="00680122"/>
    <w:rsid w:val="00680AAD"/>
    <w:rsid w:val="006817FE"/>
    <w:rsid w:val="006843AE"/>
    <w:rsid w:val="006868D1"/>
    <w:rsid w:val="00692CA0"/>
    <w:rsid w:val="00693399"/>
    <w:rsid w:val="00697A12"/>
    <w:rsid w:val="006C0A4C"/>
    <w:rsid w:val="006C50C1"/>
    <w:rsid w:val="006E1081"/>
    <w:rsid w:val="006E7F83"/>
    <w:rsid w:val="007003A6"/>
    <w:rsid w:val="007043B7"/>
    <w:rsid w:val="00712347"/>
    <w:rsid w:val="00720585"/>
    <w:rsid w:val="007230EB"/>
    <w:rsid w:val="007272A7"/>
    <w:rsid w:val="00732312"/>
    <w:rsid w:val="0073772C"/>
    <w:rsid w:val="00742158"/>
    <w:rsid w:val="007431F3"/>
    <w:rsid w:val="007541ED"/>
    <w:rsid w:val="00754AAD"/>
    <w:rsid w:val="007555DA"/>
    <w:rsid w:val="00756715"/>
    <w:rsid w:val="00756EAD"/>
    <w:rsid w:val="00757758"/>
    <w:rsid w:val="00757EE6"/>
    <w:rsid w:val="007610D2"/>
    <w:rsid w:val="007648B7"/>
    <w:rsid w:val="00767202"/>
    <w:rsid w:val="007738F3"/>
    <w:rsid w:val="00773AF6"/>
    <w:rsid w:val="00773B54"/>
    <w:rsid w:val="00785F9F"/>
    <w:rsid w:val="00787D05"/>
    <w:rsid w:val="00791249"/>
    <w:rsid w:val="00795F71"/>
    <w:rsid w:val="007A34EE"/>
    <w:rsid w:val="007A4011"/>
    <w:rsid w:val="007A49C9"/>
    <w:rsid w:val="007A4A98"/>
    <w:rsid w:val="007B1873"/>
    <w:rsid w:val="007B243D"/>
    <w:rsid w:val="007B4041"/>
    <w:rsid w:val="007D32ED"/>
    <w:rsid w:val="007D5D1C"/>
    <w:rsid w:val="007D624D"/>
    <w:rsid w:val="007E0781"/>
    <w:rsid w:val="007E4181"/>
    <w:rsid w:val="007E55E1"/>
    <w:rsid w:val="007E73AB"/>
    <w:rsid w:val="007F0FD6"/>
    <w:rsid w:val="007F137B"/>
    <w:rsid w:val="0080242D"/>
    <w:rsid w:val="00802A8A"/>
    <w:rsid w:val="008035F7"/>
    <w:rsid w:val="0080539D"/>
    <w:rsid w:val="008053A4"/>
    <w:rsid w:val="00807194"/>
    <w:rsid w:val="008074B4"/>
    <w:rsid w:val="0081324B"/>
    <w:rsid w:val="008151A1"/>
    <w:rsid w:val="00816C11"/>
    <w:rsid w:val="008204ED"/>
    <w:rsid w:val="0082246A"/>
    <w:rsid w:val="008264A5"/>
    <w:rsid w:val="008271BB"/>
    <w:rsid w:val="008355D8"/>
    <w:rsid w:val="00841573"/>
    <w:rsid w:val="00841CA5"/>
    <w:rsid w:val="0084769C"/>
    <w:rsid w:val="00847A6D"/>
    <w:rsid w:val="008537D8"/>
    <w:rsid w:val="00854101"/>
    <w:rsid w:val="00854678"/>
    <w:rsid w:val="0085784C"/>
    <w:rsid w:val="0088397C"/>
    <w:rsid w:val="008855D3"/>
    <w:rsid w:val="00892C3A"/>
    <w:rsid w:val="008943FD"/>
    <w:rsid w:val="00894C55"/>
    <w:rsid w:val="008A128D"/>
    <w:rsid w:val="008A1878"/>
    <w:rsid w:val="008A27BF"/>
    <w:rsid w:val="008B0BB1"/>
    <w:rsid w:val="008B0F6C"/>
    <w:rsid w:val="008C27AF"/>
    <w:rsid w:val="008C28E0"/>
    <w:rsid w:val="008C53FB"/>
    <w:rsid w:val="008D353F"/>
    <w:rsid w:val="008D493D"/>
    <w:rsid w:val="008F17F6"/>
    <w:rsid w:val="008F63D9"/>
    <w:rsid w:val="008F7F79"/>
    <w:rsid w:val="00901CD2"/>
    <w:rsid w:val="009023D3"/>
    <w:rsid w:val="00904602"/>
    <w:rsid w:val="00912FDB"/>
    <w:rsid w:val="0091598A"/>
    <w:rsid w:val="009209CC"/>
    <w:rsid w:val="00921DE2"/>
    <w:rsid w:val="00923B97"/>
    <w:rsid w:val="00923EBD"/>
    <w:rsid w:val="0093278D"/>
    <w:rsid w:val="00940A86"/>
    <w:rsid w:val="009462A6"/>
    <w:rsid w:val="009475D1"/>
    <w:rsid w:val="009515E8"/>
    <w:rsid w:val="00953AE3"/>
    <w:rsid w:val="00956CBF"/>
    <w:rsid w:val="00956E6A"/>
    <w:rsid w:val="00962F7C"/>
    <w:rsid w:val="00966022"/>
    <w:rsid w:val="0096639B"/>
    <w:rsid w:val="00970C77"/>
    <w:rsid w:val="00973088"/>
    <w:rsid w:val="00973CB9"/>
    <w:rsid w:val="0098337B"/>
    <w:rsid w:val="0098752A"/>
    <w:rsid w:val="009878D2"/>
    <w:rsid w:val="00987D8E"/>
    <w:rsid w:val="00993DD2"/>
    <w:rsid w:val="00995F6D"/>
    <w:rsid w:val="009A1916"/>
    <w:rsid w:val="009A2654"/>
    <w:rsid w:val="009A5705"/>
    <w:rsid w:val="009B07CA"/>
    <w:rsid w:val="009B438B"/>
    <w:rsid w:val="009B446A"/>
    <w:rsid w:val="009B7ADF"/>
    <w:rsid w:val="009C1303"/>
    <w:rsid w:val="009C2E12"/>
    <w:rsid w:val="009D17FC"/>
    <w:rsid w:val="009E1688"/>
    <w:rsid w:val="009E2AFB"/>
    <w:rsid w:val="009E3FD1"/>
    <w:rsid w:val="00A12A54"/>
    <w:rsid w:val="00A158A8"/>
    <w:rsid w:val="00A20697"/>
    <w:rsid w:val="00A4173C"/>
    <w:rsid w:val="00A424E1"/>
    <w:rsid w:val="00A43BE0"/>
    <w:rsid w:val="00A46F46"/>
    <w:rsid w:val="00A51596"/>
    <w:rsid w:val="00A53639"/>
    <w:rsid w:val="00A6073E"/>
    <w:rsid w:val="00A61631"/>
    <w:rsid w:val="00A62BF1"/>
    <w:rsid w:val="00A67A74"/>
    <w:rsid w:val="00A73B54"/>
    <w:rsid w:val="00A75FB7"/>
    <w:rsid w:val="00A813A6"/>
    <w:rsid w:val="00A901C0"/>
    <w:rsid w:val="00A91DC6"/>
    <w:rsid w:val="00A92689"/>
    <w:rsid w:val="00A95156"/>
    <w:rsid w:val="00A97B10"/>
    <w:rsid w:val="00AA2826"/>
    <w:rsid w:val="00AA4347"/>
    <w:rsid w:val="00AB4B94"/>
    <w:rsid w:val="00AB6D0E"/>
    <w:rsid w:val="00AC4387"/>
    <w:rsid w:val="00AD3D13"/>
    <w:rsid w:val="00AD5757"/>
    <w:rsid w:val="00AE092E"/>
    <w:rsid w:val="00AE5567"/>
    <w:rsid w:val="00AE5C89"/>
    <w:rsid w:val="00AE6E64"/>
    <w:rsid w:val="00AF711C"/>
    <w:rsid w:val="00B022BE"/>
    <w:rsid w:val="00B02A16"/>
    <w:rsid w:val="00B052A7"/>
    <w:rsid w:val="00B0727A"/>
    <w:rsid w:val="00B11149"/>
    <w:rsid w:val="00B12911"/>
    <w:rsid w:val="00B139F7"/>
    <w:rsid w:val="00B16480"/>
    <w:rsid w:val="00B17636"/>
    <w:rsid w:val="00B21461"/>
    <w:rsid w:val="00B2165C"/>
    <w:rsid w:val="00B23215"/>
    <w:rsid w:val="00B4106F"/>
    <w:rsid w:val="00B439EB"/>
    <w:rsid w:val="00B505DA"/>
    <w:rsid w:val="00B57B79"/>
    <w:rsid w:val="00B63167"/>
    <w:rsid w:val="00B672C4"/>
    <w:rsid w:val="00B81736"/>
    <w:rsid w:val="00B82D5D"/>
    <w:rsid w:val="00B87354"/>
    <w:rsid w:val="00B9123F"/>
    <w:rsid w:val="00B92A49"/>
    <w:rsid w:val="00BA04B0"/>
    <w:rsid w:val="00BA20AA"/>
    <w:rsid w:val="00BB0BB3"/>
    <w:rsid w:val="00BB346A"/>
    <w:rsid w:val="00BB5B38"/>
    <w:rsid w:val="00BC44A3"/>
    <w:rsid w:val="00BC5C40"/>
    <w:rsid w:val="00BC63DD"/>
    <w:rsid w:val="00BC65E4"/>
    <w:rsid w:val="00BC66BA"/>
    <w:rsid w:val="00BD4425"/>
    <w:rsid w:val="00BE23C4"/>
    <w:rsid w:val="00BE34F5"/>
    <w:rsid w:val="00BE3987"/>
    <w:rsid w:val="00BE6C0F"/>
    <w:rsid w:val="00BF0A95"/>
    <w:rsid w:val="00BF3003"/>
    <w:rsid w:val="00BF64A9"/>
    <w:rsid w:val="00BF6E56"/>
    <w:rsid w:val="00C00555"/>
    <w:rsid w:val="00C03DC7"/>
    <w:rsid w:val="00C132EF"/>
    <w:rsid w:val="00C13311"/>
    <w:rsid w:val="00C163FE"/>
    <w:rsid w:val="00C2319A"/>
    <w:rsid w:val="00C25B49"/>
    <w:rsid w:val="00C2775D"/>
    <w:rsid w:val="00C3267B"/>
    <w:rsid w:val="00C32878"/>
    <w:rsid w:val="00C408B5"/>
    <w:rsid w:val="00C42ED8"/>
    <w:rsid w:val="00C44823"/>
    <w:rsid w:val="00C45B05"/>
    <w:rsid w:val="00C503D0"/>
    <w:rsid w:val="00C52655"/>
    <w:rsid w:val="00C537AE"/>
    <w:rsid w:val="00C553B0"/>
    <w:rsid w:val="00C5687A"/>
    <w:rsid w:val="00C603AF"/>
    <w:rsid w:val="00C63833"/>
    <w:rsid w:val="00C668E3"/>
    <w:rsid w:val="00C7753B"/>
    <w:rsid w:val="00C834D1"/>
    <w:rsid w:val="00CA494E"/>
    <w:rsid w:val="00CB4920"/>
    <w:rsid w:val="00CB7E41"/>
    <w:rsid w:val="00CC3D2A"/>
    <w:rsid w:val="00CC6F19"/>
    <w:rsid w:val="00CD2D09"/>
    <w:rsid w:val="00CE2688"/>
    <w:rsid w:val="00CE5657"/>
    <w:rsid w:val="00CE7A3E"/>
    <w:rsid w:val="00CF0427"/>
    <w:rsid w:val="00CF2378"/>
    <w:rsid w:val="00D0567E"/>
    <w:rsid w:val="00D133F8"/>
    <w:rsid w:val="00D14A3E"/>
    <w:rsid w:val="00D14CC3"/>
    <w:rsid w:val="00D14D3F"/>
    <w:rsid w:val="00D207F5"/>
    <w:rsid w:val="00D3038F"/>
    <w:rsid w:val="00D42BE7"/>
    <w:rsid w:val="00D4595F"/>
    <w:rsid w:val="00D47380"/>
    <w:rsid w:val="00D544BD"/>
    <w:rsid w:val="00D54CDF"/>
    <w:rsid w:val="00D54E34"/>
    <w:rsid w:val="00D60069"/>
    <w:rsid w:val="00D675C9"/>
    <w:rsid w:val="00D70460"/>
    <w:rsid w:val="00D736D8"/>
    <w:rsid w:val="00D804A5"/>
    <w:rsid w:val="00D815A3"/>
    <w:rsid w:val="00D82F2F"/>
    <w:rsid w:val="00D84DD0"/>
    <w:rsid w:val="00D850DA"/>
    <w:rsid w:val="00D8625A"/>
    <w:rsid w:val="00D911C8"/>
    <w:rsid w:val="00D95266"/>
    <w:rsid w:val="00DA4273"/>
    <w:rsid w:val="00DB0C45"/>
    <w:rsid w:val="00DB0D04"/>
    <w:rsid w:val="00DB56E9"/>
    <w:rsid w:val="00DB6C6F"/>
    <w:rsid w:val="00DC21D2"/>
    <w:rsid w:val="00DC5E0C"/>
    <w:rsid w:val="00DC7FF4"/>
    <w:rsid w:val="00DD4005"/>
    <w:rsid w:val="00DE3535"/>
    <w:rsid w:val="00DE45B8"/>
    <w:rsid w:val="00DE60C3"/>
    <w:rsid w:val="00DF364A"/>
    <w:rsid w:val="00DF3EB4"/>
    <w:rsid w:val="00E01500"/>
    <w:rsid w:val="00E048E8"/>
    <w:rsid w:val="00E04994"/>
    <w:rsid w:val="00E12E13"/>
    <w:rsid w:val="00E20BBB"/>
    <w:rsid w:val="00E2559D"/>
    <w:rsid w:val="00E3306D"/>
    <w:rsid w:val="00E3716B"/>
    <w:rsid w:val="00E3727E"/>
    <w:rsid w:val="00E45E82"/>
    <w:rsid w:val="00E51364"/>
    <w:rsid w:val="00E57CB4"/>
    <w:rsid w:val="00E606D7"/>
    <w:rsid w:val="00E626FF"/>
    <w:rsid w:val="00E62C64"/>
    <w:rsid w:val="00E67A09"/>
    <w:rsid w:val="00E67CED"/>
    <w:rsid w:val="00E74F18"/>
    <w:rsid w:val="00E762F3"/>
    <w:rsid w:val="00E8138B"/>
    <w:rsid w:val="00E821AD"/>
    <w:rsid w:val="00E84084"/>
    <w:rsid w:val="00E84F29"/>
    <w:rsid w:val="00E85187"/>
    <w:rsid w:val="00E8749E"/>
    <w:rsid w:val="00E90C01"/>
    <w:rsid w:val="00E97C53"/>
    <w:rsid w:val="00EA486E"/>
    <w:rsid w:val="00EA55BC"/>
    <w:rsid w:val="00EC2ABB"/>
    <w:rsid w:val="00EC4874"/>
    <w:rsid w:val="00ED130A"/>
    <w:rsid w:val="00ED346E"/>
    <w:rsid w:val="00EE0B2F"/>
    <w:rsid w:val="00EE54E0"/>
    <w:rsid w:val="00EE70D2"/>
    <w:rsid w:val="00EF24F0"/>
    <w:rsid w:val="00EF4CAF"/>
    <w:rsid w:val="00EF6688"/>
    <w:rsid w:val="00F005BA"/>
    <w:rsid w:val="00F03325"/>
    <w:rsid w:val="00F05F3E"/>
    <w:rsid w:val="00F143D0"/>
    <w:rsid w:val="00F16ACB"/>
    <w:rsid w:val="00F244A5"/>
    <w:rsid w:val="00F33225"/>
    <w:rsid w:val="00F40B50"/>
    <w:rsid w:val="00F418B0"/>
    <w:rsid w:val="00F5232C"/>
    <w:rsid w:val="00F5468B"/>
    <w:rsid w:val="00F54BA8"/>
    <w:rsid w:val="00F5682D"/>
    <w:rsid w:val="00F57B0C"/>
    <w:rsid w:val="00F70076"/>
    <w:rsid w:val="00F72D48"/>
    <w:rsid w:val="00F73145"/>
    <w:rsid w:val="00F74181"/>
    <w:rsid w:val="00F75E28"/>
    <w:rsid w:val="00F827C4"/>
    <w:rsid w:val="00F966C1"/>
    <w:rsid w:val="00F96D03"/>
    <w:rsid w:val="00FA3859"/>
    <w:rsid w:val="00FB0800"/>
    <w:rsid w:val="00FC1331"/>
    <w:rsid w:val="00FC347A"/>
    <w:rsid w:val="00FC623E"/>
    <w:rsid w:val="00FD268D"/>
    <w:rsid w:val="00FE1F7C"/>
    <w:rsid w:val="00FE531E"/>
    <w:rsid w:val="00FE6E97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3558F"/>
  <w15:docId w15:val="{E10ADC30-F353-4ECF-B7C5-F89A7556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402C1C"/>
    <w:pPr>
      <w:spacing w:after="0" w:line="240" w:lineRule="auto"/>
    </w:pPr>
    <w:rPr>
      <w:rFonts w:ascii="Calibri" w:eastAsia="Calibri" w:hAnsi="Calibri" w:cs="Times New Roman"/>
    </w:rPr>
  </w:style>
  <w:style w:type="character" w:styleId="Izteiksmgs">
    <w:name w:val="Strong"/>
    <w:qFormat/>
    <w:rsid w:val="00402C1C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8224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24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24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24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246A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E2AFB"/>
    <w:pPr>
      <w:ind w:left="720"/>
      <w:contextualSpacing/>
    </w:pPr>
  </w:style>
  <w:style w:type="paragraph" w:styleId="Prskatjums">
    <w:name w:val="Revision"/>
    <w:hidden/>
    <w:uiPriority w:val="99"/>
    <w:semiHidden/>
    <w:rsid w:val="00D54CDF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6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B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2132">
    <w:name w:val="tv2132"/>
    <w:basedOn w:val="Parasts"/>
    <w:rsid w:val="005F395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F3003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A4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84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ze.Magone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m.gov.lv/zemkopibas-ministrija/apspriesanas/ministru-kabineta-noteikumu-projekts-grozijumi-ministru-kabineta-2010-?id=8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3E8F-487F-485C-B9DF-E334B70C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10726</Words>
  <Characters>6115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</vt:vector>
  </TitlesOfParts>
  <Company>Zemkopības ministrija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28.decembra noteikumos Nr.1229 „Noteikumi par šķirnes atšķirīguma, viendabīguma un stabilitātes pārbaudi”” sākotnējās ietekmes novērtējuma ziņojums (anotācija)</dc:title>
  <dc:subject>Anotācija</dc:subject>
  <dc:creator>Ilze Magone</dc:creator>
  <dc:description>Magone 67027258 
Ilze.Magone@zm.gov.lv</dc:description>
  <cp:lastModifiedBy>Kristiāna Sebre</cp:lastModifiedBy>
  <cp:revision>3</cp:revision>
  <cp:lastPrinted>2019-06-06T10:44:00Z</cp:lastPrinted>
  <dcterms:created xsi:type="dcterms:W3CDTF">2020-03-31T10:19:00Z</dcterms:created>
  <dcterms:modified xsi:type="dcterms:W3CDTF">2020-03-31T12:38:00Z</dcterms:modified>
</cp:coreProperties>
</file>