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8429" w14:textId="43B23C13" w:rsidR="00254140" w:rsidRPr="00BB6985" w:rsidRDefault="00254140" w:rsidP="004116F6">
      <w:pPr>
        <w:pStyle w:val="Pamatteksts"/>
        <w:spacing w:after="0"/>
        <w:jc w:val="center"/>
        <w:rPr>
          <w:b/>
        </w:rPr>
      </w:pPr>
      <w:r w:rsidRPr="00BB6985">
        <w:rPr>
          <w:b/>
        </w:rPr>
        <w:t>Ministru kabineta noteikum</w:t>
      </w:r>
      <w:r w:rsidR="00AC1C62" w:rsidRPr="00BB6985">
        <w:rPr>
          <w:b/>
        </w:rPr>
        <w:t>u</w:t>
      </w:r>
      <w:r w:rsidR="00EB4AE2">
        <w:rPr>
          <w:b/>
        </w:rPr>
        <w:t xml:space="preserve"> </w:t>
      </w:r>
      <w:r w:rsidRPr="00BB6985">
        <w:rPr>
          <w:b/>
        </w:rPr>
        <w:t>“</w:t>
      </w:r>
      <w:r w:rsidR="00EB4AE2">
        <w:rPr>
          <w:b/>
        </w:rPr>
        <w:t>N</w:t>
      </w:r>
      <w:r w:rsidR="00EA221C" w:rsidRPr="00BB6985">
        <w:rPr>
          <w:b/>
        </w:rPr>
        <w:t>acionālo mērvienību etalonu sarakst</w:t>
      </w:r>
      <w:r w:rsidR="00EB4AE2">
        <w:rPr>
          <w:b/>
        </w:rPr>
        <w:t>s</w:t>
      </w:r>
      <w:r w:rsidRPr="00BB6985">
        <w:rPr>
          <w:b/>
        </w:rPr>
        <w:t>” sākotnējās ietekmes novērtējuma ziņojums</w:t>
      </w:r>
    </w:p>
    <w:p w14:paraId="5B1109CF" w14:textId="77777777" w:rsidR="00254140" w:rsidRPr="00BB6985" w:rsidRDefault="00254140" w:rsidP="004116F6">
      <w:pPr>
        <w:pStyle w:val="Pamatteksts"/>
        <w:jc w:val="center"/>
        <w:rPr>
          <w:b/>
        </w:rPr>
      </w:pPr>
      <w:r w:rsidRPr="00BB6985">
        <w:rPr>
          <w:b/>
        </w:rPr>
        <w:t>(anotācija)</w:t>
      </w:r>
    </w:p>
    <w:tbl>
      <w:tblPr>
        <w:tblW w:w="4853" w:type="pct"/>
        <w:tblCellSpacing w:w="15" w:type="dxa"/>
        <w:tblBorders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8"/>
        <w:gridCol w:w="5341"/>
      </w:tblGrid>
      <w:tr w:rsidR="00254140" w:rsidRPr="000D28F3" w14:paraId="222FC19E" w14:textId="77777777" w:rsidTr="008A5F5F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4C5634AD" w14:textId="77777777" w:rsidR="00254140" w:rsidRPr="000D28F3" w:rsidRDefault="00254140" w:rsidP="008A5F5F">
            <w:pPr>
              <w:jc w:val="center"/>
              <w:rPr>
                <w:b/>
                <w:bCs/>
                <w:iCs/>
              </w:rPr>
            </w:pPr>
            <w:r w:rsidRPr="000D28F3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254140" w:rsidRPr="000D28F3" w14:paraId="42B7F30E" w14:textId="77777777" w:rsidTr="008A5F5F">
        <w:trPr>
          <w:tblCellSpacing w:w="15" w:type="dxa"/>
        </w:trPr>
        <w:tc>
          <w:tcPr>
            <w:tcW w:w="2040" w:type="pct"/>
            <w:hideMark/>
          </w:tcPr>
          <w:p w14:paraId="1D238C0A" w14:textId="77777777" w:rsidR="00254140" w:rsidRPr="000D28F3" w:rsidRDefault="00254140" w:rsidP="008A5F5F">
            <w:pPr>
              <w:rPr>
                <w:iCs/>
              </w:rPr>
            </w:pPr>
            <w:r w:rsidRPr="000D28F3">
              <w:rPr>
                <w:iCs/>
              </w:rPr>
              <w:t xml:space="preserve">Mērķis, risinājums un projekta spēkā stāšanās laiks </w:t>
            </w:r>
          </w:p>
        </w:tc>
        <w:tc>
          <w:tcPr>
            <w:tcW w:w="2910" w:type="pct"/>
            <w:hideMark/>
          </w:tcPr>
          <w:p w14:paraId="621B0735" w14:textId="68824B5B" w:rsidR="00FD100B" w:rsidRPr="00933B3A" w:rsidRDefault="004566C2" w:rsidP="003E4636">
            <w:pPr>
              <w:jc w:val="both"/>
              <w:rPr>
                <w:iCs/>
              </w:rPr>
            </w:pPr>
            <w:r w:rsidRPr="00933B3A">
              <w:rPr>
                <w:iCs/>
              </w:rPr>
              <w:t>Noteikumu projekta mērķis ir pārskatīt nacionālo mērvienību etalonu sarakstu, lai prioritāri izvērtētu, kurus nacionālos mērvienību etalonus saglabāt un kurus nesaglabāt Latvijas tautsaimniecības vajadzībām, ievērojot līdzšinējo</w:t>
            </w:r>
            <w:r w:rsidR="007D4416" w:rsidRPr="00933B3A">
              <w:rPr>
                <w:iCs/>
              </w:rPr>
              <w:t xml:space="preserve"> Nacionāla</w:t>
            </w:r>
            <w:r w:rsidR="00182757" w:rsidRPr="00933B3A">
              <w:rPr>
                <w:iCs/>
              </w:rPr>
              <w:t>ja</w:t>
            </w:r>
            <w:r w:rsidR="007D4416" w:rsidRPr="00933B3A">
              <w:rPr>
                <w:iCs/>
              </w:rPr>
              <w:t>i metroloģijas institūcijai paredzēto</w:t>
            </w:r>
            <w:r w:rsidRPr="00933B3A">
              <w:rPr>
                <w:iCs/>
              </w:rPr>
              <w:t xml:space="preserve"> valsts budžeta dotācij</w:t>
            </w:r>
            <w:r w:rsidR="007D4416" w:rsidRPr="00933B3A">
              <w:rPr>
                <w:iCs/>
              </w:rPr>
              <w:t>as apmēru</w:t>
            </w:r>
            <w:r w:rsidR="00F17E27" w:rsidRPr="00933B3A">
              <w:rPr>
                <w:iCs/>
              </w:rPr>
              <w:t xml:space="preserve"> priekš fizikālo lielumu mērvienību etalonu bāzes nodrošināšanas</w:t>
            </w:r>
            <w:r w:rsidR="00182757" w:rsidRPr="00933B3A">
              <w:rPr>
                <w:iCs/>
              </w:rPr>
              <w:t>.</w:t>
            </w:r>
          </w:p>
          <w:p w14:paraId="6991DF30" w14:textId="7CA1F756" w:rsidR="008838AE" w:rsidRPr="00933B3A" w:rsidRDefault="008838AE" w:rsidP="003E4636">
            <w:pPr>
              <w:jc w:val="both"/>
              <w:rPr>
                <w:iCs/>
              </w:rPr>
            </w:pPr>
            <w:r w:rsidRPr="00933B3A">
              <w:rPr>
                <w:iCs/>
              </w:rPr>
              <w:t xml:space="preserve">Noteikumu projekts stājas spēkā nākamajā dienā </w:t>
            </w:r>
            <w:r w:rsidR="00932101" w:rsidRPr="00933B3A">
              <w:rPr>
                <w:iCs/>
              </w:rPr>
              <w:t>pēc to izsludināšanas – publicēšanas oficiālajā izdevumā “Latvijas Vēstnesis”.</w:t>
            </w:r>
          </w:p>
          <w:p w14:paraId="512CE772" w14:textId="7C22E794" w:rsidR="00FD100B" w:rsidRPr="00933B3A" w:rsidRDefault="00FD100B" w:rsidP="003E4636">
            <w:pPr>
              <w:jc w:val="both"/>
              <w:rPr>
                <w:iCs/>
              </w:rPr>
            </w:pPr>
          </w:p>
        </w:tc>
      </w:tr>
    </w:tbl>
    <w:p w14:paraId="25F4367B" w14:textId="77777777" w:rsidR="00254140" w:rsidRPr="000D28F3" w:rsidRDefault="00254140" w:rsidP="00254140">
      <w:pPr>
        <w:tabs>
          <w:tab w:val="left" w:pos="7230"/>
        </w:tabs>
        <w:rPr>
          <w:color w:val="FF000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720"/>
        <w:gridCol w:w="5821"/>
      </w:tblGrid>
      <w:tr w:rsidR="00254140" w:rsidRPr="000D28F3" w14:paraId="7985F9FB" w14:textId="77777777" w:rsidTr="008A5F5F">
        <w:tc>
          <w:tcPr>
            <w:tcW w:w="9062" w:type="dxa"/>
            <w:gridSpan w:val="3"/>
            <w:vAlign w:val="center"/>
          </w:tcPr>
          <w:p w14:paraId="24DAD0B8" w14:textId="77777777" w:rsidR="00254140" w:rsidRPr="000D28F3" w:rsidRDefault="00254140" w:rsidP="008A5F5F">
            <w:pPr>
              <w:jc w:val="center"/>
            </w:pPr>
            <w:r w:rsidRPr="000D28F3">
              <w:rPr>
                <w:b/>
              </w:rPr>
              <w:t>I. Tiesību akta projekta izstrādes nepieciešamība</w:t>
            </w:r>
          </w:p>
        </w:tc>
      </w:tr>
      <w:tr w:rsidR="00254140" w:rsidRPr="000D28F3" w14:paraId="02B08D12" w14:textId="77777777" w:rsidTr="008A5F5F">
        <w:trPr>
          <w:trHeight w:val="439"/>
        </w:trPr>
        <w:tc>
          <w:tcPr>
            <w:tcW w:w="521" w:type="dxa"/>
          </w:tcPr>
          <w:p w14:paraId="23D41BE7" w14:textId="77777777" w:rsidR="00254140" w:rsidRPr="000D28F3" w:rsidRDefault="00254140" w:rsidP="008A5F5F">
            <w:pPr>
              <w:jc w:val="center"/>
            </w:pPr>
            <w:r w:rsidRPr="000D28F3">
              <w:t>1.</w:t>
            </w:r>
          </w:p>
        </w:tc>
        <w:tc>
          <w:tcPr>
            <w:tcW w:w="2720" w:type="dxa"/>
          </w:tcPr>
          <w:p w14:paraId="1B3F415D" w14:textId="77777777" w:rsidR="00254140" w:rsidRPr="000D28F3" w:rsidRDefault="00254140" w:rsidP="008A5F5F">
            <w:r w:rsidRPr="000D28F3">
              <w:t>Pamatojums</w:t>
            </w:r>
          </w:p>
        </w:tc>
        <w:tc>
          <w:tcPr>
            <w:tcW w:w="5821" w:type="dxa"/>
          </w:tcPr>
          <w:p w14:paraId="64BB5B75" w14:textId="29480CB4" w:rsidR="00254140" w:rsidRPr="000D28F3" w:rsidRDefault="00254140" w:rsidP="008A5F5F">
            <w:pPr>
              <w:pStyle w:val="naiskr"/>
              <w:jc w:val="both"/>
            </w:pPr>
            <w:r w:rsidRPr="000D28F3">
              <w:t>Ministru kabineta noteikumu projekts “</w:t>
            </w:r>
            <w:r w:rsidR="00EB4AE2">
              <w:t>N</w:t>
            </w:r>
            <w:r w:rsidR="00DD5516">
              <w:t>acionālo mērvienību etalonu sarakst</w:t>
            </w:r>
            <w:r w:rsidR="00EB4AE2">
              <w:t>s</w:t>
            </w:r>
            <w:r w:rsidRPr="000D28F3">
              <w:t xml:space="preserve">” (turpmāk – Noteikumu projekts) izstrādāts saskaņā ar  likuma “Par mērījumu vienotību” </w:t>
            </w:r>
            <w:r w:rsidR="00DD5516">
              <w:t>5</w:t>
            </w:r>
            <w:r w:rsidRPr="000D28F3">
              <w:t xml:space="preserve">.panta </w:t>
            </w:r>
            <w:r w:rsidR="00DD5516">
              <w:t>otro</w:t>
            </w:r>
            <w:r w:rsidRPr="000D28F3">
              <w:t xml:space="preserve"> daļu</w:t>
            </w:r>
            <w:r w:rsidR="00460B2A">
              <w:t xml:space="preserve">. </w:t>
            </w:r>
          </w:p>
        </w:tc>
      </w:tr>
      <w:tr w:rsidR="00254140" w:rsidRPr="000D28F3" w14:paraId="3F80DD32" w14:textId="77777777" w:rsidTr="008A5F5F">
        <w:trPr>
          <w:trHeight w:val="705"/>
        </w:trPr>
        <w:tc>
          <w:tcPr>
            <w:tcW w:w="521" w:type="dxa"/>
          </w:tcPr>
          <w:p w14:paraId="4A209ECA" w14:textId="77777777" w:rsidR="00254140" w:rsidRPr="000D28F3" w:rsidRDefault="00254140" w:rsidP="008A5F5F">
            <w:pPr>
              <w:jc w:val="center"/>
            </w:pPr>
            <w:r w:rsidRPr="000D28F3">
              <w:t>2.</w:t>
            </w:r>
          </w:p>
        </w:tc>
        <w:tc>
          <w:tcPr>
            <w:tcW w:w="2720" w:type="dxa"/>
          </w:tcPr>
          <w:p w14:paraId="60788E83" w14:textId="77777777" w:rsidR="00254140" w:rsidRPr="00B633EE" w:rsidRDefault="00254140" w:rsidP="008A5F5F">
            <w:r w:rsidRPr="00B633EE">
              <w:t>Pašreizējā situācija un problēmas, kuru risināšanai tiesību akta projekts izstrādāts, tiesiskā regulējuma mērķis un būtība</w:t>
            </w:r>
          </w:p>
          <w:p w14:paraId="0C003459" w14:textId="77777777" w:rsidR="00254140" w:rsidRPr="00B633EE" w:rsidRDefault="00254140" w:rsidP="008A5F5F"/>
          <w:p w14:paraId="7EE4FE5D" w14:textId="77777777" w:rsidR="00254140" w:rsidRPr="00B633EE" w:rsidRDefault="00254140" w:rsidP="008A5F5F"/>
          <w:p w14:paraId="31FF334B" w14:textId="77777777" w:rsidR="00254140" w:rsidRPr="00B633EE" w:rsidRDefault="00254140" w:rsidP="008A5F5F"/>
          <w:p w14:paraId="265F8151" w14:textId="77777777" w:rsidR="00254140" w:rsidRPr="00B633EE" w:rsidRDefault="00254140" w:rsidP="008A5F5F"/>
          <w:p w14:paraId="38F0B553" w14:textId="77777777" w:rsidR="00254140" w:rsidRPr="00B633EE" w:rsidRDefault="00254140" w:rsidP="008A5F5F"/>
          <w:p w14:paraId="05691423" w14:textId="77777777" w:rsidR="00254140" w:rsidRPr="00B633EE" w:rsidRDefault="00254140" w:rsidP="008A5F5F"/>
          <w:p w14:paraId="2B36342B" w14:textId="77777777" w:rsidR="00254140" w:rsidRPr="00B633EE" w:rsidRDefault="00254140" w:rsidP="008A5F5F"/>
          <w:p w14:paraId="597C2AF7" w14:textId="77777777" w:rsidR="00254140" w:rsidRPr="00B633EE" w:rsidRDefault="00254140" w:rsidP="008A5F5F"/>
          <w:p w14:paraId="0B891B4D" w14:textId="77777777" w:rsidR="00254140" w:rsidRPr="00B633EE" w:rsidRDefault="00254140" w:rsidP="008A5F5F"/>
          <w:p w14:paraId="25E91D16" w14:textId="77777777" w:rsidR="00254140" w:rsidRPr="00B633EE" w:rsidRDefault="00254140" w:rsidP="008A5F5F"/>
          <w:p w14:paraId="7B0D8CBC" w14:textId="77777777" w:rsidR="00254140" w:rsidRPr="00B633EE" w:rsidRDefault="00254140" w:rsidP="008A5F5F"/>
          <w:p w14:paraId="51DD0DE5" w14:textId="77777777" w:rsidR="00254140" w:rsidRPr="00B633EE" w:rsidRDefault="00254140" w:rsidP="008A5F5F"/>
          <w:p w14:paraId="286ADEF0" w14:textId="77777777" w:rsidR="00254140" w:rsidRPr="00B633EE" w:rsidRDefault="00254140" w:rsidP="008A5F5F"/>
          <w:p w14:paraId="26F76160" w14:textId="77777777" w:rsidR="00254140" w:rsidRPr="00B633EE" w:rsidRDefault="00254140" w:rsidP="008A5F5F"/>
          <w:p w14:paraId="7B5F5E96" w14:textId="77777777" w:rsidR="00254140" w:rsidRPr="00B633EE" w:rsidRDefault="00254140" w:rsidP="008A5F5F"/>
          <w:p w14:paraId="14BCA1F9" w14:textId="77777777" w:rsidR="00254140" w:rsidRPr="00B633EE" w:rsidRDefault="00254140" w:rsidP="008A5F5F"/>
          <w:p w14:paraId="239E7C24" w14:textId="77777777" w:rsidR="00254140" w:rsidRPr="00B633EE" w:rsidRDefault="00254140" w:rsidP="008A5F5F"/>
          <w:p w14:paraId="120D2AC7" w14:textId="77777777" w:rsidR="00254140" w:rsidRPr="00B633EE" w:rsidRDefault="00254140" w:rsidP="008A5F5F"/>
          <w:p w14:paraId="1E2EC287" w14:textId="77777777" w:rsidR="00254140" w:rsidRPr="00B633EE" w:rsidRDefault="00254140" w:rsidP="008A5F5F"/>
          <w:p w14:paraId="02E96B4C" w14:textId="77777777" w:rsidR="00254140" w:rsidRPr="00B633EE" w:rsidRDefault="00254140" w:rsidP="008A5F5F"/>
          <w:p w14:paraId="4FC5E334" w14:textId="77777777" w:rsidR="00254140" w:rsidRPr="00B633EE" w:rsidRDefault="00254140" w:rsidP="008A5F5F"/>
          <w:p w14:paraId="75AA1C41" w14:textId="77777777" w:rsidR="00254140" w:rsidRPr="00B633EE" w:rsidRDefault="00254140" w:rsidP="008A5F5F"/>
          <w:p w14:paraId="1A0ADCB5" w14:textId="77777777" w:rsidR="00254140" w:rsidRPr="00B633EE" w:rsidRDefault="00254140" w:rsidP="008A5F5F"/>
          <w:p w14:paraId="2DC1BF3B" w14:textId="77777777" w:rsidR="00254140" w:rsidRPr="00B633EE" w:rsidRDefault="00254140" w:rsidP="008A5F5F"/>
          <w:p w14:paraId="7CD20C1A" w14:textId="77777777" w:rsidR="00254140" w:rsidRPr="00B633EE" w:rsidRDefault="00254140" w:rsidP="008A5F5F">
            <w:pPr>
              <w:jc w:val="right"/>
            </w:pPr>
          </w:p>
          <w:p w14:paraId="21274133" w14:textId="77777777" w:rsidR="00254140" w:rsidRPr="00B633EE" w:rsidRDefault="00254140" w:rsidP="008A5F5F"/>
          <w:p w14:paraId="79FD0FD3" w14:textId="77777777" w:rsidR="00254140" w:rsidRPr="00B633EE" w:rsidRDefault="00254140" w:rsidP="008A5F5F"/>
          <w:p w14:paraId="7C550ABC" w14:textId="77777777" w:rsidR="00254140" w:rsidRPr="00B633EE" w:rsidRDefault="00254140" w:rsidP="008A5F5F"/>
          <w:p w14:paraId="6589BC84" w14:textId="77777777" w:rsidR="00254140" w:rsidRPr="00B633EE" w:rsidRDefault="00254140" w:rsidP="008A5F5F"/>
          <w:p w14:paraId="7011F548" w14:textId="77777777" w:rsidR="00254140" w:rsidRPr="00B633EE" w:rsidRDefault="00254140" w:rsidP="008A5F5F"/>
          <w:p w14:paraId="7BFBC97B" w14:textId="77777777" w:rsidR="00254140" w:rsidRPr="00B633EE" w:rsidRDefault="00254140" w:rsidP="008A5F5F"/>
          <w:p w14:paraId="056D7D7B" w14:textId="77777777" w:rsidR="00254140" w:rsidRPr="00B633EE" w:rsidRDefault="00254140" w:rsidP="008A5F5F"/>
          <w:p w14:paraId="54738CA8" w14:textId="77777777" w:rsidR="00254140" w:rsidRDefault="00254140" w:rsidP="008A5F5F"/>
          <w:p w14:paraId="6FE7F2FA" w14:textId="77777777" w:rsidR="00254140" w:rsidRPr="008F42C0" w:rsidRDefault="00254140" w:rsidP="008A5F5F"/>
          <w:p w14:paraId="30615AE1" w14:textId="77777777" w:rsidR="00254140" w:rsidRPr="008F42C0" w:rsidRDefault="00254140" w:rsidP="008A5F5F"/>
          <w:p w14:paraId="21E83F89" w14:textId="77777777" w:rsidR="00254140" w:rsidRPr="008F42C0" w:rsidRDefault="00254140" w:rsidP="008A5F5F"/>
          <w:p w14:paraId="65DA1D6B" w14:textId="77777777" w:rsidR="00254140" w:rsidRPr="008F42C0" w:rsidRDefault="00254140" w:rsidP="008A5F5F"/>
          <w:p w14:paraId="7BA789FA" w14:textId="77777777" w:rsidR="00254140" w:rsidRPr="008F42C0" w:rsidRDefault="00254140" w:rsidP="008A5F5F"/>
          <w:p w14:paraId="6565428A" w14:textId="77777777" w:rsidR="00254140" w:rsidRPr="008F42C0" w:rsidRDefault="00254140" w:rsidP="008A5F5F"/>
          <w:p w14:paraId="78B698BF" w14:textId="77777777" w:rsidR="00254140" w:rsidRPr="008F42C0" w:rsidRDefault="00254140" w:rsidP="008A5F5F"/>
          <w:p w14:paraId="100ED7D1" w14:textId="77777777" w:rsidR="00254140" w:rsidRPr="008F42C0" w:rsidRDefault="00254140" w:rsidP="008A5F5F"/>
          <w:p w14:paraId="247A2D4B" w14:textId="77777777" w:rsidR="00254140" w:rsidRPr="008F42C0" w:rsidRDefault="00254140" w:rsidP="008A5F5F"/>
          <w:p w14:paraId="7E284AD8" w14:textId="77777777" w:rsidR="00254140" w:rsidRPr="008F42C0" w:rsidRDefault="00254140" w:rsidP="008A5F5F"/>
          <w:p w14:paraId="6ACC2DF0" w14:textId="77777777" w:rsidR="00254140" w:rsidRPr="008F42C0" w:rsidRDefault="00254140" w:rsidP="008A5F5F"/>
          <w:p w14:paraId="360B3890" w14:textId="77777777" w:rsidR="00254140" w:rsidRPr="008F42C0" w:rsidRDefault="00254140" w:rsidP="008A5F5F"/>
          <w:p w14:paraId="6785C733" w14:textId="77777777" w:rsidR="00254140" w:rsidRPr="008F42C0" w:rsidRDefault="00254140" w:rsidP="008A5F5F"/>
          <w:p w14:paraId="1237D608" w14:textId="77777777" w:rsidR="00254140" w:rsidRPr="008F42C0" w:rsidRDefault="00254140" w:rsidP="008A5F5F"/>
          <w:p w14:paraId="031AB6F8" w14:textId="77777777" w:rsidR="00254140" w:rsidRPr="008F42C0" w:rsidRDefault="00254140" w:rsidP="008A5F5F"/>
          <w:p w14:paraId="32E9F534" w14:textId="77777777" w:rsidR="00254140" w:rsidRPr="008F42C0" w:rsidRDefault="00254140" w:rsidP="008A5F5F"/>
          <w:p w14:paraId="54708CB4" w14:textId="77777777" w:rsidR="00254140" w:rsidRPr="008F42C0" w:rsidRDefault="00254140" w:rsidP="008A5F5F"/>
          <w:p w14:paraId="7CD2CACD" w14:textId="77777777" w:rsidR="00254140" w:rsidRPr="008F42C0" w:rsidRDefault="00254140" w:rsidP="008A5F5F"/>
          <w:p w14:paraId="3DBB0C84" w14:textId="77777777" w:rsidR="00254140" w:rsidRPr="008F42C0" w:rsidRDefault="00254140" w:rsidP="008A5F5F"/>
          <w:p w14:paraId="4BDBE91D" w14:textId="77777777" w:rsidR="00254140" w:rsidRPr="008F42C0" w:rsidRDefault="00254140" w:rsidP="008A5F5F"/>
          <w:p w14:paraId="4E8ACA1C" w14:textId="77777777" w:rsidR="00254140" w:rsidRPr="008F42C0" w:rsidRDefault="00254140" w:rsidP="008A5F5F"/>
          <w:p w14:paraId="3D788670" w14:textId="77777777" w:rsidR="00254140" w:rsidRPr="008F42C0" w:rsidRDefault="00254140" w:rsidP="008A5F5F"/>
          <w:p w14:paraId="53CA509A" w14:textId="77777777" w:rsidR="00254140" w:rsidRPr="008F42C0" w:rsidRDefault="00254140" w:rsidP="008A5F5F"/>
          <w:p w14:paraId="1382FC97" w14:textId="77777777" w:rsidR="00254140" w:rsidRPr="008F42C0" w:rsidRDefault="00254140" w:rsidP="008A5F5F"/>
          <w:p w14:paraId="2320DBC3" w14:textId="77777777" w:rsidR="00254140" w:rsidRPr="008F42C0" w:rsidRDefault="00254140" w:rsidP="008A5F5F"/>
          <w:p w14:paraId="3E9B9671" w14:textId="77777777" w:rsidR="00254140" w:rsidRPr="008F42C0" w:rsidRDefault="00254140" w:rsidP="008A5F5F"/>
          <w:p w14:paraId="71E73547" w14:textId="77777777" w:rsidR="00254140" w:rsidRPr="008F42C0" w:rsidRDefault="00254140" w:rsidP="008A5F5F"/>
          <w:p w14:paraId="4DF3E8E4" w14:textId="77777777" w:rsidR="00254140" w:rsidRPr="008F42C0" w:rsidRDefault="00254140" w:rsidP="008A5F5F"/>
          <w:p w14:paraId="213A55A9" w14:textId="77777777" w:rsidR="00254140" w:rsidRPr="008F42C0" w:rsidRDefault="00254140" w:rsidP="008A5F5F"/>
          <w:p w14:paraId="55F4FE46" w14:textId="77777777" w:rsidR="00254140" w:rsidRPr="008F42C0" w:rsidRDefault="00254140" w:rsidP="008A5F5F"/>
          <w:p w14:paraId="32CBA104" w14:textId="77777777" w:rsidR="00254140" w:rsidRPr="008F42C0" w:rsidRDefault="00254140" w:rsidP="008A5F5F"/>
          <w:p w14:paraId="48ECEB46" w14:textId="77777777" w:rsidR="00254140" w:rsidRPr="008F42C0" w:rsidRDefault="00254140" w:rsidP="008A5F5F"/>
          <w:p w14:paraId="440AA795" w14:textId="77777777" w:rsidR="00254140" w:rsidRPr="008F42C0" w:rsidRDefault="00254140" w:rsidP="008A5F5F"/>
          <w:p w14:paraId="67CBE016" w14:textId="77777777" w:rsidR="00254140" w:rsidRPr="008F42C0" w:rsidRDefault="00254140" w:rsidP="008A5F5F"/>
          <w:p w14:paraId="1360877C" w14:textId="77777777" w:rsidR="00254140" w:rsidRPr="008F42C0" w:rsidRDefault="00254140" w:rsidP="008A5F5F"/>
          <w:p w14:paraId="793A4B34" w14:textId="77777777" w:rsidR="00254140" w:rsidRPr="008F42C0" w:rsidRDefault="00254140" w:rsidP="008A5F5F"/>
          <w:p w14:paraId="4C63FBB5" w14:textId="77777777" w:rsidR="00254140" w:rsidRDefault="00254140" w:rsidP="008A5F5F"/>
          <w:p w14:paraId="32BC254C" w14:textId="77777777" w:rsidR="00254140" w:rsidRPr="008F42C0" w:rsidRDefault="00254140" w:rsidP="008A5F5F"/>
          <w:p w14:paraId="76EFA694" w14:textId="77777777" w:rsidR="00254140" w:rsidRDefault="00254140" w:rsidP="008A5F5F"/>
          <w:p w14:paraId="62D67107" w14:textId="77777777" w:rsidR="00254140" w:rsidRPr="008F42C0" w:rsidRDefault="00254140" w:rsidP="008A5F5F"/>
          <w:p w14:paraId="57BAFDB9" w14:textId="77777777" w:rsidR="00254140" w:rsidRPr="008F42C0" w:rsidRDefault="00254140" w:rsidP="008A5F5F"/>
          <w:p w14:paraId="3BA4766D" w14:textId="77777777" w:rsidR="00254140" w:rsidRPr="008F42C0" w:rsidRDefault="00254140" w:rsidP="008A5F5F"/>
          <w:p w14:paraId="2F6013BB" w14:textId="77777777" w:rsidR="00254140" w:rsidRPr="008F42C0" w:rsidRDefault="00254140" w:rsidP="008A5F5F"/>
          <w:p w14:paraId="13E1C880" w14:textId="77777777" w:rsidR="00254140" w:rsidRPr="008F42C0" w:rsidRDefault="00254140" w:rsidP="008A5F5F"/>
        </w:tc>
        <w:tc>
          <w:tcPr>
            <w:tcW w:w="5821" w:type="dxa"/>
            <w:shd w:val="clear" w:color="auto" w:fill="auto"/>
          </w:tcPr>
          <w:p w14:paraId="3365B1B0" w14:textId="5E014B11" w:rsidR="0027005B" w:rsidRDefault="00460B2A" w:rsidP="0027005B">
            <w:pPr>
              <w:pStyle w:val="naiskr"/>
              <w:spacing w:after="0"/>
              <w:jc w:val="both"/>
            </w:pPr>
            <w:r>
              <w:lastRenderedPageBreak/>
              <w:t>Atbilstoši likuma “Par mērījumu vienotību” 14.panta trešās daļas 1.punkt</w:t>
            </w:r>
            <w:r w:rsidR="00B86670">
              <w:t>am</w:t>
            </w:r>
            <w:r>
              <w:t xml:space="preserve">, </w:t>
            </w:r>
            <w:r w:rsidR="007F1973">
              <w:t xml:space="preserve">viens no </w:t>
            </w:r>
            <w:r>
              <w:t>Nacionālās metroloģijas institūcijas uzdevumiem ir nodrošināt fizikālo lielumu mērvienību etalonu bāzi un mērvienību reproducēšanu. Fizikālo lielumu mērvienības reproducē ar nacionālo mērvienību etalonu palīdzību.</w:t>
            </w:r>
            <w:r w:rsidR="007F1973">
              <w:t xml:space="preserve"> Nacionālais </w:t>
            </w:r>
            <w:r>
              <w:t xml:space="preserve"> </w:t>
            </w:r>
            <w:r w:rsidR="007F1973">
              <w:t xml:space="preserve">mērvienību etalons </w:t>
            </w:r>
            <w:r w:rsidR="00B86670">
              <w:t xml:space="preserve">ir </w:t>
            </w:r>
            <w:r w:rsidR="007F1973">
              <w:t>atzīts etalons, kas tiek lietots par noteikta lieluma bāzi citiem ar to saistītiem lieluma etaloniem valstī.</w:t>
            </w:r>
            <w:r w:rsidR="0027005B">
              <w:t xml:space="preserve"> </w:t>
            </w:r>
            <w:r w:rsidR="00B86670">
              <w:t>Saskaņā ar Ministru kabineta 2013.gada 29.oktobra noteikumiem Nr.</w:t>
            </w:r>
            <w:r w:rsidR="00D5646D">
              <w:t xml:space="preserve"> </w:t>
            </w:r>
            <w:r w:rsidR="00B86670">
              <w:t>1187 “Noteikumi par nacionālo mērvienību etalonu sarakstu”</w:t>
            </w:r>
            <w:r w:rsidR="00D5646D">
              <w:t xml:space="preserve"> </w:t>
            </w:r>
            <w:r w:rsidR="00B86670">
              <w:t>(turpmāk – Noteikumi Nr.</w:t>
            </w:r>
            <w:r w:rsidR="00D5646D">
              <w:t xml:space="preserve"> </w:t>
            </w:r>
            <w:r w:rsidR="00B86670">
              <w:t>1187) k</w:t>
            </w:r>
            <w:r w:rsidR="007464CB">
              <w:t>opumā v</w:t>
            </w:r>
            <w:r w:rsidR="0027005B">
              <w:t>alsts uztur 11 nacionālos mērvienību etalonus:</w:t>
            </w:r>
          </w:p>
          <w:p w14:paraId="32005B6F" w14:textId="45DF1041" w:rsidR="0027005B" w:rsidRDefault="0027005B" w:rsidP="0027005B">
            <w:pPr>
              <w:pStyle w:val="naiskr"/>
              <w:spacing w:after="0"/>
              <w:jc w:val="both"/>
            </w:pPr>
            <w:r>
              <w:t xml:space="preserve">-  </w:t>
            </w:r>
            <w:r w:rsidRPr="00D14D2B">
              <w:t>Garuma mēru komplekts</w:t>
            </w:r>
            <w:r w:rsidR="00B86670">
              <w:t>;</w:t>
            </w:r>
          </w:p>
          <w:p w14:paraId="52C07DD3" w14:textId="197F57A5" w:rsidR="0027005B" w:rsidRDefault="0027005B" w:rsidP="0027005B">
            <w:pPr>
              <w:pStyle w:val="naiskr"/>
              <w:spacing w:after="0"/>
              <w:jc w:val="both"/>
            </w:pPr>
            <w:r>
              <w:t>- Optiskā skala;</w:t>
            </w:r>
          </w:p>
          <w:p w14:paraId="3DA7F2F3" w14:textId="72DE6898" w:rsidR="0027005B" w:rsidRDefault="0027005B" w:rsidP="0027005B">
            <w:pPr>
              <w:pStyle w:val="naiskr"/>
              <w:spacing w:after="0"/>
              <w:jc w:val="both"/>
            </w:pPr>
            <w:r>
              <w:t xml:space="preserve">- </w:t>
            </w:r>
            <w:r w:rsidRPr="00D14D2B">
              <w:t xml:space="preserve">Svītru </w:t>
            </w:r>
            <w:proofErr w:type="spellStart"/>
            <w:r w:rsidRPr="00D14D2B">
              <w:t>etalonmēr</w:t>
            </w:r>
            <w:r w:rsidR="00D5646D">
              <w:t>s</w:t>
            </w:r>
            <w:proofErr w:type="spellEnd"/>
            <w:r>
              <w:t>;</w:t>
            </w:r>
          </w:p>
          <w:p w14:paraId="6F20324F" w14:textId="40BAC33E" w:rsidR="0027005B" w:rsidRDefault="0027005B" w:rsidP="0027005B">
            <w:pPr>
              <w:pStyle w:val="naiskr"/>
              <w:spacing w:after="0"/>
              <w:jc w:val="both"/>
            </w:pPr>
            <w:r>
              <w:t xml:space="preserve">- Virsmas negluduma </w:t>
            </w:r>
            <w:proofErr w:type="spellStart"/>
            <w:r>
              <w:t>etalonmēr</w:t>
            </w:r>
            <w:r w:rsidR="00D5646D">
              <w:t>s</w:t>
            </w:r>
            <w:proofErr w:type="spellEnd"/>
            <w:r>
              <w:t>;</w:t>
            </w:r>
          </w:p>
          <w:p w14:paraId="4136FF54" w14:textId="5B32C615" w:rsidR="0027005B" w:rsidRDefault="0027005B" w:rsidP="0027005B">
            <w:pPr>
              <w:pStyle w:val="naiskr"/>
              <w:spacing w:after="0"/>
              <w:jc w:val="both"/>
            </w:pPr>
            <w:r>
              <w:t xml:space="preserve">- Optiskā </w:t>
            </w:r>
            <w:proofErr w:type="spellStart"/>
            <w:r>
              <w:t>intereferences</w:t>
            </w:r>
            <w:proofErr w:type="spellEnd"/>
            <w:r>
              <w:t xml:space="preserve"> plakne;</w:t>
            </w:r>
          </w:p>
          <w:p w14:paraId="75EE1274" w14:textId="45E5ED9E" w:rsidR="0027005B" w:rsidRDefault="0027005B" w:rsidP="0027005B">
            <w:pPr>
              <w:pStyle w:val="naiskr"/>
              <w:spacing w:after="0"/>
              <w:jc w:val="both"/>
            </w:pPr>
            <w:r>
              <w:t xml:space="preserve">- </w:t>
            </w:r>
            <w:r w:rsidRPr="00D14D2B">
              <w:t>Optiskā 24 skaldņu prizma</w:t>
            </w:r>
            <w:r>
              <w:t>;</w:t>
            </w:r>
          </w:p>
          <w:p w14:paraId="00511A0E" w14:textId="20D9A602" w:rsidR="0027005B" w:rsidRDefault="0027005B" w:rsidP="0027005B">
            <w:pPr>
              <w:pStyle w:val="naiskr"/>
              <w:spacing w:after="0"/>
              <w:jc w:val="both"/>
            </w:pPr>
            <w:r>
              <w:t xml:space="preserve">- </w:t>
            </w:r>
            <w:proofErr w:type="spellStart"/>
            <w:r w:rsidRPr="00D14D2B">
              <w:t>Etalonmasas</w:t>
            </w:r>
            <w:proofErr w:type="spellEnd"/>
            <w:r w:rsidRPr="00D14D2B">
              <w:t xml:space="preserve"> kilograms ar atsvaru komplektu</w:t>
            </w:r>
            <w:r>
              <w:t>;</w:t>
            </w:r>
          </w:p>
          <w:p w14:paraId="42614C0D" w14:textId="58C26BDF" w:rsidR="0027005B" w:rsidRDefault="0027005B" w:rsidP="0027005B">
            <w:pPr>
              <w:pStyle w:val="naiskr"/>
              <w:spacing w:after="0"/>
              <w:jc w:val="both"/>
            </w:pPr>
            <w:r>
              <w:t xml:space="preserve">- </w:t>
            </w:r>
            <w:r w:rsidRPr="00D14D2B">
              <w:t>Elektriskās pretestības mēru komplekts</w:t>
            </w:r>
            <w:r>
              <w:t>;</w:t>
            </w:r>
          </w:p>
          <w:p w14:paraId="29AF54B5" w14:textId="35B13F5A" w:rsidR="0027005B" w:rsidRDefault="0027005B" w:rsidP="0027005B">
            <w:pPr>
              <w:pStyle w:val="naiskr"/>
              <w:spacing w:after="0"/>
              <w:jc w:val="both"/>
            </w:pPr>
            <w:r>
              <w:t xml:space="preserve">- </w:t>
            </w:r>
            <w:r w:rsidRPr="00D14D2B">
              <w:t xml:space="preserve">Līdzsprieguma </w:t>
            </w:r>
            <w:proofErr w:type="spellStart"/>
            <w:r w:rsidRPr="00D14D2B">
              <w:t>etalonsistēma</w:t>
            </w:r>
            <w:proofErr w:type="spellEnd"/>
            <w:r>
              <w:t>;</w:t>
            </w:r>
          </w:p>
          <w:p w14:paraId="46517EA4" w14:textId="6BD82467" w:rsidR="0027005B" w:rsidRDefault="0027005B" w:rsidP="0027005B">
            <w:pPr>
              <w:pStyle w:val="naiskr"/>
              <w:spacing w:after="0"/>
              <w:jc w:val="both"/>
            </w:pPr>
            <w:r>
              <w:t xml:space="preserve">- </w:t>
            </w:r>
            <w:proofErr w:type="spellStart"/>
            <w:r>
              <w:t>Maiņsprieguma</w:t>
            </w:r>
            <w:proofErr w:type="spellEnd"/>
            <w:r>
              <w:t xml:space="preserve"> un maiņstrāvas </w:t>
            </w:r>
            <w:proofErr w:type="spellStart"/>
            <w:r>
              <w:t>etalonsistēma</w:t>
            </w:r>
            <w:proofErr w:type="spellEnd"/>
            <w:r>
              <w:t>;</w:t>
            </w:r>
          </w:p>
          <w:p w14:paraId="57D588A0" w14:textId="5DF972E9" w:rsidR="00D14D2B" w:rsidRDefault="0027005B" w:rsidP="008A5F5F">
            <w:pPr>
              <w:pStyle w:val="naiskr"/>
              <w:spacing w:after="0"/>
              <w:jc w:val="both"/>
            </w:pPr>
            <w:r>
              <w:t xml:space="preserve">- </w:t>
            </w:r>
            <w:r w:rsidRPr="00D14D2B">
              <w:t>Cēzija frekvences etalons</w:t>
            </w:r>
            <w:r>
              <w:t xml:space="preserve">. </w:t>
            </w:r>
          </w:p>
          <w:p w14:paraId="008147F3" w14:textId="4A9A8838" w:rsidR="00FC55C0" w:rsidRDefault="007464CB" w:rsidP="001A78C0">
            <w:pPr>
              <w:pStyle w:val="naiskr"/>
              <w:spacing w:after="0"/>
              <w:jc w:val="both"/>
            </w:pPr>
            <w:r>
              <w:t>Pašlaik</w:t>
            </w:r>
            <w:r w:rsidR="001F5D14">
              <w:t xml:space="preserve"> Nacionālā metroloģijas institūcija ir EUR</w:t>
            </w:r>
            <w:r w:rsidR="0051703B">
              <w:t>A</w:t>
            </w:r>
            <w:r w:rsidR="001F5D14">
              <w:t>M</w:t>
            </w:r>
            <w:r w:rsidR="0051703B">
              <w:t>E</w:t>
            </w:r>
            <w:r w:rsidR="001F5D14">
              <w:t>T (</w:t>
            </w:r>
            <w:proofErr w:type="spellStart"/>
            <w:r w:rsidR="001F5D14">
              <w:t>European</w:t>
            </w:r>
            <w:proofErr w:type="spellEnd"/>
            <w:r w:rsidR="001F5D14">
              <w:t xml:space="preserve"> Association of National </w:t>
            </w:r>
            <w:proofErr w:type="spellStart"/>
            <w:r w:rsidR="001F5D14">
              <w:t>Metrology</w:t>
            </w:r>
            <w:proofErr w:type="spellEnd"/>
            <w:r w:rsidR="001F5D14">
              <w:t xml:space="preserve"> </w:t>
            </w:r>
            <w:proofErr w:type="spellStart"/>
            <w:r w:rsidR="001F5D14">
              <w:t>Institutes</w:t>
            </w:r>
            <w:proofErr w:type="spellEnd"/>
            <w:r w:rsidR="001F5D14">
              <w:t xml:space="preserve">) </w:t>
            </w:r>
            <w:r w:rsidR="001F5D14">
              <w:lastRenderedPageBreak/>
              <w:t xml:space="preserve">pilntiesīga locekle, kas nosaka kopējos metroloģijas pamatprincipus visām dalībvalstīm ar mērķi nodrošināt starptautiskās metroloģijas organizācijas prasības nacionālo </w:t>
            </w:r>
            <w:r w:rsidR="00B31427">
              <w:t>m</w:t>
            </w:r>
            <w:r w:rsidR="009D0AAD">
              <w:t xml:space="preserve">ērvienību </w:t>
            </w:r>
            <w:r w:rsidR="001F5D14">
              <w:t xml:space="preserve">etalonu uzturēšanas jomā. </w:t>
            </w:r>
            <w:r w:rsidR="00A74A60">
              <w:t xml:space="preserve">Ar pašreiz esošajiem etaloniem tiek veiktas regulāras etalonu salīdzināšanas </w:t>
            </w:r>
            <w:r w:rsidR="00DD0E0E">
              <w:t>Eiropas Savienības (</w:t>
            </w:r>
            <w:r w:rsidR="00A74A60">
              <w:t>ES</w:t>
            </w:r>
            <w:r w:rsidR="00DD0E0E">
              <w:t>)</w:t>
            </w:r>
            <w:r w:rsidR="00A74A60">
              <w:t xml:space="preserve"> atzītajās nacionālās metroloģijas institūcijās, lai nodrošinātu starptautisko mērījumu izsekojamību un etalonu starptautisk</w:t>
            </w:r>
            <w:r w:rsidR="00730B3D">
              <w:t>o</w:t>
            </w:r>
            <w:r w:rsidR="00A74A60">
              <w:t xml:space="preserve"> atzīšanu. </w:t>
            </w:r>
          </w:p>
          <w:p w14:paraId="60C4B91F" w14:textId="32953332" w:rsidR="003C435E" w:rsidRDefault="00E92299" w:rsidP="001A78C0">
            <w:pPr>
              <w:pStyle w:val="naiskr"/>
              <w:spacing w:after="0"/>
              <w:jc w:val="both"/>
            </w:pPr>
            <w:r>
              <w:t xml:space="preserve">Nacionālajai metroloģijas institūcijai, lai pierādītu savu kompetenci regulāri jāpiedalās </w:t>
            </w:r>
            <w:proofErr w:type="spellStart"/>
            <w:r>
              <w:t>starplaboratoriju</w:t>
            </w:r>
            <w:proofErr w:type="spellEnd"/>
            <w:r>
              <w:t xml:space="preserve"> salīdzināšanas programmās. Piedaloties </w:t>
            </w:r>
            <w:proofErr w:type="spellStart"/>
            <w:r>
              <w:t>starplaboratoriju</w:t>
            </w:r>
            <w:proofErr w:type="spellEnd"/>
            <w:r>
              <w:t xml:space="preserve"> salīdzināšanas programmās, tiek nodrošināta veikto mērījumu starptautiskā ticamība</w:t>
            </w:r>
            <w:r w:rsidR="003C435E">
              <w:t xml:space="preserve"> un labāko mērīšanas spēju reģistrēšana</w:t>
            </w:r>
            <w:r w:rsidR="00312274">
              <w:t xml:space="preserve"> Starptautiskā Svaru un mēru biroja (BIPM) salīdzināšanas</w:t>
            </w:r>
            <w:r>
              <w:t xml:space="preserve"> </w:t>
            </w:r>
            <w:r w:rsidR="00312274">
              <w:t>(</w:t>
            </w:r>
            <w:r w:rsidR="003C435E" w:rsidRPr="003C435E">
              <w:t>KCDB</w:t>
            </w:r>
            <w:r w:rsidR="00312274">
              <w:t>)</w:t>
            </w:r>
            <w:r w:rsidR="003C435E" w:rsidRPr="003C435E">
              <w:t xml:space="preserve"> datu bāzē</w:t>
            </w:r>
            <w:r w:rsidR="003C435E">
              <w:t xml:space="preserve">. </w:t>
            </w:r>
          </w:p>
          <w:p w14:paraId="1F7C8CEB" w14:textId="20D9CF45" w:rsidR="003C435E" w:rsidRPr="00F871E5" w:rsidRDefault="00326220" w:rsidP="008A5F5F">
            <w:pPr>
              <w:pStyle w:val="naiskr"/>
              <w:spacing w:after="0"/>
              <w:jc w:val="both"/>
            </w:pPr>
            <w:r>
              <w:t>Ņemot vērā, ka Nacionālajai metroloģijas institūcijai valsts piešķir</w:t>
            </w:r>
            <w:r w:rsidR="00C24A4E">
              <w:t xml:space="preserve">tā dotācija nenodrošina </w:t>
            </w:r>
            <w:r>
              <w:t xml:space="preserve">pietiekamu </w:t>
            </w:r>
            <w:r w:rsidR="00C24A4E">
              <w:t>finansējumu, lai uzturētu atbilstoš</w:t>
            </w:r>
            <w:r w:rsidR="00540BAF">
              <w:t>ā</w:t>
            </w:r>
            <w:r w:rsidR="00C24A4E">
              <w:t xml:space="preserve"> tehniskajā stāvoklī nacionālos mērvienību etalonus,</w:t>
            </w:r>
            <w:r w:rsidR="00134587">
              <w:t xml:space="preserve"> </w:t>
            </w:r>
            <w:r w:rsidR="00C24A4E" w:rsidRPr="00C24A4E">
              <w:t>Ekonomikas ministrija uzdeva Nacionāla</w:t>
            </w:r>
            <w:r w:rsidR="00C24A4E">
              <w:t>jai</w:t>
            </w:r>
            <w:r w:rsidR="00C24A4E" w:rsidRPr="00C24A4E">
              <w:t xml:space="preserve"> metroloģijas institūcijai veikt nacionālo mērvienību etalonu </w:t>
            </w:r>
            <w:proofErr w:type="spellStart"/>
            <w:r w:rsidR="00C24A4E" w:rsidRPr="00C24A4E">
              <w:t>izvērtējumu</w:t>
            </w:r>
            <w:proofErr w:type="spellEnd"/>
            <w:r w:rsidR="00C24A4E">
              <w:t xml:space="preserve"> un pārskatīt nacionālo mērvienību etalonu sarakstu, proti, kurus nacionālos mērvienību etalonus saglabāt un kurus nesaglabāt nacionālo mērvienību etalonu </w:t>
            </w:r>
            <w:r w:rsidR="00C24A4E" w:rsidRPr="00F871E5">
              <w:t xml:space="preserve">sarakstā. </w:t>
            </w:r>
          </w:p>
          <w:p w14:paraId="32939892" w14:textId="4E85DD91" w:rsidR="001A78C0" w:rsidRDefault="006558E5" w:rsidP="001A78C0">
            <w:pPr>
              <w:pStyle w:val="naiskr"/>
              <w:spacing w:after="0"/>
              <w:jc w:val="both"/>
            </w:pPr>
            <w:r>
              <w:t xml:space="preserve">Pamatojoties uz </w:t>
            </w:r>
            <w:r w:rsidR="001A78C0">
              <w:t xml:space="preserve">Nacionālās metroloģijas institūcijas </w:t>
            </w:r>
            <w:r>
              <w:t xml:space="preserve">veikto </w:t>
            </w:r>
            <w:r w:rsidR="001A78C0">
              <w:t xml:space="preserve">etalonu </w:t>
            </w:r>
            <w:proofErr w:type="spellStart"/>
            <w:r w:rsidR="001A78C0">
              <w:t>izvērtējumu</w:t>
            </w:r>
            <w:proofErr w:type="spellEnd"/>
            <w:r w:rsidR="001A78C0">
              <w:t xml:space="preserve">, Ekonomikas ministrija ir izstrādājusi Noteikumu projektu “Nacionālo mērvienību </w:t>
            </w:r>
            <w:bookmarkStart w:id="0" w:name="_GoBack"/>
            <w:bookmarkEnd w:id="0"/>
            <w:r w:rsidR="001A78C0">
              <w:t>etalonu sarakst</w:t>
            </w:r>
            <w:r w:rsidR="00142172">
              <w:t>s</w:t>
            </w:r>
            <w:r w:rsidR="001A78C0">
              <w:t xml:space="preserve">” (turpmāk – Noteikumu projekts).  </w:t>
            </w:r>
          </w:p>
          <w:p w14:paraId="5599C762" w14:textId="4E9F2BF2" w:rsidR="006558E5" w:rsidRDefault="009A5DB9" w:rsidP="006558E5">
            <w:pPr>
              <w:pStyle w:val="naiskr"/>
              <w:spacing w:after="0"/>
              <w:jc w:val="both"/>
            </w:pPr>
            <w:r>
              <w:t xml:space="preserve">No Nacionālās metroloģijas institūcijas veiktā </w:t>
            </w:r>
            <w:proofErr w:type="spellStart"/>
            <w:r>
              <w:t>izvērtējuma</w:t>
            </w:r>
            <w:proofErr w:type="spellEnd"/>
            <w:r>
              <w:t xml:space="preserve"> </w:t>
            </w:r>
            <w:r w:rsidR="007F64A4">
              <w:t>secināms</w:t>
            </w:r>
            <w:r>
              <w:t>, ka ir</w:t>
            </w:r>
            <w:r w:rsidR="0035658B">
              <w:t xml:space="preserve"> nacionālie mērvienību </w:t>
            </w:r>
            <w:r>
              <w:t xml:space="preserve"> etaloni, ar kuriem </w:t>
            </w:r>
            <w:r w:rsidR="007B20D2">
              <w:t xml:space="preserve">nav iespējams piedalīties </w:t>
            </w:r>
            <w:proofErr w:type="spellStart"/>
            <w:r w:rsidR="007B20D2">
              <w:t>starplaboratoriju</w:t>
            </w:r>
            <w:proofErr w:type="spellEnd"/>
            <w:r w:rsidR="007B20D2">
              <w:t xml:space="preserve"> salīdzināšanas programmās vai</w:t>
            </w:r>
            <w:r w:rsidR="00540BAF">
              <w:t xml:space="preserve"> ir</w:t>
            </w:r>
            <w:r w:rsidR="007B20D2">
              <w:t xml:space="preserve"> slikti </w:t>
            </w:r>
            <w:proofErr w:type="spellStart"/>
            <w:r w:rsidR="007B20D2">
              <w:t>starplaboratoriju</w:t>
            </w:r>
            <w:proofErr w:type="spellEnd"/>
            <w:r w:rsidR="007B20D2">
              <w:t xml:space="preserve"> salīdzinošo mērījumu rezultāti, neatbilstoša etalona precizitāte, augstas etalonu nenoteiktības un nav pieprasījums </w:t>
            </w:r>
            <w:r w:rsidR="006558E5">
              <w:t xml:space="preserve">Latvijas </w:t>
            </w:r>
            <w:r w:rsidR="007B20D2">
              <w:t xml:space="preserve">tautsaimniecībā. </w:t>
            </w:r>
            <w:r w:rsidR="006558E5">
              <w:t xml:space="preserve">Tāpat norādīts, ka tehniski nolietojušos nacionālos mērvienību etalonus nepieciešams </w:t>
            </w:r>
            <w:r w:rsidR="006558E5" w:rsidRPr="00F871E5">
              <w:t>remontēt, modernizēt</w:t>
            </w:r>
            <w:r w:rsidR="006558E5">
              <w:t xml:space="preserve"> </w:t>
            </w:r>
            <w:r w:rsidR="006558E5" w:rsidRPr="00F871E5">
              <w:t xml:space="preserve">vai </w:t>
            </w:r>
            <w:r w:rsidR="006558E5">
              <w:t xml:space="preserve">pat </w:t>
            </w:r>
            <w:r w:rsidR="006558E5" w:rsidRPr="00F871E5">
              <w:t>iegādāties jaunus, jo vairāku esošo iekārtu tehniskais risinājums un nodrošinājums nav atbilstošs pašlaik esošajām tehnoloģiskajām un metroloģiskajām prasībām</w:t>
            </w:r>
            <w:r w:rsidR="006558E5">
              <w:t xml:space="preserve">.  </w:t>
            </w:r>
          </w:p>
          <w:p w14:paraId="5BA06B23" w14:textId="6C19F196" w:rsidR="001A78C0" w:rsidRDefault="00B86419" w:rsidP="008A5F5F">
            <w:pPr>
              <w:pStyle w:val="naiskr"/>
              <w:spacing w:after="0"/>
              <w:jc w:val="both"/>
            </w:pPr>
            <w:r>
              <w:t>Lai Ekonomikas ministrija gūtu plašāku redzējumu par nacionāl</w:t>
            </w:r>
            <w:r w:rsidR="00134587">
              <w:t xml:space="preserve">o </w:t>
            </w:r>
            <w:r>
              <w:t>mērvienību etalon</w:t>
            </w:r>
            <w:r w:rsidR="00134587">
              <w:t>u nozīmīgumu Latvijas tautsaimniecībā</w:t>
            </w:r>
            <w:r>
              <w:t>, Ekonomikas ministrija aptaujāja ekspertus no akreditētām inspicēšanas institūcijām, ekspertus no augstskolām, mašīnbūvju</w:t>
            </w:r>
            <w:r w:rsidR="001161FC">
              <w:t>, metālapstrādes</w:t>
            </w:r>
            <w:r>
              <w:t xml:space="preserve"> ekspertus un Nacionālās metroloģijas padomes locekļus.</w:t>
            </w:r>
            <w:r w:rsidR="0072458F">
              <w:t xml:space="preserve"> </w:t>
            </w:r>
            <w:r w:rsidR="001A78C0">
              <w:t xml:space="preserve">Ekonomikas ministrija </w:t>
            </w:r>
            <w:r>
              <w:t>lūdza</w:t>
            </w:r>
            <w:r w:rsidR="001A78C0">
              <w:t xml:space="preserve"> viedokli akreditētām inspicēšanas institūcijām</w:t>
            </w:r>
            <w:r w:rsidR="00A04FB0">
              <w:t xml:space="preserve"> par to, vai inspicēšanas institūcijas izmanto nacionālos </w:t>
            </w:r>
            <w:r w:rsidR="00355E15">
              <w:t xml:space="preserve">mērvienību </w:t>
            </w:r>
            <w:r w:rsidR="00A04FB0">
              <w:t>etalonus savu darbību veikšanai un, kuri etaloni būtu saglabājami</w:t>
            </w:r>
            <w:r w:rsidR="007F64A4">
              <w:t xml:space="preserve"> vai </w:t>
            </w:r>
            <w:r w:rsidR="000F72B7">
              <w:t>nesaglabājami</w:t>
            </w:r>
            <w:r w:rsidR="00A04FB0">
              <w:t xml:space="preserve"> nacionālo mērvienību etalonu sarakstā. No 18 inspicēšanas institūcijām atbildēja tikai 3 inspicēšanas institūcijas, </w:t>
            </w:r>
            <w:r w:rsidR="00355E15">
              <w:t>norādot</w:t>
            </w:r>
            <w:r w:rsidR="00A04FB0">
              <w:t xml:space="preserve">, ka </w:t>
            </w:r>
            <w:r w:rsidR="00355E15">
              <w:t xml:space="preserve">tiek </w:t>
            </w:r>
            <w:r w:rsidR="00355E15">
              <w:lastRenderedPageBreak/>
              <w:t>izmantoti gan nacionālie mērvienību etaloni, gan citu valstu nacionā</w:t>
            </w:r>
            <w:r w:rsidR="000F72B7">
              <w:t>lie</w:t>
            </w:r>
            <w:r w:rsidR="00355E15">
              <w:t xml:space="preserve"> etalon</w:t>
            </w:r>
            <w:r w:rsidR="000F72B7">
              <w:t>i</w:t>
            </w:r>
            <w:r w:rsidR="00355E15">
              <w:t xml:space="preserve">. </w:t>
            </w:r>
            <w:r w:rsidR="000F72B7">
              <w:t xml:space="preserve">Kā arī informēja, ka nacionālo mērvienību etalonu mērīšanas spēja nespēj nodrošināt inspicēšanas institūcijām nepieciešamo mērījumu apjomu un precizitāti. </w:t>
            </w:r>
          </w:p>
          <w:p w14:paraId="0D811B98" w14:textId="24AA61FD" w:rsidR="0072458F" w:rsidRDefault="0072458F" w:rsidP="008A5F5F">
            <w:pPr>
              <w:pStyle w:val="naiskr"/>
              <w:spacing w:after="0"/>
              <w:jc w:val="both"/>
            </w:pPr>
            <w:r>
              <w:t>No Nacionālās metroloģijas padomes locekļ</w:t>
            </w:r>
            <w:r w:rsidR="0005208F">
              <w:t>u</w:t>
            </w:r>
            <w:r w:rsidR="00134587">
              <w:t xml:space="preserve"> un no mašīnbūvju, metālapstrādes ekspert</w:t>
            </w:r>
            <w:r w:rsidR="0005208F">
              <w:t>u sniegtās informācijas</w:t>
            </w:r>
            <w:r>
              <w:t xml:space="preserve"> Ekonomikas ministrija nevarēja </w:t>
            </w:r>
            <w:r w:rsidR="0005208F">
              <w:t xml:space="preserve">noformulēt </w:t>
            </w:r>
            <w:r>
              <w:t xml:space="preserve"> skaidru </w:t>
            </w:r>
            <w:r w:rsidR="0005208F">
              <w:t>viedokli (vai pozīciju)</w:t>
            </w:r>
            <w:r>
              <w:t xml:space="preserve"> par to, kuri etaloni b</w:t>
            </w:r>
            <w:r w:rsidR="005E4917">
              <w:t xml:space="preserve">ūtu saglabājami un kuri būtu nesaglabājami nacionālo mērvienību etalonu sarakstā. </w:t>
            </w:r>
          </w:p>
          <w:p w14:paraId="225CB8D9" w14:textId="2E4E186D" w:rsidR="007072F2" w:rsidRDefault="001161FC" w:rsidP="008A5F5F">
            <w:pPr>
              <w:pStyle w:val="naiskr"/>
              <w:spacing w:after="0"/>
              <w:jc w:val="both"/>
            </w:pPr>
            <w:r>
              <w:t>Ņemot vērā augstāk minēto, Noteikumu projektā nav ietverti šādi nacionālie mērvienību etaloni</w:t>
            </w:r>
            <w:r w:rsidR="007072F2">
              <w:t xml:space="preserve">: optiskā skala, virsmas negluduma </w:t>
            </w:r>
            <w:proofErr w:type="spellStart"/>
            <w:r w:rsidR="007072F2">
              <w:t>etalonmērs</w:t>
            </w:r>
            <w:proofErr w:type="spellEnd"/>
            <w:r w:rsidR="007072F2">
              <w:t xml:space="preserve">, optiskā interferences plakne, </w:t>
            </w:r>
            <w:proofErr w:type="spellStart"/>
            <w:r w:rsidR="007072F2">
              <w:t>maiņsprieguma</w:t>
            </w:r>
            <w:proofErr w:type="spellEnd"/>
            <w:r w:rsidR="007072F2">
              <w:t xml:space="preserve"> un maiņstrāvas </w:t>
            </w:r>
            <w:proofErr w:type="spellStart"/>
            <w:r w:rsidR="007072F2">
              <w:t>etalonsistēma</w:t>
            </w:r>
            <w:proofErr w:type="spellEnd"/>
            <w:r w:rsidR="007072F2">
              <w:t>, 500 kg atsvars, e</w:t>
            </w:r>
            <w:r w:rsidR="007072F2" w:rsidRPr="007072F2">
              <w:t xml:space="preserve">talona </w:t>
            </w:r>
            <w:proofErr w:type="spellStart"/>
            <w:r w:rsidR="007072F2" w:rsidRPr="007072F2">
              <w:t>svītrumērs</w:t>
            </w:r>
            <w:proofErr w:type="spellEnd"/>
            <w:r w:rsidR="007072F2" w:rsidRPr="007072F2">
              <w:t xml:space="preserve"> 1m</w:t>
            </w:r>
            <w:r w:rsidR="007072F2">
              <w:t xml:space="preserve">, </w:t>
            </w:r>
            <w:r w:rsidR="00BB0FFF">
              <w:t xml:space="preserve">jo minētajiem etaloniem nav pieprasījums Latvijas tautsaimniecībā, precizitāte neatbilst citu valstu etalonu precizitātei, augstas nenoteiktības (2 reizes lielāka), nav iespējams piedalīties </w:t>
            </w:r>
            <w:proofErr w:type="spellStart"/>
            <w:r w:rsidR="00BB0FFF">
              <w:t>starplaboratoriju</w:t>
            </w:r>
            <w:proofErr w:type="spellEnd"/>
            <w:r w:rsidR="00BB0FFF">
              <w:t xml:space="preserve"> salīdzināšanas programmās un iekārtas ir tehniski nolietojušās. </w:t>
            </w:r>
          </w:p>
          <w:p w14:paraId="7F341A2D" w14:textId="3C78A191" w:rsidR="00BB0FFF" w:rsidRDefault="0034775B" w:rsidP="00BB0FFF">
            <w:pPr>
              <w:pStyle w:val="naiskr"/>
              <w:spacing w:after="0"/>
              <w:jc w:val="both"/>
            </w:pPr>
            <w:r>
              <w:t xml:space="preserve">Saskaņā ar Nacionālās metroloģijas institūcijas veikto </w:t>
            </w:r>
            <w:proofErr w:type="spellStart"/>
            <w:r>
              <w:t>izvērtējumu</w:t>
            </w:r>
            <w:proofErr w:type="spellEnd"/>
            <w:r>
              <w:t xml:space="preserve"> un ekspertu viedokli, Noteikumu projek</w:t>
            </w:r>
            <w:r w:rsidR="004D470D">
              <w:t>tā</w:t>
            </w:r>
            <w:r>
              <w:t xml:space="preserve"> ietvers šādus nacionālos mērvienību etalonus - </w:t>
            </w:r>
            <w:r w:rsidR="00E34823">
              <w:t>g</w:t>
            </w:r>
            <w:r w:rsidR="00E34823" w:rsidRPr="00E34823">
              <w:t>aruma mēru komplekts</w:t>
            </w:r>
            <w:r w:rsidR="00E34823">
              <w:t>, s</w:t>
            </w:r>
            <w:r w:rsidR="00E34823" w:rsidRPr="00E34823">
              <w:t xml:space="preserve">vītru </w:t>
            </w:r>
            <w:proofErr w:type="spellStart"/>
            <w:r w:rsidR="00E34823" w:rsidRPr="00E34823">
              <w:t>etalonmērs</w:t>
            </w:r>
            <w:proofErr w:type="spellEnd"/>
            <w:r w:rsidR="00E34823">
              <w:t>, o</w:t>
            </w:r>
            <w:r w:rsidR="00E34823" w:rsidRPr="00E34823">
              <w:t>ptiskā 24 skaldņu prizma</w:t>
            </w:r>
            <w:r w:rsidR="00E34823">
              <w:t xml:space="preserve">, </w:t>
            </w:r>
            <w:proofErr w:type="spellStart"/>
            <w:r w:rsidR="00E34823">
              <w:t>e</w:t>
            </w:r>
            <w:r w:rsidR="00E34823" w:rsidRPr="00E34823">
              <w:t>talonmasas</w:t>
            </w:r>
            <w:proofErr w:type="spellEnd"/>
            <w:r w:rsidR="00E34823" w:rsidRPr="00E34823">
              <w:t xml:space="preserve"> kilograms ar atsvaru komplektu</w:t>
            </w:r>
            <w:r w:rsidR="00E34823">
              <w:t>, e</w:t>
            </w:r>
            <w:r w:rsidR="00E34823" w:rsidRPr="00E34823">
              <w:t>lektriskās pretestības mēru komplekts</w:t>
            </w:r>
            <w:r w:rsidR="00E34823">
              <w:t>, l</w:t>
            </w:r>
            <w:r w:rsidR="00E34823" w:rsidRPr="00E34823">
              <w:t xml:space="preserve">īdzsprieguma </w:t>
            </w:r>
            <w:proofErr w:type="spellStart"/>
            <w:r w:rsidR="00E34823" w:rsidRPr="00E34823">
              <w:t>etalonsistēma</w:t>
            </w:r>
            <w:proofErr w:type="spellEnd"/>
            <w:r w:rsidR="00E34823">
              <w:t xml:space="preserve"> un p</w:t>
            </w:r>
            <w:r w:rsidR="00E34823" w:rsidRPr="00E34823">
              <w:t>rimārais cēzija frekvences un laika etalons</w:t>
            </w:r>
            <w:r w:rsidR="00E34823">
              <w:t xml:space="preserve">. Šiem etaloniem </w:t>
            </w:r>
            <w:r w:rsidR="00E741B9">
              <w:t xml:space="preserve">ir pieprasījums Latvijas tautsaimniecībā, atbilstoša precizitāte, iespējams piedalīties </w:t>
            </w:r>
            <w:proofErr w:type="spellStart"/>
            <w:r w:rsidR="00E741B9">
              <w:t>starplaboratoriju</w:t>
            </w:r>
            <w:proofErr w:type="spellEnd"/>
            <w:r w:rsidR="00E741B9">
              <w:t xml:space="preserve"> salīdzināšanas programmās.</w:t>
            </w:r>
            <w:r>
              <w:t xml:space="preserve"> Noteikumu projektā katram nacionālo mērvienību etalonam ir uzskaitīti identifikācijas numuri un attiecīgi katram identifikācijas numuram pretī mērīšanas diapazons un paplašinātā nenoteiktība. Līdz ar to komersants</w:t>
            </w:r>
            <w:r w:rsidR="004D470D">
              <w:t xml:space="preserve"> savu vajadzību ietvaros,</w:t>
            </w:r>
            <w:r w:rsidR="00A03DEF">
              <w:t xml:space="preserve"> varēs iegūt precīzāku informāciju par etaloniem, proti, par mērīšanas diapazonu un paplašināto nenoteiktību. </w:t>
            </w:r>
          </w:p>
          <w:p w14:paraId="5A77C301" w14:textId="424FDC70" w:rsidR="00254140" w:rsidRPr="00B633EE" w:rsidRDefault="00B17763" w:rsidP="00BB0FFF">
            <w:pPr>
              <w:pStyle w:val="naiskr"/>
              <w:spacing w:after="0"/>
              <w:jc w:val="both"/>
            </w:pPr>
            <w:r>
              <w:t>Pēc aktualizētā nacionālo mērvienību etalona saraksta pie pašlaik</w:t>
            </w:r>
            <w:r w:rsidR="004116F6">
              <w:t xml:space="preserve"> </w:t>
            </w:r>
            <w:r>
              <w:t xml:space="preserve">esošā valsts finansējuma, </w:t>
            </w:r>
            <w:r w:rsidR="000B76DA">
              <w:t>Nacionāl</w:t>
            </w:r>
            <w:r w:rsidR="004116F6">
              <w:t>ā</w:t>
            </w:r>
            <w:r w:rsidR="000B76DA">
              <w:t xml:space="preserve"> metroloģijas institūcija</w:t>
            </w:r>
            <w:r w:rsidR="004116F6">
              <w:t xml:space="preserve"> papildus</w:t>
            </w:r>
            <w:r w:rsidR="000B76DA">
              <w:t xml:space="preserve"> </w:t>
            </w:r>
            <w:r w:rsidR="004116F6">
              <w:t>varēs</w:t>
            </w:r>
            <w:r>
              <w:t xml:space="preserve"> </w:t>
            </w:r>
            <w:r w:rsidR="007C0A4F">
              <w:t>iegādāties jaun</w:t>
            </w:r>
            <w:r w:rsidR="004116F6">
              <w:t>us</w:t>
            </w:r>
            <w:r w:rsidR="007C0A4F">
              <w:t xml:space="preserve"> </w:t>
            </w:r>
            <w:r w:rsidR="004116F6">
              <w:t>etalonus</w:t>
            </w:r>
            <w:r w:rsidR="007C0A4F">
              <w:t xml:space="preserve"> vai modernizēt</w:t>
            </w:r>
            <w:r>
              <w:t xml:space="preserve"> </w:t>
            </w:r>
            <w:r w:rsidR="00134587">
              <w:t xml:space="preserve">esošos </w:t>
            </w:r>
            <w:r>
              <w:t>etalonus</w:t>
            </w:r>
            <w:r w:rsidR="007C0A4F">
              <w:t xml:space="preserve">, varēs piedalīties </w:t>
            </w:r>
            <w:proofErr w:type="spellStart"/>
            <w:r w:rsidR="007C0A4F">
              <w:t>starplaboratoriju</w:t>
            </w:r>
            <w:proofErr w:type="spellEnd"/>
            <w:r w:rsidR="007C0A4F">
              <w:t xml:space="preserve"> salīdzināšanas programmās, akreditētās </w:t>
            </w:r>
            <w:r w:rsidR="008260AE">
              <w:t>atbilstības novērtēšanas</w:t>
            </w:r>
            <w:r w:rsidR="007C0A4F">
              <w:t xml:space="preserve"> institūcijas savu darbību veikšanai varēs izmantot Latvijas nacionālos mērvienību etalonus (būs atbilstoša precizitāte)</w:t>
            </w:r>
            <w:r w:rsidR="00DF7CBA">
              <w:t>, nevis citu valstu etalonus</w:t>
            </w:r>
            <w:r w:rsidR="007C0A4F">
              <w:t>, kā arī Latvijas komersants varēs</w:t>
            </w:r>
            <w:r w:rsidR="000B76DA">
              <w:t xml:space="preserve"> veikt</w:t>
            </w:r>
            <w:r w:rsidR="007C0A4F">
              <w:t xml:space="preserve"> mērīšanas līdzekļ</w:t>
            </w:r>
            <w:r w:rsidR="000B76DA">
              <w:t xml:space="preserve">u mērvienību reproducēšanu ar augstas precizitātes nacionālajiem  mērvienību etaloniem. </w:t>
            </w:r>
          </w:p>
        </w:tc>
      </w:tr>
      <w:tr w:rsidR="00254140" w:rsidRPr="000D28F3" w14:paraId="41DD39AC" w14:textId="77777777" w:rsidTr="008A5F5F">
        <w:trPr>
          <w:trHeight w:val="706"/>
        </w:trPr>
        <w:tc>
          <w:tcPr>
            <w:tcW w:w="521" w:type="dxa"/>
          </w:tcPr>
          <w:p w14:paraId="4DB2AD37" w14:textId="77777777" w:rsidR="00254140" w:rsidRPr="000D28F3" w:rsidRDefault="00254140" w:rsidP="008A5F5F">
            <w:pPr>
              <w:jc w:val="center"/>
            </w:pPr>
            <w:r w:rsidRPr="000D28F3">
              <w:lastRenderedPageBreak/>
              <w:t>3.</w:t>
            </w:r>
          </w:p>
        </w:tc>
        <w:tc>
          <w:tcPr>
            <w:tcW w:w="2720" w:type="dxa"/>
          </w:tcPr>
          <w:p w14:paraId="5AABFFF4" w14:textId="77777777" w:rsidR="00254140" w:rsidRPr="000D28F3" w:rsidRDefault="00254140" w:rsidP="008A5F5F">
            <w:r w:rsidRPr="000D28F3">
              <w:t>Projekta izstrādē iesaistītās institūcijas</w:t>
            </w:r>
          </w:p>
        </w:tc>
        <w:tc>
          <w:tcPr>
            <w:tcW w:w="5821" w:type="dxa"/>
          </w:tcPr>
          <w:p w14:paraId="13871FD7" w14:textId="1AE0E1DE" w:rsidR="00254140" w:rsidRPr="000D28F3" w:rsidRDefault="00254140" w:rsidP="008A5F5F">
            <w:pPr>
              <w:jc w:val="both"/>
            </w:pPr>
            <w:r w:rsidRPr="000D28F3">
              <w:rPr>
                <w:lang w:eastAsia="en-US"/>
              </w:rPr>
              <w:t xml:space="preserve">Sabiedrība ar ierobežotu atbildību </w:t>
            </w:r>
            <w:r w:rsidR="00BB6985">
              <w:rPr>
                <w:lang w:eastAsia="en-US"/>
              </w:rPr>
              <w:t>“</w:t>
            </w:r>
            <w:r w:rsidRPr="000D28F3">
              <w:rPr>
                <w:lang w:eastAsia="en-US"/>
              </w:rPr>
              <w:t>Latvijas nacionālais metroloģijas centrs</w:t>
            </w:r>
            <w:r w:rsidR="00BB6985">
              <w:rPr>
                <w:lang w:eastAsia="en-US"/>
              </w:rPr>
              <w:t>”</w:t>
            </w:r>
            <w:r w:rsidRPr="000D28F3">
              <w:rPr>
                <w:lang w:eastAsia="en-US"/>
              </w:rPr>
              <w:t xml:space="preserve"> Metroloģijas birojs un</w:t>
            </w:r>
            <w:r w:rsidRPr="000D28F3">
              <w:rPr>
                <w:rFonts w:eastAsia="SimSun"/>
                <w:lang w:eastAsia="zh-CN"/>
              </w:rPr>
              <w:t xml:space="preserve"> Ekonomikas ministrija</w:t>
            </w:r>
          </w:p>
        </w:tc>
      </w:tr>
      <w:tr w:rsidR="00254140" w:rsidRPr="000D28F3" w14:paraId="4DC1CBF4" w14:textId="77777777" w:rsidTr="008A5F5F">
        <w:trPr>
          <w:trHeight w:val="384"/>
        </w:trPr>
        <w:tc>
          <w:tcPr>
            <w:tcW w:w="521" w:type="dxa"/>
          </w:tcPr>
          <w:p w14:paraId="5EFA48A9" w14:textId="77777777" w:rsidR="00254140" w:rsidRPr="000D28F3" w:rsidRDefault="00254140" w:rsidP="008A5F5F">
            <w:pPr>
              <w:jc w:val="center"/>
            </w:pPr>
            <w:r w:rsidRPr="000D28F3">
              <w:t>4.</w:t>
            </w:r>
          </w:p>
        </w:tc>
        <w:tc>
          <w:tcPr>
            <w:tcW w:w="2720" w:type="dxa"/>
          </w:tcPr>
          <w:p w14:paraId="42C258AE" w14:textId="77777777" w:rsidR="00254140" w:rsidRPr="000D28F3" w:rsidRDefault="00254140" w:rsidP="008A5F5F">
            <w:r w:rsidRPr="000D28F3">
              <w:t>Cita informācija</w:t>
            </w:r>
          </w:p>
        </w:tc>
        <w:tc>
          <w:tcPr>
            <w:tcW w:w="5821" w:type="dxa"/>
          </w:tcPr>
          <w:p w14:paraId="34D0EA85" w14:textId="2B972811" w:rsidR="00254140" w:rsidRPr="000D28F3" w:rsidRDefault="00446C5C" w:rsidP="008A5F5F">
            <w:pPr>
              <w:pStyle w:val="naiskr"/>
              <w:jc w:val="both"/>
            </w:pPr>
            <w:r>
              <w:t>Nav</w:t>
            </w:r>
          </w:p>
        </w:tc>
      </w:tr>
    </w:tbl>
    <w:p w14:paraId="1EBA2F1A" w14:textId="77777777" w:rsidR="00254140" w:rsidRPr="000D28F3" w:rsidRDefault="00254140" w:rsidP="00254140">
      <w:pPr>
        <w:rPr>
          <w:color w:val="FF0000"/>
        </w:rPr>
      </w:pPr>
    </w:p>
    <w:tbl>
      <w:tblPr>
        <w:tblW w:w="9088" w:type="dxa"/>
        <w:tblInd w:w="-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3"/>
        <w:gridCol w:w="2576"/>
        <w:gridCol w:w="142"/>
        <w:gridCol w:w="5811"/>
        <w:gridCol w:w="16"/>
      </w:tblGrid>
      <w:tr w:rsidR="00254140" w:rsidRPr="000D28F3" w14:paraId="0F04F340" w14:textId="77777777" w:rsidTr="008A5F5F">
        <w:trPr>
          <w:gridAfter w:val="1"/>
          <w:wAfter w:w="16" w:type="dxa"/>
          <w:trHeight w:val="72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BBA7" w14:textId="77777777" w:rsidR="00254140" w:rsidRPr="000D28F3" w:rsidRDefault="00254140" w:rsidP="008A5F5F">
            <w:pPr>
              <w:jc w:val="center"/>
              <w:rPr>
                <w:b/>
              </w:rPr>
            </w:pPr>
            <w:r w:rsidRPr="000D28F3">
              <w:rPr>
                <w:b/>
              </w:rPr>
              <w:lastRenderedPageBreak/>
              <w:t>II. Tiesību akta projekta ietekme uz sabiedrību tautsaimniecības attīstību un administratīvo slogu</w:t>
            </w:r>
          </w:p>
        </w:tc>
      </w:tr>
      <w:tr w:rsidR="00254140" w:rsidRPr="000D28F3" w14:paraId="0DB050D9" w14:textId="77777777" w:rsidTr="008A5F5F">
        <w:trPr>
          <w:gridAfter w:val="1"/>
          <w:wAfter w:w="16" w:type="dxa"/>
          <w:trHeight w:val="46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A236" w14:textId="77777777" w:rsidR="00254140" w:rsidRPr="000D28F3" w:rsidRDefault="00254140" w:rsidP="008A5F5F">
            <w:r w:rsidRPr="000D28F3">
              <w:t> 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C1CB" w14:textId="77777777" w:rsidR="00254140" w:rsidRPr="000D28F3" w:rsidRDefault="00254140" w:rsidP="008A5F5F">
            <w:r w:rsidRPr="000D28F3">
              <w:t xml:space="preserve">Sabiedrības </w:t>
            </w:r>
            <w:proofErr w:type="spellStart"/>
            <w:r w:rsidRPr="000D28F3">
              <w:t>mērķgrupas</w:t>
            </w:r>
            <w:proofErr w:type="spellEnd"/>
            <w:r w:rsidRPr="000D28F3">
              <w:t>, kuras tiesiskais regulējums  ietekmē vai varētu ietekmēt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FBFA" w14:textId="34FD685C" w:rsidR="00446C5C" w:rsidRDefault="00446C5C" w:rsidP="008A5F5F">
            <w:pPr>
              <w:jc w:val="both"/>
              <w:rPr>
                <w:iCs/>
              </w:rPr>
            </w:pPr>
            <w:r>
              <w:rPr>
                <w:iCs/>
              </w:rPr>
              <w:t xml:space="preserve">Noteikumu projekts attiecas </w:t>
            </w:r>
            <w:r w:rsidR="00123624">
              <w:rPr>
                <w:iCs/>
              </w:rPr>
              <w:t xml:space="preserve">uz </w:t>
            </w:r>
            <w:r>
              <w:rPr>
                <w:iCs/>
              </w:rPr>
              <w:t>komersantiem</w:t>
            </w:r>
            <w:r w:rsidR="005C1544">
              <w:rPr>
                <w:iCs/>
              </w:rPr>
              <w:t xml:space="preserve">, akreditētām </w:t>
            </w:r>
            <w:r w:rsidR="008260AE">
              <w:rPr>
                <w:iCs/>
              </w:rPr>
              <w:t xml:space="preserve">atbilstības novērtēšanas </w:t>
            </w:r>
            <w:r w:rsidR="005C1544">
              <w:rPr>
                <w:iCs/>
              </w:rPr>
              <w:t>institūcijām</w:t>
            </w:r>
            <w:r w:rsidR="00933B3A">
              <w:rPr>
                <w:iCs/>
              </w:rPr>
              <w:t xml:space="preserve">. </w:t>
            </w:r>
          </w:p>
          <w:p w14:paraId="28BA49DC" w14:textId="78B721C2" w:rsidR="005C1544" w:rsidRPr="000D28F3" w:rsidRDefault="005C1544" w:rsidP="008A5F5F">
            <w:pPr>
              <w:jc w:val="both"/>
              <w:rPr>
                <w:iCs/>
              </w:rPr>
            </w:pPr>
          </w:p>
        </w:tc>
      </w:tr>
      <w:tr w:rsidR="00254140" w:rsidRPr="000D28F3" w14:paraId="2AF550FF" w14:textId="77777777" w:rsidTr="008A5F5F">
        <w:trPr>
          <w:gridAfter w:val="1"/>
          <w:wAfter w:w="16" w:type="dxa"/>
          <w:trHeight w:val="5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49BB" w14:textId="77777777" w:rsidR="00254140" w:rsidRPr="000D28F3" w:rsidRDefault="00254140" w:rsidP="008A5F5F">
            <w:r w:rsidRPr="000D28F3">
              <w:t> 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6DEA" w14:textId="77777777" w:rsidR="00254140" w:rsidRPr="000D28F3" w:rsidRDefault="00254140" w:rsidP="008A5F5F">
            <w:r w:rsidRPr="000D28F3">
              <w:t>Tiesiskā regulējuma ietekme uz tautsaimniecību un administratīvo slogu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9711" w14:textId="283801D2" w:rsidR="00BB6985" w:rsidRPr="000D28F3" w:rsidRDefault="00B76F65" w:rsidP="00BB6985">
            <w:pPr>
              <w:jc w:val="both"/>
            </w:pPr>
            <w:r>
              <w:t>Ņemot v</w:t>
            </w:r>
            <w:r>
              <w:rPr>
                <w:iCs/>
              </w:rPr>
              <w:t xml:space="preserve">ērā </w:t>
            </w:r>
            <w:r w:rsidR="00F47D5A">
              <w:t xml:space="preserve">Nacionālās metroloģijas institūcijas veikto </w:t>
            </w:r>
            <w:proofErr w:type="spellStart"/>
            <w:r w:rsidR="00F47D5A">
              <w:t>izvērtējumu</w:t>
            </w:r>
            <w:proofErr w:type="spellEnd"/>
            <w:r w:rsidR="00F47D5A">
              <w:t xml:space="preserve"> un ekspertu viedokli, secināms, ka Nacionālie m</w:t>
            </w:r>
            <w:r w:rsidR="00F47D5A">
              <w:rPr>
                <w:iCs/>
              </w:rPr>
              <w:t xml:space="preserve">ērvienību etaloni, kuri nav ietverti Noteikumu projektā nav Latvijas </w:t>
            </w:r>
            <w:proofErr w:type="spellStart"/>
            <w:r w:rsidR="00F47D5A">
              <w:rPr>
                <w:iCs/>
              </w:rPr>
              <w:t>tausaimniec</w:t>
            </w:r>
            <w:r w:rsidR="00AA369C" w:rsidRPr="000D28F3">
              <w:t>ī</w:t>
            </w:r>
            <w:r w:rsidR="00AA369C">
              <w:t>bai</w:t>
            </w:r>
            <w:proofErr w:type="spellEnd"/>
            <w:r w:rsidR="00AA369C">
              <w:t xml:space="preserve"> nepiecie</w:t>
            </w:r>
            <w:r w:rsidR="00AA369C">
              <w:rPr>
                <w:iCs/>
              </w:rPr>
              <w:t>šami, l</w:t>
            </w:r>
            <w:r w:rsidR="00AA369C" w:rsidRPr="000D28F3">
              <w:t>ī</w:t>
            </w:r>
            <w:r w:rsidR="00AA369C">
              <w:t xml:space="preserve">dz ar to, Noteikumu projekts </w:t>
            </w:r>
            <w:r w:rsidR="00AA369C" w:rsidRPr="000D28F3">
              <w:t>neietekmē</w:t>
            </w:r>
            <w:r w:rsidR="00BB6985">
              <w:t>s</w:t>
            </w:r>
            <w:r w:rsidR="00AA369C" w:rsidRPr="000D28F3">
              <w:t xml:space="preserve"> tautsaimniecības nozari</w:t>
            </w:r>
            <w:r w:rsidR="00AA369C">
              <w:t>. Kā ar</w:t>
            </w:r>
            <w:r w:rsidR="00AA369C">
              <w:rPr>
                <w:iCs/>
              </w:rPr>
              <w:t>ī</w:t>
            </w:r>
            <w:r w:rsidR="006760EB">
              <w:rPr>
                <w:iCs/>
              </w:rPr>
              <w:t xml:space="preserve"> Noteikumu projekts</w:t>
            </w:r>
            <w:r w:rsidR="00AA369C">
              <w:rPr>
                <w:iCs/>
              </w:rPr>
              <w:t xml:space="preserve"> neradīs </w:t>
            </w:r>
            <w:r w:rsidR="00AA369C" w:rsidRPr="000D28F3">
              <w:t>papildus administratīvo slogu</w:t>
            </w:r>
            <w:r w:rsidR="006760EB">
              <w:t xml:space="preserve"> komersantiem un </w:t>
            </w:r>
            <w:r w:rsidR="006760EB" w:rsidRPr="006760EB">
              <w:t xml:space="preserve">akreditētām </w:t>
            </w:r>
            <w:r w:rsidR="008260AE">
              <w:t>atbilstības novērtēšanas</w:t>
            </w:r>
            <w:r w:rsidR="006760EB" w:rsidRPr="006760EB">
              <w:t xml:space="preserve"> institūcijām</w:t>
            </w:r>
            <w:r w:rsidR="006760EB">
              <w:t>, jo ar Noteikumu projekta stā</w:t>
            </w:r>
            <w:r w:rsidR="006760EB">
              <w:rPr>
                <w:iCs/>
              </w:rPr>
              <w:t>šanos</w:t>
            </w:r>
            <w:r w:rsidR="00BB6985">
              <w:rPr>
                <w:iCs/>
              </w:rPr>
              <w:t xml:space="preserve"> sp</w:t>
            </w:r>
            <w:r w:rsidR="00BB6985" w:rsidRPr="006760EB">
              <w:t>ē</w:t>
            </w:r>
            <w:r w:rsidR="00BB6985">
              <w:t>kā</w:t>
            </w:r>
            <w:r w:rsidR="00AA369C">
              <w:t xml:space="preserve"> </w:t>
            </w:r>
            <w:r w:rsidR="006760EB" w:rsidRPr="006760EB">
              <w:t>Latvijas komersant</w:t>
            </w:r>
            <w:r w:rsidR="00BB6985">
              <w:t xml:space="preserve">i un </w:t>
            </w:r>
            <w:r w:rsidR="008260AE">
              <w:t>atbilstības novērtēšanas</w:t>
            </w:r>
            <w:r w:rsidR="00BB6985" w:rsidRPr="006760EB">
              <w:t xml:space="preserve"> institūcij</w:t>
            </w:r>
            <w:r w:rsidR="00BB6985">
              <w:t>as</w:t>
            </w:r>
            <w:r w:rsidR="00BB6985" w:rsidRPr="006760EB">
              <w:t xml:space="preserve"> </w:t>
            </w:r>
            <w:r w:rsidR="006760EB" w:rsidRPr="006760EB">
              <w:t>varēs</w:t>
            </w:r>
            <w:r w:rsidR="00BB6985">
              <w:t xml:space="preserve"> izmantot augstas precizitātes </w:t>
            </w:r>
            <w:r w:rsidR="006760EB" w:rsidRPr="006760EB">
              <w:t xml:space="preserve"> </w:t>
            </w:r>
            <w:r w:rsidR="00BB6985" w:rsidRPr="006760EB">
              <w:t>nacionāl</w:t>
            </w:r>
            <w:r w:rsidR="00BB6985">
              <w:t xml:space="preserve">os </w:t>
            </w:r>
            <w:r w:rsidR="00BB6985" w:rsidRPr="006760EB">
              <w:t>mērvienību etalon</w:t>
            </w:r>
            <w:r w:rsidR="00BB6985">
              <w:t xml:space="preserve">us. </w:t>
            </w:r>
          </w:p>
          <w:p w14:paraId="3F0481D3" w14:textId="65A5F9C1" w:rsidR="00932101" w:rsidRPr="000D28F3" w:rsidRDefault="00932101" w:rsidP="008A5F5F">
            <w:pPr>
              <w:jc w:val="both"/>
            </w:pPr>
          </w:p>
        </w:tc>
      </w:tr>
      <w:tr w:rsidR="00254140" w:rsidRPr="000D28F3" w14:paraId="1912526E" w14:textId="77777777" w:rsidTr="008A5F5F">
        <w:trPr>
          <w:gridAfter w:val="1"/>
          <w:wAfter w:w="16" w:type="dxa"/>
          <w:trHeight w:val="51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1C35" w14:textId="77777777" w:rsidR="00254140" w:rsidRPr="000D28F3" w:rsidRDefault="00254140" w:rsidP="008A5F5F">
            <w:r w:rsidRPr="000D28F3">
              <w:t> 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E15E" w14:textId="77777777" w:rsidR="00254140" w:rsidRPr="000D28F3" w:rsidRDefault="00254140" w:rsidP="008A5F5F">
            <w:r w:rsidRPr="000D28F3">
              <w:t>Administratīvo izmaksu monetārs novērtējums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8AE4" w14:textId="77777777" w:rsidR="00254140" w:rsidRPr="000D28F3" w:rsidRDefault="00254140" w:rsidP="008A5F5F">
            <w:pPr>
              <w:jc w:val="both"/>
            </w:pPr>
            <w:r w:rsidRPr="000D28F3">
              <w:rPr>
                <w:iCs/>
              </w:rPr>
              <w:t>Projekts šo jomu neskar</w:t>
            </w:r>
          </w:p>
        </w:tc>
      </w:tr>
      <w:tr w:rsidR="00254140" w:rsidRPr="000D28F3" w14:paraId="273FA1D4" w14:textId="77777777" w:rsidTr="008A5F5F">
        <w:trPr>
          <w:gridAfter w:val="1"/>
          <w:wAfter w:w="16" w:type="dxa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F457" w14:textId="77777777" w:rsidR="00254140" w:rsidRPr="000D28F3" w:rsidRDefault="00254140" w:rsidP="008A5F5F">
            <w:r w:rsidRPr="000D28F3">
              <w:t> 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9828" w14:textId="77777777" w:rsidR="00254140" w:rsidRPr="000D28F3" w:rsidRDefault="00254140" w:rsidP="008A5F5F">
            <w:r w:rsidRPr="000D28F3">
              <w:t> Cita informācija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F565" w14:textId="77777777" w:rsidR="00254140" w:rsidRPr="000D28F3" w:rsidRDefault="00254140" w:rsidP="008A5F5F">
            <w:pPr>
              <w:jc w:val="both"/>
            </w:pPr>
            <w:r w:rsidRPr="000D28F3">
              <w:t xml:space="preserve"> Nav</w:t>
            </w:r>
          </w:p>
          <w:p w14:paraId="3AD20CBE" w14:textId="77777777" w:rsidR="00254140" w:rsidRPr="000D28F3" w:rsidRDefault="00254140" w:rsidP="008A5F5F">
            <w:pPr>
              <w:jc w:val="both"/>
            </w:pPr>
          </w:p>
        </w:tc>
      </w:tr>
      <w:tr w:rsidR="00254140" w:rsidRPr="000D28F3" w14:paraId="27095CD4" w14:textId="77777777" w:rsidTr="008A5F5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9072" w:type="dxa"/>
            <w:gridSpan w:val="5"/>
            <w:tcBorders>
              <w:left w:val="nil"/>
              <w:right w:val="nil"/>
            </w:tcBorders>
            <w:vAlign w:val="center"/>
          </w:tcPr>
          <w:p w14:paraId="4F2FFC76" w14:textId="77777777" w:rsidR="00254140" w:rsidRPr="000D28F3" w:rsidRDefault="00254140" w:rsidP="008A5F5F">
            <w:pPr>
              <w:rPr>
                <w:b/>
                <w:bCs/>
              </w:rPr>
            </w:pPr>
          </w:p>
          <w:tbl>
            <w:tblPr>
              <w:tblW w:w="9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042"/>
            </w:tblGrid>
            <w:tr w:rsidR="00254140" w:rsidRPr="000D28F3" w14:paraId="1950CAA3" w14:textId="77777777" w:rsidTr="008A5F5F">
              <w:trPr>
                <w:trHeight w:val="288"/>
                <w:jc w:val="center"/>
              </w:trPr>
              <w:tc>
                <w:tcPr>
                  <w:tcW w:w="9042" w:type="dxa"/>
                  <w:vAlign w:val="center"/>
                  <w:hideMark/>
                </w:tcPr>
                <w:p w14:paraId="7EF5086A" w14:textId="77777777" w:rsidR="00254140" w:rsidRPr="000D28F3" w:rsidRDefault="00254140" w:rsidP="008A5F5F">
                  <w:pPr>
                    <w:jc w:val="center"/>
                    <w:rPr>
                      <w:b/>
                      <w:bCs/>
                    </w:rPr>
                  </w:pPr>
                  <w:r w:rsidRPr="000D28F3">
                    <w:rPr>
                      <w:b/>
                      <w:bCs/>
                    </w:rPr>
                    <w:t>III. Tiesību akta projekta ietekme uz valsts budžetu un pašvaldību budžetiem</w:t>
                  </w:r>
                </w:p>
              </w:tc>
            </w:tr>
            <w:tr w:rsidR="00254140" w:rsidRPr="000D28F3" w14:paraId="397569A0" w14:textId="77777777" w:rsidTr="008A5F5F">
              <w:trPr>
                <w:trHeight w:val="288"/>
                <w:jc w:val="center"/>
              </w:trPr>
              <w:tc>
                <w:tcPr>
                  <w:tcW w:w="9042" w:type="dxa"/>
                  <w:vAlign w:val="center"/>
                </w:tcPr>
                <w:p w14:paraId="4B7A9A11" w14:textId="77777777" w:rsidR="00254140" w:rsidRPr="000D28F3" w:rsidRDefault="00254140" w:rsidP="008A5F5F">
                  <w:pPr>
                    <w:jc w:val="center"/>
                    <w:rPr>
                      <w:bCs/>
                    </w:rPr>
                  </w:pPr>
                  <w:r w:rsidRPr="000D28F3">
                    <w:rPr>
                      <w:bCs/>
                    </w:rPr>
                    <w:t>Projekts šo jomu neskar</w:t>
                  </w:r>
                </w:p>
              </w:tc>
            </w:tr>
          </w:tbl>
          <w:p w14:paraId="6861E4BB" w14:textId="77777777" w:rsidR="00254140" w:rsidRPr="000D28F3" w:rsidRDefault="00254140" w:rsidP="008A5F5F">
            <w:pPr>
              <w:rPr>
                <w:b/>
                <w:bCs/>
              </w:rPr>
            </w:pPr>
          </w:p>
          <w:tbl>
            <w:tblPr>
              <w:tblW w:w="902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6"/>
              <w:gridCol w:w="2853"/>
              <w:gridCol w:w="5649"/>
            </w:tblGrid>
            <w:tr w:rsidR="00254140" w:rsidRPr="000D28F3" w14:paraId="6494B354" w14:textId="77777777" w:rsidTr="008A5F5F">
              <w:trPr>
                <w:trHeight w:val="65"/>
              </w:trPr>
              <w:tc>
                <w:tcPr>
                  <w:tcW w:w="9028" w:type="dxa"/>
                  <w:gridSpan w:val="3"/>
                </w:tcPr>
                <w:p w14:paraId="0E90D053" w14:textId="77777777" w:rsidR="00254140" w:rsidRPr="000D28F3" w:rsidRDefault="00254140" w:rsidP="008A5F5F">
                  <w:pPr>
                    <w:jc w:val="center"/>
                    <w:rPr>
                      <w:sz w:val="26"/>
                      <w:szCs w:val="26"/>
                    </w:rPr>
                  </w:pPr>
                  <w:r w:rsidRPr="000D28F3">
                    <w:rPr>
                      <w:b/>
                      <w:sz w:val="26"/>
                      <w:szCs w:val="26"/>
                    </w:rPr>
                    <w:t>IV. Tiesību akta projekta ietekme uz spēkā esošo tiesību normu sistēmu</w:t>
                  </w:r>
                </w:p>
              </w:tc>
            </w:tr>
            <w:tr w:rsidR="00254140" w:rsidRPr="000D28F3" w14:paraId="541D5EAA" w14:textId="77777777" w:rsidTr="008A5F5F">
              <w:trPr>
                <w:trHeight w:val="429"/>
              </w:trPr>
              <w:tc>
                <w:tcPr>
                  <w:tcW w:w="526" w:type="dxa"/>
                </w:tcPr>
                <w:p w14:paraId="37B079AE" w14:textId="77777777" w:rsidR="00254140" w:rsidRPr="000D28F3" w:rsidRDefault="00254140" w:rsidP="008A5F5F">
                  <w:pPr>
                    <w:rPr>
                      <w:sz w:val="26"/>
                      <w:szCs w:val="26"/>
                    </w:rPr>
                  </w:pPr>
                  <w:r w:rsidRPr="000D28F3">
                    <w:rPr>
                      <w:sz w:val="26"/>
                      <w:szCs w:val="26"/>
                    </w:rPr>
                    <w:t> 1.</w:t>
                  </w:r>
                </w:p>
              </w:tc>
              <w:tc>
                <w:tcPr>
                  <w:tcW w:w="2853" w:type="dxa"/>
                </w:tcPr>
                <w:p w14:paraId="0838CBBA" w14:textId="77777777" w:rsidR="00254140" w:rsidRPr="000D28F3" w:rsidRDefault="00254140" w:rsidP="008A5F5F">
                  <w:r w:rsidRPr="000D28F3">
                    <w:t>Saistītie tiesību aktu projekti</w:t>
                  </w:r>
                </w:p>
              </w:tc>
              <w:tc>
                <w:tcPr>
                  <w:tcW w:w="5648" w:type="dxa"/>
                </w:tcPr>
                <w:p w14:paraId="05EC44F0" w14:textId="77777777" w:rsidR="00254140" w:rsidRPr="000D28F3" w:rsidRDefault="00254140" w:rsidP="008A5F5F">
                  <w:pPr>
                    <w:pStyle w:val="naisnod"/>
                    <w:spacing w:before="0" w:after="0"/>
                    <w:jc w:val="both"/>
                    <w:rPr>
                      <w:b w:val="0"/>
                      <w:bCs w:val="0"/>
                      <w:color w:val="000000" w:themeColor="text1"/>
                    </w:rPr>
                  </w:pPr>
                  <w:r w:rsidRPr="000D28F3">
                    <w:rPr>
                      <w:b w:val="0"/>
                      <w:bCs w:val="0"/>
                    </w:rPr>
                    <w:t>Nav</w:t>
                  </w:r>
                </w:p>
              </w:tc>
            </w:tr>
            <w:tr w:rsidR="00254140" w:rsidRPr="000D28F3" w14:paraId="37A4FD7D" w14:textId="77777777" w:rsidTr="008A5F5F">
              <w:trPr>
                <w:trHeight w:val="465"/>
              </w:trPr>
              <w:tc>
                <w:tcPr>
                  <w:tcW w:w="526" w:type="dxa"/>
                </w:tcPr>
                <w:p w14:paraId="05C5716F" w14:textId="77777777" w:rsidR="00254140" w:rsidRPr="000D28F3" w:rsidRDefault="00254140" w:rsidP="008A5F5F">
                  <w:pPr>
                    <w:rPr>
                      <w:sz w:val="26"/>
                      <w:szCs w:val="26"/>
                    </w:rPr>
                  </w:pPr>
                  <w:r w:rsidRPr="000D28F3">
                    <w:rPr>
                      <w:sz w:val="26"/>
                      <w:szCs w:val="26"/>
                    </w:rPr>
                    <w:t> 2.</w:t>
                  </w:r>
                </w:p>
              </w:tc>
              <w:tc>
                <w:tcPr>
                  <w:tcW w:w="2853" w:type="dxa"/>
                </w:tcPr>
                <w:p w14:paraId="029D625B" w14:textId="77777777" w:rsidR="00254140" w:rsidRPr="000D28F3" w:rsidRDefault="00254140" w:rsidP="008A5F5F">
                  <w:r w:rsidRPr="000D28F3">
                    <w:t>Atbildīgā institūcija</w:t>
                  </w:r>
                </w:p>
              </w:tc>
              <w:tc>
                <w:tcPr>
                  <w:tcW w:w="5648" w:type="dxa"/>
                </w:tcPr>
                <w:p w14:paraId="6AD2E4EB" w14:textId="77777777" w:rsidR="00254140" w:rsidRPr="000D28F3" w:rsidRDefault="00254140" w:rsidP="008A5F5F">
                  <w:pPr>
                    <w:pStyle w:val="naisnod"/>
                    <w:spacing w:before="0" w:after="0"/>
                    <w:jc w:val="both"/>
                    <w:rPr>
                      <w:b w:val="0"/>
                      <w:bCs w:val="0"/>
                      <w:color w:val="000000" w:themeColor="text1"/>
                    </w:rPr>
                  </w:pPr>
                  <w:r w:rsidRPr="000D28F3">
                    <w:rPr>
                      <w:b w:val="0"/>
                      <w:bCs w:val="0"/>
                      <w:color w:val="000000" w:themeColor="text1"/>
                    </w:rPr>
                    <w:t>Ekonomikas ministrija</w:t>
                  </w:r>
                </w:p>
              </w:tc>
            </w:tr>
            <w:tr w:rsidR="00254140" w:rsidRPr="000D28F3" w14:paraId="1000EB97" w14:textId="77777777" w:rsidTr="008A5F5F">
              <w:trPr>
                <w:trHeight w:val="478"/>
              </w:trPr>
              <w:tc>
                <w:tcPr>
                  <w:tcW w:w="526" w:type="dxa"/>
                </w:tcPr>
                <w:p w14:paraId="4F9D8764" w14:textId="77777777" w:rsidR="00254140" w:rsidRPr="000D28F3" w:rsidRDefault="00254140" w:rsidP="008A5F5F">
                  <w:pPr>
                    <w:rPr>
                      <w:sz w:val="26"/>
                      <w:szCs w:val="26"/>
                    </w:rPr>
                  </w:pPr>
                  <w:r w:rsidRPr="000D28F3">
                    <w:rPr>
                      <w:sz w:val="26"/>
                      <w:szCs w:val="26"/>
                    </w:rPr>
                    <w:t> 3.</w:t>
                  </w:r>
                </w:p>
              </w:tc>
              <w:tc>
                <w:tcPr>
                  <w:tcW w:w="2853" w:type="dxa"/>
                </w:tcPr>
                <w:p w14:paraId="695FDF24" w14:textId="77777777" w:rsidR="00254140" w:rsidRPr="000D28F3" w:rsidRDefault="00254140" w:rsidP="008A5F5F">
                  <w:r w:rsidRPr="000D28F3">
                    <w:t>Cita informācija</w:t>
                  </w:r>
                </w:p>
              </w:tc>
              <w:tc>
                <w:tcPr>
                  <w:tcW w:w="5648" w:type="dxa"/>
                </w:tcPr>
                <w:p w14:paraId="1E0063CA" w14:textId="77777777" w:rsidR="00254140" w:rsidRPr="000D28F3" w:rsidRDefault="00254140" w:rsidP="008A5F5F">
                  <w:pPr>
                    <w:jc w:val="both"/>
                    <w:rPr>
                      <w:color w:val="000000" w:themeColor="text1"/>
                    </w:rPr>
                  </w:pPr>
                  <w:r w:rsidRPr="000D28F3">
                    <w:rPr>
                      <w:color w:val="000000" w:themeColor="text1"/>
                    </w:rPr>
                    <w:t>Nav</w:t>
                  </w:r>
                </w:p>
              </w:tc>
            </w:tr>
          </w:tbl>
          <w:p w14:paraId="0E5AC3F8" w14:textId="77777777" w:rsidR="00254140" w:rsidRPr="000D28F3" w:rsidRDefault="00254140" w:rsidP="008A5F5F">
            <w:pPr>
              <w:rPr>
                <w:b/>
                <w:bCs/>
              </w:rPr>
            </w:pPr>
          </w:p>
          <w:tbl>
            <w:tblPr>
              <w:tblW w:w="90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037"/>
            </w:tblGrid>
            <w:tr w:rsidR="00254140" w:rsidRPr="000D28F3" w14:paraId="27EBEF57" w14:textId="77777777" w:rsidTr="008A5F5F">
              <w:trPr>
                <w:trHeight w:val="288"/>
                <w:jc w:val="center"/>
              </w:trPr>
              <w:tc>
                <w:tcPr>
                  <w:tcW w:w="9037" w:type="dxa"/>
                  <w:vAlign w:val="center"/>
                  <w:hideMark/>
                </w:tcPr>
                <w:p w14:paraId="4B1CB8D7" w14:textId="77777777" w:rsidR="00254140" w:rsidRPr="000D28F3" w:rsidRDefault="00254140" w:rsidP="008A5F5F">
                  <w:pPr>
                    <w:jc w:val="center"/>
                    <w:rPr>
                      <w:b/>
                      <w:bCs/>
                    </w:rPr>
                  </w:pPr>
                  <w:r w:rsidRPr="000D28F3">
                    <w:rPr>
                      <w:b/>
                      <w:bCs/>
                    </w:rPr>
                    <w:t>V. Tiesību akta projekta atbilstība Latvijas Republikas starptautiskajām saistībām</w:t>
                  </w:r>
                </w:p>
              </w:tc>
            </w:tr>
            <w:tr w:rsidR="00254140" w:rsidRPr="000D28F3" w14:paraId="2322AE03" w14:textId="77777777" w:rsidTr="008A5F5F">
              <w:trPr>
                <w:trHeight w:val="288"/>
                <w:jc w:val="center"/>
              </w:trPr>
              <w:tc>
                <w:tcPr>
                  <w:tcW w:w="9037" w:type="dxa"/>
                  <w:vAlign w:val="center"/>
                </w:tcPr>
                <w:p w14:paraId="2149B147" w14:textId="77777777" w:rsidR="00254140" w:rsidRPr="000D28F3" w:rsidRDefault="00254140" w:rsidP="008A5F5F">
                  <w:pPr>
                    <w:jc w:val="center"/>
                    <w:rPr>
                      <w:bCs/>
                    </w:rPr>
                  </w:pPr>
                  <w:r w:rsidRPr="000D28F3">
                    <w:rPr>
                      <w:bCs/>
                    </w:rPr>
                    <w:t>Projekts šo jomu neskar</w:t>
                  </w:r>
                </w:p>
              </w:tc>
            </w:tr>
          </w:tbl>
          <w:p w14:paraId="047A6BEE" w14:textId="77777777" w:rsidR="00254140" w:rsidRPr="000D28F3" w:rsidRDefault="00254140" w:rsidP="008A5F5F">
            <w:pPr>
              <w:rPr>
                <w:b/>
                <w:b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705"/>
              <w:gridCol w:w="5859"/>
            </w:tblGrid>
            <w:tr w:rsidR="00254140" w:rsidRPr="000D28F3" w14:paraId="63D0134E" w14:textId="77777777" w:rsidTr="008A5F5F">
              <w:trPr>
                <w:trHeight w:val="336"/>
                <w:jc w:val="center"/>
              </w:trPr>
              <w:tc>
                <w:tcPr>
                  <w:tcW w:w="8872" w:type="dxa"/>
                  <w:gridSpan w:val="3"/>
                  <w:vAlign w:val="center"/>
                  <w:hideMark/>
                </w:tcPr>
                <w:p w14:paraId="678B3DD5" w14:textId="77777777" w:rsidR="00254140" w:rsidRPr="000D28F3" w:rsidRDefault="00254140" w:rsidP="008A5F5F">
                  <w:pPr>
                    <w:spacing w:before="100" w:beforeAutospacing="1" w:after="100" w:afterAutospacing="1" w:line="293" w:lineRule="atLeas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0D28F3">
                    <w:rPr>
                      <w:b/>
                      <w:bCs/>
                      <w:color w:val="000000" w:themeColor="text1"/>
                    </w:rPr>
                    <w:t>VI. </w:t>
                  </w:r>
                  <w:r w:rsidRPr="004D791D">
                    <w:rPr>
                      <w:b/>
                      <w:bCs/>
                      <w:color w:val="000000" w:themeColor="text1"/>
                    </w:rPr>
                    <w:t>Sabiedrības līdzdalība un komunikācijas aktivitātes</w:t>
                  </w:r>
                </w:p>
              </w:tc>
            </w:tr>
            <w:tr w:rsidR="00254140" w:rsidRPr="000D28F3" w14:paraId="39EEC212" w14:textId="77777777" w:rsidTr="008A5F5F">
              <w:trPr>
                <w:trHeight w:val="432"/>
                <w:jc w:val="center"/>
              </w:trPr>
              <w:tc>
                <w:tcPr>
                  <w:tcW w:w="443" w:type="dxa"/>
                  <w:hideMark/>
                </w:tcPr>
                <w:p w14:paraId="40818C00" w14:textId="77777777" w:rsidR="00254140" w:rsidRPr="000D28F3" w:rsidRDefault="00254140" w:rsidP="008A5F5F">
                  <w:pPr>
                    <w:rPr>
                      <w:color w:val="000000" w:themeColor="text1"/>
                    </w:rPr>
                  </w:pPr>
                  <w:r w:rsidRPr="000D28F3">
                    <w:rPr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662" w:type="dxa"/>
                  <w:hideMark/>
                </w:tcPr>
                <w:p w14:paraId="44E4AEB9" w14:textId="77777777" w:rsidR="00254140" w:rsidRPr="000D28F3" w:rsidRDefault="00254140" w:rsidP="008A5F5F">
                  <w:pPr>
                    <w:rPr>
                      <w:color w:val="000000" w:themeColor="text1"/>
                    </w:rPr>
                  </w:pPr>
                  <w:r w:rsidRPr="000D28F3">
                    <w:rPr>
                      <w:color w:val="000000" w:themeColor="text1"/>
                    </w:rPr>
                    <w:t>Plānotās sabiedrības līdzdalības un komunikācijas aktivitātes saistībā ar projektu</w:t>
                  </w:r>
                </w:p>
              </w:tc>
              <w:tc>
                <w:tcPr>
                  <w:tcW w:w="5767" w:type="dxa"/>
                  <w:hideMark/>
                </w:tcPr>
                <w:p w14:paraId="140FB711" w14:textId="77777777" w:rsidR="00254140" w:rsidRPr="000D28F3" w:rsidRDefault="00254140" w:rsidP="008A5F5F">
                  <w:pPr>
                    <w:jc w:val="both"/>
                    <w:rPr>
                      <w:color w:val="000000" w:themeColor="text1"/>
                    </w:rPr>
                  </w:pPr>
                  <w:r w:rsidRPr="000D28F3">
                    <w:rPr>
                      <w:color w:val="000000" w:themeColor="text1"/>
                    </w:rPr>
                    <w:t>Sabiedrības līdzdalība Projekta izstrādē īstenota atbilstoši Ministru kabineta 2009.gada 25.augusta noteikumiem Nr.970 “Sabiedrības līdzdalības kārtība attīstības plānošanas procesā” 7.4.</w:t>
                  </w:r>
                  <w:r w:rsidRPr="000D28F3">
                    <w:rPr>
                      <w:color w:val="000000" w:themeColor="text1"/>
                      <w:vertAlign w:val="superscript"/>
                    </w:rPr>
                    <w:t xml:space="preserve">1 </w:t>
                  </w:r>
                  <w:r w:rsidRPr="000D28F3">
                    <w:rPr>
                      <w:color w:val="000000" w:themeColor="text1"/>
                    </w:rPr>
                    <w:t>apakšpunktā, proti, sabiedrības pārstāvjiem tika dota iespēja rakstiski sniegt viedokli par Noteikumu projektu tā izstrādes stadijā.</w:t>
                  </w:r>
                </w:p>
              </w:tc>
            </w:tr>
            <w:tr w:rsidR="00254140" w:rsidRPr="000D28F3" w14:paraId="719A0196" w14:textId="77777777" w:rsidTr="008A5F5F">
              <w:trPr>
                <w:trHeight w:val="264"/>
                <w:jc w:val="center"/>
              </w:trPr>
              <w:tc>
                <w:tcPr>
                  <w:tcW w:w="443" w:type="dxa"/>
                  <w:hideMark/>
                </w:tcPr>
                <w:p w14:paraId="1797FD8A" w14:textId="77777777" w:rsidR="00254140" w:rsidRPr="000D28F3" w:rsidRDefault="00254140" w:rsidP="008A5F5F">
                  <w:pPr>
                    <w:rPr>
                      <w:color w:val="000000" w:themeColor="text1"/>
                    </w:rPr>
                  </w:pPr>
                  <w:r w:rsidRPr="000D28F3">
                    <w:rPr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662" w:type="dxa"/>
                  <w:hideMark/>
                </w:tcPr>
                <w:p w14:paraId="3CE6582C" w14:textId="77777777" w:rsidR="00254140" w:rsidRPr="000D28F3" w:rsidRDefault="00254140" w:rsidP="008A5F5F">
                  <w:pPr>
                    <w:rPr>
                      <w:color w:val="000000" w:themeColor="text1"/>
                    </w:rPr>
                  </w:pPr>
                  <w:r w:rsidRPr="000D28F3">
                    <w:rPr>
                      <w:color w:val="000000" w:themeColor="text1"/>
                    </w:rPr>
                    <w:t>Sabiedrības līdzdalība projekta izstrādē</w:t>
                  </w:r>
                </w:p>
                <w:p w14:paraId="6BD15CEF" w14:textId="77777777" w:rsidR="00254140" w:rsidRPr="000D28F3" w:rsidRDefault="00254140" w:rsidP="008A5F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5767" w:type="dxa"/>
                  <w:hideMark/>
                </w:tcPr>
                <w:p w14:paraId="59E72B91" w14:textId="71615D29" w:rsidR="00254140" w:rsidRPr="000D28F3" w:rsidRDefault="00254140" w:rsidP="008A5F5F">
                  <w:pPr>
                    <w:jc w:val="both"/>
                    <w:rPr>
                      <w:color w:val="000000" w:themeColor="text1"/>
                    </w:rPr>
                  </w:pPr>
                  <w:r w:rsidRPr="008260AE">
                    <w:rPr>
                      <w:color w:val="000000" w:themeColor="text1"/>
                    </w:rPr>
                    <w:t>20</w:t>
                  </w:r>
                  <w:r w:rsidR="004D791D" w:rsidRPr="008260AE">
                    <w:rPr>
                      <w:color w:val="000000" w:themeColor="text1"/>
                    </w:rPr>
                    <w:t>20</w:t>
                  </w:r>
                  <w:r w:rsidRPr="008260AE">
                    <w:rPr>
                      <w:color w:val="000000" w:themeColor="text1"/>
                    </w:rPr>
                    <w:t xml:space="preserve">.gada </w:t>
                  </w:r>
                  <w:r w:rsidR="008260AE" w:rsidRPr="008260AE">
                    <w:rPr>
                      <w:color w:val="000000" w:themeColor="text1"/>
                    </w:rPr>
                    <w:t>27.</w:t>
                  </w:r>
                  <w:r w:rsidR="004D791D" w:rsidRPr="008260AE">
                    <w:rPr>
                      <w:color w:val="000000" w:themeColor="text1"/>
                    </w:rPr>
                    <w:t>martā</w:t>
                  </w:r>
                  <w:r w:rsidRPr="000D28F3">
                    <w:rPr>
                      <w:color w:val="000000" w:themeColor="text1"/>
                    </w:rPr>
                    <w:t xml:space="preserve"> Noteikumu projekts kopā ar sākotnējās ietekmes novērtējuma ziņojumu (anotāciju) tika   publicēts Ekonomikas ministrijas tīmekļa vietnē:  </w:t>
                  </w:r>
                  <w:hyperlink r:id="rId7" w:history="1">
                    <w:r w:rsidRPr="000D28F3">
                      <w:rPr>
                        <w:rStyle w:val="Hipersaite"/>
                      </w:rPr>
                      <w:t>https://em.gov.lv/lv/Ministrija/sabiedribas_lidzdaliba/diskusiju_dokumenti/</w:t>
                    </w:r>
                  </w:hyperlink>
                  <w:r w:rsidRPr="000D28F3">
                    <w:rPr>
                      <w:color w:val="000000" w:themeColor="text1"/>
                    </w:rPr>
                    <w:t xml:space="preserve"> un Valsts kancelejas tīmekļa vietnē: </w:t>
                  </w:r>
                  <w:hyperlink r:id="rId8" w:history="1">
                    <w:r w:rsidRPr="000D28F3">
                      <w:rPr>
                        <w:rStyle w:val="Hipersaite"/>
                      </w:rPr>
                      <w:t>https://www.mk.gov.lv/content/ministru-kabineta-diskusiju-dokumenti</w:t>
                    </w:r>
                  </w:hyperlink>
                  <w:r w:rsidRPr="000D28F3">
                    <w:rPr>
                      <w:color w:val="000000" w:themeColor="text1"/>
                    </w:rPr>
                    <w:t>, aicinot sabiedrību izteikt savu rakstisku viedokli.</w:t>
                  </w:r>
                </w:p>
                <w:p w14:paraId="147F4580" w14:textId="77777777" w:rsidR="00254140" w:rsidRPr="000D28F3" w:rsidRDefault="00254140" w:rsidP="008A5F5F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254140" w:rsidRPr="000D28F3" w14:paraId="606EC568" w14:textId="77777777" w:rsidTr="008A5F5F">
              <w:trPr>
                <w:trHeight w:val="372"/>
                <w:jc w:val="center"/>
              </w:trPr>
              <w:tc>
                <w:tcPr>
                  <w:tcW w:w="443" w:type="dxa"/>
                  <w:hideMark/>
                </w:tcPr>
                <w:p w14:paraId="3C3BB946" w14:textId="77777777" w:rsidR="00254140" w:rsidRPr="000D28F3" w:rsidRDefault="00254140" w:rsidP="008A5F5F">
                  <w:pPr>
                    <w:rPr>
                      <w:color w:val="000000" w:themeColor="text1"/>
                    </w:rPr>
                  </w:pPr>
                  <w:r w:rsidRPr="000D28F3">
                    <w:rPr>
                      <w:color w:val="000000" w:themeColor="text1"/>
                    </w:rPr>
                    <w:lastRenderedPageBreak/>
                    <w:t>3.</w:t>
                  </w:r>
                </w:p>
              </w:tc>
              <w:tc>
                <w:tcPr>
                  <w:tcW w:w="2662" w:type="dxa"/>
                  <w:hideMark/>
                </w:tcPr>
                <w:p w14:paraId="5A3F8DEA" w14:textId="77777777" w:rsidR="00254140" w:rsidRPr="000D28F3" w:rsidRDefault="00254140" w:rsidP="008A5F5F">
                  <w:pPr>
                    <w:rPr>
                      <w:color w:val="000000" w:themeColor="text1"/>
                    </w:rPr>
                  </w:pPr>
                  <w:r w:rsidRPr="000D28F3">
                    <w:rPr>
                      <w:color w:val="000000" w:themeColor="text1"/>
                    </w:rPr>
                    <w:t>Sabiedrības līdzdalības rezultāti</w:t>
                  </w:r>
                </w:p>
              </w:tc>
              <w:tc>
                <w:tcPr>
                  <w:tcW w:w="5767" w:type="dxa"/>
                </w:tcPr>
                <w:p w14:paraId="16D0B9A6" w14:textId="7C9B1C90" w:rsidR="00254140" w:rsidRPr="000D28F3" w:rsidRDefault="00BE7AD0" w:rsidP="008A5F5F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Iebildumi netika saņemti</w:t>
                  </w:r>
                </w:p>
              </w:tc>
            </w:tr>
            <w:tr w:rsidR="00254140" w:rsidRPr="000D28F3" w14:paraId="0048D661" w14:textId="77777777" w:rsidTr="008A5F5F">
              <w:trPr>
                <w:trHeight w:val="372"/>
                <w:jc w:val="center"/>
              </w:trPr>
              <w:tc>
                <w:tcPr>
                  <w:tcW w:w="443" w:type="dxa"/>
                  <w:hideMark/>
                </w:tcPr>
                <w:p w14:paraId="14981827" w14:textId="77777777" w:rsidR="00254140" w:rsidRPr="000D28F3" w:rsidRDefault="00254140" w:rsidP="008A5F5F">
                  <w:pPr>
                    <w:rPr>
                      <w:color w:val="000000" w:themeColor="text1"/>
                    </w:rPr>
                  </w:pPr>
                  <w:r w:rsidRPr="000D28F3">
                    <w:rPr>
                      <w:color w:val="000000" w:themeColor="text1"/>
                    </w:rPr>
                    <w:t>4.</w:t>
                  </w:r>
                </w:p>
              </w:tc>
              <w:tc>
                <w:tcPr>
                  <w:tcW w:w="2662" w:type="dxa"/>
                  <w:hideMark/>
                </w:tcPr>
                <w:p w14:paraId="29E33CD4" w14:textId="77777777" w:rsidR="00254140" w:rsidRPr="000D28F3" w:rsidRDefault="00254140" w:rsidP="008A5F5F">
                  <w:pPr>
                    <w:rPr>
                      <w:color w:val="000000" w:themeColor="text1"/>
                    </w:rPr>
                  </w:pPr>
                  <w:r w:rsidRPr="000D28F3">
                    <w:rPr>
                      <w:color w:val="000000" w:themeColor="text1"/>
                    </w:rPr>
                    <w:t>Cita informācija</w:t>
                  </w:r>
                </w:p>
              </w:tc>
              <w:tc>
                <w:tcPr>
                  <w:tcW w:w="5767" w:type="dxa"/>
                  <w:hideMark/>
                </w:tcPr>
                <w:p w14:paraId="0DA14E63" w14:textId="77777777" w:rsidR="00254140" w:rsidRPr="000D28F3" w:rsidRDefault="00254140" w:rsidP="008A5F5F">
                  <w:pPr>
                    <w:rPr>
                      <w:color w:val="000000" w:themeColor="text1"/>
                    </w:rPr>
                  </w:pPr>
                  <w:r w:rsidRPr="000D28F3">
                    <w:rPr>
                      <w:color w:val="000000" w:themeColor="text1"/>
                    </w:rPr>
                    <w:t>Nav</w:t>
                  </w:r>
                </w:p>
              </w:tc>
            </w:tr>
          </w:tbl>
          <w:p w14:paraId="0554F360" w14:textId="77777777" w:rsidR="00254140" w:rsidRPr="000D28F3" w:rsidRDefault="00254140" w:rsidP="008A5F5F">
            <w:pPr>
              <w:rPr>
                <w:b/>
                <w:bCs/>
              </w:rPr>
            </w:pPr>
          </w:p>
        </w:tc>
      </w:tr>
      <w:tr w:rsidR="00254140" w:rsidRPr="000D28F3" w14:paraId="4C7AC27E" w14:textId="77777777" w:rsidTr="008A5F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9088" w:type="dxa"/>
            <w:gridSpan w:val="6"/>
          </w:tcPr>
          <w:p w14:paraId="2D3B06A5" w14:textId="77777777" w:rsidR="00254140" w:rsidRPr="000D28F3" w:rsidRDefault="00254140" w:rsidP="008A5F5F">
            <w:pPr>
              <w:jc w:val="center"/>
            </w:pPr>
            <w:r w:rsidRPr="000D28F3">
              <w:rPr>
                <w:b/>
              </w:rPr>
              <w:lastRenderedPageBreak/>
              <w:t>VII. Tiesību akta projekta izpildes nodrošināšana un tās ietekme uz institūcijām</w:t>
            </w:r>
          </w:p>
        </w:tc>
      </w:tr>
      <w:tr w:rsidR="00254140" w:rsidRPr="000D28F3" w14:paraId="5958C40A" w14:textId="77777777" w:rsidTr="008A5F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30" w:type="dxa"/>
          </w:tcPr>
          <w:p w14:paraId="1C84361A" w14:textId="77777777" w:rsidR="00254140" w:rsidRPr="000D28F3" w:rsidRDefault="00254140" w:rsidP="008A5F5F">
            <w:r w:rsidRPr="000D28F3">
              <w:t> 1.</w:t>
            </w:r>
          </w:p>
        </w:tc>
        <w:tc>
          <w:tcPr>
            <w:tcW w:w="2731" w:type="dxa"/>
            <w:gridSpan w:val="3"/>
          </w:tcPr>
          <w:p w14:paraId="171C48D5" w14:textId="77777777" w:rsidR="00254140" w:rsidRPr="000D28F3" w:rsidRDefault="00254140" w:rsidP="008A5F5F">
            <w:r w:rsidRPr="000D28F3">
              <w:t>Projekta izpildē iesaistītās institūcijas</w:t>
            </w:r>
          </w:p>
        </w:tc>
        <w:tc>
          <w:tcPr>
            <w:tcW w:w="5827" w:type="dxa"/>
            <w:gridSpan w:val="2"/>
          </w:tcPr>
          <w:p w14:paraId="3322CE80" w14:textId="77777777" w:rsidR="00254140" w:rsidRPr="000D28F3" w:rsidRDefault="00254140" w:rsidP="008A5F5F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0D28F3">
              <w:rPr>
                <w:b w:val="0"/>
              </w:rPr>
              <w:t>Sabiedrība ar ierobežotu atbildību “Latvijas nacionālais metroloģijas centrs” Metroloģijas birojs</w:t>
            </w:r>
          </w:p>
        </w:tc>
      </w:tr>
      <w:tr w:rsidR="00254140" w:rsidRPr="000D28F3" w14:paraId="5B2F8A48" w14:textId="77777777" w:rsidTr="008A5F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30" w:type="dxa"/>
          </w:tcPr>
          <w:p w14:paraId="3D658EAC" w14:textId="77777777" w:rsidR="00254140" w:rsidRPr="000D28F3" w:rsidRDefault="00254140" w:rsidP="008A5F5F">
            <w:r w:rsidRPr="000D28F3">
              <w:t> 2.</w:t>
            </w:r>
          </w:p>
        </w:tc>
        <w:tc>
          <w:tcPr>
            <w:tcW w:w="2731" w:type="dxa"/>
            <w:gridSpan w:val="3"/>
          </w:tcPr>
          <w:p w14:paraId="7C1F2A8E" w14:textId="77777777" w:rsidR="00254140" w:rsidRPr="000D28F3" w:rsidRDefault="00254140" w:rsidP="008A5F5F">
            <w:r w:rsidRPr="000D28F3"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5827" w:type="dxa"/>
            <w:gridSpan w:val="2"/>
          </w:tcPr>
          <w:p w14:paraId="52B09421" w14:textId="77777777" w:rsidR="00254140" w:rsidRPr="000D28F3" w:rsidRDefault="00254140" w:rsidP="008A5F5F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0D28F3">
              <w:rPr>
                <w:b w:val="0"/>
              </w:rPr>
              <w:t xml:space="preserve"> Projekts šo jomu neskar </w:t>
            </w:r>
          </w:p>
        </w:tc>
      </w:tr>
      <w:tr w:rsidR="00254140" w:rsidRPr="000D28F3" w14:paraId="0F08C579" w14:textId="77777777" w:rsidTr="008A5F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530" w:type="dxa"/>
          </w:tcPr>
          <w:p w14:paraId="49D8D342" w14:textId="77777777" w:rsidR="00254140" w:rsidRPr="000D28F3" w:rsidRDefault="00254140" w:rsidP="008A5F5F">
            <w:r w:rsidRPr="000D28F3">
              <w:t> 3.</w:t>
            </w:r>
          </w:p>
        </w:tc>
        <w:tc>
          <w:tcPr>
            <w:tcW w:w="2731" w:type="dxa"/>
            <w:gridSpan w:val="3"/>
          </w:tcPr>
          <w:p w14:paraId="1E2D626C" w14:textId="77777777" w:rsidR="00254140" w:rsidRPr="000D28F3" w:rsidRDefault="00254140" w:rsidP="008A5F5F">
            <w:r w:rsidRPr="000D28F3">
              <w:t> Cita informācija</w:t>
            </w:r>
          </w:p>
        </w:tc>
        <w:tc>
          <w:tcPr>
            <w:tcW w:w="5827" w:type="dxa"/>
            <w:gridSpan w:val="2"/>
          </w:tcPr>
          <w:p w14:paraId="4E257BBC" w14:textId="77777777" w:rsidR="00254140" w:rsidRPr="000D28F3" w:rsidRDefault="00254140" w:rsidP="008A5F5F">
            <w:pPr>
              <w:jc w:val="both"/>
            </w:pPr>
            <w:r w:rsidRPr="000D28F3">
              <w:t>Nav</w:t>
            </w:r>
          </w:p>
        </w:tc>
      </w:tr>
    </w:tbl>
    <w:p w14:paraId="0A28ABB7" w14:textId="77777777" w:rsidR="00254140" w:rsidRPr="000D28F3" w:rsidRDefault="00254140" w:rsidP="00254140">
      <w:pPr>
        <w:rPr>
          <w:bCs/>
          <w:sz w:val="28"/>
          <w:szCs w:val="28"/>
        </w:rPr>
      </w:pPr>
    </w:p>
    <w:p w14:paraId="2A6C0C6B" w14:textId="7D1F5182" w:rsidR="004D470D" w:rsidRDefault="00254140" w:rsidP="00DF7CBA">
      <w:pPr>
        <w:pStyle w:val="Pamatteksts"/>
        <w:spacing w:after="0"/>
      </w:pPr>
      <w:r w:rsidRPr="000D28F3">
        <w:t>Ekonomikas ministr</w:t>
      </w:r>
      <w:r w:rsidR="00BE7AD0">
        <w:t xml:space="preserve">s </w:t>
      </w:r>
      <w:r w:rsidR="00DF7CBA">
        <w:tab/>
      </w:r>
      <w:r w:rsidR="00DF7CBA">
        <w:tab/>
      </w:r>
      <w:r w:rsidR="00DF7CBA">
        <w:tab/>
      </w:r>
      <w:r w:rsidR="00BE7AD0">
        <w:tab/>
      </w:r>
      <w:r w:rsidR="00BE7AD0">
        <w:tab/>
      </w:r>
      <w:r w:rsidR="00BE7AD0">
        <w:tab/>
      </w:r>
      <w:r w:rsidR="00BE7AD0">
        <w:tab/>
      </w:r>
      <w:r w:rsidR="00AD24F9">
        <w:tab/>
      </w:r>
      <w:proofErr w:type="spellStart"/>
      <w:r w:rsidR="00BE7AD0">
        <w:t>J.Vitenbergs</w:t>
      </w:r>
      <w:proofErr w:type="spellEnd"/>
    </w:p>
    <w:p w14:paraId="7E615301" w14:textId="0DA4D98E" w:rsidR="00DF7CBA" w:rsidRDefault="00254140" w:rsidP="00BE7AD0">
      <w:pPr>
        <w:pStyle w:val="Pamatteksts"/>
        <w:spacing w:after="0"/>
      </w:pPr>
      <w:r>
        <w:t xml:space="preserve">                                                                        </w:t>
      </w:r>
      <w:r>
        <w:tab/>
      </w:r>
    </w:p>
    <w:p w14:paraId="5D661783" w14:textId="10934F99" w:rsidR="00254140" w:rsidRPr="000D28F3" w:rsidRDefault="00254140" w:rsidP="00254140">
      <w:pPr>
        <w:pStyle w:val="Pamatteksts2"/>
        <w:tabs>
          <w:tab w:val="left" w:pos="6521"/>
        </w:tabs>
        <w:spacing w:after="0" w:line="240" w:lineRule="auto"/>
      </w:pPr>
      <w:r w:rsidRPr="000D28F3">
        <w:t>Vīza:</w:t>
      </w:r>
    </w:p>
    <w:p w14:paraId="508F796A" w14:textId="3586E5BB" w:rsidR="000B76DA" w:rsidRDefault="00254140" w:rsidP="00DF7CBA">
      <w:pPr>
        <w:pStyle w:val="Pamatteksts"/>
        <w:spacing w:after="0"/>
      </w:pPr>
      <w:r w:rsidRPr="000D28F3">
        <w:t>Valsts sekretār</w:t>
      </w:r>
      <w:r w:rsidR="000B76DA">
        <w:t>a pienākuma izpildītājs,</w:t>
      </w:r>
      <w:r w:rsidR="00DF7CBA">
        <w:tab/>
      </w:r>
      <w:r w:rsidR="00DF7CBA">
        <w:tab/>
      </w:r>
      <w:r w:rsidR="00BE7AD0">
        <w:tab/>
      </w:r>
      <w:r w:rsidR="00BE7AD0">
        <w:tab/>
      </w:r>
      <w:r w:rsidR="00AD24F9">
        <w:tab/>
      </w:r>
      <w:proofErr w:type="spellStart"/>
      <w:r w:rsidR="00DF7CBA">
        <w:t>E.Valantis</w:t>
      </w:r>
      <w:proofErr w:type="spellEnd"/>
    </w:p>
    <w:p w14:paraId="3EE02993" w14:textId="5366A652" w:rsidR="00254140" w:rsidRDefault="00BE7AD0" w:rsidP="00DF7CBA">
      <w:pPr>
        <w:pStyle w:val="Pamatteksts"/>
        <w:spacing w:after="0"/>
        <w:rPr>
          <w:bCs/>
          <w:sz w:val="16"/>
          <w:szCs w:val="16"/>
        </w:rPr>
      </w:pPr>
      <w:r>
        <w:t>V</w:t>
      </w:r>
      <w:r w:rsidR="000B76DA">
        <w:t>alsts sekretāra vietnieks</w:t>
      </w:r>
      <w:r w:rsidR="00254140">
        <w:tab/>
      </w:r>
      <w:r w:rsidR="00254140">
        <w:tab/>
      </w:r>
      <w:r w:rsidR="00254140">
        <w:tab/>
      </w:r>
      <w:r w:rsidR="00254140">
        <w:tab/>
      </w:r>
      <w:r w:rsidR="00254140">
        <w:tab/>
      </w:r>
      <w:r w:rsidR="00254140">
        <w:tab/>
      </w:r>
      <w:r w:rsidR="00254140">
        <w:tab/>
      </w:r>
    </w:p>
    <w:p w14:paraId="38A7C1E5" w14:textId="77777777" w:rsidR="00254140" w:rsidRDefault="00254140" w:rsidP="00254140">
      <w:pPr>
        <w:jc w:val="both"/>
        <w:rPr>
          <w:bCs/>
          <w:sz w:val="16"/>
          <w:szCs w:val="16"/>
        </w:rPr>
      </w:pPr>
    </w:p>
    <w:p w14:paraId="16C651B3" w14:textId="77777777" w:rsidR="00254140" w:rsidRPr="000D28F3" w:rsidRDefault="00254140" w:rsidP="00254140">
      <w:pPr>
        <w:jc w:val="both"/>
        <w:rPr>
          <w:bCs/>
          <w:sz w:val="16"/>
          <w:szCs w:val="16"/>
        </w:rPr>
      </w:pPr>
    </w:p>
    <w:p w14:paraId="5138FBE5" w14:textId="77777777" w:rsidR="00254140" w:rsidRPr="000D28F3" w:rsidRDefault="00254140" w:rsidP="00254140">
      <w:pPr>
        <w:jc w:val="both"/>
        <w:rPr>
          <w:bCs/>
          <w:sz w:val="16"/>
          <w:szCs w:val="16"/>
        </w:rPr>
      </w:pPr>
    </w:p>
    <w:p w14:paraId="12245F0E" w14:textId="7A70C15C" w:rsidR="00254140" w:rsidRDefault="00254140" w:rsidP="00254140">
      <w:pPr>
        <w:jc w:val="both"/>
        <w:rPr>
          <w:bCs/>
          <w:sz w:val="16"/>
          <w:szCs w:val="16"/>
        </w:rPr>
      </w:pPr>
    </w:p>
    <w:p w14:paraId="52B6D5D7" w14:textId="13281A5E" w:rsidR="00BA3712" w:rsidRDefault="00BA3712" w:rsidP="00254140">
      <w:pPr>
        <w:jc w:val="both"/>
        <w:rPr>
          <w:bCs/>
          <w:sz w:val="16"/>
          <w:szCs w:val="16"/>
        </w:rPr>
      </w:pPr>
    </w:p>
    <w:p w14:paraId="04883D0D" w14:textId="799AD856" w:rsidR="00AD24F9" w:rsidRDefault="00AD24F9" w:rsidP="00254140">
      <w:pPr>
        <w:jc w:val="both"/>
        <w:rPr>
          <w:bCs/>
          <w:sz w:val="16"/>
          <w:szCs w:val="16"/>
        </w:rPr>
      </w:pPr>
    </w:p>
    <w:p w14:paraId="446A596C" w14:textId="77777777" w:rsidR="00AD24F9" w:rsidRDefault="00AD24F9" w:rsidP="00254140">
      <w:pPr>
        <w:jc w:val="both"/>
        <w:rPr>
          <w:bCs/>
          <w:sz w:val="16"/>
          <w:szCs w:val="16"/>
        </w:rPr>
      </w:pPr>
    </w:p>
    <w:p w14:paraId="0379F8DD" w14:textId="77777777" w:rsidR="00BA3712" w:rsidRPr="000D28F3" w:rsidRDefault="00BA3712" w:rsidP="00254140">
      <w:pPr>
        <w:jc w:val="both"/>
        <w:rPr>
          <w:bCs/>
          <w:sz w:val="16"/>
          <w:szCs w:val="16"/>
        </w:rPr>
      </w:pPr>
    </w:p>
    <w:p w14:paraId="185F4DEA" w14:textId="77777777" w:rsidR="00254140" w:rsidRPr="00BA3712" w:rsidRDefault="00254140" w:rsidP="00BB6985">
      <w:pPr>
        <w:pStyle w:val="Saraksts"/>
        <w:rPr>
          <w:sz w:val="16"/>
          <w:szCs w:val="16"/>
        </w:rPr>
      </w:pPr>
      <w:r w:rsidRPr="00BA3712">
        <w:rPr>
          <w:sz w:val="16"/>
          <w:szCs w:val="16"/>
        </w:rPr>
        <w:t>Matēviča 67013066</w:t>
      </w:r>
    </w:p>
    <w:p w14:paraId="1B3CDBD5" w14:textId="77777777" w:rsidR="00254140" w:rsidRPr="00F817D5" w:rsidRDefault="00142172" w:rsidP="00BB6985">
      <w:pPr>
        <w:pStyle w:val="Saraksts"/>
        <w:rPr>
          <w:sz w:val="16"/>
          <w:szCs w:val="16"/>
        </w:rPr>
      </w:pPr>
      <w:hyperlink r:id="rId9" w:history="1">
        <w:r w:rsidR="00254140" w:rsidRPr="000D28F3">
          <w:rPr>
            <w:rStyle w:val="Hipersaite"/>
            <w:color w:val="auto"/>
            <w:sz w:val="16"/>
            <w:szCs w:val="16"/>
            <w:u w:val="none"/>
          </w:rPr>
          <w:t>Inese.Matevica@em.gov.lv</w:t>
        </w:r>
      </w:hyperlink>
      <w:r w:rsidR="00254140" w:rsidRPr="00F817D5">
        <w:rPr>
          <w:sz w:val="16"/>
          <w:szCs w:val="16"/>
        </w:rPr>
        <w:t xml:space="preserve">  </w:t>
      </w:r>
    </w:p>
    <w:p w14:paraId="08CA3B58" w14:textId="77777777" w:rsidR="005A242A" w:rsidRDefault="00142172"/>
    <w:sectPr w:rsidR="005A242A" w:rsidSect="00140F47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851" w:bottom="1134" w:left="1701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87806" w14:textId="77777777" w:rsidR="002A07A0" w:rsidRDefault="002A07A0">
      <w:r>
        <w:separator/>
      </w:r>
    </w:p>
  </w:endnote>
  <w:endnote w:type="continuationSeparator" w:id="0">
    <w:p w14:paraId="4EB8A260" w14:textId="77777777" w:rsidR="002A07A0" w:rsidRDefault="002A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AC9F" w14:textId="30DE4BCF" w:rsidR="009753AA" w:rsidRPr="000B7C58" w:rsidRDefault="0051703B" w:rsidP="000B7C58">
    <w:pPr>
      <w:pStyle w:val="Kjene"/>
    </w:pPr>
    <w:proofErr w:type="spellStart"/>
    <w:r w:rsidRPr="0051703B">
      <w:rPr>
        <w:sz w:val="20"/>
        <w:szCs w:val="20"/>
      </w:rPr>
      <w:t>EMAnot_Ministru</w:t>
    </w:r>
    <w:proofErr w:type="spellEnd"/>
    <w:r w:rsidRPr="0051703B">
      <w:rPr>
        <w:sz w:val="20"/>
        <w:szCs w:val="20"/>
      </w:rPr>
      <w:t xml:space="preserve"> kabineta noteikumu “</w:t>
    </w:r>
    <w:r w:rsidR="00EB4AE2">
      <w:rPr>
        <w:sz w:val="20"/>
        <w:szCs w:val="20"/>
      </w:rPr>
      <w:t>N</w:t>
    </w:r>
    <w:r w:rsidRPr="0051703B">
      <w:rPr>
        <w:sz w:val="20"/>
        <w:szCs w:val="20"/>
      </w:rPr>
      <w:t>acionālo mērvienību etalonu sarakst</w:t>
    </w:r>
    <w:r w:rsidR="00EB4AE2">
      <w:rPr>
        <w:sz w:val="20"/>
        <w:szCs w:val="20"/>
      </w:rPr>
      <w:t>s</w:t>
    </w:r>
    <w:r w:rsidRPr="0051703B">
      <w:rPr>
        <w:sz w:val="20"/>
        <w:szCs w:val="20"/>
      </w:rPr>
      <w:t>” sākotnējās</w:t>
    </w:r>
    <w:r w:rsidR="00206338">
      <w:rPr>
        <w:sz w:val="20"/>
        <w:szCs w:val="20"/>
      </w:rPr>
      <w:t xml:space="preserve"> </w:t>
    </w:r>
    <w:r w:rsidRPr="0051703B">
      <w:rPr>
        <w:sz w:val="20"/>
        <w:szCs w:val="20"/>
      </w:rPr>
      <w:t>ietekmes novērtēju</w:t>
    </w:r>
    <w:r w:rsidR="00206338">
      <w:rPr>
        <w:sz w:val="20"/>
        <w:szCs w:val="20"/>
      </w:rPr>
      <w:t>m</w:t>
    </w:r>
    <w:r w:rsidRPr="0051703B">
      <w:rPr>
        <w:sz w:val="20"/>
        <w:szCs w:val="20"/>
      </w:rPr>
      <w:t>a ziņojums  (anotācija)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1851" w14:textId="314FC2FD" w:rsidR="0051703B" w:rsidRPr="00A53250" w:rsidRDefault="007D2B30" w:rsidP="0051703B">
    <w:pPr>
      <w:pStyle w:val="naislab"/>
      <w:ind w:left="-567"/>
      <w:jc w:val="both"/>
      <w:rPr>
        <w:sz w:val="20"/>
        <w:szCs w:val="20"/>
      </w:rPr>
    </w:pPr>
    <w:proofErr w:type="spellStart"/>
    <w:r w:rsidRPr="007D2B30">
      <w:rPr>
        <w:sz w:val="20"/>
        <w:szCs w:val="20"/>
      </w:rPr>
      <w:t>EMAnot</w:t>
    </w:r>
    <w:r w:rsidR="0051703B">
      <w:rPr>
        <w:sz w:val="20"/>
        <w:szCs w:val="20"/>
      </w:rPr>
      <w:t>_Ministru</w:t>
    </w:r>
    <w:proofErr w:type="spellEnd"/>
    <w:r w:rsidR="0051703B">
      <w:rPr>
        <w:sz w:val="20"/>
        <w:szCs w:val="20"/>
      </w:rPr>
      <w:t xml:space="preserve"> kabineta noteikumu “</w:t>
    </w:r>
    <w:r w:rsidRPr="007D2B30">
      <w:rPr>
        <w:sz w:val="20"/>
        <w:szCs w:val="20"/>
      </w:rPr>
      <w:t>Noteikumi par nacionālo mērvienību etalonu sarakstu</w:t>
    </w:r>
    <w:r w:rsidR="0051703B">
      <w:rPr>
        <w:sz w:val="20"/>
        <w:szCs w:val="20"/>
      </w:rPr>
      <w:t xml:space="preserve">” </w:t>
    </w:r>
    <w:r w:rsidR="0051703B" w:rsidRPr="0051703B">
      <w:rPr>
        <w:sz w:val="20"/>
        <w:szCs w:val="20"/>
      </w:rPr>
      <w:t>sākotnējās ietekmes novērtējuma ziņojums</w:t>
    </w:r>
    <w:r w:rsidR="0051703B">
      <w:rPr>
        <w:sz w:val="20"/>
        <w:szCs w:val="20"/>
      </w:rPr>
      <w:t xml:space="preserve"> </w:t>
    </w:r>
    <w:r w:rsidR="0051703B" w:rsidRPr="0051703B"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7E23" w14:textId="77777777" w:rsidR="002A07A0" w:rsidRDefault="002A07A0">
      <w:r>
        <w:separator/>
      </w:r>
    </w:p>
  </w:footnote>
  <w:footnote w:type="continuationSeparator" w:id="0">
    <w:p w14:paraId="6DFD4704" w14:textId="77777777" w:rsidR="002A07A0" w:rsidRDefault="002A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2696" w14:textId="77777777" w:rsidR="009753AA" w:rsidRDefault="004E686E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457B3E81" w14:textId="77777777" w:rsidR="009753AA" w:rsidRDefault="0014217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C981" w14:textId="77777777" w:rsidR="009753AA" w:rsidRDefault="004E686E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t>5</w:t>
    </w:r>
    <w:r>
      <w:rPr>
        <w:rStyle w:val="Lappusesnumurs"/>
      </w:rPr>
      <w:fldChar w:fldCharType="end"/>
    </w:r>
  </w:p>
  <w:p w14:paraId="048C1B81" w14:textId="77777777" w:rsidR="009753AA" w:rsidRDefault="00142172" w:rsidP="0091419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D6828"/>
    <w:multiLevelType w:val="multilevel"/>
    <w:tmpl w:val="3028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97B02"/>
    <w:multiLevelType w:val="hybridMultilevel"/>
    <w:tmpl w:val="41141B6C"/>
    <w:lvl w:ilvl="0" w:tplc="5082F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40"/>
    <w:rsid w:val="0005208F"/>
    <w:rsid w:val="000B76DA"/>
    <w:rsid w:val="000C597D"/>
    <w:rsid w:val="000D2E30"/>
    <w:rsid w:val="000F0D33"/>
    <w:rsid w:val="000F72B7"/>
    <w:rsid w:val="001161FC"/>
    <w:rsid w:val="00123624"/>
    <w:rsid w:val="00134587"/>
    <w:rsid w:val="00142172"/>
    <w:rsid w:val="00161CC8"/>
    <w:rsid w:val="00182757"/>
    <w:rsid w:val="001A0B46"/>
    <w:rsid w:val="001A2EA6"/>
    <w:rsid w:val="001A78C0"/>
    <w:rsid w:val="001F098D"/>
    <w:rsid w:val="001F5D14"/>
    <w:rsid w:val="00206338"/>
    <w:rsid w:val="0022408E"/>
    <w:rsid w:val="00254140"/>
    <w:rsid w:val="0027005B"/>
    <w:rsid w:val="0027789F"/>
    <w:rsid w:val="002A07A0"/>
    <w:rsid w:val="002D32F9"/>
    <w:rsid w:val="00312274"/>
    <w:rsid w:val="00326220"/>
    <w:rsid w:val="0034775B"/>
    <w:rsid w:val="00355E15"/>
    <w:rsid w:val="0035658B"/>
    <w:rsid w:val="003670F2"/>
    <w:rsid w:val="00397571"/>
    <w:rsid w:val="003C435E"/>
    <w:rsid w:val="003E4636"/>
    <w:rsid w:val="004116F6"/>
    <w:rsid w:val="00446C5C"/>
    <w:rsid w:val="004566C2"/>
    <w:rsid w:val="00460B2A"/>
    <w:rsid w:val="0046386D"/>
    <w:rsid w:val="004836B5"/>
    <w:rsid w:val="00495E08"/>
    <w:rsid w:val="004D470D"/>
    <w:rsid w:val="004D791D"/>
    <w:rsid w:val="004E0CAB"/>
    <w:rsid w:val="004E686E"/>
    <w:rsid w:val="0051703B"/>
    <w:rsid w:val="0053594F"/>
    <w:rsid w:val="00540BAF"/>
    <w:rsid w:val="00563B5D"/>
    <w:rsid w:val="005C1544"/>
    <w:rsid w:val="005E4917"/>
    <w:rsid w:val="0064421B"/>
    <w:rsid w:val="006558E5"/>
    <w:rsid w:val="00661C4A"/>
    <w:rsid w:val="00663101"/>
    <w:rsid w:val="00671605"/>
    <w:rsid w:val="006760EB"/>
    <w:rsid w:val="00687F4C"/>
    <w:rsid w:val="00703E1C"/>
    <w:rsid w:val="007072F2"/>
    <w:rsid w:val="00715841"/>
    <w:rsid w:val="0072458F"/>
    <w:rsid w:val="00730B3D"/>
    <w:rsid w:val="007464CB"/>
    <w:rsid w:val="00785095"/>
    <w:rsid w:val="007B20D2"/>
    <w:rsid w:val="007C0A4F"/>
    <w:rsid w:val="007D2B30"/>
    <w:rsid w:val="007D4416"/>
    <w:rsid w:val="007E3849"/>
    <w:rsid w:val="007F1973"/>
    <w:rsid w:val="007F64A4"/>
    <w:rsid w:val="007F77FC"/>
    <w:rsid w:val="00812B94"/>
    <w:rsid w:val="008260AE"/>
    <w:rsid w:val="00830875"/>
    <w:rsid w:val="00882FDF"/>
    <w:rsid w:val="008838AE"/>
    <w:rsid w:val="008877A2"/>
    <w:rsid w:val="008B5F96"/>
    <w:rsid w:val="00931AB9"/>
    <w:rsid w:val="00932101"/>
    <w:rsid w:val="00933B3A"/>
    <w:rsid w:val="009654CF"/>
    <w:rsid w:val="00980F41"/>
    <w:rsid w:val="009A5DB9"/>
    <w:rsid w:val="009B1C2B"/>
    <w:rsid w:val="009D0AAD"/>
    <w:rsid w:val="009E36DF"/>
    <w:rsid w:val="009F5FD3"/>
    <w:rsid w:val="00A03DEF"/>
    <w:rsid w:val="00A04FB0"/>
    <w:rsid w:val="00A74A60"/>
    <w:rsid w:val="00AA26AE"/>
    <w:rsid w:val="00AA369C"/>
    <w:rsid w:val="00AB24BC"/>
    <w:rsid w:val="00AC03B7"/>
    <w:rsid w:val="00AC05E8"/>
    <w:rsid w:val="00AC1C62"/>
    <w:rsid w:val="00AD24F9"/>
    <w:rsid w:val="00B17763"/>
    <w:rsid w:val="00B31427"/>
    <w:rsid w:val="00B31E3F"/>
    <w:rsid w:val="00B76F65"/>
    <w:rsid w:val="00B86419"/>
    <w:rsid w:val="00B86670"/>
    <w:rsid w:val="00B97D96"/>
    <w:rsid w:val="00BA3712"/>
    <w:rsid w:val="00BB0FFF"/>
    <w:rsid w:val="00BB6985"/>
    <w:rsid w:val="00BE7AD0"/>
    <w:rsid w:val="00C007DF"/>
    <w:rsid w:val="00C24A4E"/>
    <w:rsid w:val="00C308F2"/>
    <w:rsid w:val="00CA4B3D"/>
    <w:rsid w:val="00CB4CDC"/>
    <w:rsid w:val="00CC2964"/>
    <w:rsid w:val="00CC3938"/>
    <w:rsid w:val="00CE1184"/>
    <w:rsid w:val="00D14D2B"/>
    <w:rsid w:val="00D5646D"/>
    <w:rsid w:val="00DB6DE7"/>
    <w:rsid w:val="00DD0E0E"/>
    <w:rsid w:val="00DD5516"/>
    <w:rsid w:val="00DF7CBA"/>
    <w:rsid w:val="00E01AF2"/>
    <w:rsid w:val="00E03B56"/>
    <w:rsid w:val="00E34823"/>
    <w:rsid w:val="00E66183"/>
    <w:rsid w:val="00E741B9"/>
    <w:rsid w:val="00E92299"/>
    <w:rsid w:val="00EA221C"/>
    <w:rsid w:val="00EB4AE2"/>
    <w:rsid w:val="00F17E27"/>
    <w:rsid w:val="00F237C2"/>
    <w:rsid w:val="00F47D5A"/>
    <w:rsid w:val="00F871E5"/>
    <w:rsid w:val="00FA75D1"/>
    <w:rsid w:val="00FC55C0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0EAF"/>
  <w15:chartTrackingRefBased/>
  <w15:docId w15:val="{9CB677E1-8156-467D-804E-A301650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25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5414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25414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254140"/>
  </w:style>
  <w:style w:type="paragraph" w:customStyle="1" w:styleId="naisnod">
    <w:name w:val="naisnod"/>
    <w:basedOn w:val="Parasts"/>
    <w:rsid w:val="00254140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254140"/>
    <w:pPr>
      <w:spacing w:before="75" w:after="75"/>
      <w:jc w:val="right"/>
    </w:pPr>
  </w:style>
  <w:style w:type="paragraph" w:customStyle="1" w:styleId="naiskr">
    <w:name w:val="naiskr"/>
    <w:basedOn w:val="Parasts"/>
    <w:rsid w:val="00254140"/>
    <w:pPr>
      <w:spacing w:before="75" w:after="75"/>
    </w:pPr>
  </w:style>
  <w:style w:type="paragraph" w:styleId="Kjene">
    <w:name w:val="footer"/>
    <w:basedOn w:val="Parasts"/>
    <w:link w:val="KjeneRakstz"/>
    <w:uiPriority w:val="99"/>
    <w:rsid w:val="0025414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5414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254140"/>
    <w:rPr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rsid w:val="0025414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2541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54140"/>
    <w:pPr>
      <w:ind w:left="720"/>
      <w:contextualSpacing/>
    </w:pPr>
    <w:rPr>
      <w:lang w:val="en-GB" w:eastAsia="en-US"/>
    </w:rPr>
  </w:style>
  <w:style w:type="paragraph" w:styleId="Paraststmeklis">
    <w:name w:val="Normal (Web)"/>
    <w:basedOn w:val="Parasts"/>
    <w:uiPriority w:val="99"/>
    <w:unhideWhenUsed/>
    <w:rsid w:val="00254140"/>
    <w:pPr>
      <w:spacing w:before="100" w:beforeAutospacing="1" w:after="100" w:afterAutospacing="1"/>
    </w:pPr>
  </w:style>
  <w:style w:type="paragraph" w:styleId="Pamatteksts2">
    <w:name w:val="Body Text 2"/>
    <w:basedOn w:val="Parasts"/>
    <w:link w:val="Pamatteksts2Rakstz"/>
    <w:rsid w:val="0025414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25414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7D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97D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97D9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7D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7D9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7D9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7D96"/>
    <w:rPr>
      <w:rFonts w:ascii="Segoe UI" w:eastAsia="Times New Roman" w:hAnsi="Segoe UI" w:cs="Segoe UI"/>
      <w:sz w:val="18"/>
      <w:szCs w:val="18"/>
      <w:lang w:eastAsia="lv-LV"/>
    </w:rPr>
  </w:style>
  <w:style w:type="paragraph" w:styleId="Saraksts">
    <w:name w:val="List"/>
    <w:basedOn w:val="Parasts"/>
    <w:uiPriority w:val="99"/>
    <w:unhideWhenUsed/>
    <w:rsid w:val="00BB6985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content/ministru-kabineta-diskusiju-dokument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m.gov.lv/lv/Ministrija/sabiedribas_lidzdaliba/diskusiju_dokument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ese.Matevica@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7152</Words>
  <Characters>4078</Characters>
  <Application>Microsoft Office Word</Application>
  <DocSecurity>0</DocSecurity>
  <Lines>33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Matēviča</cp:lastModifiedBy>
  <cp:revision>16</cp:revision>
  <cp:lastPrinted>2020-03-25T06:52:00Z</cp:lastPrinted>
  <dcterms:created xsi:type="dcterms:W3CDTF">2020-03-23T09:07:00Z</dcterms:created>
  <dcterms:modified xsi:type="dcterms:W3CDTF">2020-05-12T06:48:00Z</dcterms:modified>
</cp:coreProperties>
</file>