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1191" w14:textId="77777777" w:rsidR="00894C55" w:rsidRPr="00023B70" w:rsidRDefault="00000672"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23B70">
        <w:rPr>
          <w:rFonts w:ascii="Times New Roman" w:eastAsia="Times New Roman" w:hAnsi="Times New Roman" w:cs="Times New Roman"/>
          <w:b/>
          <w:bCs/>
          <w:sz w:val="28"/>
          <w:szCs w:val="24"/>
          <w:lang w:eastAsia="lv-LV"/>
        </w:rPr>
        <w:t xml:space="preserve">Ministru kabineta rīkojuma “Par finanšu līdzekļu piešķiršanu no valsts budžeta programmas “Līdzekļi neparedzētiem gadījumiem”” </w:t>
      </w:r>
      <w:r w:rsidR="00894C55" w:rsidRPr="00023B70">
        <w:rPr>
          <w:rFonts w:ascii="Times New Roman" w:eastAsia="Times New Roman" w:hAnsi="Times New Roman" w:cs="Times New Roman"/>
          <w:b/>
          <w:bCs/>
          <w:sz w:val="28"/>
          <w:szCs w:val="24"/>
          <w:lang w:eastAsia="lv-LV"/>
        </w:rPr>
        <w:t>projekta</w:t>
      </w:r>
      <w:r w:rsidR="003B0BF9" w:rsidRPr="00023B70">
        <w:rPr>
          <w:rFonts w:ascii="Times New Roman" w:eastAsia="Times New Roman" w:hAnsi="Times New Roman" w:cs="Times New Roman"/>
          <w:b/>
          <w:bCs/>
          <w:sz w:val="28"/>
          <w:szCs w:val="24"/>
          <w:lang w:eastAsia="lv-LV"/>
        </w:rPr>
        <w:br/>
      </w:r>
      <w:r w:rsidR="00894C55" w:rsidRPr="00023B70">
        <w:rPr>
          <w:rFonts w:ascii="Times New Roman" w:eastAsia="Times New Roman" w:hAnsi="Times New Roman" w:cs="Times New Roman"/>
          <w:b/>
          <w:bCs/>
          <w:sz w:val="28"/>
          <w:szCs w:val="24"/>
          <w:lang w:eastAsia="lv-LV"/>
        </w:rPr>
        <w:t>sākotnējās ietekmes novērtējuma ziņojums (anotācija)</w:t>
      </w:r>
    </w:p>
    <w:p w14:paraId="2500BD05" w14:textId="77777777" w:rsidR="00E5323B" w:rsidRPr="00023B7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33B82" w:rsidRPr="00023B70" w14:paraId="0F4620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603E63" w14:textId="77777777" w:rsidR="00655F2C" w:rsidRPr="00023B70" w:rsidRDefault="00E5323B" w:rsidP="000F346D">
            <w:pPr>
              <w:spacing w:after="0" w:line="240" w:lineRule="auto"/>
              <w:jc w:val="center"/>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Tiesību akta projekta anotācijas kopsavilkums</w:t>
            </w:r>
          </w:p>
        </w:tc>
      </w:tr>
      <w:tr w:rsidR="00733B82" w:rsidRPr="00023B70" w14:paraId="40EC5DD2" w14:textId="77777777" w:rsidTr="000F346D">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0495704"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89BED52" w14:textId="622E8F9B" w:rsidR="003B6B89" w:rsidRPr="00023B70" w:rsidRDefault="003B6B89" w:rsidP="003B6B89">
            <w:pPr>
              <w:spacing w:after="0" w:line="240" w:lineRule="auto"/>
              <w:jc w:val="both"/>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023B70">
              <w:rPr>
                <w:rFonts w:ascii="Times New Roman" w:eastAsia="Times New Roman" w:hAnsi="Times New Roman" w:cs="Times New Roman"/>
                <w:iCs/>
                <w:sz w:val="24"/>
                <w:szCs w:val="24"/>
                <w:vertAlign w:val="superscript"/>
                <w:lang w:eastAsia="lv-LV"/>
              </w:rPr>
              <w:t>1</w:t>
            </w:r>
            <w:r w:rsidRPr="00023B70">
              <w:rPr>
                <w:rFonts w:ascii="Times New Roman" w:eastAsia="Times New Roman" w:hAnsi="Times New Roman" w:cs="Times New Roman"/>
                <w:iCs/>
                <w:sz w:val="24"/>
                <w:szCs w:val="24"/>
                <w:lang w:eastAsia="lv-LV"/>
              </w:rPr>
              <w:t> punktu.</w:t>
            </w:r>
          </w:p>
        </w:tc>
      </w:tr>
    </w:tbl>
    <w:p w14:paraId="46D824DE"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2898"/>
        <w:gridCol w:w="5802"/>
      </w:tblGrid>
      <w:tr w:rsidR="00733B82" w:rsidRPr="00B92B63" w14:paraId="63E9FC91" w14:textId="77777777" w:rsidTr="00984BC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D0B41D8" w14:textId="77777777" w:rsidR="00655F2C" w:rsidRPr="00023B70" w:rsidRDefault="00E5323B" w:rsidP="000F346D">
            <w:pPr>
              <w:spacing w:after="0" w:line="240" w:lineRule="auto"/>
              <w:jc w:val="center"/>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 Tiesību akta projekta izstrādes nepieciešamība</w:t>
            </w:r>
          </w:p>
        </w:tc>
      </w:tr>
      <w:tr w:rsidR="00733B82" w:rsidRPr="00B92B63" w14:paraId="58203D7C"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28B45AE" w14:textId="77777777" w:rsidR="00655F2C" w:rsidRPr="00326065"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1.</w:t>
            </w:r>
          </w:p>
        </w:tc>
        <w:tc>
          <w:tcPr>
            <w:tcW w:w="2868" w:type="dxa"/>
            <w:tcBorders>
              <w:top w:val="outset" w:sz="6" w:space="0" w:color="auto"/>
              <w:left w:val="outset" w:sz="6" w:space="0" w:color="auto"/>
              <w:bottom w:val="outset" w:sz="6" w:space="0" w:color="auto"/>
              <w:right w:val="outset" w:sz="6" w:space="0" w:color="auto"/>
            </w:tcBorders>
            <w:hideMark/>
          </w:tcPr>
          <w:p w14:paraId="53FCF97A" w14:textId="77777777" w:rsidR="00E5323B" w:rsidRPr="00BB4F10" w:rsidRDefault="00E5323B" w:rsidP="00E5323B">
            <w:pPr>
              <w:spacing w:after="0" w:line="240" w:lineRule="auto"/>
              <w:rPr>
                <w:rFonts w:ascii="Times New Roman" w:eastAsia="Times New Roman" w:hAnsi="Times New Roman" w:cs="Times New Roman"/>
                <w:iCs/>
                <w:sz w:val="24"/>
                <w:szCs w:val="24"/>
                <w:lang w:eastAsia="lv-LV"/>
              </w:rPr>
            </w:pPr>
            <w:r w:rsidRPr="00BB4F10">
              <w:rPr>
                <w:rFonts w:ascii="Times New Roman" w:eastAsia="Times New Roman" w:hAnsi="Times New Roman" w:cs="Times New Roman"/>
                <w:iCs/>
                <w:sz w:val="24"/>
                <w:szCs w:val="24"/>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14F362C1" w14:textId="02172A49" w:rsidR="00060885" w:rsidRPr="00BB4F10" w:rsidRDefault="00060885" w:rsidP="003C0293">
            <w:pPr>
              <w:tabs>
                <w:tab w:val="left" w:pos="456"/>
              </w:tabs>
              <w:spacing w:after="0" w:line="240" w:lineRule="auto"/>
              <w:jc w:val="both"/>
              <w:rPr>
                <w:rFonts w:ascii="Times New Roman" w:eastAsia="Times New Roman" w:hAnsi="Times New Roman" w:cs="Times New Roman"/>
                <w:sz w:val="24"/>
                <w:szCs w:val="24"/>
                <w:lang w:eastAsia="zh-CN"/>
              </w:rPr>
            </w:pPr>
            <w:r w:rsidRPr="00BB4F10">
              <w:rPr>
                <w:rFonts w:ascii="Times New Roman" w:eastAsia="Times New Roman" w:hAnsi="Times New Roman" w:cs="Times New Roman"/>
                <w:iCs/>
                <w:sz w:val="24"/>
                <w:szCs w:val="24"/>
                <w:lang w:eastAsia="lv-LV"/>
              </w:rPr>
              <w:t>Ministru kabineta noteikum</w:t>
            </w:r>
            <w:r w:rsidR="003506D9" w:rsidRPr="00BB4F10">
              <w:rPr>
                <w:rFonts w:ascii="Times New Roman" w:eastAsia="Times New Roman" w:hAnsi="Times New Roman" w:cs="Times New Roman"/>
                <w:iCs/>
                <w:sz w:val="24"/>
                <w:szCs w:val="24"/>
                <w:lang w:eastAsia="lv-LV"/>
              </w:rPr>
              <w:t>i</w:t>
            </w:r>
            <w:r w:rsidRPr="00BB4F10">
              <w:rPr>
                <w:rFonts w:ascii="Times New Roman" w:eastAsia="Times New Roman" w:hAnsi="Times New Roman" w:cs="Times New Roman"/>
                <w:iCs/>
                <w:sz w:val="24"/>
                <w:szCs w:val="24"/>
                <w:lang w:eastAsia="lv-LV"/>
              </w:rPr>
              <w:t xml:space="preserve"> “</w:t>
            </w:r>
            <w:r w:rsidR="003C0293" w:rsidRPr="00BB4F10">
              <w:rPr>
                <w:rFonts w:ascii="Times New Roman" w:eastAsia="Times New Roman" w:hAnsi="Times New Roman" w:cs="Times New Roman"/>
                <w:iCs/>
                <w:sz w:val="24"/>
                <w:szCs w:val="24"/>
                <w:lang w:eastAsia="lv-LV"/>
              </w:rPr>
              <w:t>Īpašā atbalsta mehānisma repatriācijas izmaksu segšanas kārtība tūrisma operatoriem</w:t>
            </w:r>
            <w:r w:rsidR="003506D9" w:rsidRPr="00BB4F10">
              <w:rPr>
                <w:rFonts w:ascii="Times New Roman" w:eastAsia="Times New Roman" w:hAnsi="Times New Roman" w:cs="Times New Roman"/>
                <w:iCs/>
                <w:sz w:val="24"/>
                <w:szCs w:val="24"/>
                <w:lang w:eastAsia="lv-LV"/>
              </w:rPr>
              <w:t>” (projekts) un</w:t>
            </w:r>
            <w:r w:rsidR="00725E23" w:rsidRPr="00BB4F10">
              <w:rPr>
                <w:rFonts w:ascii="Times New Roman" w:eastAsia="Times New Roman" w:hAnsi="Times New Roman" w:cs="Times New Roman"/>
                <w:iCs/>
                <w:sz w:val="24"/>
                <w:szCs w:val="24"/>
                <w:lang w:eastAsia="lv-LV"/>
              </w:rPr>
              <w:t xml:space="preserve"> </w:t>
            </w:r>
            <w:r w:rsidR="00497B0C" w:rsidRPr="00BB4F10">
              <w:rPr>
                <w:rFonts w:ascii="Times New Roman" w:eastAsia="Times New Roman" w:hAnsi="Times New Roman" w:cs="Times New Roman"/>
                <w:iCs/>
                <w:sz w:val="24"/>
                <w:szCs w:val="24"/>
                <w:lang w:eastAsia="lv-LV"/>
              </w:rPr>
              <w:t>Ministru kabineta 2018. gada 17. jūlija noteikumu Nr. 421 “Kārtība, kādā veic gadskārtējā valsts budžeta likumā noteiktās apropriācijas izmaiņas” 43. punkts.</w:t>
            </w:r>
          </w:p>
        </w:tc>
      </w:tr>
      <w:tr w:rsidR="00733B82" w:rsidRPr="00B92B63" w14:paraId="08DAD32B"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67E3A0CD" w14:textId="77777777" w:rsidR="00655F2C" w:rsidRPr="00326065"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2.</w:t>
            </w:r>
          </w:p>
        </w:tc>
        <w:tc>
          <w:tcPr>
            <w:tcW w:w="2868" w:type="dxa"/>
            <w:tcBorders>
              <w:top w:val="outset" w:sz="6" w:space="0" w:color="auto"/>
              <w:left w:val="outset" w:sz="6" w:space="0" w:color="auto"/>
              <w:bottom w:val="outset" w:sz="6" w:space="0" w:color="auto"/>
              <w:right w:val="outset" w:sz="6" w:space="0" w:color="auto"/>
            </w:tcBorders>
            <w:hideMark/>
          </w:tcPr>
          <w:p w14:paraId="229CC1C0" w14:textId="77777777" w:rsidR="00E5323B" w:rsidRPr="00326065"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757" w:type="dxa"/>
            <w:tcBorders>
              <w:top w:val="outset" w:sz="6" w:space="0" w:color="auto"/>
              <w:left w:val="outset" w:sz="6" w:space="0" w:color="auto"/>
              <w:bottom w:val="outset" w:sz="6" w:space="0" w:color="auto"/>
              <w:right w:val="outset" w:sz="6" w:space="0" w:color="auto"/>
            </w:tcBorders>
            <w:hideMark/>
          </w:tcPr>
          <w:p w14:paraId="49EA2466" w14:textId="626CB447" w:rsidR="003506D9" w:rsidRDefault="003506D9" w:rsidP="00662697">
            <w:pPr>
              <w:spacing w:after="0" w:line="240" w:lineRule="auto"/>
              <w:ind w:firstLine="419"/>
              <w:jc w:val="both"/>
              <w:rPr>
                <w:rFonts w:ascii="Times New Roman" w:eastAsia="Times New Roman" w:hAnsi="Times New Roman" w:cs="Times New Roman"/>
                <w:iCs/>
                <w:sz w:val="24"/>
                <w:szCs w:val="24"/>
                <w:lang w:eastAsia="lv-LV"/>
              </w:rPr>
            </w:pPr>
            <w:r w:rsidRPr="00BB4F10">
              <w:rPr>
                <w:rFonts w:ascii="Times New Roman" w:eastAsia="Times New Roman" w:hAnsi="Times New Roman" w:cs="Times New Roman"/>
                <w:iCs/>
                <w:sz w:val="24"/>
                <w:szCs w:val="24"/>
                <w:lang w:eastAsia="lv-LV"/>
              </w:rPr>
              <w:t>Ministru kabineta noteikumi “</w:t>
            </w:r>
            <w:r w:rsidR="00662697" w:rsidRPr="00BB4F10">
              <w:rPr>
                <w:rFonts w:ascii="Times New Roman" w:eastAsia="Times New Roman" w:hAnsi="Times New Roman" w:cs="Times New Roman"/>
                <w:iCs/>
                <w:sz w:val="24"/>
                <w:szCs w:val="24"/>
                <w:lang w:eastAsia="lv-LV"/>
              </w:rPr>
              <w:t>Īpašā atbalsta mehānisma repatriācijas izmaksu segšanas kārtība tūrisma operatoriem</w:t>
            </w:r>
            <w:r w:rsidRPr="00BB4F10">
              <w:rPr>
                <w:rFonts w:ascii="Times New Roman" w:eastAsia="Times New Roman" w:hAnsi="Times New Roman" w:cs="Times New Roman"/>
                <w:iCs/>
                <w:sz w:val="24"/>
                <w:szCs w:val="24"/>
                <w:lang w:eastAsia="lv-LV"/>
              </w:rPr>
              <w:t>” (projekts)</w:t>
            </w:r>
            <w:r w:rsidR="00725E23" w:rsidRPr="00BB4F10">
              <w:rPr>
                <w:rFonts w:ascii="Times New Roman" w:eastAsia="Times New Roman" w:hAnsi="Times New Roman" w:cs="Times New Roman"/>
                <w:iCs/>
                <w:sz w:val="24"/>
                <w:szCs w:val="24"/>
                <w:lang w:eastAsia="lv-LV"/>
              </w:rPr>
              <w:t xml:space="preserve"> paredz</w:t>
            </w:r>
            <w:r w:rsidRPr="00BB4F10">
              <w:rPr>
                <w:rFonts w:ascii="Times New Roman" w:eastAsia="Times New Roman" w:hAnsi="Times New Roman" w:cs="Times New Roman"/>
                <w:iCs/>
                <w:sz w:val="24"/>
                <w:szCs w:val="24"/>
                <w:lang w:eastAsia="lv-LV"/>
              </w:rPr>
              <w:t xml:space="preserve">, ka Latvijā reģistrēti un licencēti tūrisma operatori līdz 2020.gada 1.oktobrim varēs iesniegt pieteikumus Patērētāju tiesību aizsardzības centrā granta saņemšanai, lai kompensētu Covid-19 izplatības rezultātā radušās tūristu repatriācijas izmaksas. </w:t>
            </w:r>
          </w:p>
          <w:p w14:paraId="7F4D02AC" w14:textId="04F0B8EE" w:rsidR="006A3D4B" w:rsidRDefault="006A3D4B" w:rsidP="00662697">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Minētais</w:t>
            </w:r>
            <w:r w:rsidRPr="006A3D4B">
              <w:rPr>
                <w:rFonts w:ascii="Times New Roman" w:eastAsia="Times New Roman" w:hAnsi="Times New Roman" w:cs="Times New Roman"/>
                <w:iCs/>
                <w:sz w:val="24"/>
                <w:szCs w:val="24"/>
                <w:lang w:eastAsia="lv-LV"/>
              </w:rPr>
              <w:t xml:space="preserve"> noteikumu projekts tika notificēts  Eiropas Komisijā lēmuma pieņemšanai par noteikumu projektā ietvertā komercdarbības atbalsta saderību ar Eiropas Savienības iekšējo tirgu. 2020.gada 29.maijā tika pieņemts pozitīvs Eiropas Komisijas lēmums lietā SA.57423, un attiecīgi noteikumu projekts ir izstrādāts atbilstoši minētajā lēmumā ietvertajiem nosacījumiem.</w:t>
            </w:r>
          </w:p>
          <w:p w14:paraId="21F33D0F" w14:textId="77777777" w:rsidR="006A3D4B" w:rsidRPr="00BB4F10" w:rsidRDefault="006A3D4B" w:rsidP="00662697">
            <w:pPr>
              <w:spacing w:after="0" w:line="240" w:lineRule="auto"/>
              <w:ind w:firstLine="419"/>
              <w:jc w:val="both"/>
              <w:rPr>
                <w:rFonts w:ascii="Times New Roman" w:eastAsia="Times New Roman" w:hAnsi="Times New Roman" w:cs="Times New Roman"/>
                <w:iCs/>
                <w:sz w:val="24"/>
                <w:szCs w:val="24"/>
                <w:lang w:eastAsia="lv-LV"/>
              </w:rPr>
            </w:pPr>
          </w:p>
          <w:p w14:paraId="5E46D3B0" w14:textId="77777777" w:rsidR="00E5323B" w:rsidRDefault="003506D9" w:rsidP="006A3D4B">
            <w:pPr>
              <w:spacing w:after="0" w:line="240" w:lineRule="auto"/>
              <w:ind w:firstLine="419"/>
              <w:jc w:val="both"/>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 xml:space="preserve">Aptaujājot tūrisma operatorus ir atsaukušies seši, kuri informēja par savām indikatīvajām izmaksām repatriācijas nodrošināšanā </w:t>
            </w:r>
            <w:r w:rsidR="00712A88" w:rsidRPr="00326065">
              <w:rPr>
                <w:rFonts w:ascii="Times New Roman" w:eastAsia="Times New Roman" w:hAnsi="Times New Roman" w:cs="Times New Roman"/>
                <w:iCs/>
                <w:sz w:val="24"/>
                <w:szCs w:val="24"/>
                <w:lang w:eastAsia="lv-LV"/>
              </w:rPr>
              <w:t xml:space="preserve">ne vairāk kā 800 000 </w:t>
            </w:r>
            <w:r w:rsidRPr="00326065">
              <w:rPr>
                <w:rFonts w:ascii="Times New Roman" w:eastAsia="Times New Roman" w:hAnsi="Times New Roman" w:cs="Times New Roman"/>
                <w:iCs/>
                <w:sz w:val="24"/>
                <w:szCs w:val="24"/>
                <w:lang w:eastAsia="lv-LV"/>
              </w:rPr>
              <w:t>euro apmērā</w:t>
            </w:r>
            <w:r w:rsidR="00725E23" w:rsidRPr="00326065">
              <w:rPr>
                <w:rFonts w:ascii="Times New Roman" w:eastAsia="Times New Roman" w:hAnsi="Times New Roman" w:cs="Times New Roman"/>
                <w:iCs/>
                <w:sz w:val="24"/>
                <w:szCs w:val="24"/>
                <w:lang w:eastAsia="lv-LV"/>
              </w:rPr>
              <w:t xml:space="preserve"> </w:t>
            </w:r>
            <w:r w:rsidR="00725E23" w:rsidRPr="00326065">
              <w:rPr>
                <w:rFonts w:ascii="Times New Roman" w:eastAsia="Times New Roman" w:hAnsi="Times New Roman" w:cs="Times New Roman"/>
                <w:sz w:val="24"/>
                <w:szCs w:val="24"/>
                <w:lang w:eastAsia="lv-LV"/>
              </w:rPr>
              <w:t>(indikatīvās izmaksas, kas apkopotas aptaujājot tūrisma operatorus norādītas zemāk, izmaksas tiks precizētas saņemot no operatoriem zvērinātu revidentu apliecinātus aprēķinus)</w:t>
            </w:r>
            <w:r w:rsidRPr="00326065">
              <w:rPr>
                <w:rFonts w:ascii="Times New Roman" w:eastAsia="Times New Roman" w:hAnsi="Times New Roman" w:cs="Times New Roman"/>
                <w:iCs/>
                <w:sz w:val="24"/>
                <w:szCs w:val="24"/>
                <w:lang w:eastAsia="lv-LV"/>
              </w:rPr>
              <w:t>. Vienam operatoram maksimālās izmaksas nebija lielākas par 220 000 euro.</w:t>
            </w:r>
          </w:p>
          <w:p w14:paraId="72C19E17" w14:textId="70328C8C" w:rsidR="006A3D4B" w:rsidRPr="00B92B63" w:rsidRDefault="006A3D4B" w:rsidP="006A3D4B">
            <w:pPr>
              <w:spacing w:after="0" w:line="240" w:lineRule="auto"/>
              <w:ind w:firstLine="419"/>
              <w:jc w:val="both"/>
              <w:rPr>
                <w:rFonts w:ascii="Times New Roman" w:eastAsia="Times New Roman" w:hAnsi="Times New Roman" w:cs="Times New Roman"/>
                <w:iCs/>
                <w:sz w:val="24"/>
                <w:szCs w:val="24"/>
                <w:highlight w:val="yellow"/>
                <w:lang w:eastAsia="lv-LV"/>
              </w:rPr>
            </w:pPr>
          </w:p>
        </w:tc>
      </w:tr>
      <w:tr w:rsidR="00733B82" w:rsidRPr="00986C78" w14:paraId="710F7B7E"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4DE3C102" w14:textId="77777777" w:rsidR="00655F2C"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3.</w:t>
            </w:r>
          </w:p>
        </w:tc>
        <w:tc>
          <w:tcPr>
            <w:tcW w:w="2868" w:type="dxa"/>
            <w:tcBorders>
              <w:top w:val="outset" w:sz="6" w:space="0" w:color="auto"/>
              <w:left w:val="outset" w:sz="6" w:space="0" w:color="auto"/>
              <w:bottom w:val="outset" w:sz="6" w:space="0" w:color="auto"/>
              <w:right w:val="outset" w:sz="6" w:space="0" w:color="auto"/>
            </w:tcBorders>
            <w:hideMark/>
          </w:tcPr>
          <w:p w14:paraId="35703FE5"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4F906214" w14:textId="77777777" w:rsidR="00000672" w:rsidRPr="00986C78" w:rsidRDefault="00000672"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Ekonomikas ministrija, Patērētāju tiesību aizsardzības centrs</w:t>
            </w:r>
          </w:p>
        </w:tc>
      </w:tr>
      <w:tr w:rsidR="00733B82" w:rsidRPr="00986C78" w14:paraId="1A27A8D2"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A0195FE" w14:textId="77777777" w:rsidR="00655F2C"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4.</w:t>
            </w:r>
          </w:p>
        </w:tc>
        <w:tc>
          <w:tcPr>
            <w:tcW w:w="2868" w:type="dxa"/>
            <w:tcBorders>
              <w:top w:val="outset" w:sz="6" w:space="0" w:color="auto"/>
              <w:left w:val="outset" w:sz="6" w:space="0" w:color="auto"/>
              <w:bottom w:val="outset" w:sz="6" w:space="0" w:color="auto"/>
              <w:right w:val="outset" w:sz="6" w:space="0" w:color="auto"/>
            </w:tcBorders>
            <w:hideMark/>
          </w:tcPr>
          <w:p w14:paraId="29E42FFB"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610F11B8" w14:textId="77777777" w:rsidR="00000672" w:rsidRPr="00986C78" w:rsidRDefault="00000672"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Nav</w:t>
            </w:r>
          </w:p>
        </w:tc>
      </w:tr>
    </w:tbl>
    <w:p w14:paraId="7E84461E"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42783D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2F831"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33B82" w:rsidRPr="00023B70" w14:paraId="1BCAF503" w14:textId="77777777" w:rsidTr="00000672">
        <w:trPr>
          <w:trHeight w:val="301"/>
          <w:tblCellSpacing w:w="15" w:type="dxa"/>
        </w:trPr>
        <w:tc>
          <w:tcPr>
            <w:tcW w:w="4967" w:type="pct"/>
            <w:tcBorders>
              <w:top w:val="outset" w:sz="6" w:space="0" w:color="auto"/>
              <w:left w:val="outset" w:sz="6" w:space="0" w:color="auto"/>
              <w:right w:val="outset" w:sz="6" w:space="0" w:color="auto"/>
            </w:tcBorders>
            <w:hideMark/>
          </w:tcPr>
          <w:p w14:paraId="19CAFFFB" w14:textId="5EF7887F" w:rsidR="00000672" w:rsidRPr="00023B70" w:rsidRDefault="003A0C7A" w:rsidP="0000067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lastRenderedPageBreak/>
              <w:t>Projekts nerada ietekmi uz tautsaimniecības attīstību un administratīvo slogu.</w:t>
            </w:r>
          </w:p>
        </w:tc>
      </w:tr>
    </w:tbl>
    <w:p w14:paraId="60755B4B" w14:textId="77777777" w:rsidR="00F54AA2"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910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593"/>
        <w:gridCol w:w="1108"/>
        <w:gridCol w:w="1168"/>
        <w:gridCol w:w="947"/>
        <w:gridCol w:w="1168"/>
        <w:gridCol w:w="947"/>
        <w:gridCol w:w="1167"/>
        <w:gridCol w:w="990"/>
      </w:tblGrid>
      <w:tr w:rsidR="00F54AA2" w:rsidRPr="00023B70" w14:paraId="4BE707A8" w14:textId="77777777" w:rsidTr="00F54AA2">
        <w:trPr>
          <w:gridBefore w:val="1"/>
          <w:wBefore w:w="14" w:type="dxa"/>
          <w:trHeight w:val="249"/>
        </w:trPr>
        <w:tc>
          <w:tcPr>
            <w:tcW w:w="9088" w:type="dxa"/>
            <w:gridSpan w:val="8"/>
            <w:tcBorders>
              <w:top w:val="single" w:sz="4" w:space="0" w:color="auto"/>
              <w:left w:val="single" w:sz="4" w:space="0" w:color="auto"/>
              <w:bottom w:val="single" w:sz="4" w:space="0" w:color="auto"/>
              <w:right w:val="single" w:sz="4" w:space="0" w:color="auto"/>
            </w:tcBorders>
            <w:shd w:val="clear" w:color="auto" w:fill="auto"/>
          </w:tcPr>
          <w:p w14:paraId="113C2869" w14:textId="77777777" w:rsidR="00F54AA2" w:rsidRPr="00023B70" w:rsidRDefault="00F54AA2" w:rsidP="00F54AA2">
            <w:pPr>
              <w:contextualSpacing/>
              <w:rPr>
                <w:rFonts w:ascii="Times New Roman" w:eastAsia="Times New Roman" w:hAnsi="Times New Roman" w:cs="Times New Roman"/>
                <w:b/>
                <w:bCs/>
                <w:sz w:val="24"/>
                <w:szCs w:val="24"/>
                <w:lang w:eastAsia="lv-LV"/>
              </w:rPr>
            </w:pPr>
            <w:r w:rsidRPr="00023B70">
              <w:rPr>
                <w:rFonts w:ascii="Times New Roman" w:eastAsia="Times New Roman" w:hAnsi="Times New Roman" w:cs="Times New Roman"/>
                <w:b/>
                <w:bCs/>
                <w:sz w:val="24"/>
                <w:szCs w:val="24"/>
                <w:lang w:eastAsia="lv-LV"/>
              </w:rPr>
              <w:t>III. Tiesību akta projekta ietekme uz valsts budžetu un pašvaldību budžetiem</w:t>
            </w:r>
          </w:p>
        </w:tc>
      </w:tr>
      <w:tr w:rsidR="00F54AA2" w:rsidRPr="00023B70" w14:paraId="3B5C596B"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84C1"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Rādītāji</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AE050"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2020</w:t>
            </w:r>
          </w:p>
        </w:tc>
        <w:tc>
          <w:tcPr>
            <w:tcW w:w="490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C552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Turpmākie trīs gadi (</w:t>
            </w:r>
            <w:r w:rsidRPr="00023B70">
              <w:rPr>
                <w:rFonts w:ascii="Times New Roman" w:hAnsi="Times New Roman" w:cs="Times New Roman"/>
                <w:i/>
                <w:iCs/>
                <w:sz w:val="24"/>
                <w:szCs w:val="24"/>
              </w:rPr>
              <w:t>euro</w:t>
            </w:r>
            <w:r w:rsidRPr="00023B70">
              <w:rPr>
                <w:rFonts w:ascii="Times New Roman" w:hAnsi="Times New Roman" w:cs="Times New Roman"/>
                <w:sz w:val="24"/>
                <w:szCs w:val="24"/>
              </w:rPr>
              <w:t>)</w:t>
            </w:r>
          </w:p>
        </w:tc>
      </w:tr>
      <w:tr w:rsidR="00F54AA2" w:rsidRPr="00023B70" w14:paraId="75E39C71"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70" w:type="dxa"/>
            <w:gridSpan w:val="2"/>
            <w:vMerge/>
            <w:vAlign w:val="center"/>
            <w:hideMark/>
          </w:tcPr>
          <w:p w14:paraId="60DF2EF1" w14:textId="77777777" w:rsidR="00F54AA2" w:rsidRPr="00023B70" w:rsidRDefault="00F54AA2" w:rsidP="00F54AA2">
            <w:pPr>
              <w:jc w:val="center"/>
              <w:rPr>
                <w:rFonts w:ascii="Times New Roman" w:hAnsi="Times New Roman" w:cs="Times New Roman"/>
                <w:bCs/>
                <w:sz w:val="24"/>
                <w:szCs w:val="24"/>
              </w:rPr>
            </w:pPr>
          </w:p>
        </w:tc>
        <w:tc>
          <w:tcPr>
            <w:tcW w:w="2523" w:type="dxa"/>
            <w:gridSpan w:val="2"/>
            <w:vMerge/>
            <w:vAlign w:val="center"/>
            <w:hideMark/>
          </w:tcPr>
          <w:p w14:paraId="6D18C1EB" w14:textId="77777777" w:rsidR="00F54AA2" w:rsidRPr="00023B70" w:rsidRDefault="00F54AA2" w:rsidP="00F54AA2">
            <w:pPr>
              <w:jc w:val="center"/>
              <w:rPr>
                <w:rFonts w:ascii="Times New Roman" w:hAnsi="Times New Roman" w:cs="Times New Roman"/>
                <w:bCs/>
                <w:sz w:val="24"/>
                <w:szCs w:val="24"/>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44390"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2021</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0DA6F"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2022</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8961C"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2023</w:t>
            </w:r>
          </w:p>
        </w:tc>
      </w:tr>
      <w:tr w:rsidR="00F54AA2" w:rsidRPr="00023B70" w14:paraId="6F65B454"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70" w:type="dxa"/>
            <w:gridSpan w:val="2"/>
            <w:vMerge/>
            <w:vAlign w:val="center"/>
            <w:hideMark/>
          </w:tcPr>
          <w:p w14:paraId="37F586F3" w14:textId="77777777" w:rsidR="00F54AA2" w:rsidRPr="00023B70" w:rsidRDefault="00F54AA2" w:rsidP="00F54AA2">
            <w:pPr>
              <w:jc w:val="center"/>
              <w:rPr>
                <w:rFonts w:ascii="Times New Roman" w:hAnsi="Times New Roman" w:cs="Times New Roman"/>
                <w:b/>
                <w:bCs/>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6E15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valsts budžetu kārtējam gadam</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F578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izmaiņas kārtējā gadā, salīdzinot ar valsts budžetu kārtējam gadam</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E24E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vidēja termiņa budžeta ietvaru</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B38D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izmaiņas, salīdzinot ar vidēja termiņa budžeta ietvaru 2021. gadam</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0786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vidēja termiņa budžeta ietvaru</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801A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izmaiņas, salīdzinot ar vidēja termiņa budžeta ietvaru 2022. gadam</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33AD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izmaiņas, salīdzinot ar vidēja termiņa budžeta ietvaru </w:t>
            </w:r>
            <w:r w:rsidRPr="00023B70">
              <w:rPr>
                <w:rFonts w:ascii="Times New Roman" w:hAnsi="Times New Roman" w:cs="Times New Roman"/>
                <w:sz w:val="24"/>
                <w:szCs w:val="24"/>
              </w:rPr>
              <w:br/>
              <w:t>2022. gadam</w:t>
            </w:r>
          </w:p>
        </w:tc>
      </w:tr>
      <w:tr w:rsidR="00F54AA2" w:rsidRPr="00023B70" w14:paraId="394E66E1"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3F36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C834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495E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8973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4</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DE4F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5</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56BE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6</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8B7F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7</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143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8</w:t>
            </w:r>
          </w:p>
        </w:tc>
      </w:tr>
      <w:tr w:rsidR="00F54AA2" w:rsidRPr="00023B70" w14:paraId="01756B7B"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D9FE1"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 Budžeta ieņēmumi</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B41E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CC3A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3A4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B800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A6CA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6DE7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163F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18178BB3"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10A8F240"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1.1. valsts pamatbudžets</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4D4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765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42D2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5640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03C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C118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A338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22F51B57"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5A571AB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1.2. valsts speciālais budžets</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72E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E2B3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C88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C971"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0BFF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0CD8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A993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543DD998"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3026A73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1.3. pašvaldību budžets</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6FF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A02E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F47A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D317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04A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FC47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04FB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49F1A023"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D18112"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 Budžeta izdevumi</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7C1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0C131F9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4FB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652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B02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166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DC95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2AC96A5E"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994BE2"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2.1. valsts pamatbudžets</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0FE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44CB822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1AC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89B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703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E63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A07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58EFA196"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26507"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2.2. valsts speciālais budžets</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7EF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67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EA7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9E6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116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8DF3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BE7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15CB8304"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16E6D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2.3. pašvaldību budžets</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767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604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845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44E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7F0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CD3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B43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7AD64E01"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6DEC8C"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3. Finansiālā ietekme</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844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CA2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6A691"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FC71"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146E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F8A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2E6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5C9223D9"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7B70BB"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3.1. valsts pamatbudžets</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6CD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ECD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C4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BC0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2F4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16C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7AC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7B5C4BE5"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763523"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lastRenderedPageBreak/>
              <w:t>3.2. speciālais budžets</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82D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472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5CF1"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3EB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243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25D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196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1A80F13E"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89B56"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3.3. pašvaldību budžets</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F18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C11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1D1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F83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CE3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0BA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B6F7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62BD94F9"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B3A167"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4. Finanšu līdzekļi papildu izdevumu finansēšanai (kompensējošu izdevumu samazinājumu norāda ar "+" zīmi)</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CA0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5D3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89F3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550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7C90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096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8C6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49169EBD"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905D3"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5. Precizēta finansiālā ietekme</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142A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0BD7A43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3A2C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989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671F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BE2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F477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245E5E38"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D49D2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5.1. valsts pamatbudžets</w:t>
            </w:r>
          </w:p>
        </w:tc>
        <w:tc>
          <w:tcPr>
            <w:tcW w:w="1242" w:type="dxa"/>
            <w:vMerge/>
            <w:vAlign w:val="center"/>
            <w:hideMark/>
          </w:tcPr>
          <w:p w14:paraId="0E9D37D0" w14:textId="77777777" w:rsidR="00F54AA2" w:rsidRPr="00023B70" w:rsidRDefault="00F54AA2" w:rsidP="00F54AA2">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4072CFD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vMerge/>
            <w:vAlign w:val="center"/>
            <w:hideMark/>
          </w:tcPr>
          <w:p w14:paraId="0F9C94E5" w14:textId="77777777" w:rsidR="00F54AA2" w:rsidRPr="00023B70" w:rsidRDefault="00F54AA2" w:rsidP="00F54AA2">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DF9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vMerge/>
            <w:vAlign w:val="center"/>
            <w:hideMark/>
          </w:tcPr>
          <w:p w14:paraId="4076B238" w14:textId="77777777" w:rsidR="00F54AA2" w:rsidRPr="00023B70" w:rsidRDefault="00F54AA2" w:rsidP="00F54AA2">
            <w:pPr>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ECA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9CF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30595B5D"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5148AF"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5.2. speciālais budžets</w:t>
            </w:r>
          </w:p>
        </w:tc>
        <w:tc>
          <w:tcPr>
            <w:tcW w:w="1242" w:type="dxa"/>
            <w:vMerge/>
            <w:vAlign w:val="center"/>
            <w:hideMark/>
          </w:tcPr>
          <w:p w14:paraId="705E4035" w14:textId="77777777" w:rsidR="00F54AA2" w:rsidRPr="00023B70" w:rsidRDefault="00F54AA2" w:rsidP="00F54AA2">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1AE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vMerge/>
            <w:vAlign w:val="center"/>
            <w:hideMark/>
          </w:tcPr>
          <w:p w14:paraId="195EEE41" w14:textId="77777777" w:rsidR="00F54AA2" w:rsidRPr="00023B70" w:rsidRDefault="00F54AA2" w:rsidP="00F54AA2">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017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vMerge/>
            <w:vAlign w:val="center"/>
            <w:hideMark/>
          </w:tcPr>
          <w:p w14:paraId="5E300181" w14:textId="77777777" w:rsidR="00F54AA2" w:rsidRPr="00023B70" w:rsidRDefault="00F54AA2" w:rsidP="00F54AA2">
            <w:pPr>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271"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FE6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36EE4747"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12C85D"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5.3. pašvaldību budžets</w:t>
            </w:r>
          </w:p>
        </w:tc>
        <w:tc>
          <w:tcPr>
            <w:tcW w:w="1242" w:type="dxa"/>
            <w:vMerge/>
            <w:vAlign w:val="center"/>
            <w:hideMark/>
          </w:tcPr>
          <w:p w14:paraId="3E9D7FDC" w14:textId="77777777" w:rsidR="00F54AA2" w:rsidRPr="00023B70" w:rsidRDefault="00F54AA2" w:rsidP="00F54AA2">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F004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vMerge/>
            <w:vAlign w:val="center"/>
            <w:hideMark/>
          </w:tcPr>
          <w:p w14:paraId="7AFB5A98" w14:textId="77777777" w:rsidR="00F54AA2" w:rsidRPr="00023B70" w:rsidRDefault="00F54AA2" w:rsidP="00F54AA2">
            <w:pPr>
              <w:jc w:val="center"/>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642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038" w:type="dxa"/>
            <w:vMerge/>
            <w:vAlign w:val="center"/>
            <w:hideMark/>
          </w:tcPr>
          <w:p w14:paraId="0A419AB7" w14:textId="77777777" w:rsidR="00F54AA2" w:rsidRPr="00023B70" w:rsidRDefault="00F54AA2" w:rsidP="00F54AA2">
            <w:pPr>
              <w:jc w:val="center"/>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059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6B0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0B2DA3B4"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314BED"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3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ABAD5" w14:textId="78E2F35E" w:rsidR="00F54AA2" w:rsidRPr="00023B70" w:rsidRDefault="00F54AA2" w:rsidP="00F54AA2">
            <w:pPr>
              <w:jc w:val="both"/>
              <w:rPr>
                <w:rFonts w:ascii="Times New Roman" w:eastAsia="Times New Roman" w:hAnsi="Times New Roman" w:cs="Times New Roman"/>
                <w:sz w:val="24"/>
                <w:szCs w:val="24"/>
                <w:lang w:eastAsia="lv-LV"/>
              </w:rPr>
            </w:pPr>
            <w:r w:rsidRPr="00023B70">
              <w:rPr>
                <w:rFonts w:ascii="Times New Roman" w:eastAsia="Times New Roman" w:hAnsi="Times New Roman" w:cs="Times New Roman"/>
                <w:sz w:val="24"/>
                <w:szCs w:val="24"/>
                <w:lang w:eastAsia="lv-LV"/>
              </w:rPr>
              <w:t>Ar budžeta finansējumu</w:t>
            </w:r>
            <w:r w:rsidR="002A2CC7" w:rsidRPr="00023B70">
              <w:rPr>
                <w:rFonts w:ascii="Times New Roman" w:eastAsia="Times New Roman" w:hAnsi="Times New Roman" w:cs="Times New Roman"/>
                <w:sz w:val="24"/>
                <w:szCs w:val="24"/>
                <w:lang w:eastAsia="lv-LV"/>
              </w:rPr>
              <w:t>, kas nepārsniedz</w:t>
            </w:r>
            <w:r w:rsidRPr="00023B70">
              <w:rPr>
                <w:rFonts w:ascii="Times New Roman" w:eastAsia="Times New Roman" w:hAnsi="Times New Roman" w:cs="Times New Roman"/>
                <w:sz w:val="24"/>
                <w:szCs w:val="24"/>
                <w:lang w:eastAsia="lv-LV"/>
              </w:rPr>
              <w:t xml:space="preserve"> 800 000 </w:t>
            </w:r>
            <w:r w:rsidRPr="00023B70">
              <w:rPr>
                <w:rFonts w:ascii="Times New Roman" w:eastAsia="Times New Roman" w:hAnsi="Times New Roman" w:cs="Times New Roman"/>
                <w:i/>
                <w:iCs/>
                <w:sz w:val="24"/>
                <w:szCs w:val="24"/>
                <w:lang w:eastAsia="lv-LV"/>
              </w:rPr>
              <w:t>euro</w:t>
            </w:r>
            <w:r w:rsidRPr="00023B70">
              <w:rPr>
                <w:rFonts w:ascii="Times New Roman" w:eastAsia="Times New Roman" w:hAnsi="Times New Roman" w:cs="Times New Roman"/>
                <w:sz w:val="24"/>
                <w:szCs w:val="24"/>
                <w:lang w:eastAsia="lv-LV"/>
              </w:rPr>
              <w:t xml:space="preserve"> kopumā plānots izsniegt grantus orientējošo 6 tūrisma operatoriem (indikatīvās izmaksas, kas apkopotas aptaujājot tūrisma operatorus, izmaksas tiks precizētas saņemot no operatoriem zvērinātu revidentu apliecinātus aprēķinus): </w:t>
            </w:r>
          </w:p>
          <w:p w14:paraId="47EDDC6A" w14:textId="77777777" w:rsidR="00F54AA2" w:rsidRPr="00023B70" w:rsidRDefault="00F54AA2" w:rsidP="00154E88">
            <w:pPr>
              <w:jc w:val="both"/>
              <w:rPr>
                <w:rFonts w:ascii="Times New Roman" w:hAnsi="Times New Roman" w:cs="Times New Roman"/>
                <w:sz w:val="24"/>
                <w:szCs w:val="24"/>
              </w:rPr>
            </w:pPr>
          </w:p>
        </w:tc>
      </w:tr>
      <w:tr w:rsidR="00F54AA2" w:rsidRPr="00023B70" w14:paraId="5A76A0D7"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DF80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6.1. detalizēts ieņēmumu aprēķins</w:t>
            </w:r>
          </w:p>
        </w:tc>
        <w:tc>
          <w:tcPr>
            <w:tcW w:w="7432" w:type="dxa"/>
            <w:gridSpan w:val="7"/>
            <w:vMerge/>
            <w:vAlign w:val="center"/>
            <w:hideMark/>
          </w:tcPr>
          <w:p w14:paraId="7450CA87" w14:textId="77777777" w:rsidR="00F54AA2" w:rsidRPr="00023B70" w:rsidRDefault="00F54AA2" w:rsidP="00F54AA2">
            <w:pPr>
              <w:jc w:val="center"/>
              <w:rPr>
                <w:rFonts w:ascii="Times New Roman" w:hAnsi="Times New Roman" w:cs="Times New Roman"/>
                <w:sz w:val="24"/>
                <w:szCs w:val="24"/>
              </w:rPr>
            </w:pPr>
          </w:p>
        </w:tc>
      </w:tr>
      <w:tr w:rsidR="00F54AA2" w:rsidRPr="00023B70" w14:paraId="60D9F974"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5456E"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6.2. detalizēts izdevumu aprēķins</w:t>
            </w:r>
          </w:p>
        </w:tc>
        <w:tc>
          <w:tcPr>
            <w:tcW w:w="7432" w:type="dxa"/>
            <w:gridSpan w:val="7"/>
            <w:vMerge/>
            <w:vAlign w:val="center"/>
            <w:hideMark/>
          </w:tcPr>
          <w:p w14:paraId="294540F6" w14:textId="77777777" w:rsidR="00F54AA2" w:rsidRPr="00023B70" w:rsidRDefault="00F54AA2" w:rsidP="00F54AA2">
            <w:pPr>
              <w:jc w:val="center"/>
              <w:rPr>
                <w:rFonts w:ascii="Times New Roman" w:hAnsi="Times New Roman" w:cs="Times New Roman"/>
                <w:sz w:val="24"/>
                <w:szCs w:val="24"/>
              </w:rPr>
            </w:pPr>
          </w:p>
        </w:tc>
      </w:tr>
      <w:tr w:rsidR="00F54AA2" w:rsidRPr="00023B70" w14:paraId="24B6B10A"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43BA0C"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lastRenderedPageBreak/>
              <w:t>7. Amata vietu skaita izmaiņas</w:t>
            </w:r>
          </w:p>
        </w:tc>
        <w:tc>
          <w:tcPr>
            <w:tcW w:w="7432"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52F35" w14:textId="77777777" w:rsidR="00F54AA2" w:rsidRPr="00023B70" w:rsidRDefault="00F54AA2" w:rsidP="00F54AA2">
            <w:pPr>
              <w:jc w:val="both"/>
              <w:rPr>
                <w:rFonts w:ascii="Times New Roman" w:eastAsia="Times New Roman" w:hAnsi="Times New Roman" w:cs="Times New Roman"/>
                <w:sz w:val="24"/>
                <w:szCs w:val="24"/>
                <w:lang w:eastAsia="lv-LV"/>
              </w:rPr>
            </w:pPr>
            <w:r w:rsidRPr="00023B70">
              <w:rPr>
                <w:rFonts w:ascii="Times New Roman" w:eastAsia="Times New Roman" w:hAnsi="Times New Roman" w:cs="Times New Roman"/>
                <w:sz w:val="24"/>
                <w:szCs w:val="24"/>
                <w:lang w:eastAsia="lv-LV"/>
              </w:rPr>
              <w:t>Projekts šo jomu neskar.</w:t>
            </w:r>
          </w:p>
          <w:p w14:paraId="2330DDB8" w14:textId="77777777" w:rsidR="00F54AA2" w:rsidRPr="00023B70" w:rsidRDefault="00F54AA2" w:rsidP="00F54AA2">
            <w:pPr>
              <w:rPr>
                <w:rFonts w:ascii="Times New Roman" w:hAnsi="Times New Roman" w:cs="Times New Roman"/>
                <w:sz w:val="24"/>
                <w:szCs w:val="24"/>
              </w:rPr>
            </w:pPr>
          </w:p>
        </w:tc>
      </w:tr>
      <w:tr w:rsidR="00F54AA2" w:rsidRPr="00023B70" w14:paraId="72711372" w14:textId="77777777" w:rsidTr="00F5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B29444"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8. Cita informācija</w:t>
            </w:r>
          </w:p>
        </w:tc>
        <w:tc>
          <w:tcPr>
            <w:tcW w:w="7432"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EEC10E" w14:textId="7A75EE0E" w:rsidR="00F54AA2" w:rsidRPr="00023B70" w:rsidRDefault="00D0131A" w:rsidP="00D0131A">
            <w:pPr>
              <w:jc w:val="both"/>
              <w:rPr>
                <w:rFonts w:ascii="Times New Roman" w:hAnsi="Times New Roman" w:cs="Times New Roman"/>
                <w:sz w:val="24"/>
                <w:szCs w:val="24"/>
              </w:rPr>
            </w:pPr>
            <w:r w:rsidRPr="00023B70">
              <w:rPr>
                <w:rFonts w:ascii="Times New Roman" w:eastAsia="Times New Roman" w:hAnsi="Times New Roman" w:cs="Times New Roman"/>
                <w:sz w:val="24"/>
                <w:szCs w:val="24"/>
                <w:lang w:eastAsia="lv-LV"/>
              </w:rPr>
              <w:t>Lai Patērētāju tiesību aizsardzības centrs varētu segt repatriācijas izmaksas tūrisma operatoriem, kuru darbību ietekmējusi Covid-19 izplatība</w:t>
            </w:r>
            <w:r w:rsidR="00A41904" w:rsidRPr="00023B70">
              <w:rPr>
                <w:rFonts w:ascii="Times New Roman" w:eastAsia="Times New Roman" w:hAnsi="Times New Roman" w:cs="Times New Roman"/>
                <w:sz w:val="24"/>
                <w:szCs w:val="24"/>
                <w:lang w:eastAsia="lv-LV"/>
              </w:rPr>
              <w:t>,</w:t>
            </w:r>
            <w:r w:rsidRPr="00023B70">
              <w:rPr>
                <w:rFonts w:ascii="Times New Roman" w:eastAsia="Times New Roman" w:hAnsi="Times New Roman" w:cs="Times New Roman"/>
                <w:sz w:val="24"/>
                <w:szCs w:val="24"/>
                <w:lang w:eastAsia="lv-LV"/>
              </w:rPr>
              <w:t xml:space="preserve"> finansējums, kas nepārsniedz 800 000 euro tiks pārdalīts Ekonomikas ministrijai </w:t>
            </w:r>
            <w:r w:rsidR="00F54AA2" w:rsidRPr="00023B70">
              <w:rPr>
                <w:rFonts w:ascii="Times New Roman" w:eastAsia="Times New Roman" w:hAnsi="Times New Roman" w:cs="Times New Roman"/>
                <w:sz w:val="24"/>
                <w:szCs w:val="24"/>
                <w:lang w:eastAsia="lv-LV"/>
              </w:rPr>
              <w:t>no 74.resora „Gadskārtējā valsts budžeta izpildes procesā pārdalāmais finansējums” programmas 02.00.00 „Līdzekļi neparedzētiem gadījumiem”</w:t>
            </w:r>
            <w:r w:rsidRPr="00023B70">
              <w:rPr>
                <w:rFonts w:ascii="Times New Roman" w:eastAsia="Times New Roman" w:hAnsi="Times New Roman" w:cs="Times New Roman"/>
                <w:sz w:val="24"/>
                <w:szCs w:val="24"/>
                <w:lang w:eastAsia="lv-LV"/>
              </w:rPr>
              <w:t xml:space="preserve"> atbilstoši</w:t>
            </w:r>
            <w:r w:rsidR="00B94F6B" w:rsidRPr="00023B70">
              <w:rPr>
                <w:rFonts w:ascii="Times New Roman" w:eastAsia="Times New Roman" w:hAnsi="Times New Roman" w:cs="Times New Roman"/>
                <w:sz w:val="24"/>
                <w:szCs w:val="24"/>
                <w:lang w:eastAsia="lv-LV"/>
              </w:rPr>
              <w:t xml:space="preserve"> faktiski</w:t>
            </w:r>
            <w:r w:rsidRPr="00023B70">
              <w:rPr>
                <w:rFonts w:ascii="Times New Roman" w:eastAsia="Times New Roman" w:hAnsi="Times New Roman" w:cs="Times New Roman"/>
                <w:sz w:val="24"/>
                <w:szCs w:val="24"/>
                <w:lang w:eastAsia="lv-LV"/>
              </w:rPr>
              <w:t xml:space="preserve"> nepieciešamajam apmēram</w:t>
            </w:r>
            <w:r w:rsidR="00F54AA2" w:rsidRPr="00023B70">
              <w:rPr>
                <w:rFonts w:ascii="Times New Roman" w:eastAsia="Times New Roman" w:hAnsi="Times New Roman" w:cs="Times New Roman"/>
                <w:sz w:val="24"/>
                <w:szCs w:val="24"/>
                <w:lang w:eastAsia="lv-LV"/>
              </w:rPr>
              <w:t xml:space="preserve">. </w:t>
            </w:r>
          </w:p>
        </w:tc>
      </w:tr>
    </w:tbl>
    <w:p w14:paraId="7703E2B0" w14:textId="77777777" w:rsidR="00F54AA2" w:rsidRPr="00023B70" w:rsidRDefault="00F54AA2" w:rsidP="00F54AA2">
      <w:pPr>
        <w:contextualSpacing/>
        <w:rPr>
          <w:rFonts w:eastAsia="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57F3DCA0" w14:textId="77777777" w:rsidTr="00B37F42">
        <w:trPr>
          <w:trHeight w:val="1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F5A9B"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IV. Tiesību akta projekta ietekme uz spēkā esošo tiesību normu sistēmu</w:t>
            </w:r>
          </w:p>
        </w:tc>
      </w:tr>
      <w:tr w:rsidR="00733B82" w:rsidRPr="00023B70" w14:paraId="2C6625C8" w14:textId="77777777" w:rsidTr="00B37F42">
        <w:trPr>
          <w:trHeight w:val="203"/>
          <w:tblCellSpacing w:w="15" w:type="dxa"/>
        </w:trPr>
        <w:tc>
          <w:tcPr>
            <w:tcW w:w="4968" w:type="pct"/>
            <w:tcBorders>
              <w:top w:val="outset" w:sz="6" w:space="0" w:color="auto"/>
              <w:left w:val="outset" w:sz="6" w:space="0" w:color="auto"/>
              <w:right w:val="outset" w:sz="6" w:space="0" w:color="auto"/>
            </w:tcBorders>
            <w:hideMark/>
          </w:tcPr>
          <w:p w14:paraId="4163CAC1" w14:textId="31F7CDD3" w:rsidR="00B37F42" w:rsidRPr="00023B70" w:rsidRDefault="003A0C7A" w:rsidP="00B37F42">
            <w:pPr>
              <w:tabs>
                <w:tab w:val="left" w:pos="1620"/>
              </w:tabs>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spēkā esošo tiesību normu sistēmu.</w:t>
            </w:r>
          </w:p>
        </w:tc>
      </w:tr>
    </w:tbl>
    <w:p w14:paraId="65C43110"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01D98D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10A0"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3B82" w:rsidRPr="00023B70" w14:paraId="65888D9C" w14:textId="77777777" w:rsidTr="00B37F42">
        <w:trPr>
          <w:trHeight w:val="347"/>
          <w:tblCellSpacing w:w="15" w:type="dxa"/>
        </w:trPr>
        <w:tc>
          <w:tcPr>
            <w:tcW w:w="4967" w:type="pct"/>
            <w:tcBorders>
              <w:top w:val="outset" w:sz="6" w:space="0" w:color="auto"/>
              <w:left w:val="outset" w:sz="6" w:space="0" w:color="auto"/>
              <w:right w:val="outset" w:sz="6" w:space="0" w:color="auto"/>
            </w:tcBorders>
            <w:hideMark/>
          </w:tcPr>
          <w:p w14:paraId="1215B334" w14:textId="01B7372B" w:rsidR="00B37F42" w:rsidRPr="00023B70" w:rsidRDefault="003A0C7A" w:rsidP="00B37F4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Latvijas Republikas starptautiskajām saistībām.</w:t>
            </w:r>
          </w:p>
        </w:tc>
      </w:tr>
    </w:tbl>
    <w:p w14:paraId="42AD8199"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77BEB9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A1F4"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VI. Sabiedrības līdzdalība un komunikācijas aktivitātes</w:t>
            </w:r>
          </w:p>
        </w:tc>
      </w:tr>
      <w:tr w:rsidR="00733B82" w:rsidRPr="00023B70" w14:paraId="31677B05" w14:textId="77777777" w:rsidTr="00000672">
        <w:trPr>
          <w:trHeight w:val="35"/>
          <w:tblCellSpacing w:w="15" w:type="dxa"/>
        </w:trPr>
        <w:tc>
          <w:tcPr>
            <w:tcW w:w="4967" w:type="pct"/>
            <w:tcBorders>
              <w:top w:val="outset" w:sz="6" w:space="0" w:color="auto"/>
              <w:left w:val="outset" w:sz="6" w:space="0" w:color="auto"/>
              <w:right w:val="outset" w:sz="6" w:space="0" w:color="auto"/>
            </w:tcBorders>
            <w:hideMark/>
          </w:tcPr>
          <w:p w14:paraId="6AD2BB47" w14:textId="77777777" w:rsidR="00000672" w:rsidRPr="00023B70" w:rsidRDefault="00000672" w:rsidP="0000067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šo jomu neskar.</w:t>
            </w:r>
          </w:p>
        </w:tc>
      </w:tr>
    </w:tbl>
    <w:p w14:paraId="69E73BC4"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733B82" w:rsidRPr="00023B70" w14:paraId="23197B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CBCF2"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3B82" w:rsidRPr="00023B70" w14:paraId="36CCCC6A"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70402"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59518463"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5BC88615" w14:textId="77777777" w:rsidR="00B37F42" w:rsidRPr="00023B70" w:rsidRDefault="00B37F42"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Ekonomikas ministrija, Patērētāju tiesību aizsardzības centrs</w:t>
            </w:r>
          </w:p>
        </w:tc>
      </w:tr>
      <w:tr w:rsidR="00733B82" w:rsidRPr="00023B70" w14:paraId="14C69D76"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D0DA"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24BB2CF0"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Projekta izpildes ietekme uz pārvaldes funkcijām un institucionālo struktūru.</w:t>
            </w:r>
            <w:r w:rsidRPr="00023B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13B4A911" w14:textId="11BE97C1" w:rsidR="00000672" w:rsidRPr="00023B70" w:rsidRDefault="003A0C7A"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pārvaldes funkcijām un institucionālo struktūru.</w:t>
            </w:r>
          </w:p>
        </w:tc>
      </w:tr>
      <w:tr w:rsidR="00733B82" w:rsidRPr="00023B70" w14:paraId="2455F098"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78C2"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E8C697F"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6CF289E" w14:textId="77777777" w:rsidR="00B37F42" w:rsidRPr="00023B70" w:rsidRDefault="00B37F42"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Nav</w:t>
            </w:r>
          </w:p>
        </w:tc>
      </w:tr>
    </w:tbl>
    <w:p w14:paraId="47AA5F7D" w14:textId="77777777" w:rsidR="00E5323B" w:rsidRPr="00023B70" w:rsidRDefault="00E5323B" w:rsidP="00894C55">
      <w:pPr>
        <w:spacing w:after="0" w:line="240" w:lineRule="auto"/>
        <w:rPr>
          <w:rFonts w:ascii="Times New Roman" w:hAnsi="Times New Roman" w:cs="Times New Roman"/>
          <w:sz w:val="28"/>
          <w:szCs w:val="28"/>
        </w:rPr>
      </w:pPr>
    </w:p>
    <w:p w14:paraId="6E1E0CDC" w14:textId="302A7B03" w:rsidR="00894C55" w:rsidRPr="00023B70" w:rsidRDefault="00090E82" w:rsidP="00894C55">
      <w:pPr>
        <w:tabs>
          <w:tab w:val="left" w:pos="6237"/>
        </w:tabs>
        <w:spacing w:after="0" w:line="240" w:lineRule="auto"/>
        <w:ind w:firstLine="720"/>
        <w:rPr>
          <w:rFonts w:ascii="Times New Roman" w:hAnsi="Times New Roman" w:cs="Times New Roman"/>
          <w:sz w:val="28"/>
          <w:szCs w:val="28"/>
        </w:rPr>
      </w:pPr>
      <w:r w:rsidRPr="00023B70">
        <w:rPr>
          <w:rFonts w:ascii="Times New Roman" w:hAnsi="Times New Roman" w:cs="Times New Roman"/>
          <w:sz w:val="28"/>
          <w:szCs w:val="28"/>
        </w:rPr>
        <w:t>Ekonomikas</w:t>
      </w:r>
      <w:r w:rsidR="00894C55" w:rsidRPr="00023B70">
        <w:rPr>
          <w:rFonts w:ascii="Times New Roman" w:hAnsi="Times New Roman" w:cs="Times New Roman"/>
          <w:sz w:val="28"/>
          <w:szCs w:val="28"/>
        </w:rPr>
        <w:t xml:space="preserve"> ministrs</w:t>
      </w:r>
      <w:r w:rsidR="00894C55" w:rsidRPr="00023B70">
        <w:rPr>
          <w:rFonts w:ascii="Times New Roman" w:hAnsi="Times New Roman" w:cs="Times New Roman"/>
          <w:sz w:val="28"/>
          <w:szCs w:val="28"/>
        </w:rPr>
        <w:tab/>
      </w:r>
      <w:r w:rsidR="00D30446" w:rsidRPr="00023B70">
        <w:rPr>
          <w:rFonts w:ascii="Times New Roman" w:hAnsi="Times New Roman" w:cs="Times New Roman"/>
          <w:sz w:val="28"/>
          <w:szCs w:val="28"/>
        </w:rPr>
        <w:t>Jānis Vitenbergs</w:t>
      </w:r>
    </w:p>
    <w:p w14:paraId="11E03495" w14:textId="77777777" w:rsidR="00894C55" w:rsidRPr="00023B70" w:rsidRDefault="00894C55" w:rsidP="00894C55">
      <w:pPr>
        <w:spacing w:after="0" w:line="240" w:lineRule="auto"/>
        <w:ind w:firstLine="720"/>
        <w:rPr>
          <w:rFonts w:ascii="Times New Roman" w:hAnsi="Times New Roman" w:cs="Times New Roman"/>
          <w:sz w:val="28"/>
          <w:szCs w:val="28"/>
        </w:rPr>
      </w:pPr>
    </w:p>
    <w:p w14:paraId="37B4CEA5" w14:textId="359F57F5" w:rsidR="00894C55" w:rsidRPr="00023B70" w:rsidRDefault="00D30446" w:rsidP="00D30446">
      <w:pPr>
        <w:spacing w:after="0" w:line="240" w:lineRule="auto"/>
        <w:ind w:left="720"/>
        <w:rPr>
          <w:rFonts w:ascii="Times New Roman" w:hAnsi="Times New Roman" w:cs="Times New Roman"/>
          <w:sz w:val="28"/>
          <w:szCs w:val="28"/>
        </w:rPr>
      </w:pPr>
      <w:r w:rsidRPr="00023B70">
        <w:rPr>
          <w:rFonts w:ascii="Times New Roman" w:hAnsi="Times New Roman" w:cs="Times New Roman"/>
          <w:sz w:val="28"/>
          <w:szCs w:val="28"/>
        </w:rPr>
        <w:t>Vīza: valsts sekretārs</w:t>
      </w:r>
      <w:r w:rsidRPr="00023B70">
        <w:rPr>
          <w:rFonts w:ascii="Times New Roman" w:hAnsi="Times New Roman" w:cs="Times New Roman"/>
          <w:sz w:val="28"/>
          <w:szCs w:val="28"/>
        </w:rPr>
        <w:tab/>
      </w:r>
      <w:r w:rsidRPr="00023B70">
        <w:rPr>
          <w:rFonts w:ascii="Times New Roman" w:hAnsi="Times New Roman" w:cs="Times New Roman"/>
          <w:sz w:val="28"/>
          <w:szCs w:val="28"/>
        </w:rPr>
        <w:tab/>
      </w:r>
      <w:r w:rsidRPr="00023B70">
        <w:rPr>
          <w:rFonts w:ascii="Times New Roman" w:hAnsi="Times New Roman" w:cs="Times New Roman"/>
          <w:sz w:val="28"/>
          <w:szCs w:val="28"/>
        </w:rPr>
        <w:tab/>
      </w:r>
      <w:r w:rsidRPr="00023B70">
        <w:rPr>
          <w:rFonts w:ascii="Times New Roman" w:hAnsi="Times New Roman" w:cs="Times New Roman"/>
          <w:sz w:val="28"/>
          <w:szCs w:val="28"/>
        </w:rPr>
        <w:tab/>
      </w:r>
      <w:r w:rsidRPr="00023B70">
        <w:rPr>
          <w:rFonts w:ascii="Times New Roman" w:hAnsi="Times New Roman" w:cs="Times New Roman"/>
          <w:sz w:val="28"/>
          <w:szCs w:val="28"/>
        </w:rPr>
        <w:tab/>
        <w:t>Edmunds Valantis</w:t>
      </w:r>
    </w:p>
    <w:p w14:paraId="2E684EE2" w14:textId="77777777" w:rsidR="00894C55" w:rsidRPr="00023B70" w:rsidRDefault="00894C55" w:rsidP="00894C55">
      <w:pPr>
        <w:tabs>
          <w:tab w:val="left" w:pos="6237"/>
        </w:tabs>
        <w:spacing w:after="0" w:line="240" w:lineRule="auto"/>
        <w:ind w:firstLine="720"/>
        <w:rPr>
          <w:rFonts w:ascii="Times New Roman" w:hAnsi="Times New Roman" w:cs="Times New Roman"/>
          <w:sz w:val="28"/>
          <w:szCs w:val="28"/>
        </w:rPr>
      </w:pPr>
    </w:p>
    <w:p w14:paraId="40AF13DD" w14:textId="411BF8DA" w:rsidR="00894C55" w:rsidRPr="00023B70" w:rsidRDefault="00CF61A6" w:rsidP="00894C55">
      <w:pPr>
        <w:tabs>
          <w:tab w:val="left" w:pos="6237"/>
        </w:tabs>
        <w:spacing w:after="0" w:line="240" w:lineRule="auto"/>
        <w:rPr>
          <w:rFonts w:ascii="Times New Roman" w:hAnsi="Times New Roman" w:cs="Times New Roman"/>
          <w:sz w:val="20"/>
          <w:szCs w:val="28"/>
        </w:rPr>
      </w:pPr>
      <w:bookmarkStart w:id="0" w:name="_GoBack"/>
      <w:bookmarkEnd w:id="0"/>
      <w:r w:rsidRPr="00023B70">
        <w:rPr>
          <w:rFonts w:ascii="Times New Roman" w:hAnsi="Times New Roman" w:cs="Times New Roman"/>
          <w:sz w:val="20"/>
          <w:szCs w:val="28"/>
        </w:rPr>
        <w:t>Silovs</w:t>
      </w:r>
      <w:r w:rsidR="00090E82" w:rsidRPr="00023B70">
        <w:rPr>
          <w:rFonts w:ascii="Times New Roman" w:hAnsi="Times New Roman" w:cs="Times New Roman"/>
          <w:sz w:val="20"/>
          <w:szCs w:val="28"/>
        </w:rPr>
        <w:t>,</w:t>
      </w:r>
      <w:r w:rsidR="00D133F8" w:rsidRPr="00023B70">
        <w:rPr>
          <w:rFonts w:ascii="Times New Roman" w:hAnsi="Times New Roman" w:cs="Times New Roman"/>
          <w:sz w:val="20"/>
          <w:szCs w:val="28"/>
        </w:rPr>
        <w:t xml:space="preserve"> </w:t>
      </w:r>
      <w:r w:rsidR="00090E82" w:rsidRPr="00023B70">
        <w:rPr>
          <w:rFonts w:ascii="Times New Roman" w:hAnsi="Times New Roman" w:cs="Times New Roman"/>
          <w:sz w:val="20"/>
          <w:szCs w:val="28"/>
        </w:rPr>
        <w:t>67013</w:t>
      </w:r>
      <w:r w:rsidRPr="00023B70">
        <w:rPr>
          <w:rFonts w:ascii="Times New Roman" w:hAnsi="Times New Roman" w:cs="Times New Roman"/>
          <w:sz w:val="20"/>
          <w:szCs w:val="28"/>
        </w:rPr>
        <w:t>209</w:t>
      </w:r>
    </w:p>
    <w:p w14:paraId="69268BCC" w14:textId="5DEC7004" w:rsidR="001945CC" w:rsidRPr="003506D9" w:rsidRDefault="001945CC" w:rsidP="00894C55">
      <w:pPr>
        <w:tabs>
          <w:tab w:val="left" w:pos="6237"/>
        </w:tabs>
        <w:spacing w:after="0" w:line="240" w:lineRule="auto"/>
        <w:rPr>
          <w:rFonts w:ascii="Times New Roman" w:hAnsi="Times New Roman" w:cs="Times New Roman"/>
          <w:sz w:val="20"/>
          <w:szCs w:val="28"/>
        </w:rPr>
      </w:pPr>
      <w:r w:rsidRPr="00023B70">
        <w:rPr>
          <w:rFonts w:ascii="Times New Roman" w:hAnsi="Times New Roman" w:cs="Times New Roman"/>
          <w:sz w:val="20"/>
          <w:szCs w:val="28"/>
        </w:rPr>
        <w:t>gatis.silovs@em.gov.lv</w:t>
      </w:r>
    </w:p>
    <w:sectPr w:rsidR="001945CC" w:rsidRPr="003506D9"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24CF" w14:textId="77777777" w:rsidR="00537197" w:rsidRDefault="00537197" w:rsidP="00894C55">
      <w:pPr>
        <w:spacing w:after="0" w:line="240" w:lineRule="auto"/>
      </w:pPr>
      <w:r>
        <w:separator/>
      </w:r>
    </w:p>
  </w:endnote>
  <w:endnote w:type="continuationSeparator" w:id="0">
    <w:p w14:paraId="786E3B21" w14:textId="77777777" w:rsidR="00537197" w:rsidRDefault="005371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BC84" w14:textId="77777777" w:rsidR="007D67CB" w:rsidRDefault="007D6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0FC" w14:textId="016DB63E"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D67CB">
      <w:rPr>
        <w:rFonts w:ascii="Times New Roman" w:hAnsi="Times New Roman" w:cs="Times New Roman"/>
        <w:noProof/>
        <w:sz w:val="20"/>
        <w:szCs w:val="20"/>
      </w:rPr>
      <w:t>EMAnot_110620_LNG_repa.docx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2D54" w14:textId="53CF45D1"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0012C">
      <w:rPr>
        <w:rFonts w:ascii="Times New Roman" w:hAnsi="Times New Roman" w:cs="Times New Roman"/>
        <w:noProof/>
        <w:sz w:val="20"/>
        <w:szCs w:val="20"/>
      </w:rPr>
      <w:t>EMAnot_110620_LNG_repa.docx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29C4" w14:textId="77777777" w:rsidR="00537197" w:rsidRDefault="00537197" w:rsidP="00894C55">
      <w:pPr>
        <w:spacing w:after="0" w:line="240" w:lineRule="auto"/>
      </w:pPr>
      <w:r>
        <w:separator/>
      </w:r>
    </w:p>
  </w:footnote>
  <w:footnote w:type="continuationSeparator" w:id="0">
    <w:p w14:paraId="3F9E2A03" w14:textId="77777777" w:rsidR="00537197" w:rsidRDefault="0053719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FD19" w14:textId="77777777" w:rsidR="007D67CB" w:rsidRDefault="007D6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115C1046"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4F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99C7" w14:textId="77777777" w:rsidR="007D67CB" w:rsidRDefault="007D6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23B70"/>
    <w:rsid w:val="00043F63"/>
    <w:rsid w:val="00060885"/>
    <w:rsid w:val="000721FD"/>
    <w:rsid w:val="000859B0"/>
    <w:rsid w:val="00090E82"/>
    <w:rsid w:val="000F346D"/>
    <w:rsid w:val="00146307"/>
    <w:rsid w:val="00154E88"/>
    <w:rsid w:val="0017265F"/>
    <w:rsid w:val="001945CC"/>
    <w:rsid w:val="001B3130"/>
    <w:rsid w:val="001B417C"/>
    <w:rsid w:val="001B5163"/>
    <w:rsid w:val="00243426"/>
    <w:rsid w:val="00264C76"/>
    <w:rsid w:val="00286524"/>
    <w:rsid w:val="002A2CC7"/>
    <w:rsid w:val="002C6BB0"/>
    <w:rsid w:val="002E1C05"/>
    <w:rsid w:val="00312727"/>
    <w:rsid w:val="0032350F"/>
    <w:rsid w:val="00326065"/>
    <w:rsid w:val="003506D9"/>
    <w:rsid w:val="0038522D"/>
    <w:rsid w:val="003A0C7A"/>
    <w:rsid w:val="003B0BF9"/>
    <w:rsid w:val="003B6B89"/>
    <w:rsid w:val="003C0293"/>
    <w:rsid w:val="003D2B59"/>
    <w:rsid w:val="003E0791"/>
    <w:rsid w:val="003F28AC"/>
    <w:rsid w:val="00431FFF"/>
    <w:rsid w:val="004454FE"/>
    <w:rsid w:val="004524BE"/>
    <w:rsid w:val="00456E40"/>
    <w:rsid w:val="00471F27"/>
    <w:rsid w:val="00497B0C"/>
    <w:rsid w:val="004E5863"/>
    <w:rsid w:val="0050012C"/>
    <w:rsid w:val="0050178F"/>
    <w:rsid w:val="00537197"/>
    <w:rsid w:val="00545BCC"/>
    <w:rsid w:val="00566E8A"/>
    <w:rsid w:val="005A5B95"/>
    <w:rsid w:val="005F2B91"/>
    <w:rsid w:val="006073F5"/>
    <w:rsid w:val="00611CD7"/>
    <w:rsid w:val="006455B4"/>
    <w:rsid w:val="00655F2C"/>
    <w:rsid w:val="00662697"/>
    <w:rsid w:val="00671B4D"/>
    <w:rsid w:val="00694929"/>
    <w:rsid w:val="006A3D4B"/>
    <w:rsid w:val="006E1081"/>
    <w:rsid w:val="00700A35"/>
    <w:rsid w:val="00712A88"/>
    <w:rsid w:val="00720585"/>
    <w:rsid w:val="00725E23"/>
    <w:rsid w:val="007309FA"/>
    <w:rsid w:val="00733B82"/>
    <w:rsid w:val="00764F84"/>
    <w:rsid w:val="00773AF6"/>
    <w:rsid w:val="00795F71"/>
    <w:rsid w:val="007D67CB"/>
    <w:rsid w:val="007E5F7A"/>
    <w:rsid w:val="007E73AB"/>
    <w:rsid w:val="0080554D"/>
    <w:rsid w:val="00816C11"/>
    <w:rsid w:val="008352EA"/>
    <w:rsid w:val="00847CF4"/>
    <w:rsid w:val="00894C55"/>
    <w:rsid w:val="008C052C"/>
    <w:rsid w:val="008F2508"/>
    <w:rsid w:val="009617A8"/>
    <w:rsid w:val="00980106"/>
    <w:rsid w:val="00984BC1"/>
    <w:rsid w:val="00986C78"/>
    <w:rsid w:val="009A2654"/>
    <w:rsid w:val="009C4207"/>
    <w:rsid w:val="00A10FC3"/>
    <w:rsid w:val="00A27D40"/>
    <w:rsid w:val="00A37FFE"/>
    <w:rsid w:val="00A41904"/>
    <w:rsid w:val="00A6073E"/>
    <w:rsid w:val="00A6082A"/>
    <w:rsid w:val="00A66DE8"/>
    <w:rsid w:val="00AA3816"/>
    <w:rsid w:val="00AC0086"/>
    <w:rsid w:val="00AE5567"/>
    <w:rsid w:val="00AF0412"/>
    <w:rsid w:val="00AF1239"/>
    <w:rsid w:val="00B07933"/>
    <w:rsid w:val="00B16480"/>
    <w:rsid w:val="00B17A6F"/>
    <w:rsid w:val="00B2165C"/>
    <w:rsid w:val="00B37F42"/>
    <w:rsid w:val="00B42CBE"/>
    <w:rsid w:val="00B92B63"/>
    <w:rsid w:val="00B94F6B"/>
    <w:rsid w:val="00BA20AA"/>
    <w:rsid w:val="00BB4F10"/>
    <w:rsid w:val="00BD4425"/>
    <w:rsid w:val="00BE3473"/>
    <w:rsid w:val="00C25B49"/>
    <w:rsid w:val="00C96DE3"/>
    <w:rsid w:val="00CC0D2D"/>
    <w:rsid w:val="00CC7458"/>
    <w:rsid w:val="00CE5657"/>
    <w:rsid w:val="00CF61A6"/>
    <w:rsid w:val="00D0131A"/>
    <w:rsid w:val="00D133F8"/>
    <w:rsid w:val="00D14A3E"/>
    <w:rsid w:val="00D30446"/>
    <w:rsid w:val="00D850B7"/>
    <w:rsid w:val="00DA3256"/>
    <w:rsid w:val="00DD3881"/>
    <w:rsid w:val="00E3716B"/>
    <w:rsid w:val="00E5323B"/>
    <w:rsid w:val="00E84B94"/>
    <w:rsid w:val="00E8749E"/>
    <w:rsid w:val="00E90C01"/>
    <w:rsid w:val="00EA1598"/>
    <w:rsid w:val="00EA486E"/>
    <w:rsid w:val="00EE2C63"/>
    <w:rsid w:val="00F54AA2"/>
    <w:rsid w:val="00F57B0C"/>
    <w:rsid w:val="00FB0546"/>
    <w:rsid w:val="00FB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AF98"/>
  <w15:docId w15:val="{1571160C-14ED-4880-9EA9-02658BC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basedOn w:val="Normal"/>
    <w:uiPriority w:val="34"/>
    <w:qFormat/>
    <w:rsid w:val="00AF0412"/>
    <w:pPr>
      <w:ind w:left="720"/>
      <w:contextualSpacing/>
    </w:pPr>
  </w:style>
  <w:style w:type="table" w:styleId="TableGrid">
    <w:name w:val="Table Grid"/>
    <w:basedOn w:val="TableNormal"/>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7F52-5787-47E3-BEDA-1301F86E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3704</Words>
  <Characters>2112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dc:description>67013256, madara.luka@em.gov.lv</dc:description>
  <cp:lastModifiedBy>Gatis Silovs</cp:lastModifiedBy>
  <cp:revision>47</cp:revision>
  <dcterms:created xsi:type="dcterms:W3CDTF">2020-05-20T20:30:00Z</dcterms:created>
  <dcterms:modified xsi:type="dcterms:W3CDTF">2020-06-11T15:05:00Z</dcterms:modified>
</cp:coreProperties>
</file>