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5FF2" w14:textId="77777777" w:rsidR="00455B38" w:rsidRPr="00395ACC" w:rsidRDefault="00455B38" w:rsidP="00395ACC">
      <w:pPr>
        <w:pStyle w:val="BodyText"/>
        <w:jc w:val="center"/>
        <w:rPr>
          <w:rFonts w:ascii="Times New Roman" w:hAnsi="Times New Roman" w:cs="Times New Roman"/>
          <w:b/>
          <w:sz w:val="28"/>
          <w:szCs w:val="28"/>
          <w:lang w:eastAsia="lv-LV"/>
        </w:rPr>
      </w:pPr>
      <w:bookmarkStart w:id="0" w:name="_GoBack"/>
      <w:bookmarkEnd w:id="0"/>
      <w:r w:rsidRPr="00395ACC">
        <w:rPr>
          <w:rFonts w:ascii="Times New Roman" w:hAnsi="Times New Roman" w:cs="Times New Roman"/>
          <w:b/>
          <w:sz w:val="28"/>
          <w:szCs w:val="28"/>
          <w:lang w:eastAsia="lv-LV"/>
        </w:rPr>
        <w:t>Ministru kabineta noteikumu projekta „</w:t>
      </w:r>
      <w:r w:rsidR="00ED7380" w:rsidRPr="00395ACC">
        <w:rPr>
          <w:rFonts w:ascii="Times New Roman" w:hAnsi="Times New Roman" w:cs="Times New Roman"/>
          <w:b/>
          <w:sz w:val="28"/>
          <w:szCs w:val="28"/>
          <w:lang w:eastAsia="lv-LV"/>
        </w:rPr>
        <w:t xml:space="preserve">Liftu </w:t>
      </w:r>
      <w:r w:rsidR="004C0754" w:rsidRPr="00395ACC">
        <w:rPr>
          <w:rFonts w:ascii="Times New Roman" w:hAnsi="Times New Roman" w:cs="Times New Roman"/>
          <w:b/>
          <w:sz w:val="28"/>
          <w:szCs w:val="28"/>
          <w:lang w:eastAsia="lv-LV"/>
        </w:rPr>
        <w:t xml:space="preserve">un vertikālo cēlējplatformu drošības un tehniskās </w:t>
      </w:r>
      <w:r w:rsidR="00ED7380" w:rsidRPr="00395ACC">
        <w:rPr>
          <w:rFonts w:ascii="Times New Roman" w:hAnsi="Times New Roman" w:cs="Times New Roman"/>
          <w:b/>
          <w:sz w:val="28"/>
          <w:szCs w:val="28"/>
          <w:lang w:eastAsia="lv-LV"/>
        </w:rPr>
        <w:t>uzraudzības noteikumi</w:t>
      </w:r>
      <w:r w:rsidRPr="00395ACC">
        <w:rPr>
          <w:rFonts w:ascii="Times New Roman" w:hAnsi="Times New Roman" w:cs="Times New Roman"/>
          <w:b/>
          <w:sz w:val="28"/>
          <w:szCs w:val="28"/>
          <w:lang w:eastAsia="lv-LV"/>
        </w:rPr>
        <w:t>”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455B38" w:rsidRPr="00395ACC" w14:paraId="1CF8C994" w14:textId="77777777" w:rsidTr="00D957D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40989D1"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Tiesību akta projekta anotācijas kopsavilkums</w:t>
            </w:r>
          </w:p>
        </w:tc>
      </w:tr>
      <w:tr w:rsidR="00455B38" w:rsidRPr="00395ACC" w14:paraId="47C73562" w14:textId="77777777" w:rsidTr="00D957D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5A048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14:paraId="6EA0298C" w14:textId="77777777" w:rsidR="002E57B4" w:rsidRPr="00395ACC" w:rsidRDefault="00ED7380" w:rsidP="00D957D9">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Ministru kabineta noteikumu projekta</w:t>
            </w:r>
            <w:r w:rsidR="004C0754" w:rsidRPr="00395ACC">
              <w:rPr>
                <w:rFonts w:ascii="Times New Roman" w:eastAsia="Times New Roman" w:hAnsi="Times New Roman" w:cs="Times New Roman"/>
                <w:iCs/>
                <w:sz w:val="24"/>
                <w:szCs w:val="24"/>
                <w:lang w:eastAsia="lv-LV"/>
              </w:rPr>
              <w:t xml:space="preserve"> </w:t>
            </w:r>
            <w:r w:rsidR="004C0754" w:rsidRPr="00395ACC">
              <w:rPr>
                <w:rFonts w:ascii="Times New Roman" w:eastAsia="Times New Roman" w:hAnsi="Times New Roman" w:cs="Times New Roman"/>
                <w:sz w:val="24"/>
                <w:szCs w:val="24"/>
                <w:lang w:eastAsia="lv-LV"/>
              </w:rPr>
              <w:t xml:space="preserve">„Liftu un vertikālo cēlējplatformu drošības un tehniskās uzraudzības noteikumi” (turpmāk – </w:t>
            </w:r>
            <w:r w:rsidR="001A50F2" w:rsidRPr="00395ACC">
              <w:rPr>
                <w:rFonts w:ascii="Times New Roman" w:eastAsia="Times New Roman" w:hAnsi="Times New Roman" w:cs="Times New Roman"/>
                <w:sz w:val="24"/>
                <w:szCs w:val="24"/>
                <w:lang w:eastAsia="lv-LV"/>
              </w:rPr>
              <w:t>N</w:t>
            </w:r>
            <w:r w:rsidR="004C0754" w:rsidRPr="00395ACC">
              <w:rPr>
                <w:rFonts w:ascii="Times New Roman" w:eastAsia="Times New Roman" w:hAnsi="Times New Roman" w:cs="Times New Roman"/>
                <w:sz w:val="24"/>
                <w:szCs w:val="24"/>
                <w:lang w:eastAsia="lv-LV"/>
              </w:rPr>
              <w:t>oteikumu projekts)</w:t>
            </w:r>
            <w:r w:rsidRPr="00395ACC">
              <w:rPr>
                <w:rFonts w:ascii="Times New Roman" w:eastAsia="Times New Roman" w:hAnsi="Times New Roman" w:cs="Times New Roman"/>
                <w:iCs/>
                <w:sz w:val="24"/>
                <w:szCs w:val="24"/>
                <w:lang w:eastAsia="lv-LV"/>
              </w:rPr>
              <w:t xml:space="preserve"> mērķis ir </w:t>
            </w:r>
            <w:r w:rsidR="004C0754" w:rsidRPr="00395ACC">
              <w:rPr>
                <w:rFonts w:ascii="Times New Roman" w:eastAsia="Times New Roman" w:hAnsi="Times New Roman" w:cs="Times New Roman"/>
                <w:iCs/>
                <w:sz w:val="24"/>
                <w:szCs w:val="24"/>
                <w:lang w:eastAsia="lv-LV"/>
              </w:rPr>
              <w:t>pilnveidot regulējumu</w:t>
            </w:r>
            <w:r w:rsidR="002E57B4" w:rsidRPr="00395ACC">
              <w:rPr>
                <w:rFonts w:ascii="Times New Roman" w:eastAsia="Times New Roman" w:hAnsi="Times New Roman" w:cs="Times New Roman"/>
                <w:iCs/>
                <w:sz w:val="24"/>
                <w:szCs w:val="24"/>
                <w:lang w:eastAsia="lv-LV"/>
              </w:rPr>
              <w:t>:</w:t>
            </w:r>
          </w:p>
          <w:p w14:paraId="3F41FBD7" w14:textId="0E4D2094" w:rsidR="00680BDC" w:rsidRPr="00395ACC" w:rsidRDefault="002E57B4" w:rsidP="002E57B4">
            <w:pPr>
              <w:spacing w:after="0" w:line="240" w:lineRule="auto"/>
              <w:ind w:firstLine="264"/>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r w:rsidR="00790D17" w:rsidRPr="00395ACC">
              <w:rPr>
                <w:rFonts w:ascii="Times New Roman" w:eastAsia="Times New Roman" w:hAnsi="Times New Roman" w:cs="Times New Roman"/>
                <w:iCs/>
                <w:sz w:val="24"/>
                <w:szCs w:val="24"/>
                <w:lang w:eastAsia="lv-LV"/>
              </w:rPr>
              <w:t xml:space="preserve"> liftiem, </w:t>
            </w:r>
            <w:r w:rsidR="004C0754" w:rsidRPr="00395ACC">
              <w:rPr>
                <w:rFonts w:ascii="Times New Roman" w:eastAsia="Times New Roman" w:hAnsi="Times New Roman" w:cs="Times New Roman"/>
                <w:iCs/>
                <w:sz w:val="24"/>
                <w:szCs w:val="24"/>
                <w:lang w:eastAsia="lv-LV"/>
              </w:rPr>
              <w:t xml:space="preserve">kas </w:t>
            </w:r>
            <w:r w:rsidR="00680BDC" w:rsidRPr="00395ACC">
              <w:rPr>
                <w:rFonts w:ascii="Times New Roman" w:eastAsia="Times New Roman" w:hAnsi="Times New Roman" w:cs="Times New Roman"/>
                <w:iCs/>
                <w:sz w:val="24"/>
                <w:szCs w:val="24"/>
                <w:lang w:eastAsia="lv-LV"/>
              </w:rPr>
              <w:t xml:space="preserve">uzstādīti </w:t>
            </w:r>
            <w:r w:rsidR="00232EFC" w:rsidRPr="00395ACC">
              <w:rPr>
                <w:rFonts w:ascii="Times New Roman" w:eastAsia="Times New Roman" w:hAnsi="Times New Roman" w:cs="Times New Roman"/>
                <w:iCs/>
                <w:sz w:val="24"/>
                <w:szCs w:val="24"/>
                <w:lang w:eastAsia="lv-LV"/>
              </w:rPr>
              <w:t xml:space="preserve">līdz </w:t>
            </w:r>
            <w:r w:rsidRPr="00395ACC">
              <w:rPr>
                <w:rFonts w:ascii="Times New Roman" w:eastAsia="Times New Roman" w:hAnsi="Times New Roman" w:cs="Times New Roman"/>
                <w:iCs/>
                <w:sz w:val="24"/>
                <w:szCs w:val="24"/>
                <w:lang w:eastAsia="lv-LV"/>
              </w:rPr>
              <w:t>2000.</w:t>
            </w:r>
            <w:r w:rsidR="0072220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gada 1.</w:t>
            </w:r>
            <w:r w:rsidR="0072220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septembrim, kad stāj</w:t>
            </w:r>
            <w:r w:rsidR="00395ACC">
              <w:rPr>
                <w:rFonts w:ascii="Times New Roman" w:eastAsia="Times New Roman" w:hAnsi="Times New Roman" w:cs="Times New Roman"/>
                <w:iCs/>
                <w:sz w:val="24"/>
                <w:szCs w:val="24"/>
                <w:lang w:eastAsia="lv-LV"/>
              </w:rPr>
              <w:t>a</w:t>
            </w:r>
            <w:r w:rsidRPr="00395ACC">
              <w:rPr>
                <w:rFonts w:ascii="Times New Roman" w:eastAsia="Times New Roman" w:hAnsi="Times New Roman" w:cs="Times New Roman"/>
                <w:iCs/>
                <w:sz w:val="24"/>
                <w:szCs w:val="24"/>
                <w:lang w:eastAsia="lv-LV"/>
              </w:rPr>
              <w:t xml:space="preserve">s spēkā Ministru kabineta </w:t>
            </w:r>
            <w:r w:rsidR="0072220E" w:rsidRPr="00395ACC">
              <w:rPr>
                <w:rFonts w:ascii="Times New Roman" w:eastAsia="Times New Roman" w:hAnsi="Times New Roman" w:cs="Times New Roman"/>
                <w:iCs/>
                <w:sz w:val="24"/>
                <w:szCs w:val="24"/>
                <w:lang w:eastAsia="lv-LV"/>
              </w:rPr>
              <w:t>2000. gada 25. aprīļa noteikumi Nr. 157 “</w:t>
            </w:r>
            <w:r w:rsidRPr="00395ACC">
              <w:rPr>
                <w:rFonts w:ascii="Times New Roman" w:eastAsia="Times New Roman" w:hAnsi="Times New Roman" w:cs="Times New Roman"/>
                <w:iCs/>
                <w:sz w:val="24"/>
                <w:szCs w:val="24"/>
                <w:lang w:eastAsia="lv-LV"/>
              </w:rPr>
              <w:t xml:space="preserve"> </w:t>
            </w:r>
            <w:r w:rsidR="0072220E" w:rsidRPr="00395ACC">
              <w:rPr>
                <w:rFonts w:ascii="Times New Roman" w:eastAsia="Times New Roman" w:hAnsi="Times New Roman" w:cs="Times New Roman"/>
                <w:iCs/>
                <w:sz w:val="24"/>
                <w:szCs w:val="24"/>
                <w:lang w:eastAsia="lv-LV"/>
              </w:rPr>
              <w:t>Noteikumi par liftu un to drošības sastāvdaļu projektēšanas, ražošanas un liftu uzstādīšanas atbilstības novērtēšanu” (turpmāk – lifti bez CE marķējuma);</w:t>
            </w:r>
          </w:p>
          <w:p w14:paraId="7A68413B" w14:textId="04666BA6" w:rsidR="002E57B4" w:rsidRPr="00395ACC" w:rsidRDefault="002E57B4" w:rsidP="002E57B4">
            <w:pPr>
              <w:spacing w:after="0" w:line="240" w:lineRule="auto"/>
              <w:ind w:firstLine="264"/>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liftiem, kuriem vienotās prasības noteiktas Eiropas Parlamenta un Padomes 2014. gada 26. februāra Direktīvā 2014/33/ES par dalībvalstu tiesību aktu saskaņošanu attiecībā uz liftiem un liftu drošības sastāvdaļām (turpmāk – Direktīva 2014/33/ES)</w:t>
            </w:r>
            <w:r w:rsidR="00C36EA4" w:rsidRPr="00395ACC">
              <w:rPr>
                <w:rFonts w:ascii="Times New Roman" w:eastAsia="Times New Roman" w:hAnsi="Times New Roman" w:cs="Times New Roman"/>
                <w:iCs/>
                <w:sz w:val="24"/>
                <w:szCs w:val="24"/>
                <w:lang w:eastAsia="lv-LV"/>
              </w:rPr>
              <w:t xml:space="preserve"> (turpmāk – lifti ar CE marķējumu)</w:t>
            </w:r>
            <w:r w:rsidR="0072220E" w:rsidRPr="00395ACC">
              <w:rPr>
                <w:rFonts w:ascii="Times New Roman" w:eastAsia="Times New Roman" w:hAnsi="Times New Roman" w:cs="Times New Roman"/>
                <w:iCs/>
                <w:sz w:val="24"/>
                <w:szCs w:val="24"/>
                <w:lang w:eastAsia="lv-LV"/>
              </w:rPr>
              <w:t>;</w:t>
            </w:r>
          </w:p>
          <w:p w14:paraId="0F280438" w14:textId="78CAD395" w:rsidR="00680BDC" w:rsidRPr="00395ACC" w:rsidRDefault="0072220E" w:rsidP="00C36EA4">
            <w:pPr>
              <w:spacing w:after="0" w:line="240" w:lineRule="auto"/>
              <w:ind w:firstLine="264"/>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vertikālām cēlējplatformām</w:t>
            </w:r>
            <w:r w:rsidR="00C36EA4" w:rsidRPr="00395ACC">
              <w:rPr>
                <w:rFonts w:ascii="Times New Roman" w:eastAsia="Times New Roman" w:hAnsi="Times New Roman" w:cs="Times New Roman"/>
                <w:iCs/>
                <w:sz w:val="24"/>
                <w:szCs w:val="24"/>
                <w:lang w:eastAsia="lv-LV"/>
              </w:rPr>
              <w:t xml:space="preserve">, kurām vienotās prasības noteiktas Eiropas Parlamenta un Padomes 2006.gada 17.maija Direktīvā 2006/42/EK par mašīnām, ar kuru groza Direktīvu 95/16/EK. </w:t>
            </w:r>
          </w:p>
          <w:p w14:paraId="545D8236" w14:textId="77777777" w:rsidR="003F2F30" w:rsidRPr="00395ACC" w:rsidRDefault="00E92ED4" w:rsidP="003F2F30">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Ar </w:t>
            </w:r>
            <w:r w:rsidR="00332AFA" w:rsidRPr="00395ACC">
              <w:rPr>
                <w:rFonts w:ascii="Times New Roman" w:eastAsia="Times New Roman" w:hAnsi="Times New Roman" w:cs="Times New Roman"/>
                <w:iCs/>
                <w:sz w:val="24"/>
                <w:szCs w:val="24"/>
                <w:lang w:eastAsia="lv-LV"/>
              </w:rPr>
              <w:t>Noteikumu projekt</w:t>
            </w:r>
            <w:r w:rsidRPr="00395ACC">
              <w:rPr>
                <w:rFonts w:ascii="Times New Roman" w:eastAsia="Times New Roman" w:hAnsi="Times New Roman" w:cs="Times New Roman"/>
                <w:iCs/>
                <w:sz w:val="24"/>
                <w:szCs w:val="24"/>
                <w:lang w:eastAsia="lv-LV"/>
              </w:rPr>
              <w:t>a spēkā stāšanos</w:t>
            </w:r>
            <w:r w:rsidR="00332AFA"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tiks </w:t>
            </w:r>
            <w:r w:rsidR="00332AFA" w:rsidRPr="00395ACC">
              <w:rPr>
                <w:rFonts w:ascii="Times New Roman" w:eastAsia="Times New Roman" w:hAnsi="Times New Roman" w:cs="Times New Roman"/>
                <w:iCs/>
                <w:sz w:val="24"/>
                <w:szCs w:val="24"/>
                <w:lang w:eastAsia="lv-LV"/>
              </w:rPr>
              <w:t>nodrošin</w:t>
            </w:r>
            <w:r w:rsidRPr="00395ACC">
              <w:rPr>
                <w:rFonts w:ascii="Times New Roman" w:eastAsia="Times New Roman" w:hAnsi="Times New Roman" w:cs="Times New Roman"/>
                <w:iCs/>
                <w:sz w:val="24"/>
                <w:szCs w:val="24"/>
                <w:lang w:eastAsia="lv-LV"/>
              </w:rPr>
              <w:t>āta</w:t>
            </w:r>
            <w:r w:rsidR="00B91D62" w:rsidRPr="00395ACC">
              <w:rPr>
                <w:rFonts w:ascii="Times New Roman" w:eastAsia="Times New Roman" w:hAnsi="Times New Roman" w:cs="Times New Roman"/>
                <w:iCs/>
                <w:sz w:val="24"/>
                <w:szCs w:val="24"/>
                <w:lang w:eastAsia="lv-LV"/>
              </w:rPr>
              <w:t>s vienot</w:t>
            </w:r>
            <w:r w:rsidR="003139AF" w:rsidRPr="00395ACC">
              <w:rPr>
                <w:rFonts w:ascii="Times New Roman" w:eastAsia="Times New Roman" w:hAnsi="Times New Roman" w:cs="Times New Roman"/>
                <w:iCs/>
                <w:sz w:val="24"/>
                <w:szCs w:val="24"/>
                <w:lang w:eastAsia="lv-LV"/>
              </w:rPr>
              <w:t>a</w:t>
            </w:r>
            <w:r w:rsidR="00B91D62" w:rsidRPr="00395ACC">
              <w:rPr>
                <w:rFonts w:ascii="Times New Roman" w:eastAsia="Times New Roman" w:hAnsi="Times New Roman" w:cs="Times New Roman"/>
                <w:iCs/>
                <w:sz w:val="24"/>
                <w:szCs w:val="24"/>
                <w:lang w:eastAsia="lv-LV"/>
              </w:rPr>
              <w:t xml:space="preserve">s </w:t>
            </w:r>
            <w:r w:rsidR="0072220E" w:rsidRPr="00395ACC">
              <w:rPr>
                <w:rFonts w:ascii="Times New Roman" w:eastAsia="Times New Roman" w:hAnsi="Times New Roman" w:cs="Times New Roman"/>
                <w:iCs/>
                <w:sz w:val="24"/>
                <w:szCs w:val="24"/>
                <w:lang w:eastAsia="lv-LV"/>
              </w:rPr>
              <w:t xml:space="preserve">būtiskās </w:t>
            </w:r>
            <w:r w:rsidR="00B91D62" w:rsidRPr="00395ACC">
              <w:rPr>
                <w:rFonts w:ascii="Times New Roman" w:eastAsia="Times New Roman" w:hAnsi="Times New Roman" w:cs="Times New Roman"/>
                <w:iCs/>
                <w:sz w:val="24"/>
                <w:szCs w:val="24"/>
                <w:lang w:eastAsia="lv-LV"/>
              </w:rPr>
              <w:t>droš</w:t>
            </w:r>
            <w:r w:rsidR="0072220E" w:rsidRPr="00395ACC">
              <w:rPr>
                <w:rFonts w:ascii="Times New Roman" w:eastAsia="Times New Roman" w:hAnsi="Times New Roman" w:cs="Times New Roman"/>
                <w:iCs/>
                <w:sz w:val="24"/>
                <w:szCs w:val="24"/>
                <w:lang w:eastAsia="lv-LV"/>
              </w:rPr>
              <w:t>uma</w:t>
            </w:r>
            <w:r w:rsidR="00B91D62" w:rsidRPr="00395ACC">
              <w:rPr>
                <w:rFonts w:ascii="Times New Roman" w:eastAsia="Times New Roman" w:hAnsi="Times New Roman" w:cs="Times New Roman"/>
                <w:iCs/>
                <w:sz w:val="24"/>
                <w:szCs w:val="24"/>
                <w:lang w:eastAsia="lv-LV"/>
              </w:rPr>
              <w:t xml:space="preserve"> prasības</w:t>
            </w:r>
            <w:r w:rsidR="00332AFA" w:rsidRPr="00395ACC">
              <w:rPr>
                <w:rFonts w:ascii="Times New Roman" w:eastAsia="Times New Roman" w:hAnsi="Times New Roman" w:cs="Times New Roman"/>
                <w:iCs/>
                <w:sz w:val="24"/>
                <w:szCs w:val="24"/>
                <w:lang w:eastAsia="lv-LV"/>
              </w:rPr>
              <w:t xml:space="preserve"> lift</w:t>
            </w:r>
            <w:r w:rsidR="00B91D62" w:rsidRPr="00395ACC">
              <w:rPr>
                <w:rFonts w:ascii="Times New Roman" w:eastAsia="Times New Roman" w:hAnsi="Times New Roman" w:cs="Times New Roman"/>
                <w:iCs/>
                <w:sz w:val="24"/>
                <w:szCs w:val="24"/>
                <w:lang w:eastAsia="lv-LV"/>
              </w:rPr>
              <w:t>iem</w:t>
            </w:r>
            <w:r w:rsidR="0072220E" w:rsidRPr="00395ACC">
              <w:rPr>
                <w:rFonts w:ascii="Times New Roman" w:eastAsia="Times New Roman" w:hAnsi="Times New Roman" w:cs="Times New Roman"/>
                <w:iCs/>
                <w:sz w:val="24"/>
                <w:szCs w:val="24"/>
                <w:lang w:eastAsia="lv-LV"/>
              </w:rPr>
              <w:t xml:space="preserve"> bez CE marķējuma un tehniskā uzraudzības kārtīb</w:t>
            </w:r>
            <w:r w:rsidR="002E15D0" w:rsidRPr="00395ACC">
              <w:rPr>
                <w:rFonts w:ascii="Times New Roman" w:eastAsia="Times New Roman" w:hAnsi="Times New Roman" w:cs="Times New Roman"/>
                <w:iCs/>
                <w:sz w:val="24"/>
                <w:szCs w:val="24"/>
                <w:lang w:eastAsia="lv-LV"/>
              </w:rPr>
              <w:t>a</w:t>
            </w:r>
            <w:r w:rsidR="00852BD5" w:rsidRPr="00395ACC">
              <w:rPr>
                <w:rFonts w:ascii="Times New Roman" w:eastAsia="Times New Roman" w:hAnsi="Times New Roman" w:cs="Times New Roman"/>
                <w:iCs/>
                <w:sz w:val="24"/>
                <w:szCs w:val="24"/>
                <w:lang w:eastAsia="lv-LV"/>
              </w:rPr>
              <w:t xml:space="preserve"> vertikālām cēlējplatformām, liftiem bez CE marķējuma un liftiem</w:t>
            </w:r>
            <w:r w:rsidR="007550F3" w:rsidRPr="00395ACC">
              <w:rPr>
                <w:rFonts w:ascii="Times New Roman" w:eastAsia="Times New Roman" w:hAnsi="Times New Roman" w:cs="Times New Roman"/>
                <w:iCs/>
                <w:sz w:val="24"/>
                <w:szCs w:val="24"/>
                <w:lang w:eastAsia="lv-LV"/>
              </w:rPr>
              <w:t xml:space="preserve"> ar CE marķējumu. </w:t>
            </w:r>
          </w:p>
          <w:p w14:paraId="0B6BF5F3" w14:textId="4040A388" w:rsidR="00332AFA" w:rsidRPr="00395ACC" w:rsidRDefault="002F7536" w:rsidP="003F2F30">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Noteikumu projekts stājas s</w:t>
            </w:r>
            <w:r w:rsidR="00332AFA" w:rsidRPr="00395ACC">
              <w:rPr>
                <w:rFonts w:ascii="Times New Roman" w:eastAsia="Times New Roman" w:hAnsi="Times New Roman" w:cs="Times New Roman"/>
                <w:iCs/>
                <w:sz w:val="24"/>
                <w:szCs w:val="24"/>
                <w:lang w:eastAsia="lv-LV"/>
              </w:rPr>
              <w:t xml:space="preserve">pēkā </w:t>
            </w:r>
            <w:r w:rsidR="00DF7D01" w:rsidRPr="00395ACC">
              <w:rPr>
                <w:rFonts w:ascii="Times New Roman" w:eastAsia="Times New Roman" w:hAnsi="Times New Roman" w:cs="Times New Roman"/>
                <w:iCs/>
                <w:sz w:val="24"/>
                <w:szCs w:val="24"/>
                <w:lang w:eastAsia="lv-LV"/>
              </w:rPr>
              <w:t>nākamajā dienā pēc to izsludināšanas – publicēšanas oficiālajā izdevumā “Latvijas Vēstnesis”.</w:t>
            </w:r>
          </w:p>
        </w:tc>
      </w:tr>
      <w:tr w:rsidR="002E57B4" w:rsidRPr="00395ACC" w14:paraId="510348EE" w14:textId="77777777" w:rsidTr="00D957D9">
        <w:trPr>
          <w:tblCellSpacing w:w="15" w:type="dxa"/>
        </w:trPr>
        <w:tc>
          <w:tcPr>
            <w:tcW w:w="1980" w:type="pct"/>
            <w:tcBorders>
              <w:top w:val="outset" w:sz="6" w:space="0" w:color="auto"/>
              <w:left w:val="outset" w:sz="6" w:space="0" w:color="auto"/>
              <w:bottom w:val="outset" w:sz="6" w:space="0" w:color="auto"/>
              <w:right w:val="outset" w:sz="6" w:space="0" w:color="auto"/>
            </w:tcBorders>
          </w:tcPr>
          <w:p w14:paraId="52427D18" w14:textId="77777777" w:rsidR="002E57B4" w:rsidRPr="00395ACC" w:rsidRDefault="002E57B4" w:rsidP="00D957D9">
            <w:pPr>
              <w:spacing w:after="0" w:line="240" w:lineRule="auto"/>
              <w:rPr>
                <w:rFonts w:ascii="Times New Roman" w:eastAsia="Times New Roman" w:hAnsi="Times New Roman" w:cs="Times New Roman"/>
                <w:iCs/>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tcPr>
          <w:p w14:paraId="5BC5DEDA" w14:textId="77777777" w:rsidR="002E57B4" w:rsidRPr="00395ACC" w:rsidRDefault="002E57B4" w:rsidP="00D957D9">
            <w:pPr>
              <w:spacing w:after="0" w:line="240" w:lineRule="auto"/>
              <w:jc w:val="both"/>
              <w:rPr>
                <w:rFonts w:ascii="Times New Roman" w:eastAsia="Times New Roman" w:hAnsi="Times New Roman" w:cs="Times New Roman"/>
                <w:iCs/>
                <w:sz w:val="24"/>
                <w:szCs w:val="24"/>
                <w:lang w:eastAsia="lv-LV"/>
              </w:rPr>
            </w:pPr>
          </w:p>
        </w:tc>
      </w:tr>
    </w:tbl>
    <w:p w14:paraId="4057BCBB"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55B38" w:rsidRPr="00395ACC" w14:paraId="16313A9C" w14:textId="77777777" w:rsidTr="00D957D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0F01A65"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 Tiesību akta projekta izstrādes nepieciešamība</w:t>
            </w:r>
          </w:p>
        </w:tc>
      </w:tr>
      <w:tr w:rsidR="00455B38" w:rsidRPr="00395ACC" w14:paraId="24FB2F2B"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9A222B3"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C1A22ED"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D4F8CA0" w14:textId="413C1617" w:rsidR="003C0BA8" w:rsidRPr="00395ACC" w:rsidRDefault="00455B38" w:rsidP="00D76982">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Noteikumu projekt</w:t>
            </w:r>
            <w:r w:rsidR="001A50F2" w:rsidRPr="00395ACC">
              <w:rPr>
                <w:rFonts w:ascii="Times New Roman" w:eastAsia="Times New Roman" w:hAnsi="Times New Roman" w:cs="Times New Roman"/>
                <w:iCs/>
                <w:sz w:val="24"/>
                <w:szCs w:val="24"/>
                <w:lang w:eastAsia="lv-LV"/>
              </w:rPr>
              <w:t>s</w:t>
            </w:r>
            <w:r w:rsidRPr="00395ACC">
              <w:rPr>
                <w:rFonts w:ascii="Times New Roman" w:eastAsia="Times New Roman" w:hAnsi="Times New Roman" w:cs="Times New Roman"/>
                <w:iCs/>
                <w:sz w:val="24"/>
                <w:szCs w:val="24"/>
                <w:lang w:eastAsia="lv-LV"/>
              </w:rPr>
              <w:t xml:space="preserve"> izstrādāt</w:t>
            </w:r>
            <w:r w:rsidR="001A50F2" w:rsidRPr="00395ACC">
              <w:rPr>
                <w:rFonts w:ascii="Times New Roman" w:eastAsia="Times New Roman" w:hAnsi="Times New Roman" w:cs="Times New Roman"/>
                <w:iCs/>
                <w:sz w:val="24"/>
                <w:szCs w:val="24"/>
                <w:lang w:eastAsia="lv-LV"/>
              </w:rPr>
              <w:t>s pēc</w:t>
            </w:r>
            <w:r w:rsidR="00343C30" w:rsidRPr="00395ACC">
              <w:rPr>
                <w:rFonts w:ascii="Times New Roman" w:eastAsia="Times New Roman" w:hAnsi="Times New Roman" w:cs="Times New Roman"/>
                <w:iCs/>
                <w:sz w:val="24"/>
                <w:szCs w:val="24"/>
                <w:lang w:eastAsia="lv-LV"/>
              </w:rPr>
              <w:t xml:space="preserve"> Ekonomikas ministrijas </w:t>
            </w:r>
            <w:r w:rsidR="001A50F2" w:rsidRPr="00395ACC">
              <w:rPr>
                <w:rFonts w:ascii="Times New Roman" w:eastAsia="Times New Roman" w:hAnsi="Times New Roman" w:cs="Times New Roman"/>
                <w:iCs/>
                <w:sz w:val="24"/>
                <w:szCs w:val="24"/>
                <w:lang w:eastAsia="lv-LV"/>
              </w:rPr>
              <w:t xml:space="preserve"> iniciatīvas, </w:t>
            </w:r>
            <w:r w:rsidRPr="00395ACC">
              <w:rPr>
                <w:rFonts w:ascii="Times New Roman" w:eastAsia="Times New Roman" w:hAnsi="Times New Roman" w:cs="Times New Roman"/>
                <w:iCs/>
                <w:sz w:val="24"/>
                <w:szCs w:val="24"/>
                <w:lang w:eastAsia="lv-LV"/>
              </w:rPr>
              <w:t xml:space="preserve"> ņemot vērā</w:t>
            </w:r>
            <w:r w:rsidR="001A50F2" w:rsidRPr="00395ACC">
              <w:rPr>
                <w:rFonts w:ascii="Times New Roman" w:eastAsia="Times New Roman" w:hAnsi="Times New Roman" w:cs="Times New Roman"/>
                <w:iCs/>
                <w:sz w:val="24"/>
                <w:szCs w:val="24"/>
                <w:lang w:eastAsia="lv-LV"/>
              </w:rPr>
              <w:t xml:space="preserve">  </w:t>
            </w:r>
            <w:r w:rsidR="00343C30" w:rsidRPr="00395ACC">
              <w:rPr>
                <w:rFonts w:ascii="Times New Roman" w:eastAsia="Times New Roman" w:hAnsi="Times New Roman" w:cs="Times New Roman"/>
                <w:iCs/>
                <w:sz w:val="24"/>
                <w:szCs w:val="24"/>
                <w:lang w:eastAsia="lv-LV"/>
              </w:rPr>
              <w:t xml:space="preserve">Patērētāju tiesību aizsardzības centra (turpmāk – </w:t>
            </w:r>
            <w:r w:rsidR="003C0BA8" w:rsidRPr="00395ACC">
              <w:rPr>
                <w:rFonts w:ascii="Times New Roman" w:eastAsia="Times New Roman" w:hAnsi="Times New Roman" w:cs="Times New Roman"/>
                <w:iCs/>
                <w:sz w:val="24"/>
                <w:szCs w:val="24"/>
                <w:lang w:eastAsia="lv-LV"/>
              </w:rPr>
              <w:t>PTAC</w:t>
            </w:r>
            <w:r w:rsidR="00343C30" w:rsidRPr="00395ACC">
              <w:rPr>
                <w:rFonts w:ascii="Times New Roman" w:eastAsia="Times New Roman" w:hAnsi="Times New Roman" w:cs="Times New Roman"/>
                <w:iCs/>
                <w:sz w:val="24"/>
                <w:szCs w:val="24"/>
                <w:lang w:eastAsia="lv-LV"/>
              </w:rPr>
              <w:t>)</w:t>
            </w:r>
            <w:r w:rsidR="003C0BA8" w:rsidRPr="00395ACC">
              <w:rPr>
                <w:rFonts w:ascii="Times New Roman" w:eastAsia="Times New Roman" w:hAnsi="Times New Roman" w:cs="Times New Roman"/>
                <w:iCs/>
                <w:sz w:val="24"/>
                <w:szCs w:val="24"/>
                <w:lang w:eastAsia="lv-LV"/>
              </w:rPr>
              <w:t xml:space="preserve"> </w:t>
            </w:r>
            <w:r w:rsidR="001A50F2" w:rsidRPr="00395ACC">
              <w:rPr>
                <w:rFonts w:ascii="Times New Roman" w:eastAsia="Times New Roman" w:hAnsi="Times New Roman" w:cs="Times New Roman"/>
                <w:iCs/>
                <w:sz w:val="24"/>
                <w:szCs w:val="24"/>
                <w:lang w:eastAsia="lv-LV"/>
              </w:rPr>
              <w:t>2017. un 2018.</w:t>
            </w:r>
            <w:r w:rsidR="000E4397" w:rsidRPr="00395ACC">
              <w:rPr>
                <w:rFonts w:ascii="Times New Roman" w:eastAsia="Times New Roman" w:hAnsi="Times New Roman" w:cs="Times New Roman"/>
                <w:iCs/>
                <w:sz w:val="24"/>
                <w:szCs w:val="24"/>
                <w:lang w:eastAsia="lv-LV"/>
              </w:rPr>
              <w:t xml:space="preserve"> </w:t>
            </w:r>
            <w:r w:rsidR="001A50F2" w:rsidRPr="00395ACC">
              <w:rPr>
                <w:rFonts w:ascii="Times New Roman" w:eastAsia="Times New Roman" w:hAnsi="Times New Roman" w:cs="Times New Roman"/>
                <w:iCs/>
                <w:sz w:val="24"/>
                <w:szCs w:val="24"/>
                <w:lang w:eastAsia="lv-LV"/>
              </w:rPr>
              <w:t>gad</w:t>
            </w:r>
            <w:r w:rsidR="00D76982" w:rsidRPr="00395ACC">
              <w:rPr>
                <w:rFonts w:ascii="Times New Roman" w:eastAsia="Times New Roman" w:hAnsi="Times New Roman" w:cs="Times New Roman"/>
                <w:iCs/>
                <w:sz w:val="24"/>
                <w:szCs w:val="24"/>
                <w:lang w:eastAsia="lv-LV"/>
              </w:rPr>
              <w:t xml:space="preserve">ā </w:t>
            </w:r>
            <w:r w:rsidR="005969A2" w:rsidRPr="00395ACC">
              <w:rPr>
                <w:rFonts w:ascii="Times New Roman" w:eastAsia="Times New Roman" w:hAnsi="Times New Roman" w:cs="Times New Roman"/>
                <w:iCs/>
                <w:sz w:val="24"/>
                <w:szCs w:val="24"/>
                <w:lang w:eastAsia="lv-LV"/>
              </w:rPr>
              <w:t xml:space="preserve">veiktās </w:t>
            </w:r>
            <w:r w:rsidR="00196F3B" w:rsidRPr="00395ACC">
              <w:rPr>
                <w:rFonts w:ascii="Times New Roman" w:eastAsia="Times New Roman" w:hAnsi="Times New Roman" w:cs="Times New Roman"/>
                <w:iCs/>
                <w:sz w:val="24"/>
                <w:szCs w:val="24"/>
                <w:lang w:eastAsia="lv-LV"/>
              </w:rPr>
              <w:t xml:space="preserve">bīstamo iekārtu </w:t>
            </w:r>
            <w:r w:rsidR="001A50F2" w:rsidRPr="00395ACC">
              <w:rPr>
                <w:rFonts w:ascii="Times New Roman" w:eastAsia="Times New Roman" w:hAnsi="Times New Roman" w:cs="Times New Roman"/>
                <w:iCs/>
                <w:sz w:val="24"/>
                <w:szCs w:val="24"/>
                <w:lang w:eastAsia="lv-LV"/>
              </w:rPr>
              <w:t>uzraudzības</w:t>
            </w:r>
            <w:r w:rsidR="00D76982" w:rsidRPr="00395ACC">
              <w:rPr>
                <w:rFonts w:ascii="Times New Roman" w:eastAsia="Times New Roman" w:hAnsi="Times New Roman" w:cs="Times New Roman"/>
                <w:iCs/>
                <w:sz w:val="24"/>
                <w:szCs w:val="24"/>
                <w:lang w:eastAsia="lv-LV"/>
              </w:rPr>
              <w:t xml:space="preserve"> </w:t>
            </w:r>
            <w:r w:rsidR="00196F3B" w:rsidRPr="00395ACC">
              <w:rPr>
                <w:rFonts w:ascii="Times New Roman" w:eastAsia="Times New Roman" w:hAnsi="Times New Roman" w:cs="Times New Roman"/>
                <w:iCs/>
                <w:sz w:val="24"/>
                <w:szCs w:val="24"/>
                <w:lang w:eastAsia="lv-LV"/>
              </w:rPr>
              <w:t>pārbaudes</w:t>
            </w:r>
            <w:r w:rsidR="00D76982" w:rsidRPr="00395ACC">
              <w:rPr>
                <w:rFonts w:ascii="Times New Roman" w:eastAsia="Times New Roman" w:hAnsi="Times New Roman" w:cs="Times New Roman"/>
                <w:iCs/>
                <w:sz w:val="24"/>
                <w:szCs w:val="24"/>
                <w:lang w:eastAsia="lv-LV"/>
              </w:rPr>
              <w:t>.</w:t>
            </w:r>
            <w:r w:rsidR="00196F3B" w:rsidRPr="00395ACC">
              <w:rPr>
                <w:rFonts w:ascii="Times New Roman" w:eastAsia="Times New Roman" w:hAnsi="Times New Roman" w:cs="Times New Roman"/>
                <w:iCs/>
                <w:sz w:val="24"/>
                <w:szCs w:val="24"/>
                <w:lang w:eastAsia="lv-LV"/>
              </w:rPr>
              <w:t xml:space="preserve"> </w:t>
            </w:r>
          </w:p>
          <w:p w14:paraId="71BAC3EC" w14:textId="23989786" w:rsidR="00455B38" w:rsidRPr="00395ACC" w:rsidRDefault="004E0BFB" w:rsidP="00D76982">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Noteikumu projekts izstrādāts pamatojoties uz </w:t>
            </w:r>
            <w:r w:rsidR="00455B38" w:rsidRPr="00395ACC">
              <w:rPr>
                <w:rFonts w:ascii="Times New Roman" w:eastAsia="Times New Roman" w:hAnsi="Times New Roman" w:cs="Times New Roman"/>
                <w:iCs/>
                <w:sz w:val="24"/>
                <w:szCs w:val="24"/>
                <w:lang w:eastAsia="lv-LV"/>
              </w:rPr>
              <w:t xml:space="preserve">likuma “Par </w:t>
            </w:r>
            <w:r w:rsidR="00D76982" w:rsidRPr="00395ACC">
              <w:rPr>
                <w:rFonts w:ascii="Times New Roman" w:eastAsia="Times New Roman" w:hAnsi="Times New Roman" w:cs="Times New Roman"/>
                <w:iCs/>
                <w:sz w:val="24"/>
                <w:szCs w:val="24"/>
                <w:lang w:eastAsia="lv-LV"/>
              </w:rPr>
              <w:t>bīstamo iekārtu tehnisko uzraudzību</w:t>
            </w:r>
            <w:r w:rsidR="00455B38" w:rsidRPr="00395ACC">
              <w:rPr>
                <w:rFonts w:ascii="Times New Roman" w:eastAsia="Times New Roman" w:hAnsi="Times New Roman" w:cs="Times New Roman"/>
                <w:iCs/>
                <w:sz w:val="24"/>
                <w:szCs w:val="24"/>
                <w:lang w:eastAsia="lv-LV"/>
              </w:rPr>
              <w:t xml:space="preserve">” </w:t>
            </w:r>
            <w:r w:rsidR="00D76982" w:rsidRPr="00395ACC">
              <w:rPr>
                <w:rFonts w:ascii="Times New Roman" w:eastAsia="Times New Roman" w:hAnsi="Times New Roman" w:cs="Times New Roman"/>
                <w:iCs/>
                <w:sz w:val="24"/>
                <w:szCs w:val="24"/>
                <w:lang w:eastAsia="lv-LV"/>
              </w:rPr>
              <w:t>3</w:t>
            </w:r>
            <w:r w:rsidR="00455B38"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w:t>
            </w:r>
            <w:r w:rsidR="00455B38" w:rsidRPr="00395ACC">
              <w:rPr>
                <w:rFonts w:ascii="Times New Roman" w:eastAsia="Times New Roman" w:hAnsi="Times New Roman" w:cs="Times New Roman"/>
                <w:iCs/>
                <w:sz w:val="24"/>
                <w:szCs w:val="24"/>
                <w:lang w:eastAsia="lv-LV"/>
              </w:rPr>
              <w:t>panta otro daļu.</w:t>
            </w:r>
          </w:p>
        </w:tc>
      </w:tr>
      <w:tr w:rsidR="00455B38" w:rsidRPr="00395ACC" w14:paraId="1F853807"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34D56F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0E3378"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Pašreizējā situācija un problēmas, kuru risināšanai tiesību akta projekts </w:t>
            </w:r>
            <w:r w:rsidRPr="00395ACC">
              <w:rPr>
                <w:rFonts w:ascii="Times New Roman" w:eastAsia="Times New Roman" w:hAnsi="Times New Roman" w:cs="Times New Roman"/>
                <w:iCs/>
                <w:sz w:val="24"/>
                <w:szCs w:val="24"/>
                <w:lang w:eastAsia="lv-LV"/>
              </w:rPr>
              <w:lastRenderedPageBreak/>
              <w:t>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551BC051" w14:textId="6F316685" w:rsidR="0081324C" w:rsidRPr="00395ACC" w:rsidRDefault="00B92279" w:rsidP="004915A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Pašreiz l</w:t>
            </w:r>
            <w:r w:rsidR="00E4256D" w:rsidRPr="00395ACC">
              <w:rPr>
                <w:rFonts w:ascii="Times New Roman" w:eastAsia="Times New Roman" w:hAnsi="Times New Roman" w:cs="Times New Roman"/>
                <w:iCs/>
                <w:sz w:val="24"/>
                <w:szCs w:val="24"/>
                <w:lang w:eastAsia="lv-LV"/>
              </w:rPr>
              <w:t>ifti</w:t>
            </w:r>
            <w:r w:rsidR="004716D5" w:rsidRPr="00395ACC">
              <w:rPr>
                <w:rFonts w:ascii="Times New Roman" w:eastAsia="Times New Roman" w:hAnsi="Times New Roman" w:cs="Times New Roman"/>
                <w:iCs/>
                <w:sz w:val="24"/>
                <w:szCs w:val="24"/>
                <w:lang w:eastAsia="lv-LV"/>
              </w:rPr>
              <w:t>em</w:t>
            </w:r>
            <w:r w:rsidR="002E15D0" w:rsidRPr="00395ACC">
              <w:rPr>
                <w:rFonts w:ascii="Times New Roman" w:eastAsia="Times New Roman" w:hAnsi="Times New Roman" w:cs="Times New Roman"/>
                <w:iCs/>
                <w:sz w:val="24"/>
                <w:szCs w:val="24"/>
                <w:lang w:eastAsia="lv-LV"/>
              </w:rPr>
              <w:t xml:space="preserve"> bez CE marķējuma </w:t>
            </w:r>
            <w:r w:rsidR="004716D5" w:rsidRPr="00395ACC">
              <w:rPr>
                <w:rFonts w:ascii="Times New Roman" w:eastAsia="Times New Roman" w:hAnsi="Times New Roman" w:cs="Times New Roman"/>
                <w:iCs/>
                <w:sz w:val="24"/>
                <w:szCs w:val="24"/>
                <w:lang w:eastAsia="lv-LV"/>
              </w:rPr>
              <w:t>prasības</w:t>
            </w:r>
            <w:r w:rsidR="00E4256D" w:rsidRPr="00395ACC">
              <w:rPr>
                <w:rFonts w:ascii="Times New Roman" w:eastAsia="Times New Roman" w:hAnsi="Times New Roman" w:cs="Times New Roman"/>
                <w:iCs/>
                <w:sz w:val="24"/>
                <w:szCs w:val="24"/>
                <w:lang w:eastAsia="lv-LV"/>
              </w:rPr>
              <w:t xml:space="preserve"> </w:t>
            </w:r>
            <w:r w:rsidR="004716D5" w:rsidRPr="00395ACC">
              <w:rPr>
                <w:rFonts w:ascii="Times New Roman" w:eastAsia="Times New Roman" w:hAnsi="Times New Roman" w:cs="Times New Roman"/>
                <w:iCs/>
                <w:sz w:val="24"/>
                <w:szCs w:val="24"/>
                <w:lang w:eastAsia="lv-LV"/>
              </w:rPr>
              <w:t xml:space="preserve">noteiktas </w:t>
            </w:r>
            <w:r w:rsidR="00E4256D" w:rsidRPr="00395ACC">
              <w:rPr>
                <w:rFonts w:ascii="Times New Roman" w:eastAsia="Times New Roman" w:hAnsi="Times New Roman" w:cs="Times New Roman"/>
                <w:iCs/>
                <w:sz w:val="24"/>
                <w:szCs w:val="24"/>
                <w:lang w:eastAsia="lv-LV"/>
              </w:rPr>
              <w:t>Ministru kabineta 2010.</w:t>
            </w:r>
            <w:r w:rsidR="0044601D"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gada 2.</w:t>
            </w:r>
            <w:r w:rsidR="0044601D"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marta noteikum</w:t>
            </w:r>
            <w:r w:rsidR="004716D5" w:rsidRPr="00395ACC">
              <w:rPr>
                <w:rFonts w:ascii="Times New Roman" w:eastAsia="Times New Roman" w:hAnsi="Times New Roman" w:cs="Times New Roman"/>
                <w:iCs/>
                <w:sz w:val="24"/>
                <w:szCs w:val="24"/>
                <w:lang w:eastAsia="lv-LV"/>
              </w:rPr>
              <w:t>os</w:t>
            </w:r>
            <w:r w:rsidR="00E4256D" w:rsidRPr="00395ACC">
              <w:rPr>
                <w:rFonts w:ascii="Times New Roman" w:eastAsia="Times New Roman" w:hAnsi="Times New Roman" w:cs="Times New Roman"/>
                <w:iCs/>
                <w:sz w:val="24"/>
                <w:szCs w:val="24"/>
                <w:lang w:eastAsia="lv-LV"/>
              </w:rPr>
              <w:t xml:space="preserve"> Nr.</w:t>
            </w:r>
            <w:r w:rsidR="00BC2FA6"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195 “Liftu drošības un tehniskās uzraudzības noteikumi” (turpmāk – Noteikumi</w:t>
            </w:r>
            <w:r w:rsidR="00C7267A" w:rsidRPr="00395ACC">
              <w:rPr>
                <w:rFonts w:ascii="Times New Roman" w:eastAsia="Times New Roman" w:hAnsi="Times New Roman" w:cs="Times New Roman"/>
                <w:iCs/>
                <w:sz w:val="24"/>
                <w:szCs w:val="24"/>
                <w:lang w:eastAsia="lv-LV"/>
              </w:rPr>
              <w:t xml:space="preserve"> Nr.195</w:t>
            </w:r>
            <w:r w:rsidR="00E4256D" w:rsidRPr="00395ACC">
              <w:rPr>
                <w:rFonts w:ascii="Times New Roman" w:eastAsia="Times New Roman" w:hAnsi="Times New Roman" w:cs="Times New Roman"/>
                <w:iCs/>
                <w:sz w:val="24"/>
                <w:szCs w:val="24"/>
                <w:lang w:eastAsia="lv-LV"/>
              </w:rPr>
              <w:t xml:space="preserve">), kas nosaka </w:t>
            </w:r>
            <w:r w:rsidR="00E4256D" w:rsidRPr="00395ACC">
              <w:rPr>
                <w:rFonts w:ascii="Times New Roman" w:eastAsia="Times New Roman" w:hAnsi="Times New Roman" w:cs="Times New Roman"/>
                <w:iCs/>
                <w:sz w:val="24"/>
                <w:szCs w:val="24"/>
                <w:lang w:eastAsia="lv-LV"/>
              </w:rPr>
              <w:lastRenderedPageBreak/>
              <w:t>drošības prasības</w:t>
            </w:r>
            <w:r w:rsidR="00422E2D" w:rsidRPr="00395ACC">
              <w:rPr>
                <w:rFonts w:ascii="Times New Roman" w:eastAsia="Times New Roman" w:hAnsi="Times New Roman" w:cs="Times New Roman"/>
                <w:iCs/>
                <w:sz w:val="24"/>
                <w:szCs w:val="24"/>
                <w:lang w:eastAsia="lv-LV"/>
              </w:rPr>
              <w:t>,</w:t>
            </w:r>
            <w:r w:rsidR="00E4256D" w:rsidRPr="00395ACC">
              <w:rPr>
                <w:rFonts w:ascii="Times New Roman" w:eastAsia="Times New Roman" w:hAnsi="Times New Roman" w:cs="Times New Roman"/>
                <w:iCs/>
                <w:sz w:val="24"/>
                <w:szCs w:val="24"/>
                <w:lang w:eastAsia="lv-LV"/>
              </w:rPr>
              <w:t xml:space="preserve"> kas jāievēro, lietojot (organizējot un veicot darbus ar liftiem) liftus, kuru celtspēja ir 50</w:t>
            </w:r>
            <w:r w:rsidR="00005F98" w:rsidRPr="00395ACC">
              <w:rPr>
                <w:rFonts w:ascii="Times New Roman" w:eastAsia="Times New Roman" w:hAnsi="Times New Roman" w:cs="Times New Roman"/>
                <w:iCs/>
                <w:sz w:val="24"/>
                <w:szCs w:val="24"/>
                <w:lang w:eastAsia="lv-LV"/>
              </w:rPr>
              <w:t xml:space="preserve"> </w:t>
            </w:r>
            <w:r w:rsidR="00E4256D" w:rsidRPr="00395ACC">
              <w:rPr>
                <w:rFonts w:ascii="Times New Roman" w:eastAsia="Times New Roman" w:hAnsi="Times New Roman" w:cs="Times New Roman"/>
                <w:iCs/>
                <w:sz w:val="24"/>
                <w:szCs w:val="24"/>
                <w:lang w:eastAsia="lv-LV"/>
              </w:rPr>
              <w:t>kg un lielāka, kā arī šo liftu tehniskās uzraudzības kārtību, lai neradītu draudus cilvēku dzīvībai, veselībai, īpašumam un videi</w:t>
            </w:r>
            <w:r w:rsidR="000A1D3C" w:rsidRPr="00395ACC">
              <w:rPr>
                <w:rFonts w:ascii="Times New Roman" w:eastAsia="Times New Roman" w:hAnsi="Times New Roman" w:cs="Times New Roman"/>
                <w:iCs/>
                <w:sz w:val="24"/>
                <w:szCs w:val="24"/>
                <w:lang w:eastAsia="lv-LV"/>
              </w:rPr>
              <w:t>.</w:t>
            </w:r>
            <w:r w:rsidR="00743A63" w:rsidRPr="00395ACC">
              <w:rPr>
                <w:rFonts w:ascii="Times New Roman" w:eastAsia="Times New Roman" w:hAnsi="Times New Roman" w:cs="Times New Roman"/>
                <w:iCs/>
                <w:sz w:val="24"/>
                <w:szCs w:val="24"/>
                <w:lang w:eastAsia="lv-LV"/>
              </w:rPr>
              <w:t xml:space="preserve"> </w:t>
            </w:r>
          </w:p>
          <w:p w14:paraId="78EFCA36" w14:textId="1DDBF4E5" w:rsidR="002E15D0" w:rsidRPr="00395ACC" w:rsidRDefault="002E15D0" w:rsidP="004915A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Liftiem ar CE marķējumu prasības noteiktas Noteikumos Nr.195 un </w:t>
            </w:r>
            <w:r w:rsidR="00D85509" w:rsidRPr="00395ACC">
              <w:rPr>
                <w:rFonts w:ascii="Times New Roman" w:eastAsia="Times New Roman" w:hAnsi="Times New Roman" w:cs="Times New Roman"/>
                <w:iCs/>
                <w:sz w:val="24"/>
                <w:szCs w:val="24"/>
                <w:lang w:eastAsia="lv-LV"/>
              </w:rPr>
              <w:t>Ministru kabineta 2016. gada 5. aprīļa noteikum</w:t>
            </w:r>
            <w:r w:rsidR="0037220E" w:rsidRPr="00395ACC">
              <w:rPr>
                <w:rFonts w:ascii="Times New Roman" w:eastAsia="Times New Roman" w:hAnsi="Times New Roman" w:cs="Times New Roman"/>
                <w:iCs/>
                <w:sz w:val="24"/>
                <w:szCs w:val="24"/>
                <w:lang w:eastAsia="lv-LV"/>
              </w:rPr>
              <w:t>os</w:t>
            </w:r>
            <w:r w:rsidR="00D85509" w:rsidRPr="00395ACC">
              <w:rPr>
                <w:rFonts w:ascii="Times New Roman" w:eastAsia="Times New Roman" w:hAnsi="Times New Roman" w:cs="Times New Roman"/>
                <w:iCs/>
                <w:sz w:val="24"/>
                <w:szCs w:val="24"/>
                <w:lang w:eastAsia="lv-LV"/>
              </w:rPr>
              <w:t xml:space="preserve"> Nr. 206 “Liftu un to drošības sastāvdaļu projektēšanas, ražošanas un liftu uzstādīšanas un atbilstības novērtēšanas noteikumi” (turpmāk – Noteikumi Nr. 206), kas nosaka liftu un liftu drošības sastāvdaļu būtiskās prasības un to ievērošanas uzraudzības mehānismu, kā arī kārtību, kādā veicama tirgus uzraudzība (tiesību normas pārņemtas no Direktīvas 2014/33/ES). </w:t>
            </w:r>
          </w:p>
          <w:p w14:paraId="5F9880AD" w14:textId="3A7B34A1" w:rsidR="007B0397" w:rsidRPr="00395ACC" w:rsidRDefault="003F2F30" w:rsidP="004915A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Vertikālām cēlējplatformām</w:t>
            </w:r>
            <w:r w:rsidR="00982A21"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prasības noteiktas Ministru kabineta 2008.gada 25.marta noteikumos Nr.195 “Mašīnu drošības noteikumi”</w:t>
            </w:r>
            <w:r w:rsidR="00500214" w:rsidRPr="00395ACC">
              <w:rPr>
                <w:rFonts w:ascii="Times New Roman" w:eastAsia="Times New Roman" w:hAnsi="Times New Roman" w:cs="Times New Roman"/>
                <w:iCs/>
                <w:sz w:val="24"/>
                <w:szCs w:val="24"/>
                <w:lang w:eastAsia="lv-LV"/>
              </w:rPr>
              <w:t xml:space="preserve"> (turpmāk – Noteikumi Nr.195)</w:t>
            </w:r>
            <w:r w:rsidRPr="00395ACC">
              <w:rPr>
                <w:rFonts w:ascii="Times New Roman" w:eastAsia="Times New Roman" w:hAnsi="Times New Roman" w:cs="Times New Roman"/>
                <w:iCs/>
                <w:sz w:val="24"/>
                <w:szCs w:val="24"/>
                <w:lang w:eastAsia="lv-LV"/>
              </w:rPr>
              <w:t xml:space="preserve">, kas nosaka būtiskās veselības aizsardzības un drošuma prasības mašīnām, savstarpēji maināmām iekārtām, drošības sastāvdaļām, celšanas palīgierīcēm, ķēdēm, trosēm un saitēm, noņemamām mehāniskām pārvades ierīcēm un daļēji komplektētām mašīnām, kā arī šo prasību ievērošanas uzraudzības mehānismu. </w:t>
            </w:r>
          </w:p>
          <w:p w14:paraId="1A4EB675" w14:textId="3FF3F9E3" w:rsidR="003F2F30" w:rsidRPr="00395ACC" w:rsidRDefault="007B0397" w:rsidP="004915A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Pamatojoties uz likuma “Par bīstamo iekārtu tehnisko uzraudzību” valdītājam ir pienākums uzturēt bīstamās iekārtas atbilstoši normatīvo aktu prasībām, nodrošināt bīstamo iekārtu pārbaužu veikšanu, pārtraukt bīstamo iekārtu darbību, ja konstatēts, ka tās apdraud cilvēku dzīvību vai veselību.</w:t>
            </w:r>
          </w:p>
          <w:p w14:paraId="4B587FCA" w14:textId="4ADD6D74" w:rsidR="002E491E" w:rsidRPr="00395ACC" w:rsidRDefault="00196F3B" w:rsidP="002174F1">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Ņemot vērā </w:t>
            </w:r>
            <w:r w:rsidR="003C0BA8" w:rsidRPr="00395ACC">
              <w:rPr>
                <w:rFonts w:ascii="Times New Roman" w:eastAsia="Times New Roman" w:hAnsi="Times New Roman" w:cs="Times New Roman"/>
                <w:iCs/>
                <w:sz w:val="24"/>
                <w:szCs w:val="24"/>
                <w:lang w:eastAsia="lv-LV"/>
              </w:rPr>
              <w:t xml:space="preserve">PTAC </w:t>
            </w:r>
            <w:r w:rsidRPr="00395ACC">
              <w:rPr>
                <w:rFonts w:ascii="Times New Roman" w:eastAsia="Times New Roman" w:hAnsi="Times New Roman" w:cs="Times New Roman"/>
                <w:iCs/>
                <w:sz w:val="24"/>
                <w:szCs w:val="24"/>
                <w:lang w:eastAsia="lv-LV"/>
              </w:rPr>
              <w:t>2017. un 2018.</w:t>
            </w:r>
            <w:r w:rsidR="00822C96"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gadā </w:t>
            </w:r>
            <w:r w:rsidR="008C7622" w:rsidRPr="00395ACC">
              <w:rPr>
                <w:rFonts w:ascii="Times New Roman" w:eastAsia="Times New Roman" w:hAnsi="Times New Roman" w:cs="Times New Roman"/>
                <w:iCs/>
                <w:sz w:val="24"/>
                <w:szCs w:val="24"/>
                <w:lang w:eastAsia="lv-LV"/>
              </w:rPr>
              <w:t>liftu</w:t>
            </w:r>
            <w:r w:rsidRPr="00395ACC">
              <w:rPr>
                <w:rFonts w:ascii="Times New Roman" w:eastAsia="Times New Roman" w:hAnsi="Times New Roman" w:cs="Times New Roman"/>
                <w:iCs/>
                <w:sz w:val="24"/>
                <w:szCs w:val="24"/>
                <w:lang w:eastAsia="lv-LV"/>
              </w:rPr>
              <w:t xml:space="preserve"> uzraudzības pārbaudēs konstatēto,</w:t>
            </w:r>
            <w:r w:rsidR="00EB4E87"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secināms, ka nepieciešamas izmaiņas</w:t>
            </w:r>
            <w:r w:rsidR="00C7267A" w:rsidRPr="00395ACC">
              <w:rPr>
                <w:rFonts w:ascii="Times New Roman" w:eastAsia="Times New Roman" w:hAnsi="Times New Roman" w:cs="Times New Roman"/>
                <w:iCs/>
                <w:sz w:val="24"/>
                <w:szCs w:val="24"/>
                <w:lang w:eastAsia="lv-LV"/>
              </w:rPr>
              <w:t xml:space="preserve"> Noteikumos Nr.</w:t>
            </w:r>
            <w:r w:rsidR="00AE292D" w:rsidRPr="00395ACC">
              <w:rPr>
                <w:rFonts w:ascii="Times New Roman" w:eastAsia="Times New Roman" w:hAnsi="Times New Roman" w:cs="Times New Roman"/>
                <w:iCs/>
                <w:sz w:val="24"/>
                <w:szCs w:val="24"/>
                <w:lang w:eastAsia="lv-LV"/>
              </w:rPr>
              <w:t xml:space="preserve"> </w:t>
            </w:r>
            <w:r w:rsidR="00C7267A" w:rsidRPr="00395ACC">
              <w:rPr>
                <w:rFonts w:ascii="Times New Roman" w:eastAsia="Times New Roman" w:hAnsi="Times New Roman" w:cs="Times New Roman"/>
                <w:iCs/>
                <w:sz w:val="24"/>
                <w:szCs w:val="24"/>
                <w:lang w:eastAsia="lv-LV"/>
              </w:rPr>
              <w:t xml:space="preserve">195, jo </w:t>
            </w:r>
            <w:r w:rsidRPr="00395ACC">
              <w:rPr>
                <w:rFonts w:ascii="Times New Roman" w:eastAsia="Times New Roman" w:hAnsi="Times New Roman" w:cs="Times New Roman"/>
                <w:iCs/>
                <w:sz w:val="24"/>
                <w:szCs w:val="24"/>
                <w:lang w:eastAsia="lv-LV"/>
              </w:rPr>
              <w:t>pašreiz</w:t>
            </w:r>
            <w:r w:rsidR="0081324C" w:rsidRPr="00395ACC">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Noteikum</w:t>
            </w:r>
            <w:r w:rsidR="00DF7D01" w:rsidRPr="00395ACC">
              <w:rPr>
                <w:rFonts w:ascii="Times New Roman" w:eastAsia="Times New Roman" w:hAnsi="Times New Roman" w:cs="Times New Roman"/>
                <w:iCs/>
                <w:sz w:val="24"/>
                <w:szCs w:val="24"/>
                <w:lang w:eastAsia="lv-LV"/>
              </w:rPr>
              <w:t>i</w:t>
            </w:r>
            <w:r w:rsidR="00A579D5" w:rsidRPr="00395ACC">
              <w:rPr>
                <w:rFonts w:ascii="Times New Roman" w:eastAsia="Times New Roman" w:hAnsi="Times New Roman" w:cs="Times New Roman"/>
                <w:iCs/>
                <w:sz w:val="24"/>
                <w:szCs w:val="24"/>
                <w:lang w:eastAsia="lv-LV"/>
              </w:rPr>
              <w:t xml:space="preserve"> Nr.</w:t>
            </w:r>
            <w:r w:rsidR="00AE292D" w:rsidRPr="00395ACC">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 xml:space="preserve">195 </w:t>
            </w:r>
            <w:r w:rsidR="00DF7D01" w:rsidRPr="00395ACC">
              <w:rPr>
                <w:rFonts w:ascii="Times New Roman" w:eastAsia="Times New Roman" w:hAnsi="Times New Roman" w:cs="Times New Roman"/>
                <w:iCs/>
                <w:sz w:val="24"/>
                <w:szCs w:val="24"/>
                <w:lang w:eastAsia="lv-LV"/>
              </w:rPr>
              <w:t xml:space="preserve">nenosaka </w:t>
            </w:r>
            <w:r w:rsidR="00D85509" w:rsidRPr="00395ACC">
              <w:rPr>
                <w:rFonts w:ascii="Times New Roman" w:eastAsia="Times New Roman" w:hAnsi="Times New Roman" w:cs="Times New Roman"/>
                <w:iCs/>
                <w:sz w:val="24"/>
                <w:szCs w:val="24"/>
                <w:lang w:eastAsia="lv-LV"/>
              </w:rPr>
              <w:t>liftiem bez CE marķējuma</w:t>
            </w:r>
            <w:r w:rsidR="00DF7D01" w:rsidRPr="00395ACC">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būtiskās drošuma prasības</w:t>
            </w:r>
            <w:r w:rsidR="00B92279">
              <w:rPr>
                <w:rFonts w:ascii="Times New Roman" w:eastAsia="Times New Roman" w:hAnsi="Times New Roman" w:cs="Times New Roman"/>
                <w:iCs/>
                <w:sz w:val="24"/>
                <w:szCs w:val="24"/>
                <w:lang w:eastAsia="lv-LV"/>
              </w:rPr>
              <w:t xml:space="preserve"> </w:t>
            </w:r>
            <w:r w:rsidR="00A579D5" w:rsidRPr="00395ACC">
              <w:rPr>
                <w:rFonts w:ascii="Times New Roman" w:eastAsia="Times New Roman" w:hAnsi="Times New Roman" w:cs="Times New Roman"/>
                <w:iCs/>
                <w:sz w:val="24"/>
                <w:szCs w:val="24"/>
                <w:lang w:eastAsia="lv-LV"/>
              </w:rPr>
              <w:t>un prasības drošuma novērtēšan</w:t>
            </w:r>
            <w:r w:rsidR="00DF7D01" w:rsidRPr="00395ACC">
              <w:rPr>
                <w:rFonts w:ascii="Times New Roman" w:eastAsia="Times New Roman" w:hAnsi="Times New Roman" w:cs="Times New Roman"/>
                <w:iCs/>
                <w:sz w:val="24"/>
                <w:szCs w:val="24"/>
                <w:lang w:eastAsia="lv-LV"/>
              </w:rPr>
              <w:t>ai</w:t>
            </w:r>
            <w:r w:rsidR="00A579D5" w:rsidRPr="00395ACC">
              <w:rPr>
                <w:rFonts w:ascii="Times New Roman" w:eastAsia="Times New Roman" w:hAnsi="Times New Roman" w:cs="Times New Roman"/>
                <w:iCs/>
                <w:sz w:val="24"/>
                <w:szCs w:val="24"/>
                <w:lang w:eastAsia="lv-LV"/>
              </w:rPr>
              <w:t xml:space="preserve"> un risk</w:t>
            </w:r>
            <w:r w:rsidR="00B92279">
              <w:rPr>
                <w:rFonts w:ascii="Times New Roman" w:eastAsia="Times New Roman" w:hAnsi="Times New Roman" w:cs="Times New Roman"/>
                <w:iCs/>
                <w:sz w:val="24"/>
                <w:szCs w:val="24"/>
                <w:lang w:eastAsia="lv-LV"/>
              </w:rPr>
              <w:t>u</w:t>
            </w:r>
            <w:r w:rsidR="00A579D5" w:rsidRPr="00395ACC">
              <w:rPr>
                <w:rFonts w:ascii="Times New Roman" w:eastAsia="Times New Roman" w:hAnsi="Times New Roman" w:cs="Times New Roman"/>
                <w:iCs/>
                <w:sz w:val="24"/>
                <w:szCs w:val="24"/>
                <w:lang w:eastAsia="lv-LV"/>
              </w:rPr>
              <w:t xml:space="preserve"> novēršan</w:t>
            </w:r>
            <w:r w:rsidR="00DF7D01" w:rsidRPr="00395ACC">
              <w:rPr>
                <w:rFonts w:ascii="Times New Roman" w:eastAsia="Times New Roman" w:hAnsi="Times New Roman" w:cs="Times New Roman"/>
                <w:iCs/>
                <w:sz w:val="24"/>
                <w:szCs w:val="24"/>
                <w:lang w:eastAsia="lv-LV"/>
              </w:rPr>
              <w:t>ai</w:t>
            </w:r>
            <w:r w:rsidR="00A579D5" w:rsidRPr="00395ACC">
              <w:rPr>
                <w:rFonts w:ascii="Times New Roman" w:eastAsia="Times New Roman" w:hAnsi="Times New Roman" w:cs="Times New Roman"/>
                <w:iCs/>
                <w:sz w:val="24"/>
                <w:szCs w:val="24"/>
                <w:lang w:eastAsia="lv-LV"/>
              </w:rPr>
              <w:t xml:space="preserve">. </w:t>
            </w:r>
          </w:p>
          <w:p w14:paraId="573B5C5C" w14:textId="0E517AC9" w:rsidR="002174F1" w:rsidRPr="00395ACC" w:rsidRDefault="002174F1" w:rsidP="002174F1">
            <w:pPr>
              <w:spacing w:after="0" w:line="240" w:lineRule="auto"/>
              <w:jc w:val="both"/>
              <w:rPr>
                <w:rFonts w:ascii="Times New Roman" w:eastAsia="Times New Roman" w:hAnsi="Times New Roman" w:cs="Times New Roman"/>
                <w:iCs/>
                <w:sz w:val="24"/>
                <w:szCs w:val="24"/>
                <w:lang w:eastAsia="lv-LV"/>
              </w:rPr>
            </w:pPr>
            <w:r w:rsidRPr="00395ACC">
              <w:rPr>
                <w:rFonts w:ascii="Times New Roman" w:hAnsi="Times New Roman" w:cs="Times New Roman"/>
                <w:sz w:val="24"/>
                <w:szCs w:val="24"/>
              </w:rPr>
              <w:t>Pēc PTAC sniegtās informācijas, 2017. un 2018.</w:t>
            </w:r>
            <w:r w:rsidR="00AE292D" w:rsidRPr="00395ACC">
              <w:rPr>
                <w:rFonts w:ascii="Times New Roman" w:hAnsi="Times New Roman" w:cs="Times New Roman"/>
                <w:sz w:val="24"/>
                <w:szCs w:val="24"/>
              </w:rPr>
              <w:t xml:space="preserve"> </w:t>
            </w:r>
            <w:r w:rsidRPr="00395ACC">
              <w:rPr>
                <w:rFonts w:ascii="Times New Roman" w:hAnsi="Times New Roman" w:cs="Times New Roman"/>
                <w:sz w:val="24"/>
                <w:szCs w:val="24"/>
              </w:rPr>
              <w:t xml:space="preserve">gadā projekta “Liftu uzraudzība” ietvaros veiktas 73 uzraudzības pārbaudes, pārbaudot 68 lifta valdītājus, no kuriem 59 liftu valdītājiem konstatētas neatbilstības jeb 87% no kopā pārbaudīto valdītāju skaita. Projekta laikā  pārbaudīti 259 lifti,  no kuriem 159 liftiem konstatētas neatbilstības, t.i., </w:t>
            </w:r>
          </w:p>
          <w:p w14:paraId="1B531BDA" w14:textId="2FF9A541" w:rsidR="002174F1" w:rsidRPr="00395ACC" w:rsidRDefault="006E1491" w:rsidP="002174F1">
            <w:pPr>
              <w:pStyle w:val="ListParagraph"/>
              <w:numPr>
                <w:ilvl w:val="0"/>
                <w:numId w:val="6"/>
              </w:numPr>
              <w:ind w:left="391"/>
              <w:jc w:val="both"/>
              <w:rPr>
                <w:lang w:val="lv-LV"/>
              </w:rPr>
            </w:pPr>
            <w:r w:rsidRPr="00395ACC">
              <w:rPr>
                <w:lang w:val="lv-LV"/>
              </w:rPr>
              <w:t xml:space="preserve">viens </w:t>
            </w:r>
            <w:r w:rsidR="002174F1" w:rsidRPr="00395ACC">
              <w:rPr>
                <w:lang w:val="lv-LV"/>
              </w:rPr>
              <w:t xml:space="preserve">lifts </w:t>
            </w:r>
            <w:r w:rsidR="00743A63" w:rsidRPr="00395ACC">
              <w:rPr>
                <w:lang w:val="lv-LV"/>
              </w:rPr>
              <w:t>nav</w:t>
            </w:r>
            <w:r w:rsidR="002174F1" w:rsidRPr="00395ACC">
              <w:rPr>
                <w:lang w:val="lv-LV"/>
              </w:rPr>
              <w:t xml:space="preserve"> reģistrēts bīstamo iekārtu reģistrā (turpmāk – BIR);</w:t>
            </w:r>
          </w:p>
          <w:p w14:paraId="5E603949" w14:textId="77777777" w:rsidR="002174F1" w:rsidRPr="00395ACC" w:rsidRDefault="002174F1" w:rsidP="002174F1">
            <w:pPr>
              <w:pStyle w:val="ListParagraph"/>
              <w:numPr>
                <w:ilvl w:val="0"/>
                <w:numId w:val="6"/>
              </w:numPr>
              <w:ind w:left="391"/>
              <w:jc w:val="both"/>
              <w:rPr>
                <w:lang w:val="lv-LV"/>
              </w:rPr>
            </w:pPr>
            <w:r w:rsidRPr="00395ACC">
              <w:rPr>
                <w:lang w:val="lv-LV"/>
              </w:rPr>
              <w:t>15% (24 lifti) nav veikta tehniskā pārbaude;</w:t>
            </w:r>
          </w:p>
          <w:p w14:paraId="2C827D1D" w14:textId="77777777" w:rsidR="002174F1" w:rsidRPr="00395ACC" w:rsidRDefault="002174F1" w:rsidP="002174F1">
            <w:pPr>
              <w:pStyle w:val="ListParagraph"/>
              <w:numPr>
                <w:ilvl w:val="0"/>
                <w:numId w:val="6"/>
              </w:numPr>
              <w:ind w:left="391"/>
              <w:jc w:val="both"/>
              <w:rPr>
                <w:lang w:val="lv-LV"/>
              </w:rPr>
            </w:pPr>
            <w:r w:rsidRPr="00395ACC">
              <w:rPr>
                <w:lang w:val="lv-LV"/>
              </w:rPr>
              <w:t xml:space="preserve">81% (109 lifti) no neatbilstošajiem liftiem konstatētas neatbilstības, kas var ietekmēt drošu lifta lietošanu (šahtas durvju slēgmehānismu neatbilstošs stāvoklis, nenoplombēti ātruma </w:t>
            </w:r>
            <w:r w:rsidRPr="00395ACC">
              <w:rPr>
                <w:lang w:val="lv-LV"/>
              </w:rPr>
              <w:lastRenderedPageBreak/>
              <w:t>ierobežotāji, pastiprināta eļļas noplūde no reduktora, palielināta starpība starp kabīnes grīdu un stāva laukuma grīdu, nav nodrošināta divpusējas saziņas iespēja u.c.);</w:t>
            </w:r>
          </w:p>
          <w:p w14:paraId="05B50F64" w14:textId="77777777" w:rsidR="002174F1" w:rsidRPr="00395ACC" w:rsidRDefault="002174F1" w:rsidP="002174F1">
            <w:pPr>
              <w:pStyle w:val="ListParagraph"/>
              <w:numPr>
                <w:ilvl w:val="0"/>
                <w:numId w:val="6"/>
              </w:numPr>
              <w:ind w:left="391"/>
              <w:jc w:val="both"/>
              <w:rPr>
                <w:lang w:val="lv-LV"/>
              </w:rPr>
            </w:pPr>
            <w:r w:rsidRPr="00395ACC">
              <w:rPr>
                <w:lang w:val="lv-LV"/>
              </w:rPr>
              <w:t>47% no pārbaudītajiem liftiem, kuriem bija spēkā esoša tehniskā pārbaude, tika konstatētas neatbilstības, kas var ietekmēt drošu lifta lietošanu.</w:t>
            </w:r>
          </w:p>
          <w:p w14:paraId="0E1C3251" w14:textId="0C38609E" w:rsidR="002174F1" w:rsidRPr="00395ACC" w:rsidRDefault="002174F1" w:rsidP="002174F1">
            <w:pPr>
              <w:spacing w:after="0"/>
              <w:jc w:val="both"/>
              <w:rPr>
                <w:rFonts w:ascii="Times New Roman" w:hAnsi="Times New Roman" w:cs="Times New Roman"/>
                <w:sz w:val="24"/>
                <w:szCs w:val="24"/>
              </w:rPr>
            </w:pPr>
            <w:r w:rsidRPr="00395ACC">
              <w:rPr>
                <w:rFonts w:ascii="Times New Roman" w:hAnsi="Times New Roman" w:cs="Times New Roman"/>
                <w:sz w:val="24"/>
                <w:szCs w:val="24"/>
              </w:rPr>
              <w:t>Kā arī projekta ietvaros tika apturēta 15 liftu lietošana (9% no neatbilstošo iekārtu skaita) līdz ārpuskārtas tehnisk</w:t>
            </w:r>
            <w:r w:rsidR="0037220E" w:rsidRPr="00395ACC">
              <w:rPr>
                <w:rFonts w:ascii="Times New Roman" w:hAnsi="Times New Roman" w:cs="Times New Roman"/>
                <w:sz w:val="24"/>
                <w:szCs w:val="24"/>
              </w:rPr>
              <w:t xml:space="preserve">o </w:t>
            </w:r>
            <w:r w:rsidRPr="00395ACC">
              <w:rPr>
                <w:rFonts w:ascii="Times New Roman" w:hAnsi="Times New Roman" w:cs="Times New Roman"/>
                <w:sz w:val="24"/>
                <w:szCs w:val="24"/>
              </w:rPr>
              <w:t>pārbau</w:t>
            </w:r>
            <w:r w:rsidR="0037220E" w:rsidRPr="00395ACC">
              <w:rPr>
                <w:rFonts w:ascii="Times New Roman" w:hAnsi="Times New Roman" w:cs="Times New Roman"/>
                <w:sz w:val="24"/>
                <w:szCs w:val="24"/>
              </w:rPr>
              <w:t>žu veikšan</w:t>
            </w:r>
            <w:r w:rsidR="00B92279">
              <w:rPr>
                <w:rFonts w:ascii="Times New Roman" w:hAnsi="Times New Roman" w:cs="Times New Roman"/>
                <w:sz w:val="24"/>
                <w:szCs w:val="24"/>
              </w:rPr>
              <w:t>ai</w:t>
            </w:r>
            <w:r w:rsidRPr="00395ACC">
              <w:rPr>
                <w:rFonts w:ascii="Times New Roman" w:hAnsi="Times New Roman" w:cs="Times New Roman"/>
                <w:sz w:val="24"/>
                <w:szCs w:val="24"/>
              </w:rPr>
              <w:t>, kurā iekārta tiek atzīta par atbilstošu normatīvo aktu prasībām</w:t>
            </w:r>
            <w:r w:rsidR="0037220E" w:rsidRPr="00395ACC">
              <w:rPr>
                <w:rFonts w:ascii="Times New Roman" w:hAnsi="Times New Roman" w:cs="Times New Roman"/>
                <w:sz w:val="24"/>
                <w:szCs w:val="24"/>
              </w:rPr>
              <w:t xml:space="preserve">. </w:t>
            </w:r>
          </w:p>
          <w:p w14:paraId="1373ECE7" w14:textId="23D4C1CF" w:rsidR="00434F41" w:rsidRPr="00395ACC" w:rsidRDefault="00DF7D01" w:rsidP="0036290E">
            <w:pPr>
              <w:spacing w:after="0"/>
              <w:jc w:val="both"/>
              <w:rPr>
                <w:rFonts w:ascii="Times New Roman" w:hAnsi="Times New Roman" w:cs="Times New Roman"/>
                <w:sz w:val="24"/>
                <w:szCs w:val="24"/>
              </w:rPr>
            </w:pPr>
            <w:r w:rsidRPr="00395ACC">
              <w:rPr>
                <w:rFonts w:ascii="Times New Roman" w:hAnsi="Times New Roman" w:cs="Times New Roman"/>
                <w:sz w:val="24"/>
                <w:szCs w:val="24"/>
              </w:rPr>
              <w:t>BIR reģistrā ar statusu “Reģistrēts”</w:t>
            </w:r>
            <w:r w:rsidR="0036290E" w:rsidRPr="00395ACC">
              <w:rPr>
                <w:rFonts w:ascii="Times New Roman" w:hAnsi="Times New Roman" w:cs="Times New Roman"/>
                <w:sz w:val="24"/>
                <w:szCs w:val="24"/>
              </w:rPr>
              <w:t xml:space="preserve"> 3676 ir lifti ar CE marķējumu un 3734 lifti bez CE marķējuma (lielākā daļa uzstādīti daudzdzīvokļu dzīvojamās mājās), kuriem nepieciešama modernizācija vai nomaiņa.</w:t>
            </w:r>
            <w:r w:rsidR="003D065B" w:rsidRPr="00395ACC">
              <w:rPr>
                <w:rFonts w:ascii="Times New Roman" w:hAnsi="Times New Roman" w:cs="Times New Roman"/>
                <w:sz w:val="24"/>
                <w:szCs w:val="24"/>
              </w:rPr>
              <w:t xml:space="preserve"> </w:t>
            </w:r>
          </w:p>
          <w:p w14:paraId="4F3C1AFC" w14:textId="1034A095" w:rsidR="006D47D5" w:rsidRPr="00395ACC" w:rsidRDefault="0036290E" w:rsidP="002174F1">
            <w:pPr>
              <w:spacing w:after="0"/>
              <w:jc w:val="both"/>
              <w:rPr>
                <w:rFonts w:ascii="Times New Roman" w:hAnsi="Times New Roman" w:cs="Times New Roman"/>
                <w:sz w:val="24"/>
                <w:szCs w:val="24"/>
              </w:rPr>
            </w:pPr>
            <w:r w:rsidRPr="00395ACC">
              <w:rPr>
                <w:rFonts w:ascii="Times New Roman" w:hAnsi="Times New Roman" w:cs="Times New Roman"/>
                <w:sz w:val="24"/>
                <w:szCs w:val="24"/>
              </w:rPr>
              <w:t>Liftu valdītāji n</w:t>
            </w:r>
            <w:r w:rsidR="00685903" w:rsidRPr="00395ACC">
              <w:rPr>
                <w:rFonts w:ascii="Times New Roman" w:hAnsi="Times New Roman" w:cs="Times New Roman"/>
                <w:sz w:val="24"/>
                <w:szCs w:val="24"/>
              </w:rPr>
              <w:t xml:space="preserve">e visos gadījumos </w:t>
            </w:r>
            <w:r w:rsidR="00434F41" w:rsidRPr="00395ACC">
              <w:rPr>
                <w:rFonts w:ascii="Times New Roman" w:hAnsi="Times New Roman" w:cs="Times New Roman"/>
                <w:sz w:val="24"/>
                <w:szCs w:val="24"/>
              </w:rPr>
              <w:t>nodrošina tehniskās pārbaudes akreditētā inspicēšanas institūcijā un ne vienmēr</w:t>
            </w:r>
            <w:r w:rsidRPr="00395ACC">
              <w:rPr>
                <w:rFonts w:ascii="Times New Roman" w:hAnsi="Times New Roman" w:cs="Times New Roman"/>
                <w:sz w:val="24"/>
                <w:szCs w:val="24"/>
              </w:rPr>
              <w:t xml:space="preserve"> </w:t>
            </w:r>
            <w:r w:rsidR="00434F41" w:rsidRPr="00395ACC">
              <w:rPr>
                <w:rFonts w:ascii="Times New Roman" w:hAnsi="Times New Roman" w:cs="Times New Roman"/>
                <w:sz w:val="24"/>
                <w:szCs w:val="24"/>
              </w:rPr>
              <w:t>savus pienākumus veic ar pienācīgu rūpību attiecībā pret to valdījumā esoš</w:t>
            </w:r>
            <w:r w:rsidR="003D065B" w:rsidRPr="00395ACC">
              <w:rPr>
                <w:rFonts w:ascii="Times New Roman" w:hAnsi="Times New Roman" w:cs="Times New Roman"/>
                <w:sz w:val="24"/>
                <w:szCs w:val="24"/>
              </w:rPr>
              <w:t>ajiem</w:t>
            </w:r>
            <w:r w:rsidR="00434F41" w:rsidRPr="00395ACC">
              <w:rPr>
                <w:rFonts w:ascii="Times New Roman" w:hAnsi="Times New Roman" w:cs="Times New Roman"/>
                <w:sz w:val="24"/>
                <w:szCs w:val="24"/>
              </w:rPr>
              <w:t xml:space="preserve"> lift</w:t>
            </w:r>
            <w:r w:rsidR="003D065B" w:rsidRPr="00395ACC">
              <w:rPr>
                <w:rFonts w:ascii="Times New Roman" w:hAnsi="Times New Roman" w:cs="Times New Roman"/>
                <w:sz w:val="24"/>
                <w:szCs w:val="24"/>
              </w:rPr>
              <w:t>iem</w:t>
            </w:r>
            <w:r w:rsidR="00434F41" w:rsidRPr="00395ACC">
              <w:rPr>
                <w:rFonts w:ascii="Times New Roman" w:hAnsi="Times New Roman" w:cs="Times New Roman"/>
                <w:sz w:val="24"/>
                <w:szCs w:val="24"/>
              </w:rPr>
              <w:t>, un to drošu lietošanu.</w:t>
            </w:r>
            <w:r w:rsidR="00420863" w:rsidRPr="00395ACC">
              <w:rPr>
                <w:rFonts w:ascii="Times New Roman" w:hAnsi="Times New Roman" w:cs="Times New Roman"/>
                <w:sz w:val="24"/>
                <w:szCs w:val="24"/>
              </w:rPr>
              <w:t xml:space="preserve"> Liftu valdītājiem </w:t>
            </w:r>
            <w:r w:rsidR="00B225A9" w:rsidRPr="00395ACC">
              <w:rPr>
                <w:rFonts w:ascii="Times New Roman" w:hAnsi="Times New Roman" w:cs="Times New Roman"/>
                <w:sz w:val="24"/>
                <w:szCs w:val="24"/>
              </w:rPr>
              <w:t>lift</w:t>
            </w:r>
            <w:r w:rsidR="00FC74D9">
              <w:rPr>
                <w:rFonts w:ascii="Times New Roman" w:hAnsi="Times New Roman" w:cs="Times New Roman"/>
                <w:sz w:val="24"/>
                <w:szCs w:val="24"/>
              </w:rPr>
              <w:t>i</w:t>
            </w:r>
            <w:r w:rsidR="00B225A9" w:rsidRPr="00395ACC">
              <w:rPr>
                <w:rFonts w:ascii="Times New Roman" w:hAnsi="Times New Roman" w:cs="Times New Roman"/>
                <w:sz w:val="24"/>
                <w:szCs w:val="24"/>
              </w:rPr>
              <w:t xml:space="preserve"> bez CE marķējuma </w:t>
            </w:r>
            <w:r w:rsidR="00420863" w:rsidRPr="00395ACC">
              <w:rPr>
                <w:rFonts w:ascii="Times New Roman" w:hAnsi="Times New Roman" w:cs="Times New Roman"/>
                <w:sz w:val="24"/>
                <w:szCs w:val="24"/>
              </w:rPr>
              <w:t>ar katru gadu prasa arvien lielākus finansiālus ieguldījumus, kuri netiek veikti pietiekošā apjomā</w:t>
            </w:r>
            <w:r w:rsidR="00B225A9" w:rsidRPr="00395ACC">
              <w:rPr>
                <w:rFonts w:ascii="Times New Roman" w:hAnsi="Times New Roman" w:cs="Times New Roman"/>
                <w:sz w:val="24"/>
                <w:szCs w:val="24"/>
              </w:rPr>
              <w:t>. Turklāt p</w:t>
            </w:r>
            <w:r w:rsidR="00434F41" w:rsidRPr="00395ACC">
              <w:rPr>
                <w:rFonts w:ascii="Times New Roman" w:hAnsi="Times New Roman" w:cs="Times New Roman"/>
                <w:sz w:val="24"/>
                <w:szCs w:val="24"/>
              </w:rPr>
              <w:t xml:space="preserve">ēc PTAC sniegtās informācijas, </w:t>
            </w:r>
            <w:r w:rsidR="00F70C4E" w:rsidRPr="00395ACC">
              <w:rPr>
                <w:rFonts w:ascii="Times New Roman" w:hAnsi="Times New Roman" w:cs="Times New Roman"/>
                <w:sz w:val="24"/>
                <w:szCs w:val="24"/>
              </w:rPr>
              <w:t>lift</w:t>
            </w:r>
            <w:r w:rsidR="003332FE" w:rsidRPr="00395ACC">
              <w:rPr>
                <w:rFonts w:ascii="Times New Roman" w:hAnsi="Times New Roman" w:cs="Times New Roman"/>
                <w:sz w:val="24"/>
                <w:szCs w:val="24"/>
              </w:rPr>
              <w:t>iem</w:t>
            </w:r>
            <w:r w:rsidR="00F70C4E" w:rsidRPr="00395ACC">
              <w:rPr>
                <w:rFonts w:ascii="Times New Roman" w:hAnsi="Times New Roman" w:cs="Times New Roman"/>
                <w:sz w:val="24"/>
                <w:szCs w:val="24"/>
              </w:rPr>
              <w:t xml:space="preserve"> bez CE marķējuma</w:t>
            </w:r>
            <w:r w:rsidR="00434F41" w:rsidRPr="00395ACC">
              <w:rPr>
                <w:rFonts w:ascii="Times New Roman" w:hAnsi="Times New Roman" w:cs="Times New Roman"/>
                <w:sz w:val="24"/>
                <w:szCs w:val="24"/>
              </w:rPr>
              <w:t xml:space="preserve"> apkopē un uzturēšanā gadiem ilgi nav ieguldīti līdzekļi un ar katru gadu palielinās risk</w:t>
            </w:r>
            <w:r w:rsidR="00A0723F" w:rsidRPr="00395ACC">
              <w:rPr>
                <w:rFonts w:ascii="Times New Roman" w:hAnsi="Times New Roman" w:cs="Times New Roman"/>
                <w:sz w:val="24"/>
                <w:szCs w:val="24"/>
              </w:rPr>
              <w:t>a iespējamība</w:t>
            </w:r>
            <w:r w:rsidR="00434F41" w:rsidRPr="00395ACC">
              <w:rPr>
                <w:rFonts w:ascii="Times New Roman" w:hAnsi="Times New Roman" w:cs="Times New Roman"/>
                <w:sz w:val="24"/>
                <w:szCs w:val="24"/>
              </w:rPr>
              <w:t xml:space="preserve">, lietot tehniski nolietotus, neatbilstošus liftus, kas var radīt draudus cilvēku dzīvībai </w:t>
            </w:r>
            <w:r w:rsidR="00743A63" w:rsidRPr="00395ACC">
              <w:rPr>
                <w:rFonts w:ascii="Times New Roman" w:hAnsi="Times New Roman" w:cs="Times New Roman"/>
                <w:sz w:val="24"/>
                <w:szCs w:val="24"/>
              </w:rPr>
              <w:t xml:space="preserve">un </w:t>
            </w:r>
            <w:r w:rsidR="00434F41" w:rsidRPr="00395ACC">
              <w:rPr>
                <w:rFonts w:ascii="Times New Roman" w:hAnsi="Times New Roman" w:cs="Times New Roman"/>
                <w:sz w:val="24"/>
                <w:szCs w:val="24"/>
              </w:rPr>
              <w:t xml:space="preserve">veselībai. </w:t>
            </w:r>
          </w:p>
          <w:p w14:paraId="2126967F" w14:textId="285D606F" w:rsidR="002E491E" w:rsidRPr="00395ACC" w:rsidRDefault="002E491E" w:rsidP="002E491E">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Ņemot vērā PTAC</w:t>
            </w:r>
            <w:r w:rsidR="00B225A9" w:rsidRPr="00395ACC">
              <w:rPr>
                <w:rFonts w:ascii="Times New Roman" w:eastAsia="Times New Roman" w:hAnsi="Times New Roman" w:cs="Times New Roman"/>
                <w:iCs/>
                <w:sz w:val="24"/>
                <w:szCs w:val="24"/>
                <w:lang w:eastAsia="lv-LV"/>
              </w:rPr>
              <w:t xml:space="preserve"> sniegto informāciju un </w:t>
            </w:r>
            <w:r w:rsidRPr="00395ACC">
              <w:rPr>
                <w:rFonts w:ascii="Times New Roman" w:eastAsia="Times New Roman" w:hAnsi="Times New Roman" w:cs="Times New Roman"/>
                <w:iCs/>
                <w:sz w:val="24"/>
                <w:szCs w:val="24"/>
                <w:lang w:eastAsia="lv-LV"/>
              </w:rPr>
              <w:t xml:space="preserve"> 2017. un 2018.</w:t>
            </w:r>
            <w:r w:rsidR="00F04E0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gadā veiktās bīstamo iekārtu uzraudzības pārbaudēs konstatēto, Ekonomikas ministrija ir izstrādājusi Noteikumu projektu, </w:t>
            </w:r>
            <w:r w:rsidR="00B45F64" w:rsidRPr="00395ACC">
              <w:rPr>
                <w:rFonts w:ascii="Times New Roman" w:eastAsia="Times New Roman" w:hAnsi="Times New Roman" w:cs="Times New Roman"/>
                <w:iCs/>
                <w:sz w:val="24"/>
                <w:szCs w:val="24"/>
                <w:lang w:eastAsia="lv-LV"/>
              </w:rPr>
              <w:t>kurā noteiktas prasības</w:t>
            </w:r>
            <w:r w:rsidRPr="00395ACC">
              <w:rPr>
                <w:rFonts w:ascii="Times New Roman" w:eastAsia="Times New Roman" w:hAnsi="Times New Roman" w:cs="Times New Roman"/>
                <w:iCs/>
                <w:sz w:val="24"/>
                <w:szCs w:val="24"/>
                <w:lang w:eastAsia="lv-LV"/>
              </w:rPr>
              <w:t xml:space="preserve">: </w:t>
            </w:r>
          </w:p>
          <w:p w14:paraId="7FB9DC41" w14:textId="50B2BCD5" w:rsidR="00FC5C47" w:rsidRPr="00395ACC" w:rsidRDefault="00FC5C47" w:rsidP="00FC5C47">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liftiem, kurus pastāvīgi izmanto ēkās un konstrukcijās noteiktu stāvu apkalpošanai un kuri paredzēti, lai pilnībā noslēgtā (norobežotā) lifta kabīnē ar ātrumu, kas lielāks par 0,15 m/s, pārvietotu cilvēkus vai cilvēkus un kravas, ja pārvietošana tiek veikta daļēji slēgtā (norobežotā) vai slēgtā šahtā pa nekustīgām vadotnēm leņķī, kas attiecībā pret horizontāli ir lielāks par 15 grādiem vai pa nemainīgu kursu, arī tad, ja pārvietošanās nenotiek pa stingrām vadotnēm;  </w:t>
            </w:r>
          </w:p>
          <w:p w14:paraId="2328D1EF" w14:textId="483D79D6" w:rsidR="00FC5C47" w:rsidRDefault="00FC5C47" w:rsidP="002E491E">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cēlējplatformām, kuras pastāvīgi izmanto ēkās un konstrukcijās noteiktu stāvu apkalpošanai un kuras paredzētas, lai daļēji noslēgtā (norobežotā) platformā pārvietotu cilvēkus vai cilvēkus un kravas, ja pārvietošana tiek veikta slēgtā  (norobežotā) šahtā pa </w:t>
            </w:r>
            <w:r w:rsidRPr="00395ACC">
              <w:rPr>
                <w:rFonts w:ascii="Times New Roman" w:eastAsia="Times New Roman" w:hAnsi="Times New Roman" w:cs="Times New Roman"/>
                <w:iCs/>
                <w:sz w:val="24"/>
                <w:szCs w:val="24"/>
                <w:lang w:eastAsia="lv-LV"/>
              </w:rPr>
              <w:lastRenderedPageBreak/>
              <w:t>vadotnēm leņķī, kas attiecībā pret vertikāli nepārsniedz 15 grādus un platformas pārvietošanās ātrums nepārsniedz 0,15 m/s.</w:t>
            </w:r>
          </w:p>
          <w:p w14:paraId="2BF200D0" w14:textId="0975A33F" w:rsidR="00500214" w:rsidRPr="00E0189A" w:rsidRDefault="00DB343D" w:rsidP="002E491E">
            <w:pPr>
              <w:spacing w:after="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Jaunais regulējums nosaka, </w:t>
            </w:r>
            <w:r w:rsidR="00E0189A">
              <w:rPr>
                <w:rFonts w:ascii="Times New Roman" w:eastAsia="Times New Roman" w:hAnsi="Times New Roman" w:cs="Times New Roman"/>
                <w:iCs/>
                <w:sz w:val="24"/>
                <w:szCs w:val="24"/>
                <w:lang w:eastAsia="lv-LV"/>
              </w:rPr>
              <w:t xml:space="preserve">ka </w:t>
            </w:r>
            <w:r w:rsidR="00F70C4E" w:rsidRPr="00395ACC">
              <w:rPr>
                <w:rFonts w:ascii="Times New Roman" w:eastAsia="Times New Roman" w:hAnsi="Times New Roman" w:cs="Times New Roman"/>
                <w:iCs/>
                <w:sz w:val="24"/>
                <w:szCs w:val="24"/>
                <w:lang w:eastAsia="lv-LV"/>
              </w:rPr>
              <w:t xml:space="preserve">liftiem ar CE marķējumu jāatbilst </w:t>
            </w:r>
            <w:r w:rsidR="0037220E" w:rsidRPr="00395ACC">
              <w:rPr>
                <w:rFonts w:ascii="Times New Roman" w:eastAsia="Times New Roman" w:hAnsi="Times New Roman" w:cs="Times New Roman"/>
                <w:iCs/>
                <w:sz w:val="24"/>
                <w:szCs w:val="24"/>
                <w:lang w:eastAsia="lv-LV"/>
              </w:rPr>
              <w:t xml:space="preserve">normatīvajiem aktiem </w:t>
            </w:r>
            <w:r w:rsidR="0037220E" w:rsidRPr="00395ACC">
              <w:rPr>
                <w:rFonts w:ascii="Times New Roman" w:hAnsi="Times New Roman" w:cs="Times New Roman"/>
                <w:sz w:val="24"/>
                <w:szCs w:val="24"/>
              </w:rPr>
              <w:t>par liftu un to drošības sastāvdaļu projektēšanu, ražošanu un liftu uzstādīšanas un atbilstības novērtēšanu</w:t>
            </w:r>
            <w:r w:rsidR="00500214" w:rsidRPr="00395ACC">
              <w:rPr>
                <w:rFonts w:ascii="Times New Roman" w:hAnsi="Times New Roman" w:cs="Times New Roman"/>
                <w:sz w:val="24"/>
                <w:szCs w:val="24"/>
              </w:rPr>
              <w:t xml:space="preserve"> (Noteikumiem Nr. 206)</w:t>
            </w:r>
            <w:r w:rsidR="004E547B" w:rsidRPr="00395ACC">
              <w:rPr>
                <w:rFonts w:ascii="Times New Roman" w:hAnsi="Times New Roman" w:cs="Times New Roman"/>
                <w:sz w:val="24"/>
                <w:szCs w:val="24"/>
              </w:rPr>
              <w:t>, vertikālām cēlējplatformām jāatbilst normatīvajiem aktiem par mašīnu drošību</w:t>
            </w:r>
            <w:r w:rsidR="00500214" w:rsidRPr="00395ACC">
              <w:rPr>
                <w:rFonts w:ascii="Times New Roman" w:hAnsi="Times New Roman" w:cs="Times New Roman"/>
                <w:sz w:val="24"/>
                <w:szCs w:val="24"/>
              </w:rPr>
              <w:t xml:space="preserve"> (Noteikumiem Nr. 195)</w:t>
            </w:r>
            <w:r w:rsidR="004E547B" w:rsidRPr="00395ACC">
              <w:rPr>
                <w:rFonts w:ascii="Times New Roman" w:hAnsi="Times New Roman" w:cs="Times New Roman"/>
                <w:sz w:val="24"/>
                <w:szCs w:val="24"/>
              </w:rPr>
              <w:t>,</w:t>
            </w:r>
            <w:r w:rsidR="00673A12" w:rsidRPr="00395ACC">
              <w:rPr>
                <w:rFonts w:ascii="Times New Roman" w:hAnsi="Times New Roman" w:cs="Times New Roman"/>
                <w:sz w:val="24"/>
                <w:szCs w:val="24"/>
              </w:rPr>
              <w:t xml:space="preserve"> savukārt</w:t>
            </w:r>
            <w:r w:rsidR="004E547B" w:rsidRPr="00395ACC">
              <w:rPr>
                <w:rFonts w:ascii="Times New Roman" w:hAnsi="Times New Roman" w:cs="Times New Roman"/>
                <w:sz w:val="24"/>
                <w:szCs w:val="24"/>
              </w:rPr>
              <w:t xml:space="preserve"> liftiem bez CE marķējuma jāatbilst šo Noteikuma projektā II un III nodaļā noteiktajām prasībām.</w:t>
            </w:r>
          </w:p>
          <w:p w14:paraId="4E77F055" w14:textId="77777777" w:rsidR="00533763" w:rsidRDefault="00500214" w:rsidP="00533763">
            <w:pPr>
              <w:spacing w:after="0"/>
              <w:jc w:val="both"/>
              <w:rPr>
                <w:rFonts w:ascii="Times New Roman" w:hAnsi="Times New Roman" w:cs="Times New Roman"/>
                <w:sz w:val="24"/>
                <w:szCs w:val="24"/>
              </w:rPr>
            </w:pPr>
            <w:r w:rsidRPr="00395ACC">
              <w:rPr>
                <w:rFonts w:ascii="Times New Roman" w:hAnsi="Times New Roman" w:cs="Times New Roman"/>
                <w:sz w:val="24"/>
                <w:szCs w:val="24"/>
              </w:rPr>
              <w:t>Lai uzlabotu</w:t>
            </w:r>
            <w:r w:rsidR="00DB343D">
              <w:rPr>
                <w:rFonts w:ascii="Times New Roman" w:hAnsi="Times New Roman" w:cs="Times New Roman"/>
                <w:sz w:val="24"/>
                <w:szCs w:val="24"/>
              </w:rPr>
              <w:t xml:space="preserve"> </w:t>
            </w:r>
            <w:r w:rsidRPr="00395ACC">
              <w:rPr>
                <w:rFonts w:ascii="Times New Roman" w:hAnsi="Times New Roman" w:cs="Times New Roman"/>
                <w:sz w:val="24"/>
                <w:szCs w:val="24"/>
              </w:rPr>
              <w:t>ekspluatācijā esošo liftu</w:t>
            </w:r>
            <w:r w:rsidR="00FC74D9">
              <w:rPr>
                <w:rFonts w:ascii="Times New Roman" w:hAnsi="Times New Roman" w:cs="Times New Roman"/>
                <w:sz w:val="24"/>
                <w:szCs w:val="24"/>
              </w:rPr>
              <w:t xml:space="preserve"> </w:t>
            </w:r>
            <w:r w:rsidR="008410EE" w:rsidRPr="00395ACC">
              <w:rPr>
                <w:rFonts w:ascii="Times New Roman" w:hAnsi="Times New Roman" w:cs="Times New Roman"/>
                <w:sz w:val="24"/>
                <w:szCs w:val="24"/>
              </w:rPr>
              <w:t>bez CE marķējuma</w:t>
            </w:r>
            <w:r w:rsidRPr="00395ACC">
              <w:rPr>
                <w:rFonts w:ascii="Times New Roman" w:hAnsi="Times New Roman" w:cs="Times New Roman"/>
                <w:sz w:val="24"/>
                <w:szCs w:val="24"/>
              </w:rPr>
              <w:t xml:space="preserve"> drošību un uzturētu atbilstoš</w:t>
            </w:r>
            <w:r w:rsidR="001947B8" w:rsidRPr="00395ACC">
              <w:rPr>
                <w:rFonts w:ascii="Times New Roman" w:hAnsi="Times New Roman" w:cs="Times New Roman"/>
                <w:sz w:val="24"/>
                <w:szCs w:val="24"/>
              </w:rPr>
              <w:t>u</w:t>
            </w:r>
            <w:r w:rsidRPr="00395ACC">
              <w:rPr>
                <w:rFonts w:ascii="Times New Roman" w:hAnsi="Times New Roman" w:cs="Times New Roman"/>
                <w:sz w:val="24"/>
                <w:szCs w:val="24"/>
              </w:rPr>
              <w:t xml:space="preserve"> drošības līmeni, Noteikumu projekt</w:t>
            </w:r>
            <w:r w:rsidR="00CD0C9F" w:rsidRPr="00395ACC">
              <w:rPr>
                <w:rFonts w:ascii="Times New Roman" w:hAnsi="Times New Roman" w:cs="Times New Roman"/>
                <w:sz w:val="24"/>
                <w:szCs w:val="24"/>
              </w:rPr>
              <w:t xml:space="preserve">s ietver </w:t>
            </w:r>
            <w:r w:rsidRPr="00395ACC">
              <w:rPr>
                <w:rFonts w:ascii="Times New Roman" w:hAnsi="Times New Roman" w:cs="Times New Roman"/>
                <w:sz w:val="24"/>
                <w:szCs w:val="24"/>
              </w:rPr>
              <w:t>būtiskās drošuma prasības</w:t>
            </w:r>
            <w:r w:rsidR="00DB343D">
              <w:rPr>
                <w:rFonts w:ascii="Times New Roman" w:hAnsi="Times New Roman" w:cs="Times New Roman"/>
                <w:sz w:val="24"/>
                <w:szCs w:val="24"/>
              </w:rPr>
              <w:t xml:space="preserve">, </w:t>
            </w:r>
            <w:r w:rsidR="00CD0C9F" w:rsidRPr="00395ACC">
              <w:rPr>
                <w:rFonts w:ascii="Times New Roman" w:hAnsi="Times New Roman" w:cs="Times New Roman"/>
                <w:sz w:val="24"/>
                <w:szCs w:val="24"/>
              </w:rPr>
              <w:t>drošuma novērtēšanu un</w:t>
            </w:r>
            <w:r w:rsidRPr="00395ACC">
              <w:rPr>
                <w:rFonts w:ascii="Times New Roman" w:hAnsi="Times New Roman" w:cs="Times New Roman"/>
                <w:sz w:val="24"/>
                <w:szCs w:val="24"/>
              </w:rPr>
              <w:t xml:space="preserve"> riska novēršan</w:t>
            </w:r>
            <w:r w:rsidR="00CD0C9F" w:rsidRPr="00395ACC">
              <w:rPr>
                <w:rFonts w:ascii="Times New Roman" w:hAnsi="Times New Roman" w:cs="Times New Roman"/>
                <w:sz w:val="24"/>
                <w:szCs w:val="24"/>
              </w:rPr>
              <w:t>u, par ko ir atbildīgs</w:t>
            </w:r>
            <w:r w:rsidR="000D2BA0" w:rsidRPr="00395ACC">
              <w:rPr>
                <w:rFonts w:ascii="Times New Roman" w:hAnsi="Times New Roman" w:cs="Times New Roman"/>
                <w:sz w:val="24"/>
                <w:szCs w:val="24"/>
              </w:rPr>
              <w:t xml:space="preserve"> liftu</w:t>
            </w:r>
            <w:r w:rsidR="00CD0C9F" w:rsidRPr="00395ACC">
              <w:rPr>
                <w:rFonts w:ascii="Times New Roman" w:hAnsi="Times New Roman" w:cs="Times New Roman"/>
                <w:sz w:val="24"/>
                <w:szCs w:val="24"/>
              </w:rPr>
              <w:t xml:space="preserve"> valdītājs</w:t>
            </w:r>
            <w:r w:rsidR="008410EE" w:rsidRPr="00395ACC">
              <w:rPr>
                <w:rFonts w:ascii="Times New Roman" w:hAnsi="Times New Roman" w:cs="Times New Roman"/>
                <w:sz w:val="24"/>
                <w:szCs w:val="24"/>
              </w:rPr>
              <w:t>.</w:t>
            </w:r>
            <w:r w:rsidR="00174BDE" w:rsidRPr="00395ACC">
              <w:rPr>
                <w:rFonts w:ascii="Times New Roman" w:hAnsi="Times New Roman" w:cs="Times New Roman"/>
                <w:sz w:val="24"/>
                <w:szCs w:val="24"/>
              </w:rPr>
              <w:t xml:space="preserve"> </w:t>
            </w:r>
          </w:p>
          <w:p w14:paraId="79FBFC87" w14:textId="77777777" w:rsidR="00533763" w:rsidRDefault="00533763" w:rsidP="00533763">
            <w:pPr>
              <w:spacing w:after="0"/>
              <w:jc w:val="both"/>
              <w:rPr>
                <w:rFonts w:ascii="Times New Roman" w:hAnsi="Times New Roman" w:cs="Times New Roman"/>
                <w:sz w:val="24"/>
                <w:szCs w:val="24"/>
              </w:rPr>
            </w:pPr>
            <w:r w:rsidRPr="00395ACC">
              <w:rPr>
                <w:rFonts w:ascii="Times New Roman" w:eastAsia="Times New Roman" w:hAnsi="Times New Roman" w:cs="Times New Roman"/>
                <w:iCs/>
                <w:sz w:val="24"/>
                <w:szCs w:val="24"/>
                <w:lang w:eastAsia="lv-LV"/>
              </w:rPr>
              <w:t xml:space="preserve">Pašreiz Noteikumos Nr. 195 nav </w:t>
            </w:r>
            <w:r w:rsidRPr="00395ACC">
              <w:rPr>
                <w:rFonts w:ascii="Times New Roman" w:hAnsi="Times New Roman" w:cs="Times New Roman"/>
                <w:sz w:val="24"/>
                <w:szCs w:val="24"/>
              </w:rPr>
              <w:t>skaidri nodefinētas  prasības tehniskajai uzraudzībai vertikālajām cēlējplatformām</w:t>
            </w:r>
            <w:r>
              <w:rPr>
                <w:rFonts w:ascii="Times New Roman" w:hAnsi="Times New Roman" w:cs="Times New Roman"/>
                <w:sz w:val="24"/>
                <w:szCs w:val="24"/>
              </w:rPr>
              <w:t xml:space="preserve"> (</w:t>
            </w:r>
            <w:r w:rsidRPr="00395ACC">
              <w:rPr>
                <w:rFonts w:ascii="Times New Roman" w:hAnsi="Times New Roman" w:cs="Times New Roman"/>
                <w:sz w:val="24"/>
                <w:szCs w:val="24"/>
              </w:rPr>
              <w:t>celšanas augstum</w:t>
            </w:r>
            <w:r>
              <w:rPr>
                <w:rFonts w:ascii="Times New Roman" w:hAnsi="Times New Roman" w:cs="Times New Roman"/>
                <w:sz w:val="24"/>
                <w:szCs w:val="24"/>
              </w:rPr>
              <w:t>s</w:t>
            </w:r>
            <w:r w:rsidRPr="00395ACC">
              <w:rPr>
                <w:rFonts w:ascii="Times New Roman" w:hAnsi="Times New Roman" w:cs="Times New Roman"/>
                <w:sz w:val="24"/>
                <w:szCs w:val="24"/>
              </w:rPr>
              <w:t xml:space="preserve"> 3m</w:t>
            </w:r>
            <w:r>
              <w:rPr>
                <w:rFonts w:ascii="Times New Roman" w:hAnsi="Times New Roman" w:cs="Times New Roman"/>
                <w:sz w:val="24"/>
                <w:szCs w:val="24"/>
              </w:rPr>
              <w:t>)</w:t>
            </w:r>
            <w:r w:rsidRPr="00395ACC">
              <w:rPr>
                <w:rFonts w:ascii="Times New Roman" w:hAnsi="Times New Roman" w:cs="Times New Roman"/>
                <w:sz w:val="24"/>
                <w:szCs w:val="24"/>
              </w:rPr>
              <w:t>, līdz ar to inspicēšanas institūcijas un valdītāji interpretē dažādi pašreizējā regulējuma normas, kā rezultātā cēlējplatformu tehniskā uzraudzība netiek veikta pietiekamā apjomā. Tādēļ, lai cilvēki ar invaliditāti (cilvēkiem ar kustības traucējumiem) varētu lietot tehniski drošas cēlējplatformas, Noteikumu projekts ietver skaidri nodefinētas prasības cēlējplatformu tehniskajām</w:t>
            </w:r>
            <w:r>
              <w:rPr>
                <w:rFonts w:ascii="Times New Roman" w:hAnsi="Times New Roman" w:cs="Times New Roman"/>
                <w:sz w:val="24"/>
                <w:szCs w:val="24"/>
              </w:rPr>
              <w:t xml:space="preserve"> </w:t>
            </w:r>
            <w:r w:rsidRPr="00395ACC">
              <w:rPr>
                <w:rFonts w:ascii="Times New Roman" w:hAnsi="Times New Roman" w:cs="Times New Roman"/>
                <w:sz w:val="24"/>
                <w:szCs w:val="24"/>
              </w:rPr>
              <w:t>pārbaudēm.</w:t>
            </w:r>
            <w:r>
              <w:rPr>
                <w:rFonts w:ascii="Times New Roman" w:hAnsi="Times New Roman" w:cs="Times New Roman"/>
                <w:sz w:val="24"/>
                <w:szCs w:val="24"/>
              </w:rPr>
              <w:t xml:space="preserve"> </w:t>
            </w:r>
          </w:p>
          <w:p w14:paraId="7E9638B3" w14:textId="5313BCC1" w:rsidR="00476C62" w:rsidRDefault="00533763" w:rsidP="00660DB1">
            <w:pPr>
              <w:spacing w:after="0"/>
              <w:jc w:val="both"/>
              <w:rPr>
                <w:rFonts w:ascii="Times New Roman" w:hAnsi="Times New Roman" w:cs="Times New Roman"/>
                <w:sz w:val="24"/>
                <w:szCs w:val="24"/>
              </w:rPr>
            </w:pPr>
            <w:r w:rsidRPr="00395ACC">
              <w:rPr>
                <w:rFonts w:ascii="Times New Roman" w:hAnsi="Times New Roman" w:cs="Times New Roman"/>
                <w:sz w:val="24"/>
                <w:szCs w:val="24"/>
              </w:rPr>
              <w:t xml:space="preserve">Vienlaikus pašreiz Noteikumos Nr.195 nav noteiktas prasības par to, ka lifta kabīnei (bez CE marķējuma) jābūt aprīkotai ar abpusējiem saziņas līdzekļiem. Abpusējie saziņas līdzekļi ir attālinātās saziņas līdzekļi, ar kuru palīdzību lifta kabīnē esošie cilvēki var izsaukt palīdzību, sazinoties ar liftu dispečeru dienestu, un rācijas saziņas līdzekļi, ar kuru palīdzību apkalpojošais personāls evakuācijas darbu laikā var sazināties ar lifta kabīnē esošajiem cilvēkiem. Rācijas saziņas līdzekļi nepieciešami, ja lifta celšanas augstums pārsniedz 30 m vai tieša akustiska saziņa starp lifta kabīni un vietu, no kuras tiek veikti glābšanas darbi, nav iespējama. Tādēļ, lai novērstu tādus gadījumus, kad iedzīvotājiem nav iespējams izkļūt no liftu kabīnes un nav iespējams kontaktēties ar apkalpojošo personālu, Noteikumu projektā noteikts, ka  liftiem bez CE marķējuma jābūt aprīkotiem ar abpusējiem saziņas līdzekļiem. </w:t>
            </w:r>
          </w:p>
          <w:p w14:paraId="3D2D99E2" w14:textId="300EB5A3" w:rsidR="005E19B7" w:rsidRDefault="00533763" w:rsidP="00660DB1">
            <w:pPr>
              <w:spacing w:after="0"/>
              <w:jc w:val="both"/>
              <w:rPr>
                <w:rFonts w:ascii="Times New Roman" w:hAnsi="Times New Roman" w:cs="Times New Roman"/>
                <w:sz w:val="24"/>
                <w:szCs w:val="24"/>
              </w:rPr>
            </w:pPr>
            <w:r>
              <w:rPr>
                <w:rFonts w:ascii="Times New Roman" w:hAnsi="Times New Roman" w:cs="Times New Roman"/>
                <w:sz w:val="24"/>
                <w:szCs w:val="24"/>
              </w:rPr>
              <w:t>Jaunais regulējums ietver, ka v</w:t>
            </w:r>
            <w:r w:rsidR="00DB343D">
              <w:rPr>
                <w:rFonts w:ascii="Times New Roman" w:hAnsi="Times New Roman" w:cs="Times New Roman"/>
                <w:sz w:val="24"/>
                <w:szCs w:val="24"/>
              </w:rPr>
              <w:t xml:space="preserve">aldītāja pieaicinātā </w:t>
            </w:r>
            <w:r w:rsidR="00476C62">
              <w:rPr>
                <w:rFonts w:ascii="Times New Roman" w:hAnsi="Times New Roman" w:cs="Times New Roman"/>
                <w:sz w:val="24"/>
                <w:szCs w:val="24"/>
              </w:rPr>
              <w:t xml:space="preserve">akreditētā </w:t>
            </w:r>
            <w:r w:rsidR="00DB343D">
              <w:rPr>
                <w:rFonts w:ascii="Times New Roman" w:hAnsi="Times New Roman" w:cs="Times New Roman"/>
                <w:sz w:val="24"/>
                <w:szCs w:val="24"/>
              </w:rPr>
              <w:t xml:space="preserve">inspicēšanas institūcija </w:t>
            </w:r>
            <w:r w:rsidR="005E19B7">
              <w:rPr>
                <w:rFonts w:ascii="Times New Roman" w:hAnsi="Times New Roman" w:cs="Times New Roman"/>
                <w:sz w:val="24"/>
                <w:szCs w:val="24"/>
              </w:rPr>
              <w:t xml:space="preserve">liftiem bez CE </w:t>
            </w:r>
            <w:r w:rsidR="005E19B7">
              <w:rPr>
                <w:rFonts w:ascii="Times New Roman" w:hAnsi="Times New Roman" w:cs="Times New Roman"/>
                <w:sz w:val="24"/>
                <w:szCs w:val="24"/>
              </w:rPr>
              <w:lastRenderedPageBreak/>
              <w:t>marķējuma veic drošuma novērtēšanu, izvērtējot lift</w:t>
            </w:r>
            <w:r w:rsidR="00D933D1">
              <w:rPr>
                <w:rFonts w:ascii="Times New Roman" w:hAnsi="Times New Roman" w:cs="Times New Roman"/>
                <w:sz w:val="24"/>
                <w:szCs w:val="24"/>
              </w:rPr>
              <w:t>a</w:t>
            </w:r>
            <w:r w:rsidR="005E19B7">
              <w:rPr>
                <w:rFonts w:ascii="Times New Roman" w:hAnsi="Times New Roman" w:cs="Times New Roman"/>
                <w:sz w:val="24"/>
                <w:szCs w:val="24"/>
              </w:rPr>
              <w:t xml:space="preserve"> atbilstību </w:t>
            </w:r>
            <w:r w:rsidR="005E19B7" w:rsidRPr="00395ACC">
              <w:rPr>
                <w:rFonts w:ascii="Times New Roman" w:hAnsi="Times New Roman" w:cs="Times New Roman"/>
                <w:sz w:val="24"/>
                <w:szCs w:val="24"/>
              </w:rPr>
              <w:t>būtiskajām drošuma prasībām (Noteikuma projekta II nodaļa), riska izvērtēšanu</w:t>
            </w:r>
            <w:r w:rsidR="00BE767C">
              <w:rPr>
                <w:rFonts w:ascii="Times New Roman" w:hAnsi="Times New Roman" w:cs="Times New Roman"/>
                <w:sz w:val="24"/>
                <w:szCs w:val="24"/>
              </w:rPr>
              <w:t>, novērtējot risku līmeni</w:t>
            </w:r>
            <w:r w:rsidR="005E19B7" w:rsidRPr="00395ACC">
              <w:rPr>
                <w:rFonts w:ascii="Times New Roman" w:hAnsi="Times New Roman" w:cs="Times New Roman"/>
                <w:sz w:val="24"/>
                <w:szCs w:val="24"/>
              </w:rPr>
              <w:t xml:space="preserve"> un pārbauda valdītāja sagatavoto risku novēršanas vai samazināšanas pasākumu plānu.</w:t>
            </w:r>
            <w:r w:rsidR="00BE767C">
              <w:rPr>
                <w:rFonts w:ascii="Times New Roman" w:hAnsi="Times New Roman" w:cs="Times New Roman"/>
                <w:sz w:val="24"/>
                <w:szCs w:val="24"/>
              </w:rPr>
              <w:t xml:space="preserve"> </w:t>
            </w:r>
            <w:r w:rsidR="0046209F">
              <w:rPr>
                <w:rFonts w:ascii="Times New Roman" w:hAnsi="Times New Roman" w:cs="Times New Roman"/>
                <w:sz w:val="24"/>
                <w:szCs w:val="24"/>
              </w:rPr>
              <w:t xml:space="preserve">Valdītājam </w:t>
            </w:r>
            <w:r w:rsidR="003328D1">
              <w:rPr>
                <w:rFonts w:ascii="Times New Roman" w:hAnsi="Times New Roman" w:cs="Times New Roman"/>
                <w:sz w:val="24"/>
                <w:szCs w:val="24"/>
              </w:rPr>
              <w:t xml:space="preserve">drošuma novērtēšana jāveic noteiktā </w:t>
            </w:r>
            <w:r w:rsidR="0046209F">
              <w:rPr>
                <w:rFonts w:ascii="Times New Roman" w:hAnsi="Times New Roman" w:cs="Times New Roman"/>
                <w:sz w:val="24"/>
                <w:szCs w:val="24"/>
              </w:rPr>
              <w:t>laika periodā</w:t>
            </w:r>
            <w:r w:rsidR="003328D1">
              <w:rPr>
                <w:rFonts w:ascii="Times New Roman" w:hAnsi="Times New Roman" w:cs="Times New Roman"/>
                <w:sz w:val="24"/>
                <w:szCs w:val="24"/>
              </w:rPr>
              <w:t xml:space="preserve">, </w:t>
            </w:r>
            <w:r w:rsidR="00BE767C">
              <w:rPr>
                <w:rFonts w:ascii="Times New Roman" w:hAnsi="Times New Roman" w:cs="Times New Roman"/>
                <w:sz w:val="24"/>
                <w:szCs w:val="24"/>
              </w:rPr>
              <w:t xml:space="preserve">proti, </w:t>
            </w:r>
            <w:r w:rsidR="000A48CA">
              <w:rPr>
                <w:rFonts w:ascii="Times New Roman" w:hAnsi="Times New Roman" w:cs="Times New Roman"/>
                <w:sz w:val="24"/>
                <w:szCs w:val="24"/>
              </w:rPr>
              <w:t xml:space="preserve">gada, divu vai trīs gadu laikā atkarībā no </w:t>
            </w:r>
            <w:r w:rsidR="001C470A">
              <w:rPr>
                <w:rFonts w:ascii="Times New Roman" w:hAnsi="Times New Roman" w:cs="Times New Roman"/>
                <w:sz w:val="24"/>
                <w:szCs w:val="24"/>
              </w:rPr>
              <w:t>noteikumos noteiktajiem kritērijiem</w:t>
            </w:r>
            <w:r w:rsidR="000A48CA">
              <w:rPr>
                <w:rFonts w:ascii="Times New Roman" w:hAnsi="Times New Roman" w:cs="Times New Roman"/>
                <w:sz w:val="24"/>
                <w:szCs w:val="24"/>
              </w:rPr>
              <w:t xml:space="preserve">. </w:t>
            </w:r>
            <w:r w:rsidR="003328D1">
              <w:rPr>
                <w:rFonts w:ascii="Times New Roman" w:hAnsi="Times New Roman" w:cs="Times New Roman"/>
                <w:sz w:val="24"/>
                <w:szCs w:val="24"/>
              </w:rPr>
              <w:t xml:space="preserve">Inspicēšanas institūcija pēc drošuma novērtēšanas veikšanas izsniedz valdītājam </w:t>
            </w:r>
            <w:r w:rsidR="001D3DCB">
              <w:rPr>
                <w:rFonts w:ascii="Times New Roman" w:hAnsi="Times New Roman" w:cs="Times New Roman"/>
                <w:sz w:val="24"/>
                <w:szCs w:val="24"/>
              </w:rPr>
              <w:t xml:space="preserve">protokolu, kurā norādītas konstatētās neatbilstības attiecībā uz šo noteikumu II nodaļā </w:t>
            </w:r>
            <w:r w:rsidR="00476C62">
              <w:rPr>
                <w:rFonts w:ascii="Times New Roman" w:hAnsi="Times New Roman" w:cs="Times New Roman"/>
                <w:sz w:val="24"/>
                <w:szCs w:val="24"/>
              </w:rPr>
              <w:t>būtiskajām drošuma</w:t>
            </w:r>
            <w:r w:rsidR="001D3DCB">
              <w:rPr>
                <w:rFonts w:ascii="Times New Roman" w:hAnsi="Times New Roman" w:cs="Times New Roman"/>
                <w:sz w:val="24"/>
                <w:szCs w:val="24"/>
              </w:rPr>
              <w:t xml:space="preserve"> prasībām un konstatēt</w:t>
            </w:r>
            <w:r w:rsidR="006D0767">
              <w:rPr>
                <w:rFonts w:ascii="Times New Roman" w:hAnsi="Times New Roman" w:cs="Times New Roman"/>
                <w:sz w:val="24"/>
                <w:szCs w:val="24"/>
              </w:rPr>
              <w:t>o</w:t>
            </w:r>
            <w:r w:rsidR="001D3DCB">
              <w:rPr>
                <w:rFonts w:ascii="Times New Roman" w:hAnsi="Times New Roman" w:cs="Times New Roman"/>
                <w:sz w:val="24"/>
                <w:szCs w:val="24"/>
              </w:rPr>
              <w:t xml:space="preserve"> neatbilstīb</w:t>
            </w:r>
            <w:r w:rsidR="006D0767">
              <w:rPr>
                <w:rFonts w:ascii="Times New Roman" w:hAnsi="Times New Roman" w:cs="Times New Roman"/>
                <w:sz w:val="24"/>
                <w:szCs w:val="24"/>
              </w:rPr>
              <w:t>u</w:t>
            </w:r>
            <w:r w:rsidR="001D3DCB">
              <w:rPr>
                <w:rFonts w:ascii="Times New Roman" w:hAnsi="Times New Roman" w:cs="Times New Roman"/>
                <w:sz w:val="24"/>
                <w:szCs w:val="24"/>
              </w:rPr>
              <w:t xml:space="preserve"> radītos riskus. Lai valdītājs novērstu radītos riskus, valdītājam jāsagatavo</w:t>
            </w:r>
            <w:r w:rsidR="001D3DCB">
              <w:t xml:space="preserve"> </w:t>
            </w:r>
            <w:r w:rsidR="001D3DCB" w:rsidRPr="001D3DCB">
              <w:rPr>
                <w:rFonts w:ascii="Times New Roman" w:hAnsi="Times New Roman" w:cs="Times New Roman"/>
                <w:sz w:val="24"/>
                <w:szCs w:val="24"/>
              </w:rPr>
              <w:t>risku novēršanas vai samazināšanas pasākumu plān</w:t>
            </w:r>
            <w:r w:rsidR="000231A1">
              <w:rPr>
                <w:rFonts w:ascii="Times New Roman" w:hAnsi="Times New Roman" w:cs="Times New Roman"/>
                <w:sz w:val="24"/>
                <w:szCs w:val="24"/>
              </w:rPr>
              <w:t>s, jāiesniedz plāns inspicēšanas institūcijai, kas veikusi drošuma novērtēšanu un saskaņā ar sastādīto plānu jāveic riska novēršanas vai samazināšanas pasākumi noteikt</w:t>
            </w:r>
            <w:r w:rsidR="006D0767">
              <w:rPr>
                <w:rFonts w:ascii="Times New Roman" w:hAnsi="Times New Roman" w:cs="Times New Roman"/>
                <w:sz w:val="24"/>
                <w:szCs w:val="24"/>
              </w:rPr>
              <w:t>ā</w:t>
            </w:r>
            <w:r w:rsidR="000231A1">
              <w:rPr>
                <w:rFonts w:ascii="Times New Roman" w:hAnsi="Times New Roman" w:cs="Times New Roman"/>
                <w:sz w:val="24"/>
                <w:szCs w:val="24"/>
              </w:rPr>
              <w:t xml:space="preserve"> laika periodā.  </w:t>
            </w:r>
            <w:r w:rsidR="001D3DCB">
              <w:rPr>
                <w:rFonts w:ascii="Times New Roman" w:hAnsi="Times New Roman" w:cs="Times New Roman"/>
                <w:sz w:val="24"/>
                <w:szCs w:val="24"/>
              </w:rPr>
              <w:t xml:space="preserve"> </w:t>
            </w:r>
            <w:r w:rsidR="00BE767C">
              <w:rPr>
                <w:rFonts w:ascii="Times New Roman" w:hAnsi="Times New Roman" w:cs="Times New Roman"/>
                <w:sz w:val="24"/>
                <w:szCs w:val="24"/>
              </w:rPr>
              <w:t xml:space="preserve"> </w:t>
            </w:r>
          </w:p>
          <w:p w14:paraId="5C973474" w14:textId="62AF4C2C" w:rsidR="00772D5B" w:rsidRDefault="00772D5B" w:rsidP="00FD02E4">
            <w:pPr>
              <w:spacing w:after="0"/>
              <w:jc w:val="both"/>
              <w:rPr>
                <w:rFonts w:ascii="Times New Roman" w:hAnsi="Times New Roman" w:cs="Times New Roman"/>
                <w:sz w:val="24"/>
                <w:szCs w:val="24"/>
              </w:rPr>
            </w:pPr>
            <w:r w:rsidRPr="00395ACC">
              <w:rPr>
                <w:rFonts w:ascii="Times New Roman" w:hAnsi="Times New Roman" w:cs="Times New Roman"/>
                <w:sz w:val="24"/>
                <w:szCs w:val="24"/>
              </w:rPr>
              <w:t>Liftu valdītājam kā viens no pienākumiem ir noorganizēt liftiem vai cēlējplatformām pirmreizējās, ārpuskārtas, atkārtotās un kārtējās tehniskās pārbaudes.</w:t>
            </w:r>
          </w:p>
          <w:p w14:paraId="7A0A24AC" w14:textId="013F15C6" w:rsidR="005834B3" w:rsidRDefault="000C600B" w:rsidP="00FD02E4">
            <w:pPr>
              <w:spacing w:after="0"/>
              <w:jc w:val="both"/>
              <w:rPr>
                <w:rFonts w:ascii="Times New Roman" w:hAnsi="Times New Roman" w:cs="Times New Roman"/>
                <w:sz w:val="24"/>
                <w:szCs w:val="24"/>
              </w:rPr>
            </w:pPr>
            <w:r>
              <w:rPr>
                <w:rFonts w:ascii="Times New Roman" w:hAnsi="Times New Roman" w:cs="Times New Roman"/>
                <w:sz w:val="24"/>
                <w:szCs w:val="24"/>
              </w:rPr>
              <w:t>Inspicēšanas institūcija</w:t>
            </w:r>
            <w:r w:rsidR="00793387">
              <w:rPr>
                <w:rFonts w:ascii="Times New Roman" w:hAnsi="Times New Roman" w:cs="Times New Roman"/>
                <w:sz w:val="24"/>
                <w:szCs w:val="24"/>
              </w:rPr>
              <w:t>i veicot</w:t>
            </w:r>
            <w:r>
              <w:rPr>
                <w:rFonts w:ascii="Times New Roman" w:hAnsi="Times New Roman" w:cs="Times New Roman"/>
                <w:sz w:val="24"/>
                <w:szCs w:val="24"/>
              </w:rPr>
              <w:t xml:space="preserve"> </w:t>
            </w:r>
            <w:r w:rsidR="00793387">
              <w:rPr>
                <w:rFonts w:ascii="Times New Roman" w:hAnsi="Times New Roman" w:cs="Times New Roman"/>
                <w:sz w:val="24"/>
                <w:szCs w:val="24"/>
              </w:rPr>
              <w:t xml:space="preserve">liftu vai cēlējplatformu </w:t>
            </w:r>
            <w:r>
              <w:rPr>
                <w:rFonts w:ascii="Times New Roman" w:hAnsi="Times New Roman" w:cs="Times New Roman"/>
                <w:sz w:val="24"/>
                <w:szCs w:val="24"/>
              </w:rPr>
              <w:t>tehnisk</w:t>
            </w:r>
            <w:r w:rsidR="00793387">
              <w:rPr>
                <w:rFonts w:ascii="Times New Roman" w:hAnsi="Times New Roman" w:cs="Times New Roman"/>
                <w:sz w:val="24"/>
                <w:szCs w:val="24"/>
              </w:rPr>
              <w:t xml:space="preserve">ās </w:t>
            </w:r>
            <w:r>
              <w:rPr>
                <w:rFonts w:ascii="Times New Roman" w:hAnsi="Times New Roman" w:cs="Times New Roman"/>
                <w:sz w:val="24"/>
                <w:szCs w:val="24"/>
              </w:rPr>
              <w:t>pārbaud</w:t>
            </w:r>
            <w:r w:rsidR="00793387">
              <w:rPr>
                <w:rFonts w:ascii="Times New Roman" w:hAnsi="Times New Roman" w:cs="Times New Roman"/>
                <w:sz w:val="24"/>
                <w:szCs w:val="24"/>
              </w:rPr>
              <w:t>e</w:t>
            </w:r>
            <w:r>
              <w:rPr>
                <w:rFonts w:ascii="Times New Roman" w:hAnsi="Times New Roman" w:cs="Times New Roman"/>
                <w:sz w:val="24"/>
                <w:szCs w:val="24"/>
              </w:rPr>
              <w:t xml:space="preserve">s novērtē </w:t>
            </w:r>
            <w:r w:rsidR="00793387">
              <w:rPr>
                <w:rFonts w:ascii="Times New Roman" w:hAnsi="Times New Roman" w:cs="Times New Roman"/>
                <w:sz w:val="24"/>
                <w:szCs w:val="24"/>
              </w:rPr>
              <w:t xml:space="preserve">to </w:t>
            </w:r>
            <w:r>
              <w:rPr>
                <w:rFonts w:ascii="Times New Roman" w:hAnsi="Times New Roman" w:cs="Times New Roman"/>
                <w:sz w:val="24"/>
                <w:szCs w:val="24"/>
              </w:rPr>
              <w:t xml:space="preserve">tehnisko stāvokli </w:t>
            </w:r>
            <w:r w:rsidR="00793387">
              <w:rPr>
                <w:rFonts w:ascii="Times New Roman" w:hAnsi="Times New Roman" w:cs="Times New Roman"/>
                <w:sz w:val="24"/>
                <w:szCs w:val="24"/>
              </w:rPr>
              <w:t xml:space="preserve">ar kādu no šādiem </w:t>
            </w:r>
            <w:r>
              <w:rPr>
                <w:rFonts w:ascii="Times New Roman" w:hAnsi="Times New Roman" w:cs="Times New Roman"/>
                <w:sz w:val="24"/>
                <w:szCs w:val="24"/>
              </w:rPr>
              <w:t>vērtējum</w:t>
            </w:r>
            <w:r w:rsidR="00793387">
              <w:rPr>
                <w:rFonts w:ascii="Times New Roman" w:hAnsi="Times New Roman" w:cs="Times New Roman"/>
                <w:sz w:val="24"/>
                <w:szCs w:val="24"/>
              </w:rPr>
              <w:t>iem</w:t>
            </w:r>
            <w:r>
              <w:rPr>
                <w:rFonts w:ascii="Times New Roman" w:hAnsi="Times New Roman" w:cs="Times New Roman"/>
                <w:sz w:val="24"/>
                <w:szCs w:val="24"/>
              </w:rPr>
              <w:t>:</w:t>
            </w:r>
          </w:p>
          <w:p w14:paraId="103D7A70" w14:textId="6F4D8276" w:rsidR="000C600B" w:rsidRDefault="000C600B" w:rsidP="000C600B">
            <w:pPr>
              <w:pStyle w:val="ListParagraph"/>
              <w:numPr>
                <w:ilvl w:val="0"/>
                <w:numId w:val="6"/>
              </w:numPr>
              <w:ind w:left="391"/>
              <w:jc w:val="both"/>
            </w:pPr>
            <w:r>
              <w:t xml:space="preserve">0. </w:t>
            </w:r>
            <w:r w:rsidR="00793387">
              <w:t>v</w:t>
            </w:r>
            <w:r>
              <w:t>ērtējums</w:t>
            </w:r>
            <w:r w:rsidR="00793387">
              <w:t xml:space="preserve"> </w:t>
            </w:r>
            <w:r>
              <w:t xml:space="preserve">- </w:t>
            </w:r>
            <w:r w:rsidRPr="000C600B">
              <w:t>neatbilstības nav konstatētas</w:t>
            </w:r>
            <w:r>
              <w:t>;</w:t>
            </w:r>
          </w:p>
          <w:p w14:paraId="7C5817DE" w14:textId="77777777" w:rsidR="000C600B" w:rsidRDefault="000C600B" w:rsidP="000C600B">
            <w:pPr>
              <w:pStyle w:val="ListParagraph"/>
              <w:numPr>
                <w:ilvl w:val="0"/>
                <w:numId w:val="6"/>
              </w:numPr>
              <w:ind w:left="391"/>
              <w:jc w:val="both"/>
            </w:pPr>
            <w:r w:rsidRPr="000C600B">
              <w:t>1.</w:t>
            </w:r>
            <w:r>
              <w:t xml:space="preserve"> </w:t>
            </w:r>
            <w:r w:rsidRPr="000C600B">
              <w:t>vērtējums</w:t>
            </w:r>
            <w:r>
              <w:t xml:space="preserve"> - </w:t>
            </w:r>
            <w:r w:rsidRPr="000C600B">
              <w:t>konstatētas maznozīmīgas neatbilstības, kas nerada būtiskus draudus cilvēku dzīvībai, veselībai, īpašumam vai videi</w:t>
            </w:r>
            <w:r>
              <w:t>;</w:t>
            </w:r>
          </w:p>
          <w:p w14:paraId="39E21803" w14:textId="77777777" w:rsidR="00E448C1" w:rsidRDefault="000C600B" w:rsidP="00E448C1">
            <w:pPr>
              <w:pStyle w:val="ListParagraph"/>
              <w:numPr>
                <w:ilvl w:val="0"/>
                <w:numId w:val="6"/>
              </w:numPr>
              <w:ind w:left="391"/>
              <w:jc w:val="both"/>
            </w:pPr>
            <w:r>
              <w:t xml:space="preserve">2. vērtējums - </w:t>
            </w:r>
            <w:r w:rsidRPr="000C600B">
              <w:t>konstatētas būtiskas neatbilstības, kas var radīt draudus cilvēku dzīvībai, veselībai, īpašumam vai videi</w:t>
            </w:r>
            <w:r>
              <w:t>;</w:t>
            </w:r>
          </w:p>
          <w:p w14:paraId="4A5AB938" w14:textId="6C330C51" w:rsidR="00793387" w:rsidRDefault="00E448C1" w:rsidP="00793387">
            <w:pPr>
              <w:pStyle w:val="ListParagraph"/>
              <w:numPr>
                <w:ilvl w:val="0"/>
                <w:numId w:val="6"/>
              </w:numPr>
              <w:ind w:left="391"/>
              <w:jc w:val="both"/>
            </w:pPr>
            <w:r>
              <w:t xml:space="preserve">3. </w:t>
            </w:r>
            <w:r w:rsidR="000C600B">
              <w:t>v</w:t>
            </w:r>
            <w:r w:rsidR="000C600B" w:rsidRPr="000C600B">
              <w:t>ērtējums</w:t>
            </w:r>
            <w:r w:rsidR="000C600B">
              <w:t xml:space="preserve"> - </w:t>
            </w:r>
            <w:r w:rsidR="000C600B" w:rsidRPr="000C600B">
              <w:t>konstatētas bīstamas neatbilstības, kas rada tiešus draudus cilvēku dzīvībai, veselībai, īpašumam vai videi</w:t>
            </w:r>
            <w:r w:rsidR="00793387">
              <w:t>.</w:t>
            </w:r>
          </w:p>
          <w:p w14:paraId="33EC79CB" w14:textId="4C3203E4" w:rsidR="00C44669" w:rsidRDefault="00C03E71" w:rsidP="00C44669">
            <w:pPr>
              <w:spacing w:after="0"/>
              <w:ind w:left="31"/>
              <w:jc w:val="both"/>
              <w:rPr>
                <w:rFonts w:ascii="Times New Roman" w:hAnsi="Times New Roman" w:cs="Times New Roman"/>
                <w:sz w:val="24"/>
                <w:szCs w:val="24"/>
              </w:rPr>
            </w:pPr>
            <w:r>
              <w:rPr>
                <w:rFonts w:ascii="Times New Roman" w:hAnsi="Times New Roman" w:cs="Times New Roman"/>
                <w:sz w:val="24"/>
                <w:szCs w:val="24"/>
              </w:rPr>
              <w:t>Tehniskajā pārbaudē inspicēšanas institūcijai novērtējot liftu vai cēlējplatformu ar 0. vai 1.vērtējumu, tā turpmākā lietošana ir pieļaujama. Savukārt,</w:t>
            </w:r>
            <w:r w:rsidR="006862B5">
              <w:rPr>
                <w:rFonts w:ascii="Times New Roman" w:hAnsi="Times New Roman" w:cs="Times New Roman"/>
                <w:sz w:val="24"/>
                <w:szCs w:val="24"/>
              </w:rPr>
              <w:t xml:space="preserve"> ja </w:t>
            </w:r>
            <w:r w:rsidR="00A02B7D">
              <w:rPr>
                <w:rFonts w:ascii="Times New Roman" w:hAnsi="Times New Roman" w:cs="Times New Roman"/>
                <w:sz w:val="24"/>
                <w:szCs w:val="24"/>
              </w:rPr>
              <w:t xml:space="preserve">inspicēšanas institūcija tehniskajā pārbaudē liftu vai cēlējplatformu novērtē ar 2. vērtējumu, tad liftu vai cēlējplatformas lietošana ir pieļaujama 30 dienas, kuru laikā valdītājam jānovērš konstatētās neatbilstības </w:t>
            </w:r>
            <w:r w:rsidR="00A75EDE">
              <w:rPr>
                <w:rFonts w:ascii="Times New Roman" w:hAnsi="Times New Roman" w:cs="Times New Roman"/>
                <w:sz w:val="24"/>
                <w:szCs w:val="24"/>
              </w:rPr>
              <w:t>un jānodrošina atkārtotā tehniskās pārbaudes veikšana</w:t>
            </w:r>
            <w:r>
              <w:rPr>
                <w:rFonts w:ascii="Times New Roman" w:hAnsi="Times New Roman" w:cs="Times New Roman"/>
                <w:sz w:val="24"/>
                <w:szCs w:val="24"/>
              </w:rPr>
              <w:t>, bet</w:t>
            </w:r>
            <w:r w:rsidR="00A75EDE">
              <w:rPr>
                <w:rFonts w:ascii="Times New Roman" w:hAnsi="Times New Roman" w:cs="Times New Roman"/>
                <w:sz w:val="24"/>
                <w:szCs w:val="24"/>
              </w:rPr>
              <w:t xml:space="preserve">, ja valdītājs 30 dienu laikā nav veicis atkārtoto tehnisko pārbaudi, tad lifta vai cēlējplatformas lietošana turpmāk nav pieļaujama līdz neatbilstību novēršanai un atkārtotās tehniskās pārbaudes veikšanai. </w:t>
            </w:r>
            <w:r w:rsidR="00C44669">
              <w:rPr>
                <w:rFonts w:ascii="Times New Roman" w:hAnsi="Times New Roman" w:cs="Times New Roman"/>
                <w:sz w:val="24"/>
                <w:szCs w:val="24"/>
              </w:rPr>
              <w:t xml:space="preserve">Gadījumā, ja inspicēšanas </w:t>
            </w:r>
            <w:r w:rsidR="00C44669">
              <w:rPr>
                <w:rFonts w:ascii="Times New Roman" w:hAnsi="Times New Roman" w:cs="Times New Roman"/>
                <w:sz w:val="24"/>
                <w:szCs w:val="24"/>
              </w:rPr>
              <w:lastRenderedPageBreak/>
              <w:t xml:space="preserve">institūcija tehniskajā pārbaudē  liftu vai cēlējplatformu novērtē ar 3.vērtējumu, tad liftu vai cēlējplatformas turpmāka lietošana nav pieļaujama līdz konstatēto neatbilstību novēršanai un atkārtotās tehniskās pārbaudes veikšanai.  </w:t>
            </w:r>
          </w:p>
          <w:p w14:paraId="62E8FED6" w14:textId="4D4CF6AE" w:rsidR="00E03210" w:rsidRPr="00BC23B4" w:rsidRDefault="001272DE" w:rsidP="00F8030E">
            <w:pPr>
              <w:spacing w:after="0"/>
              <w:jc w:val="both"/>
              <w:rPr>
                <w:rFonts w:ascii="Times New Roman" w:hAnsi="Times New Roman" w:cs="Times New Roman"/>
                <w:sz w:val="24"/>
                <w:szCs w:val="24"/>
              </w:rPr>
            </w:pPr>
            <w:r w:rsidRPr="00395ACC">
              <w:rPr>
                <w:rFonts w:ascii="Times New Roman" w:hAnsi="Times New Roman" w:cs="Times New Roman"/>
                <w:sz w:val="24"/>
                <w:szCs w:val="24"/>
              </w:rPr>
              <w:t xml:space="preserve">Pēc tehnisko pārbaužu veikšanas, inspicēšanas institūcija aktualizē informāciju BIR, norādot pārbaužu rezultātus un nepieciešamības gadījumā valdītājam izsniedz tehniskās pārbaudes protokolu.  </w:t>
            </w:r>
          </w:p>
        </w:tc>
      </w:tr>
      <w:tr w:rsidR="00455B38" w:rsidRPr="00395ACC" w14:paraId="222D1614"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C327A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D60E75"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7F58CF2" w14:textId="3B70E98A" w:rsidR="00455B38" w:rsidRPr="00395ACC" w:rsidRDefault="00432D10"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Ekonomikas ministrija, Patērētāju tiesību aizsardzības centrs</w:t>
            </w:r>
          </w:p>
        </w:tc>
      </w:tr>
      <w:tr w:rsidR="00455B38" w:rsidRPr="00395ACC" w14:paraId="1CF32DF3" w14:textId="77777777" w:rsidTr="00D957D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B4C1FA"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F825CF3"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34BAE8" w14:textId="7A165D78" w:rsidR="00455B38" w:rsidRPr="00395ACC" w:rsidRDefault="009B0A6A"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38368AAF"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455B38" w:rsidRPr="00395ACC" w14:paraId="226D4E54" w14:textId="77777777" w:rsidTr="007F3B6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F733963"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55B38" w:rsidRPr="00395ACC" w14:paraId="4B761A2E"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5662AB4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2252B16B"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Sabiedrības mērķgrupas, kuras tiesiskais regulējums ietekmē vai varētu ietekmēt</w:t>
            </w:r>
          </w:p>
        </w:tc>
        <w:tc>
          <w:tcPr>
            <w:tcW w:w="2976" w:type="pct"/>
            <w:tcBorders>
              <w:top w:val="outset" w:sz="6" w:space="0" w:color="auto"/>
              <w:left w:val="outset" w:sz="6" w:space="0" w:color="auto"/>
              <w:bottom w:val="outset" w:sz="6" w:space="0" w:color="auto"/>
              <w:right w:val="outset" w:sz="6" w:space="0" w:color="auto"/>
            </w:tcBorders>
            <w:hideMark/>
          </w:tcPr>
          <w:p w14:paraId="596D26CB" w14:textId="320BA58E" w:rsidR="00455B38" w:rsidRPr="00395ACC" w:rsidRDefault="00455B38" w:rsidP="00D957D9">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Noteikumu projekts attiecas uz </w:t>
            </w:r>
            <w:r w:rsidR="00432D10" w:rsidRPr="00395ACC">
              <w:rPr>
                <w:rFonts w:ascii="Times New Roman" w:eastAsia="Times New Roman" w:hAnsi="Times New Roman" w:cs="Times New Roman"/>
                <w:iCs/>
                <w:sz w:val="24"/>
                <w:szCs w:val="24"/>
                <w:lang w:eastAsia="lv-LV"/>
              </w:rPr>
              <w:t xml:space="preserve">liftu vai cēlējplatformu  valdītājiem, liftu vai cēlējplatformu inspicēšanas institūcijām, </w:t>
            </w:r>
            <w:r w:rsidRPr="00395ACC">
              <w:rPr>
                <w:rFonts w:ascii="Times New Roman" w:eastAsia="Times New Roman" w:hAnsi="Times New Roman" w:cs="Times New Roman"/>
                <w:iCs/>
                <w:sz w:val="24"/>
                <w:szCs w:val="24"/>
                <w:lang w:eastAsia="lv-LV"/>
              </w:rPr>
              <w:t>kā arī tirgus uzraudzības institūciju – Patērētāju tiesību aizsardzības centru.</w:t>
            </w:r>
          </w:p>
        </w:tc>
      </w:tr>
      <w:tr w:rsidR="00455B38" w:rsidRPr="00395ACC" w14:paraId="52A5AEA1"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CD727C9"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351E120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Tiesiskā regulējuma ietekme uz tautsaimniecību un administratīvo slogu</w:t>
            </w:r>
          </w:p>
        </w:tc>
        <w:tc>
          <w:tcPr>
            <w:tcW w:w="2976" w:type="pct"/>
            <w:tcBorders>
              <w:top w:val="outset" w:sz="6" w:space="0" w:color="auto"/>
              <w:left w:val="outset" w:sz="6" w:space="0" w:color="auto"/>
              <w:bottom w:val="outset" w:sz="6" w:space="0" w:color="auto"/>
              <w:right w:val="outset" w:sz="6" w:space="0" w:color="auto"/>
            </w:tcBorders>
            <w:hideMark/>
          </w:tcPr>
          <w:p w14:paraId="1C28C5A4" w14:textId="0F6062DD" w:rsidR="00B21090" w:rsidRPr="00395ACC" w:rsidRDefault="00BD789F" w:rsidP="00B21090">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Noteikumu projekts paredz a</w:t>
            </w:r>
            <w:r w:rsidR="00515E39" w:rsidRPr="00395ACC">
              <w:rPr>
                <w:rFonts w:ascii="Times New Roman" w:eastAsia="Times New Roman" w:hAnsi="Times New Roman" w:cs="Times New Roman"/>
                <w:iCs/>
                <w:sz w:val="24"/>
                <w:szCs w:val="24"/>
                <w:lang w:eastAsia="lv-LV"/>
              </w:rPr>
              <w:t>dministratīv</w:t>
            </w:r>
            <w:r w:rsidR="001006BF" w:rsidRPr="00395ACC">
              <w:rPr>
                <w:rFonts w:ascii="Times New Roman" w:eastAsia="Times New Roman" w:hAnsi="Times New Roman" w:cs="Times New Roman"/>
                <w:iCs/>
                <w:sz w:val="24"/>
                <w:szCs w:val="24"/>
                <w:lang w:eastAsia="lv-LV"/>
              </w:rPr>
              <w:t>o</w:t>
            </w:r>
            <w:r w:rsidR="009B0A6A" w:rsidRPr="00395ACC">
              <w:rPr>
                <w:rFonts w:ascii="Times New Roman" w:eastAsia="Times New Roman" w:hAnsi="Times New Roman" w:cs="Times New Roman"/>
                <w:iCs/>
                <w:sz w:val="24"/>
                <w:szCs w:val="24"/>
                <w:lang w:eastAsia="lv-LV"/>
              </w:rPr>
              <w:t xml:space="preserve"> izmaks</w:t>
            </w:r>
            <w:r w:rsidR="001006BF" w:rsidRPr="00395ACC">
              <w:rPr>
                <w:rFonts w:ascii="Times New Roman" w:eastAsia="Times New Roman" w:hAnsi="Times New Roman" w:cs="Times New Roman"/>
                <w:iCs/>
                <w:sz w:val="24"/>
                <w:szCs w:val="24"/>
                <w:lang w:eastAsia="lv-LV"/>
              </w:rPr>
              <w:t>u</w:t>
            </w:r>
            <w:r w:rsidR="009B0A6A" w:rsidRPr="00395ACC">
              <w:rPr>
                <w:rFonts w:ascii="Times New Roman" w:eastAsia="Times New Roman" w:hAnsi="Times New Roman" w:cs="Times New Roman"/>
                <w:iCs/>
                <w:sz w:val="24"/>
                <w:szCs w:val="24"/>
                <w:lang w:eastAsia="lv-LV"/>
              </w:rPr>
              <w:t xml:space="preserve"> </w:t>
            </w:r>
            <w:r w:rsidR="00B21090" w:rsidRPr="00395ACC">
              <w:rPr>
                <w:rFonts w:ascii="Times New Roman" w:eastAsia="Times New Roman" w:hAnsi="Times New Roman" w:cs="Times New Roman"/>
                <w:iCs/>
                <w:sz w:val="24"/>
                <w:szCs w:val="24"/>
                <w:lang w:eastAsia="lv-LV"/>
              </w:rPr>
              <w:t xml:space="preserve">palielinājumu </w:t>
            </w:r>
            <w:r w:rsidR="00515E39" w:rsidRPr="00395ACC">
              <w:rPr>
                <w:rFonts w:ascii="Times New Roman" w:eastAsia="Times New Roman" w:hAnsi="Times New Roman" w:cs="Times New Roman"/>
                <w:iCs/>
                <w:sz w:val="24"/>
                <w:szCs w:val="24"/>
                <w:lang w:eastAsia="lv-LV"/>
              </w:rPr>
              <w:t>liftu un celējplatformu valdītāji</w:t>
            </w:r>
            <w:r w:rsidR="000522D6" w:rsidRPr="00395ACC">
              <w:rPr>
                <w:rFonts w:ascii="Times New Roman" w:eastAsia="Times New Roman" w:hAnsi="Times New Roman" w:cs="Times New Roman"/>
                <w:iCs/>
                <w:sz w:val="24"/>
                <w:szCs w:val="24"/>
                <w:lang w:eastAsia="lv-LV"/>
              </w:rPr>
              <w:t>em</w:t>
            </w:r>
            <w:r w:rsidR="00515E39" w:rsidRPr="00395ACC">
              <w:rPr>
                <w:rFonts w:ascii="Times New Roman" w:eastAsia="Times New Roman" w:hAnsi="Times New Roman" w:cs="Times New Roman"/>
                <w:iCs/>
                <w:sz w:val="24"/>
                <w:szCs w:val="24"/>
                <w:lang w:eastAsia="lv-LV"/>
              </w:rPr>
              <w:t>, jo Noteikumu projekts salīdzinājumā ar spēkā esošo</w:t>
            </w:r>
            <w:r w:rsidR="000522D6" w:rsidRPr="00395ACC">
              <w:rPr>
                <w:rFonts w:ascii="Times New Roman" w:eastAsia="Times New Roman" w:hAnsi="Times New Roman" w:cs="Times New Roman"/>
                <w:iCs/>
                <w:sz w:val="24"/>
                <w:szCs w:val="24"/>
                <w:lang w:eastAsia="lv-LV"/>
              </w:rPr>
              <w:t xml:space="preserve"> normatīvo regulējumu paredz</w:t>
            </w:r>
            <w:r w:rsidR="00515E39" w:rsidRPr="00395ACC">
              <w:rPr>
                <w:rFonts w:ascii="Times New Roman" w:eastAsia="Times New Roman" w:hAnsi="Times New Roman" w:cs="Times New Roman"/>
                <w:iCs/>
                <w:sz w:val="24"/>
                <w:szCs w:val="24"/>
                <w:lang w:eastAsia="lv-LV"/>
              </w:rPr>
              <w:t xml:space="preserve"> liftu</w:t>
            </w:r>
            <w:r w:rsidR="00F91FC8" w:rsidRPr="00395ACC">
              <w:rPr>
                <w:rFonts w:ascii="Times New Roman" w:eastAsia="Times New Roman" w:hAnsi="Times New Roman" w:cs="Times New Roman"/>
                <w:iCs/>
                <w:sz w:val="24"/>
                <w:szCs w:val="24"/>
                <w:lang w:eastAsia="lv-LV"/>
              </w:rPr>
              <w:t xml:space="preserve"> bez CE </w:t>
            </w:r>
            <w:r w:rsidR="00F91FC8" w:rsidRPr="00395ACC">
              <w:rPr>
                <w:rFonts w:ascii="Times New Roman" w:hAnsi="Times New Roman" w:cs="Times New Roman"/>
                <w:sz w:val="24"/>
                <w:szCs w:val="24"/>
              </w:rPr>
              <w:t>marķējumu</w:t>
            </w:r>
            <w:r w:rsidR="00515E39" w:rsidRPr="00395ACC">
              <w:rPr>
                <w:rFonts w:ascii="Times New Roman" w:eastAsia="Times New Roman" w:hAnsi="Times New Roman" w:cs="Times New Roman"/>
                <w:iCs/>
                <w:sz w:val="24"/>
                <w:szCs w:val="24"/>
                <w:lang w:eastAsia="lv-LV"/>
              </w:rPr>
              <w:t xml:space="preserve"> drošuma</w:t>
            </w:r>
            <w:r w:rsidR="008C0489" w:rsidRPr="00395ACC">
              <w:rPr>
                <w:rFonts w:ascii="Times New Roman" w:eastAsia="Times New Roman" w:hAnsi="Times New Roman" w:cs="Times New Roman"/>
                <w:iCs/>
                <w:sz w:val="24"/>
                <w:szCs w:val="24"/>
                <w:lang w:eastAsia="lv-LV"/>
              </w:rPr>
              <w:t xml:space="preserve"> novērtēšanu</w:t>
            </w:r>
            <w:r w:rsidR="00515E39" w:rsidRPr="00395ACC">
              <w:rPr>
                <w:rFonts w:ascii="Times New Roman" w:eastAsia="Times New Roman" w:hAnsi="Times New Roman" w:cs="Times New Roman"/>
                <w:iCs/>
                <w:sz w:val="24"/>
                <w:szCs w:val="24"/>
                <w:lang w:eastAsia="lv-LV"/>
              </w:rPr>
              <w:t xml:space="preserve"> un risku novēršan</w:t>
            </w:r>
            <w:r w:rsidR="000522D6" w:rsidRPr="00395ACC">
              <w:rPr>
                <w:rFonts w:ascii="Times New Roman" w:eastAsia="Times New Roman" w:hAnsi="Times New Roman" w:cs="Times New Roman"/>
                <w:iCs/>
                <w:sz w:val="24"/>
                <w:szCs w:val="24"/>
                <w:lang w:eastAsia="lv-LV"/>
              </w:rPr>
              <w:t>u</w:t>
            </w:r>
            <w:r w:rsidR="0081635B" w:rsidRPr="00395ACC">
              <w:rPr>
                <w:rFonts w:ascii="Times New Roman" w:eastAsia="Times New Roman" w:hAnsi="Times New Roman" w:cs="Times New Roman"/>
                <w:iCs/>
                <w:sz w:val="24"/>
                <w:szCs w:val="24"/>
                <w:lang w:eastAsia="lv-LV"/>
              </w:rPr>
              <w:t>,</w:t>
            </w:r>
            <w:r w:rsidR="000522D6" w:rsidRPr="00395ACC">
              <w:rPr>
                <w:rFonts w:ascii="Times New Roman" w:eastAsia="Times New Roman" w:hAnsi="Times New Roman" w:cs="Times New Roman"/>
                <w:iCs/>
                <w:sz w:val="24"/>
                <w:szCs w:val="24"/>
                <w:lang w:eastAsia="lv-LV"/>
              </w:rPr>
              <w:t xml:space="preserve"> kā arī tehnisko pārbaužu veikšanu cēlējplatformām</w:t>
            </w:r>
            <w:r w:rsidR="00746920" w:rsidRPr="00395ACC">
              <w:rPr>
                <w:rFonts w:ascii="Times New Roman" w:eastAsia="Times New Roman" w:hAnsi="Times New Roman" w:cs="Times New Roman"/>
                <w:iCs/>
                <w:sz w:val="24"/>
                <w:szCs w:val="24"/>
                <w:lang w:eastAsia="lv-LV"/>
              </w:rPr>
              <w:t>.</w:t>
            </w:r>
            <w:r w:rsidR="00B21090" w:rsidRPr="00395ACC">
              <w:rPr>
                <w:rFonts w:ascii="Times New Roman" w:eastAsia="Times New Roman" w:hAnsi="Times New Roman" w:cs="Times New Roman"/>
                <w:iCs/>
                <w:sz w:val="24"/>
                <w:szCs w:val="24"/>
                <w:lang w:eastAsia="lv-LV"/>
              </w:rPr>
              <w:t xml:space="preserve"> Noteikumu projekts vienlaikus definē skaidras būtiskās drošuma prasības </w:t>
            </w:r>
            <w:r w:rsidR="00F91FC8" w:rsidRPr="00395ACC">
              <w:rPr>
                <w:rFonts w:ascii="Times New Roman" w:eastAsia="Times New Roman" w:hAnsi="Times New Roman" w:cs="Times New Roman"/>
                <w:iCs/>
                <w:sz w:val="24"/>
                <w:szCs w:val="24"/>
                <w:lang w:eastAsia="lv-LV"/>
              </w:rPr>
              <w:t xml:space="preserve">liftiem bez CE </w:t>
            </w:r>
            <w:r w:rsidR="00F91FC8" w:rsidRPr="00395ACC">
              <w:rPr>
                <w:rFonts w:ascii="Times New Roman" w:hAnsi="Times New Roman" w:cs="Times New Roman"/>
                <w:sz w:val="24"/>
                <w:szCs w:val="24"/>
              </w:rPr>
              <w:t>marķējuma</w:t>
            </w:r>
            <w:r w:rsidR="00B21090" w:rsidRPr="00395ACC">
              <w:rPr>
                <w:rFonts w:ascii="Times New Roman" w:eastAsia="Times New Roman" w:hAnsi="Times New Roman" w:cs="Times New Roman"/>
                <w:iCs/>
                <w:sz w:val="24"/>
                <w:szCs w:val="24"/>
                <w:lang w:eastAsia="lv-LV"/>
              </w:rPr>
              <w:t xml:space="preserve">, kas palielinās drošuma līmeni sabiedrībai kopumā, kā arī atvieglos normatīvā regulējuma izpratni un piemērošanu iesaistītajām pusēm. </w:t>
            </w:r>
          </w:p>
          <w:p w14:paraId="05CFE549" w14:textId="77777777" w:rsidR="00F21187" w:rsidRPr="00395ACC" w:rsidRDefault="001006BF" w:rsidP="00746920">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I</w:t>
            </w:r>
            <w:r w:rsidR="00FD79C3" w:rsidRPr="00395ACC">
              <w:rPr>
                <w:rFonts w:ascii="Times New Roman" w:eastAsia="Times New Roman" w:hAnsi="Times New Roman" w:cs="Times New Roman"/>
                <w:iCs/>
                <w:sz w:val="24"/>
                <w:szCs w:val="24"/>
                <w:lang w:eastAsia="lv-LV"/>
              </w:rPr>
              <w:t>eviešot Noteikumu projektā paredzēto tiesisko regulējumu, efektīvas uzraudzības un kontroles nodrošināšanai Patērētāju tiesību aizsardzības centram nav nepieciešami papildus finanšu resursi.</w:t>
            </w:r>
            <w:r w:rsidRPr="00395ACC">
              <w:rPr>
                <w:rFonts w:ascii="Times New Roman" w:eastAsia="Times New Roman" w:hAnsi="Times New Roman" w:cs="Times New Roman"/>
                <w:iCs/>
                <w:sz w:val="24"/>
                <w:szCs w:val="24"/>
                <w:lang w:eastAsia="lv-LV"/>
              </w:rPr>
              <w:t xml:space="preserve"> </w:t>
            </w:r>
          </w:p>
          <w:p w14:paraId="5DA65F5F" w14:textId="09B09E64" w:rsidR="006F3459" w:rsidRPr="00395ACC" w:rsidRDefault="00F21187" w:rsidP="00746920">
            <w:pPr>
              <w:spacing w:after="0"/>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Noteikuma projekt</w:t>
            </w:r>
            <w:r w:rsidR="007F3B6B" w:rsidRPr="00395ACC">
              <w:rPr>
                <w:rFonts w:ascii="Times New Roman" w:eastAsia="Times New Roman" w:hAnsi="Times New Roman" w:cs="Times New Roman"/>
                <w:iCs/>
                <w:sz w:val="24"/>
                <w:szCs w:val="24"/>
                <w:lang w:eastAsia="lv-LV"/>
              </w:rPr>
              <w:t xml:space="preserve">ā ietvertās prasības palielinās administratīvo slogu valdītājiem, bet tas nebūs ilgstoši, jo </w:t>
            </w:r>
            <w:r w:rsidR="00F91FC8" w:rsidRPr="00395ACC">
              <w:rPr>
                <w:rFonts w:ascii="Times New Roman" w:eastAsia="Times New Roman" w:hAnsi="Times New Roman" w:cs="Times New Roman"/>
                <w:iCs/>
                <w:sz w:val="24"/>
                <w:szCs w:val="24"/>
                <w:lang w:eastAsia="lv-LV"/>
              </w:rPr>
              <w:t xml:space="preserve">liftiem bez CE </w:t>
            </w:r>
            <w:r w:rsidR="00F91FC8" w:rsidRPr="00395ACC">
              <w:rPr>
                <w:rFonts w:ascii="Times New Roman" w:hAnsi="Times New Roman" w:cs="Times New Roman"/>
                <w:sz w:val="24"/>
                <w:szCs w:val="24"/>
              </w:rPr>
              <w:t>marķējuma</w:t>
            </w:r>
            <w:r w:rsidR="00F91FC8" w:rsidRPr="00395ACC">
              <w:rPr>
                <w:rFonts w:ascii="Times New Roman" w:eastAsia="Times New Roman" w:hAnsi="Times New Roman" w:cs="Times New Roman"/>
                <w:iCs/>
                <w:sz w:val="24"/>
                <w:szCs w:val="24"/>
                <w:lang w:eastAsia="lv-LV"/>
              </w:rPr>
              <w:t xml:space="preserve"> </w:t>
            </w:r>
            <w:r w:rsidR="007F3B6B" w:rsidRPr="00395ACC">
              <w:rPr>
                <w:rFonts w:ascii="Times New Roman" w:eastAsia="Times New Roman" w:hAnsi="Times New Roman" w:cs="Times New Roman"/>
                <w:iCs/>
                <w:sz w:val="24"/>
                <w:szCs w:val="24"/>
                <w:lang w:eastAsia="lv-LV"/>
              </w:rPr>
              <w:t xml:space="preserve">drošuma novērtēšana un riska novēršana ir vienreizējs pasākums. </w:t>
            </w:r>
            <w:r w:rsidRPr="00395ACC">
              <w:rPr>
                <w:rFonts w:ascii="Times New Roman" w:eastAsia="Times New Roman" w:hAnsi="Times New Roman" w:cs="Times New Roman"/>
                <w:iCs/>
                <w:sz w:val="24"/>
                <w:szCs w:val="24"/>
                <w:lang w:eastAsia="lv-LV"/>
              </w:rPr>
              <w:t xml:space="preserve">Savukārt liftu valdītājiem </w:t>
            </w:r>
            <w:r w:rsidR="00726062" w:rsidRPr="00395ACC">
              <w:rPr>
                <w:rFonts w:ascii="Times New Roman" w:eastAsia="Times New Roman" w:hAnsi="Times New Roman" w:cs="Times New Roman"/>
                <w:iCs/>
                <w:sz w:val="24"/>
                <w:szCs w:val="24"/>
                <w:lang w:eastAsia="lv-LV"/>
              </w:rPr>
              <w:t xml:space="preserve">administratīvās izmaksas samazinās Ekonomikas ministrijas īstenotais projekts (Lietu pārvaldības sistēma), kas paredz izmaiņas bīstamo iekārtu sistēmā un atvieglos Noteikumu projektā noteikto prasību izpildi valdītājiem un inspicēšanas institūcijām.   </w:t>
            </w:r>
            <w:r w:rsidR="005F1093" w:rsidRPr="00395ACC">
              <w:rPr>
                <w:rFonts w:ascii="Times New Roman" w:eastAsia="Times New Roman" w:hAnsi="Times New Roman" w:cs="Times New Roman"/>
                <w:iCs/>
                <w:sz w:val="24"/>
                <w:szCs w:val="24"/>
                <w:lang w:eastAsia="lv-LV"/>
              </w:rPr>
              <w:t xml:space="preserve"> </w:t>
            </w:r>
          </w:p>
        </w:tc>
      </w:tr>
      <w:tr w:rsidR="00455B38" w:rsidRPr="00395ACC" w14:paraId="5CE8A3F8"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9293EA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7E54DF7C"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Administratīvo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26928D6D" w14:textId="18634AF5" w:rsidR="001E633D" w:rsidRPr="00395ACC" w:rsidRDefault="001E633D" w:rsidP="002244CB">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Aprēķinot administratīvās izmaksas valdītājiem</w:t>
            </w:r>
            <w:r w:rsidR="006478AE"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 xml:space="preserve">veicot </w:t>
            </w:r>
            <w:r w:rsidR="00F91FC8" w:rsidRPr="00395ACC">
              <w:rPr>
                <w:rFonts w:ascii="Times New Roman" w:eastAsia="Times New Roman" w:hAnsi="Times New Roman" w:cs="Times New Roman"/>
                <w:iCs/>
                <w:sz w:val="24"/>
                <w:szCs w:val="24"/>
                <w:lang w:eastAsia="lv-LV"/>
              </w:rPr>
              <w:t xml:space="preserve">liftiem bez CE </w:t>
            </w:r>
            <w:r w:rsidR="00F91FC8" w:rsidRPr="00395ACC">
              <w:rPr>
                <w:rFonts w:ascii="Times New Roman" w:hAnsi="Times New Roman" w:cs="Times New Roman"/>
                <w:sz w:val="24"/>
                <w:szCs w:val="24"/>
              </w:rPr>
              <w:t>marķējuma</w:t>
            </w:r>
            <w:r w:rsidR="00F91FC8"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drošuma</w:t>
            </w:r>
            <w:r w:rsidR="0081635B" w:rsidRPr="00395ACC">
              <w:rPr>
                <w:rFonts w:ascii="Times New Roman" w:eastAsia="Times New Roman" w:hAnsi="Times New Roman" w:cs="Times New Roman"/>
                <w:iCs/>
                <w:sz w:val="24"/>
                <w:szCs w:val="24"/>
                <w:lang w:eastAsia="lv-LV"/>
              </w:rPr>
              <w:t xml:space="preserve"> novērtēšanu</w:t>
            </w:r>
            <w:r w:rsidRPr="00395ACC">
              <w:rPr>
                <w:rFonts w:ascii="Times New Roman" w:eastAsia="Times New Roman" w:hAnsi="Times New Roman" w:cs="Times New Roman"/>
                <w:iCs/>
                <w:sz w:val="24"/>
                <w:szCs w:val="24"/>
                <w:lang w:eastAsia="lv-LV"/>
              </w:rPr>
              <w:t xml:space="preserve"> un risku novēršanu</w:t>
            </w:r>
            <w:r w:rsidR="006478AE"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tiek pieņemts:</w:t>
            </w:r>
          </w:p>
          <w:p w14:paraId="501B500C" w14:textId="6170E918" w:rsidR="001E633D" w:rsidRPr="00395ACC" w:rsidRDefault="001E633D" w:rsidP="001E633D">
            <w:pPr>
              <w:pStyle w:val="ListParagraph"/>
              <w:numPr>
                <w:ilvl w:val="0"/>
                <w:numId w:val="8"/>
              </w:numPr>
              <w:jc w:val="both"/>
              <w:rPr>
                <w:iCs/>
                <w:lang w:val="lv-LV" w:eastAsia="lv-LV"/>
              </w:rPr>
            </w:pPr>
            <w:r w:rsidRPr="00395ACC">
              <w:rPr>
                <w:iCs/>
                <w:lang w:val="lv-LV" w:eastAsia="lv-LV"/>
              </w:rPr>
              <w:t xml:space="preserve">Saskaņā ar BIR datiem šobrīd ir 3734 </w:t>
            </w:r>
            <w:r w:rsidR="00747B62" w:rsidRPr="00395ACC">
              <w:rPr>
                <w:iCs/>
                <w:lang w:val="lv-LV" w:eastAsia="lv-LV"/>
              </w:rPr>
              <w:t xml:space="preserve">lifti bez CE </w:t>
            </w:r>
            <w:r w:rsidR="00747B62" w:rsidRPr="00395ACC">
              <w:rPr>
                <w:lang w:val="lv-LV"/>
              </w:rPr>
              <w:t>marķējuma</w:t>
            </w:r>
            <w:r w:rsidRPr="00395ACC">
              <w:rPr>
                <w:iCs/>
                <w:lang w:val="lv-LV" w:eastAsia="lv-LV"/>
              </w:rPr>
              <w:t xml:space="preserve">, </w:t>
            </w:r>
            <w:r w:rsidR="0081635B" w:rsidRPr="00395ACC">
              <w:rPr>
                <w:iCs/>
                <w:lang w:val="lv-LV" w:eastAsia="lv-LV"/>
              </w:rPr>
              <w:t>kuriem</w:t>
            </w:r>
            <w:r w:rsidRPr="00395ACC">
              <w:rPr>
                <w:iCs/>
                <w:lang w:val="lv-LV" w:eastAsia="lv-LV"/>
              </w:rPr>
              <w:t xml:space="preserve"> jāveic drošuma</w:t>
            </w:r>
            <w:r w:rsidR="0081635B" w:rsidRPr="00395ACC">
              <w:rPr>
                <w:iCs/>
                <w:lang w:val="lv-LV" w:eastAsia="lv-LV"/>
              </w:rPr>
              <w:t xml:space="preserve"> novērtēšana</w:t>
            </w:r>
            <w:r w:rsidRPr="00395ACC">
              <w:rPr>
                <w:iCs/>
                <w:lang w:val="lv-LV" w:eastAsia="lv-LV"/>
              </w:rPr>
              <w:t xml:space="preserve"> un risku novēršana</w:t>
            </w:r>
            <w:r w:rsidR="00452ACE" w:rsidRPr="00395ACC">
              <w:rPr>
                <w:iCs/>
                <w:lang w:val="lv-LV" w:eastAsia="lv-LV"/>
              </w:rPr>
              <w:t>;</w:t>
            </w:r>
          </w:p>
          <w:p w14:paraId="5CE9FFF2" w14:textId="2C04DBA1" w:rsidR="001E633D" w:rsidRPr="00395ACC" w:rsidRDefault="001E633D" w:rsidP="001E633D">
            <w:pPr>
              <w:pStyle w:val="ListParagraph"/>
              <w:numPr>
                <w:ilvl w:val="0"/>
                <w:numId w:val="8"/>
              </w:numPr>
              <w:jc w:val="both"/>
              <w:rPr>
                <w:iCs/>
                <w:lang w:val="lv-LV" w:eastAsia="lv-LV"/>
              </w:rPr>
            </w:pPr>
            <w:r w:rsidRPr="00395ACC">
              <w:rPr>
                <w:iCs/>
                <w:lang w:val="lv-LV" w:eastAsia="lv-LV"/>
              </w:rPr>
              <w:t xml:space="preserve">Laika patēriņš administratīvajām darbībām viena </w:t>
            </w:r>
            <w:r w:rsidR="00747B62" w:rsidRPr="00395ACC">
              <w:rPr>
                <w:iCs/>
                <w:lang w:val="lv-LV" w:eastAsia="lv-LV"/>
              </w:rPr>
              <w:t xml:space="preserve">lifta bez CE </w:t>
            </w:r>
            <w:r w:rsidR="00747B62" w:rsidRPr="00395ACC">
              <w:rPr>
                <w:lang w:val="lv-LV"/>
              </w:rPr>
              <w:t>marķējuma</w:t>
            </w:r>
            <w:r w:rsidR="00747B62" w:rsidRPr="00395ACC">
              <w:rPr>
                <w:iCs/>
                <w:lang w:val="lv-LV" w:eastAsia="lv-LV"/>
              </w:rPr>
              <w:t xml:space="preserve"> </w:t>
            </w:r>
            <w:r w:rsidRPr="00395ACC">
              <w:rPr>
                <w:iCs/>
                <w:lang w:val="lv-LV" w:eastAsia="lv-LV"/>
              </w:rPr>
              <w:t>drošuma</w:t>
            </w:r>
            <w:r w:rsidR="0081635B" w:rsidRPr="00395ACC">
              <w:rPr>
                <w:iCs/>
                <w:lang w:val="lv-LV" w:eastAsia="lv-LV"/>
              </w:rPr>
              <w:t xml:space="preserve"> </w:t>
            </w:r>
            <w:r w:rsidRPr="00395ACC">
              <w:rPr>
                <w:iCs/>
                <w:lang w:val="lv-LV" w:eastAsia="lv-LV"/>
              </w:rPr>
              <w:t xml:space="preserve">un risku novērtēšanai ir </w:t>
            </w:r>
            <w:r w:rsidR="001E67AA" w:rsidRPr="00395ACC">
              <w:rPr>
                <w:iCs/>
                <w:lang w:val="lv-LV" w:eastAsia="lv-LV"/>
              </w:rPr>
              <w:t xml:space="preserve">divas </w:t>
            </w:r>
            <w:r w:rsidRPr="00395ACC">
              <w:rPr>
                <w:iCs/>
                <w:lang w:val="lv-LV" w:eastAsia="lv-LV"/>
              </w:rPr>
              <w:t>stundas</w:t>
            </w:r>
            <w:r w:rsidR="00452ACE" w:rsidRPr="00395ACC">
              <w:rPr>
                <w:iCs/>
                <w:lang w:val="lv-LV" w:eastAsia="lv-LV"/>
              </w:rPr>
              <w:t>;</w:t>
            </w:r>
          </w:p>
          <w:p w14:paraId="5E616DA2" w14:textId="4D99CDE8" w:rsidR="006478AE" w:rsidRPr="00395ACC" w:rsidRDefault="006478AE" w:rsidP="001E633D">
            <w:pPr>
              <w:pStyle w:val="ListParagraph"/>
              <w:numPr>
                <w:ilvl w:val="0"/>
                <w:numId w:val="8"/>
              </w:numPr>
              <w:jc w:val="both"/>
              <w:rPr>
                <w:iCs/>
                <w:lang w:val="lv-LV" w:eastAsia="lv-LV"/>
              </w:rPr>
            </w:pPr>
            <w:r w:rsidRPr="00395ACC">
              <w:rPr>
                <w:iCs/>
                <w:lang w:val="lv-LV" w:eastAsia="lv-LV"/>
              </w:rPr>
              <w:t>Aprēķinos izmantot</w:t>
            </w:r>
            <w:r w:rsidR="0081635B" w:rsidRPr="00395ACC">
              <w:rPr>
                <w:iCs/>
                <w:lang w:val="lv-LV" w:eastAsia="lv-LV"/>
              </w:rPr>
              <w:t xml:space="preserve">ā vidējā </w:t>
            </w:r>
            <w:r w:rsidRPr="00395ACC">
              <w:rPr>
                <w:iCs/>
                <w:lang w:val="lv-LV" w:eastAsia="lv-LV"/>
              </w:rPr>
              <w:t xml:space="preserve">darba stundas likme ir 4,36 </w:t>
            </w:r>
            <w:r w:rsidRPr="00395ACC">
              <w:rPr>
                <w:i/>
                <w:lang w:val="lv-LV" w:eastAsia="lv-LV"/>
              </w:rPr>
              <w:t>euro</w:t>
            </w:r>
            <w:r w:rsidR="00452ACE" w:rsidRPr="00395ACC">
              <w:rPr>
                <w:iCs/>
                <w:lang w:val="lv-LV" w:eastAsia="lv-LV"/>
              </w:rPr>
              <w:t>.</w:t>
            </w:r>
          </w:p>
          <w:p w14:paraId="761AF688" w14:textId="6886FC4C" w:rsidR="001E633D" w:rsidRPr="00395ACC" w:rsidRDefault="006478AE" w:rsidP="002244CB">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 xml:space="preserve">C = (4,36x2) x (3734x1) = </w:t>
            </w:r>
            <w:r w:rsidR="000247B1" w:rsidRPr="00395ACC">
              <w:rPr>
                <w:rFonts w:ascii="Times New Roman" w:eastAsia="Times New Roman" w:hAnsi="Times New Roman" w:cs="Times New Roman"/>
                <w:b/>
                <w:bCs/>
                <w:iCs/>
                <w:sz w:val="24"/>
                <w:szCs w:val="24"/>
                <w:lang w:eastAsia="lv-LV"/>
              </w:rPr>
              <w:t>8,72</w:t>
            </w:r>
            <w:r w:rsidRPr="00395ACC">
              <w:rPr>
                <w:rFonts w:ascii="Times New Roman" w:eastAsia="Times New Roman" w:hAnsi="Times New Roman" w:cs="Times New Roman"/>
                <w:b/>
                <w:bCs/>
                <w:iCs/>
                <w:sz w:val="24"/>
                <w:szCs w:val="24"/>
                <w:lang w:eastAsia="lv-LV"/>
              </w:rPr>
              <w:t xml:space="preserve">x3734 = 32 560,48 </w:t>
            </w:r>
            <w:r w:rsidR="0081635B" w:rsidRPr="00395ACC">
              <w:rPr>
                <w:rFonts w:ascii="Times New Roman" w:eastAsia="Times New Roman" w:hAnsi="Times New Roman" w:cs="Times New Roman"/>
                <w:b/>
                <w:bCs/>
                <w:i/>
                <w:sz w:val="24"/>
                <w:szCs w:val="24"/>
                <w:lang w:eastAsia="lv-LV"/>
              </w:rPr>
              <w:t>euro</w:t>
            </w:r>
          </w:p>
          <w:p w14:paraId="15FDE63C" w14:textId="4F537519" w:rsidR="001E633D" w:rsidRPr="00395ACC" w:rsidRDefault="006478AE" w:rsidP="002244CB">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iCs/>
                <w:sz w:val="24"/>
                <w:szCs w:val="24"/>
                <w:lang w:eastAsia="lv-LV"/>
              </w:rPr>
              <w:t>Atbilstoši Noteikumu projektā noteiktajam</w:t>
            </w:r>
            <w:r w:rsidR="00A03836"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administratīvās izmaksas</w:t>
            </w:r>
            <w:r w:rsidR="00A03836" w:rsidRPr="00395ACC">
              <w:rPr>
                <w:rFonts w:ascii="Times New Roman" w:eastAsia="Times New Roman" w:hAnsi="Times New Roman" w:cs="Times New Roman"/>
                <w:iCs/>
                <w:sz w:val="24"/>
                <w:szCs w:val="24"/>
                <w:lang w:eastAsia="lv-LV"/>
              </w:rPr>
              <w:t xml:space="preserve"> valdītājiem</w:t>
            </w:r>
            <w:r w:rsidRPr="00395ACC">
              <w:rPr>
                <w:rFonts w:ascii="Times New Roman" w:eastAsia="Times New Roman" w:hAnsi="Times New Roman" w:cs="Times New Roman"/>
                <w:iCs/>
                <w:sz w:val="24"/>
                <w:szCs w:val="24"/>
                <w:lang w:eastAsia="lv-LV"/>
              </w:rPr>
              <w:t xml:space="preserve"> </w:t>
            </w:r>
            <w:r w:rsidR="00747B62" w:rsidRPr="00395ACC">
              <w:rPr>
                <w:rFonts w:ascii="Times New Roman" w:eastAsia="Times New Roman" w:hAnsi="Times New Roman" w:cs="Times New Roman"/>
                <w:iCs/>
                <w:sz w:val="24"/>
                <w:szCs w:val="24"/>
                <w:lang w:eastAsia="lv-LV"/>
              </w:rPr>
              <w:t xml:space="preserve">liftu bez CE </w:t>
            </w:r>
            <w:r w:rsidR="00747B62" w:rsidRPr="00395ACC">
              <w:rPr>
                <w:rFonts w:ascii="Times New Roman" w:hAnsi="Times New Roman" w:cs="Times New Roman"/>
                <w:sz w:val="24"/>
                <w:szCs w:val="24"/>
              </w:rPr>
              <w:t>marķējuma</w:t>
            </w:r>
            <w:r w:rsidR="00747B62" w:rsidRPr="00395ACC">
              <w:rPr>
                <w:rFonts w:ascii="Times New Roman" w:eastAsia="Times New Roman" w:hAnsi="Times New Roman" w:cs="Times New Roman"/>
                <w:iCs/>
                <w:sz w:val="24"/>
                <w:szCs w:val="24"/>
                <w:lang w:eastAsia="lv-LV"/>
              </w:rPr>
              <w:t xml:space="preserve"> </w:t>
            </w:r>
            <w:r w:rsidR="00452ACE" w:rsidRPr="00395ACC">
              <w:rPr>
                <w:rFonts w:ascii="Times New Roman" w:eastAsia="Times New Roman" w:hAnsi="Times New Roman" w:cs="Times New Roman"/>
                <w:iCs/>
                <w:sz w:val="24"/>
                <w:szCs w:val="24"/>
                <w:lang w:eastAsia="lv-LV"/>
              </w:rPr>
              <w:t>drošuma un risku novēršan</w:t>
            </w:r>
            <w:r w:rsidR="00A03836" w:rsidRPr="00395ACC">
              <w:rPr>
                <w:rFonts w:ascii="Times New Roman" w:eastAsia="Times New Roman" w:hAnsi="Times New Roman" w:cs="Times New Roman"/>
                <w:iCs/>
                <w:sz w:val="24"/>
                <w:szCs w:val="24"/>
                <w:lang w:eastAsia="lv-LV"/>
              </w:rPr>
              <w:t>ai</w:t>
            </w:r>
            <w:r w:rsidR="00452ACE" w:rsidRPr="00395ACC">
              <w:rPr>
                <w:rFonts w:ascii="Times New Roman" w:eastAsia="Times New Roman" w:hAnsi="Times New Roman" w:cs="Times New Roman"/>
                <w:iCs/>
                <w:sz w:val="24"/>
                <w:szCs w:val="24"/>
                <w:lang w:eastAsia="lv-LV"/>
              </w:rPr>
              <w:t xml:space="preserve"> </w:t>
            </w:r>
            <w:r w:rsidR="008C0489" w:rsidRPr="00395ACC">
              <w:rPr>
                <w:rFonts w:ascii="Times New Roman" w:eastAsia="Times New Roman" w:hAnsi="Times New Roman" w:cs="Times New Roman"/>
                <w:iCs/>
                <w:sz w:val="24"/>
                <w:szCs w:val="24"/>
                <w:lang w:eastAsia="lv-LV"/>
              </w:rPr>
              <w:t>skatāmas</w:t>
            </w:r>
            <w:r w:rsidR="00452ACE" w:rsidRPr="00395ACC">
              <w:rPr>
                <w:rFonts w:ascii="Times New Roman" w:eastAsia="Times New Roman" w:hAnsi="Times New Roman" w:cs="Times New Roman"/>
                <w:iCs/>
                <w:sz w:val="24"/>
                <w:szCs w:val="24"/>
                <w:lang w:eastAsia="lv-LV"/>
              </w:rPr>
              <w:t xml:space="preserve"> </w:t>
            </w:r>
            <w:r w:rsidR="001E67AA" w:rsidRPr="00395ACC">
              <w:rPr>
                <w:rFonts w:ascii="Times New Roman" w:eastAsia="Times New Roman" w:hAnsi="Times New Roman" w:cs="Times New Roman"/>
                <w:iCs/>
                <w:sz w:val="24"/>
                <w:szCs w:val="24"/>
                <w:lang w:eastAsia="lv-LV"/>
              </w:rPr>
              <w:t xml:space="preserve">trīs </w:t>
            </w:r>
            <w:r w:rsidR="00452ACE" w:rsidRPr="00395ACC">
              <w:rPr>
                <w:rFonts w:ascii="Times New Roman" w:eastAsia="Times New Roman" w:hAnsi="Times New Roman" w:cs="Times New Roman"/>
                <w:iCs/>
                <w:sz w:val="24"/>
                <w:szCs w:val="24"/>
                <w:lang w:eastAsia="lv-LV"/>
              </w:rPr>
              <w:t xml:space="preserve">gadu </w:t>
            </w:r>
            <w:r w:rsidR="008C0489" w:rsidRPr="00395ACC">
              <w:rPr>
                <w:rFonts w:ascii="Times New Roman" w:eastAsia="Times New Roman" w:hAnsi="Times New Roman" w:cs="Times New Roman"/>
                <w:iCs/>
                <w:sz w:val="24"/>
                <w:szCs w:val="24"/>
                <w:lang w:eastAsia="lv-LV"/>
              </w:rPr>
              <w:t>griezumā</w:t>
            </w:r>
            <w:r w:rsidR="00452ACE" w:rsidRPr="00395ACC">
              <w:rPr>
                <w:rFonts w:ascii="Times New Roman" w:eastAsia="Times New Roman" w:hAnsi="Times New Roman" w:cs="Times New Roman"/>
                <w:iCs/>
                <w:sz w:val="24"/>
                <w:szCs w:val="24"/>
                <w:lang w:eastAsia="lv-LV"/>
              </w:rPr>
              <w:t xml:space="preserve">, tādēļ vidēji gada administratīvās izmaksas sastāda </w:t>
            </w:r>
            <w:r w:rsidR="00452ACE" w:rsidRPr="00395ACC">
              <w:rPr>
                <w:rFonts w:ascii="Times New Roman" w:eastAsia="Times New Roman" w:hAnsi="Times New Roman" w:cs="Times New Roman"/>
                <w:b/>
                <w:bCs/>
                <w:iCs/>
                <w:sz w:val="24"/>
                <w:szCs w:val="24"/>
                <w:lang w:eastAsia="lv-LV"/>
              </w:rPr>
              <w:t xml:space="preserve">10 853,49 </w:t>
            </w:r>
            <w:r w:rsidR="00DE2D31" w:rsidRPr="00395ACC">
              <w:rPr>
                <w:rFonts w:ascii="Times New Roman" w:eastAsia="Times New Roman" w:hAnsi="Times New Roman" w:cs="Times New Roman"/>
                <w:b/>
                <w:bCs/>
                <w:i/>
                <w:sz w:val="24"/>
                <w:szCs w:val="24"/>
                <w:lang w:eastAsia="lv-LV"/>
              </w:rPr>
              <w:t>euro</w:t>
            </w:r>
            <w:r w:rsidR="00DE2D31" w:rsidRPr="00395ACC">
              <w:rPr>
                <w:rFonts w:ascii="Times New Roman" w:eastAsia="Times New Roman" w:hAnsi="Times New Roman" w:cs="Times New Roman"/>
                <w:b/>
                <w:bCs/>
                <w:iCs/>
                <w:sz w:val="24"/>
                <w:szCs w:val="24"/>
                <w:lang w:eastAsia="lv-LV"/>
              </w:rPr>
              <w:t xml:space="preserve">. </w:t>
            </w:r>
          </w:p>
          <w:p w14:paraId="1E36F8F7" w14:textId="3DF9E0BD" w:rsidR="00452ACE" w:rsidRPr="00395ACC" w:rsidRDefault="00452ACE" w:rsidP="002244CB">
            <w:pPr>
              <w:spacing w:after="0" w:line="240" w:lineRule="auto"/>
              <w:jc w:val="both"/>
              <w:rPr>
                <w:rFonts w:ascii="Times New Roman" w:eastAsia="Times New Roman" w:hAnsi="Times New Roman" w:cs="Times New Roman"/>
                <w:b/>
                <w:bCs/>
                <w:iCs/>
                <w:sz w:val="24"/>
                <w:szCs w:val="24"/>
                <w:lang w:eastAsia="lv-LV"/>
              </w:rPr>
            </w:pPr>
          </w:p>
          <w:p w14:paraId="22493C0E" w14:textId="6CE68DBA" w:rsidR="00452ACE" w:rsidRPr="00395ACC" w:rsidRDefault="00452ACE" w:rsidP="00452ACE">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Aprēķinot administratīvās izmaksas valdītājiem, veicot celējplatformu tehniskās pārbaudes, tiek pieņemts:</w:t>
            </w:r>
          </w:p>
          <w:p w14:paraId="6E91A05A" w14:textId="4375AA05" w:rsidR="00452ACE" w:rsidRPr="00395ACC" w:rsidRDefault="00452ACE" w:rsidP="00534195">
            <w:pPr>
              <w:pStyle w:val="ListParagraph"/>
              <w:numPr>
                <w:ilvl w:val="0"/>
                <w:numId w:val="10"/>
              </w:numPr>
              <w:jc w:val="both"/>
              <w:rPr>
                <w:iCs/>
                <w:lang w:val="lv-LV" w:eastAsia="lv-LV"/>
              </w:rPr>
            </w:pPr>
            <w:r w:rsidRPr="00395ACC">
              <w:rPr>
                <w:iCs/>
                <w:lang w:val="lv-LV" w:eastAsia="lv-LV"/>
              </w:rPr>
              <w:t>Saskaņā ar PTAC datiem šobrīd ir 70 cēlējplatformas</w:t>
            </w:r>
            <w:r w:rsidR="00DE2D31" w:rsidRPr="00395ACC">
              <w:rPr>
                <w:iCs/>
                <w:lang w:val="lv-LV" w:eastAsia="lv-LV"/>
              </w:rPr>
              <w:t xml:space="preserve">, </w:t>
            </w:r>
            <w:r w:rsidRPr="00395ACC">
              <w:rPr>
                <w:iCs/>
                <w:lang w:val="lv-LV" w:eastAsia="lv-LV"/>
              </w:rPr>
              <w:t>kam būtu jāveic tehniskā pārbaude;</w:t>
            </w:r>
          </w:p>
          <w:p w14:paraId="63C19088" w14:textId="59AAA85E" w:rsidR="00452ACE" w:rsidRPr="00395ACC" w:rsidRDefault="00452ACE" w:rsidP="00534195">
            <w:pPr>
              <w:pStyle w:val="ListParagraph"/>
              <w:numPr>
                <w:ilvl w:val="0"/>
                <w:numId w:val="10"/>
              </w:numPr>
              <w:jc w:val="both"/>
              <w:rPr>
                <w:iCs/>
                <w:lang w:val="lv-LV" w:eastAsia="lv-LV"/>
              </w:rPr>
            </w:pPr>
            <w:r w:rsidRPr="00395ACC">
              <w:rPr>
                <w:iCs/>
                <w:lang w:val="lv-LV" w:eastAsia="lv-LV"/>
              </w:rPr>
              <w:t xml:space="preserve">Laika patēriņš administratīvajām darbībām vienas cēlējplatformas tehniskās pārbaudes veikšanai ir </w:t>
            </w:r>
            <w:r w:rsidR="009052A6" w:rsidRPr="00395ACC">
              <w:rPr>
                <w:iCs/>
                <w:lang w:val="lv-LV" w:eastAsia="lv-LV"/>
              </w:rPr>
              <w:t xml:space="preserve">divas </w:t>
            </w:r>
            <w:r w:rsidRPr="00395ACC">
              <w:rPr>
                <w:iCs/>
                <w:lang w:val="lv-LV" w:eastAsia="lv-LV"/>
              </w:rPr>
              <w:t>stundas;</w:t>
            </w:r>
          </w:p>
          <w:p w14:paraId="13D2AAB8" w14:textId="0F8F3D20" w:rsidR="00452ACE" w:rsidRPr="00395ACC" w:rsidRDefault="00452ACE" w:rsidP="00534195">
            <w:pPr>
              <w:pStyle w:val="ListParagraph"/>
              <w:numPr>
                <w:ilvl w:val="0"/>
                <w:numId w:val="10"/>
              </w:numPr>
              <w:jc w:val="both"/>
              <w:rPr>
                <w:iCs/>
                <w:lang w:val="lv-LV" w:eastAsia="lv-LV"/>
              </w:rPr>
            </w:pPr>
            <w:r w:rsidRPr="00395ACC">
              <w:rPr>
                <w:iCs/>
                <w:lang w:val="lv-LV" w:eastAsia="lv-LV"/>
              </w:rPr>
              <w:t>Aprēķinos izmantot</w:t>
            </w:r>
            <w:r w:rsidR="00DE2D31" w:rsidRPr="00395ACC">
              <w:rPr>
                <w:iCs/>
                <w:lang w:val="lv-LV" w:eastAsia="lv-LV"/>
              </w:rPr>
              <w:t>ā vidējā</w:t>
            </w:r>
            <w:r w:rsidRPr="00395ACC">
              <w:rPr>
                <w:iCs/>
                <w:lang w:val="lv-LV" w:eastAsia="lv-LV"/>
              </w:rPr>
              <w:t xml:space="preserve"> darba stundas likme ir 4,36 </w:t>
            </w:r>
            <w:r w:rsidRPr="00395ACC">
              <w:rPr>
                <w:i/>
                <w:lang w:val="lv-LV" w:eastAsia="lv-LV"/>
              </w:rPr>
              <w:t>euro</w:t>
            </w:r>
            <w:r w:rsidRPr="00395ACC">
              <w:rPr>
                <w:iCs/>
                <w:lang w:val="lv-LV" w:eastAsia="lv-LV"/>
              </w:rPr>
              <w:t>.</w:t>
            </w:r>
          </w:p>
          <w:p w14:paraId="190E83F2" w14:textId="433E0D81" w:rsidR="006B353F" w:rsidRPr="00395ACC" w:rsidRDefault="00452ACE" w:rsidP="000247B1">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 xml:space="preserve">C = (4,36x2) x (70x1) = </w:t>
            </w:r>
            <w:r w:rsidR="000247B1" w:rsidRPr="00395ACC">
              <w:rPr>
                <w:rFonts w:ascii="Times New Roman" w:eastAsia="Times New Roman" w:hAnsi="Times New Roman" w:cs="Times New Roman"/>
                <w:b/>
                <w:bCs/>
                <w:iCs/>
                <w:sz w:val="24"/>
                <w:szCs w:val="24"/>
                <w:lang w:eastAsia="lv-LV"/>
              </w:rPr>
              <w:t>8,72</w:t>
            </w:r>
            <w:r w:rsidRPr="00395ACC">
              <w:rPr>
                <w:rFonts w:ascii="Times New Roman" w:eastAsia="Times New Roman" w:hAnsi="Times New Roman" w:cs="Times New Roman"/>
                <w:b/>
                <w:bCs/>
                <w:iCs/>
                <w:sz w:val="24"/>
                <w:szCs w:val="24"/>
                <w:lang w:eastAsia="lv-LV"/>
              </w:rPr>
              <w:t>x</w:t>
            </w:r>
            <w:r w:rsidR="003139AF" w:rsidRPr="00395ACC">
              <w:rPr>
                <w:rFonts w:ascii="Times New Roman" w:eastAsia="Times New Roman" w:hAnsi="Times New Roman" w:cs="Times New Roman"/>
                <w:b/>
                <w:bCs/>
                <w:iCs/>
                <w:sz w:val="24"/>
                <w:szCs w:val="24"/>
                <w:lang w:eastAsia="lv-LV"/>
              </w:rPr>
              <w:t>70</w:t>
            </w:r>
            <w:r w:rsidRPr="00395ACC">
              <w:rPr>
                <w:rFonts w:ascii="Times New Roman" w:eastAsia="Times New Roman" w:hAnsi="Times New Roman" w:cs="Times New Roman"/>
                <w:b/>
                <w:bCs/>
                <w:iCs/>
                <w:sz w:val="24"/>
                <w:szCs w:val="24"/>
                <w:lang w:eastAsia="lv-LV"/>
              </w:rPr>
              <w:t xml:space="preserve"> = 610,40 </w:t>
            </w:r>
            <w:r w:rsidR="00DE2D31" w:rsidRPr="00395ACC">
              <w:rPr>
                <w:rFonts w:ascii="Times New Roman" w:eastAsia="Times New Roman" w:hAnsi="Times New Roman" w:cs="Times New Roman"/>
                <w:b/>
                <w:bCs/>
                <w:i/>
                <w:sz w:val="24"/>
                <w:szCs w:val="24"/>
                <w:lang w:eastAsia="lv-LV"/>
              </w:rPr>
              <w:t>euro</w:t>
            </w:r>
            <w:r w:rsidR="00DE2D31" w:rsidRPr="00395ACC">
              <w:rPr>
                <w:rFonts w:ascii="Times New Roman" w:eastAsia="Times New Roman" w:hAnsi="Times New Roman" w:cs="Times New Roman"/>
                <w:b/>
                <w:bCs/>
                <w:iCs/>
                <w:sz w:val="24"/>
                <w:szCs w:val="24"/>
                <w:lang w:eastAsia="lv-LV"/>
              </w:rPr>
              <w:t>.</w:t>
            </w:r>
          </w:p>
        </w:tc>
      </w:tr>
      <w:tr w:rsidR="00455B38" w:rsidRPr="00395ACC" w14:paraId="5EED149C"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3E73EC1"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95F4DE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Atbilstības izmaksu monetārs novērtējums</w:t>
            </w:r>
          </w:p>
        </w:tc>
        <w:tc>
          <w:tcPr>
            <w:tcW w:w="2976" w:type="pct"/>
            <w:tcBorders>
              <w:top w:val="outset" w:sz="6" w:space="0" w:color="auto"/>
              <w:left w:val="outset" w:sz="6" w:space="0" w:color="auto"/>
              <w:bottom w:val="outset" w:sz="6" w:space="0" w:color="auto"/>
              <w:right w:val="outset" w:sz="6" w:space="0" w:color="auto"/>
            </w:tcBorders>
            <w:hideMark/>
          </w:tcPr>
          <w:p w14:paraId="7C1D8432" w14:textId="4C2462EC" w:rsidR="006504CF" w:rsidRPr="00395ACC" w:rsidRDefault="006504CF" w:rsidP="006504CF">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Aprēķinot atbilstības izmaksas valdītājiem, veicot liftu</w:t>
            </w:r>
            <w:r w:rsidR="00747B62" w:rsidRPr="00395ACC">
              <w:rPr>
                <w:rFonts w:ascii="Times New Roman" w:eastAsia="Times New Roman" w:hAnsi="Times New Roman" w:cs="Times New Roman"/>
                <w:iCs/>
                <w:sz w:val="24"/>
                <w:szCs w:val="24"/>
                <w:lang w:eastAsia="lv-LV"/>
              </w:rPr>
              <w:t xml:space="preserve"> bez CE </w:t>
            </w:r>
            <w:r w:rsidR="00747B62" w:rsidRPr="00395ACC">
              <w:rPr>
                <w:rFonts w:ascii="Times New Roman" w:hAnsi="Times New Roman" w:cs="Times New Roman"/>
                <w:sz w:val="24"/>
                <w:szCs w:val="24"/>
              </w:rPr>
              <w:t>marķējuma</w:t>
            </w:r>
            <w:r w:rsidRPr="00395ACC">
              <w:rPr>
                <w:rFonts w:ascii="Times New Roman" w:eastAsia="Times New Roman" w:hAnsi="Times New Roman" w:cs="Times New Roman"/>
                <w:iCs/>
                <w:sz w:val="24"/>
                <w:szCs w:val="24"/>
                <w:lang w:eastAsia="lv-LV"/>
              </w:rPr>
              <w:t xml:space="preserve"> drošuma un risku novēršanu, tiek pieņemts:</w:t>
            </w:r>
          </w:p>
          <w:p w14:paraId="13655C91" w14:textId="09EDBCE3" w:rsidR="006504CF" w:rsidRPr="00395ACC" w:rsidRDefault="006504CF" w:rsidP="000247B1">
            <w:pPr>
              <w:pStyle w:val="ListParagraph"/>
              <w:numPr>
                <w:ilvl w:val="0"/>
                <w:numId w:val="12"/>
              </w:numPr>
              <w:jc w:val="both"/>
              <w:rPr>
                <w:iCs/>
                <w:lang w:val="lv-LV" w:eastAsia="lv-LV"/>
              </w:rPr>
            </w:pPr>
            <w:r w:rsidRPr="00395ACC">
              <w:rPr>
                <w:iCs/>
                <w:lang w:val="lv-LV" w:eastAsia="lv-LV"/>
              </w:rPr>
              <w:t>Saskaņā ar BIR datiem šobrīd ir 3734 lifti</w:t>
            </w:r>
            <w:r w:rsidR="00747B62" w:rsidRPr="00395ACC">
              <w:rPr>
                <w:iCs/>
                <w:lang w:val="lv-LV" w:eastAsia="lv-LV"/>
              </w:rPr>
              <w:t xml:space="preserve"> bez CE </w:t>
            </w:r>
            <w:r w:rsidR="00747B62" w:rsidRPr="00395ACC">
              <w:rPr>
                <w:lang w:val="lv-LV"/>
              </w:rPr>
              <w:t>marķējuma</w:t>
            </w:r>
            <w:r w:rsidRPr="00395ACC">
              <w:rPr>
                <w:iCs/>
                <w:lang w:val="lv-LV" w:eastAsia="lv-LV"/>
              </w:rPr>
              <w:t>, kam jāveic drošuma un risku novēršana;</w:t>
            </w:r>
            <w:r w:rsidR="00747B62" w:rsidRPr="00395ACC">
              <w:rPr>
                <w:iCs/>
                <w:lang w:val="lv-LV" w:eastAsia="lv-LV"/>
              </w:rPr>
              <w:t xml:space="preserve"> </w:t>
            </w:r>
          </w:p>
          <w:p w14:paraId="329CD775" w14:textId="4281D5A4" w:rsidR="006504CF" w:rsidRPr="00395ACC" w:rsidRDefault="006504CF" w:rsidP="000247B1">
            <w:pPr>
              <w:pStyle w:val="ListParagraph"/>
              <w:numPr>
                <w:ilvl w:val="0"/>
                <w:numId w:val="12"/>
              </w:numPr>
              <w:jc w:val="both"/>
              <w:rPr>
                <w:iCs/>
                <w:lang w:val="lv-LV" w:eastAsia="lv-LV"/>
              </w:rPr>
            </w:pPr>
            <w:r w:rsidRPr="00395ACC">
              <w:rPr>
                <w:iCs/>
                <w:lang w:val="lv-LV" w:eastAsia="lv-LV"/>
              </w:rPr>
              <w:t>Laika patēriņš administratīvajām darbībām viena lifta</w:t>
            </w:r>
            <w:r w:rsidR="00747B62" w:rsidRPr="00395ACC">
              <w:rPr>
                <w:iCs/>
                <w:lang w:val="lv-LV" w:eastAsia="lv-LV"/>
              </w:rPr>
              <w:t xml:space="preserve"> bez CE </w:t>
            </w:r>
            <w:r w:rsidR="00747B62" w:rsidRPr="00395ACC">
              <w:rPr>
                <w:lang w:val="lv-LV"/>
              </w:rPr>
              <w:t>marķējuma</w:t>
            </w:r>
            <w:r w:rsidR="00747B62" w:rsidRPr="00395ACC">
              <w:rPr>
                <w:iCs/>
                <w:lang w:val="lv-LV" w:eastAsia="lv-LV"/>
              </w:rPr>
              <w:t xml:space="preserve"> </w:t>
            </w:r>
            <w:r w:rsidRPr="00395ACC">
              <w:rPr>
                <w:iCs/>
                <w:lang w:val="lv-LV" w:eastAsia="lv-LV"/>
              </w:rPr>
              <w:t xml:space="preserve">drošuma un risku novērtēšanai ir </w:t>
            </w:r>
            <w:r w:rsidR="00C813D1" w:rsidRPr="00395ACC">
              <w:rPr>
                <w:iCs/>
                <w:lang w:val="lv-LV" w:eastAsia="lv-LV"/>
              </w:rPr>
              <w:t xml:space="preserve">četras </w:t>
            </w:r>
            <w:r w:rsidRPr="00395ACC">
              <w:rPr>
                <w:iCs/>
                <w:lang w:val="lv-LV" w:eastAsia="lv-LV"/>
              </w:rPr>
              <w:t>stundas;</w:t>
            </w:r>
          </w:p>
          <w:p w14:paraId="4602607F" w14:textId="42319A38" w:rsidR="006504CF" w:rsidRPr="00395ACC" w:rsidRDefault="006504CF" w:rsidP="000247B1">
            <w:pPr>
              <w:pStyle w:val="ListParagraph"/>
              <w:numPr>
                <w:ilvl w:val="0"/>
                <w:numId w:val="12"/>
              </w:numPr>
              <w:jc w:val="both"/>
              <w:rPr>
                <w:iCs/>
                <w:lang w:val="de-DE" w:eastAsia="lv-LV"/>
              </w:rPr>
            </w:pPr>
            <w:r w:rsidRPr="00395ACC">
              <w:rPr>
                <w:iCs/>
                <w:lang w:val="de-DE" w:eastAsia="lv-LV"/>
              </w:rPr>
              <w:t>A</w:t>
            </w:r>
            <w:r w:rsidR="00DE2D31" w:rsidRPr="00395ACC">
              <w:rPr>
                <w:iCs/>
                <w:lang w:val="de-DE" w:eastAsia="lv-LV"/>
              </w:rPr>
              <w:t>p</w:t>
            </w:r>
            <w:r w:rsidRPr="00395ACC">
              <w:rPr>
                <w:iCs/>
                <w:lang w:val="de-DE" w:eastAsia="lv-LV"/>
              </w:rPr>
              <w:t>rē</w:t>
            </w:r>
            <w:r w:rsidR="00DE2D31" w:rsidRPr="00395ACC">
              <w:rPr>
                <w:iCs/>
                <w:lang w:val="de-DE" w:eastAsia="lv-LV"/>
              </w:rPr>
              <w:t>ķ</w:t>
            </w:r>
            <w:r w:rsidRPr="00395ACC">
              <w:rPr>
                <w:iCs/>
                <w:lang w:val="de-DE" w:eastAsia="lv-LV"/>
              </w:rPr>
              <w:t>inos izmantot</w:t>
            </w:r>
            <w:r w:rsidR="00DE2D31" w:rsidRPr="00395ACC">
              <w:rPr>
                <w:iCs/>
                <w:lang w:val="de-DE" w:eastAsia="lv-LV"/>
              </w:rPr>
              <w:t>ā</w:t>
            </w:r>
            <w:r w:rsidRPr="00395ACC">
              <w:rPr>
                <w:iCs/>
                <w:lang w:val="de-DE" w:eastAsia="lv-LV"/>
              </w:rPr>
              <w:t xml:space="preserve"> darba stundas likme ir 8,64   </w:t>
            </w:r>
            <w:r w:rsidRPr="00395ACC">
              <w:rPr>
                <w:i/>
                <w:lang w:val="de-DE" w:eastAsia="lv-LV"/>
              </w:rPr>
              <w:t>euro</w:t>
            </w:r>
            <w:r w:rsidRPr="00395ACC">
              <w:rPr>
                <w:iCs/>
                <w:lang w:val="de-DE" w:eastAsia="lv-LV"/>
              </w:rPr>
              <w:t>.</w:t>
            </w:r>
          </w:p>
          <w:p w14:paraId="17875C46" w14:textId="164E47E6" w:rsidR="002F4AD8" w:rsidRPr="00395ACC" w:rsidRDefault="006504CF" w:rsidP="006504CF">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 xml:space="preserve">C = (8,64x4) x (3734x1) = 34,56x3734 = 129 047,04 </w:t>
            </w:r>
            <w:r w:rsidR="00DE2D31" w:rsidRPr="00395ACC">
              <w:rPr>
                <w:rFonts w:ascii="Times New Roman" w:eastAsia="Times New Roman" w:hAnsi="Times New Roman" w:cs="Times New Roman"/>
                <w:b/>
                <w:bCs/>
                <w:i/>
                <w:sz w:val="24"/>
                <w:szCs w:val="24"/>
                <w:lang w:eastAsia="lv-LV"/>
              </w:rPr>
              <w:t>euro</w:t>
            </w:r>
          </w:p>
          <w:p w14:paraId="735BFA82" w14:textId="5AB973A7" w:rsidR="002F4AD8" w:rsidRPr="00395ACC" w:rsidRDefault="006504CF" w:rsidP="00572318">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Atbilstoši Noteikumu projektā noteiktajam, atbilstības izmaksas valdītājiem  liftu </w:t>
            </w:r>
            <w:r w:rsidR="00747B62" w:rsidRPr="00395ACC">
              <w:rPr>
                <w:rFonts w:ascii="Times New Roman" w:eastAsia="Times New Roman" w:hAnsi="Times New Roman" w:cs="Times New Roman"/>
                <w:iCs/>
                <w:sz w:val="24"/>
                <w:szCs w:val="24"/>
                <w:lang w:eastAsia="lv-LV"/>
              </w:rPr>
              <w:t xml:space="preserve">bez CE marķējuma </w:t>
            </w:r>
            <w:r w:rsidRPr="00395ACC">
              <w:rPr>
                <w:rFonts w:ascii="Times New Roman" w:eastAsia="Times New Roman" w:hAnsi="Times New Roman" w:cs="Times New Roman"/>
                <w:iCs/>
                <w:sz w:val="24"/>
                <w:szCs w:val="24"/>
                <w:lang w:eastAsia="lv-LV"/>
              </w:rPr>
              <w:t xml:space="preserve">drošuma un risku novēršanai </w:t>
            </w:r>
            <w:r w:rsidR="005924B6" w:rsidRPr="00395ACC">
              <w:rPr>
                <w:rFonts w:ascii="Times New Roman" w:eastAsia="Times New Roman" w:hAnsi="Times New Roman" w:cs="Times New Roman"/>
                <w:iCs/>
                <w:sz w:val="24"/>
                <w:szCs w:val="24"/>
                <w:lang w:eastAsia="lv-LV"/>
              </w:rPr>
              <w:t>skatāmas</w:t>
            </w:r>
            <w:r w:rsidRPr="00395ACC">
              <w:rPr>
                <w:rFonts w:ascii="Times New Roman" w:eastAsia="Times New Roman" w:hAnsi="Times New Roman" w:cs="Times New Roman"/>
                <w:iCs/>
                <w:sz w:val="24"/>
                <w:szCs w:val="24"/>
                <w:lang w:eastAsia="lv-LV"/>
              </w:rPr>
              <w:t xml:space="preserve"> </w:t>
            </w:r>
            <w:r w:rsidR="00C813D1" w:rsidRPr="00395ACC">
              <w:rPr>
                <w:rFonts w:ascii="Times New Roman" w:eastAsia="Times New Roman" w:hAnsi="Times New Roman" w:cs="Times New Roman"/>
                <w:iCs/>
                <w:sz w:val="24"/>
                <w:szCs w:val="24"/>
                <w:lang w:eastAsia="lv-LV"/>
              </w:rPr>
              <w:t xml:space="preserve">trīs </w:t>
            </w:r>
            <w:r w:rsidRPr="00395ACC">
              <w:rPr>
                <w:rFonts w:ascii="Times New Roman" w:eastAsia="Times New Roman" w:hAnsi="Times New Roman" w:cs="Times New Roman"/>
                <w:iCs/>
                <w:sz w:val="24"/>
                <w:szCs w:val="24"/>
                <w:lang w:eastAsia="lv-LV"/>
              </w:rPr>
              <w:t xml:space="preserve">gadu </w:t>
            </w:r>
            <w:r w:rsidR="005924B6" w:rsidRPr="00395ACC">
              <w:rPr>
                <w:rFonts w:ascii="Times New Roman" w:eastAsia="Times New Roman" w:hAnsi="Times New Roman" w:cs="Times New Roman"/>
                <w:iCs/>
                <w:sz w:val="24"/>
                <w:szCs w:val="24"/>
                <w:lang w:eastAsia="lv-LV"/>
              </w:rPr>
              <w:t>griezumā</w:t>
            </w:r>
            <w:r w:rsidRPr="00395ACC">
              <w:rPr>
                <w:rFonts w:ascii="Times New Roman" w:eastAsia="Times New Roman" w:hAnsi="Times New Roman" w:cs="Times New Roman"/>
                <w:iCs/>
                <w:sz w:val="24"/>
                <w:szCs w:val="24"/>
                <w:lang w:eastAsia="lv-LV"/>
              </w:rPr>
              <w:t xml:space="preserve">, tādēļ vidēji gada administratīvās izmaksas sastāda </w:t>
            </w:r>
            <w:r w:rsidRPr="00395ACC">
              <w:rPr>
                <w:rFonts w:ascii="Times New Roman" w:eastAsia="Times New Roman" w:hAnsi="Times New Roman" w:cs="Times New Roman"/>
                <w:b/>
                <w:bCs/>
                <w:iCs/>
                <w:sz w:val="24"/>
                <w:szCs w:val="24"/>
                <w:lang w:eastAsia="lv-LV"/>
              </w:rPr>
              <w:t xml:space="preserve">43 015,68 </w:t>
            </w:r>
            <w:r w:rsidR="00406E2A" w:rsidRPr="00395ACC">
              <w:rPr>
                <w:rFonts w:ascii="Times New Roman" w:eastAsia="Times New Roman" w:hAnsi="Times New Roman" w:cs="Times New Roman"/>
                <w:b/>
                <w:bCs/>
                <w:i/>
                <w:sz w:val="24"/>
                <w:szCs w:val="24"/>
                <w:lang w:eastAsia="lv-LV"/>
              </w:rPr>
              <w:t>euro</w:t>
            </w:r>
          </w:p>
          <w:p w14:paraId="3964ECA0" w14:textId="1EE32862" w:rsidR="006504CF" w:rsidRPr="00395ACC" w:rsidRDefault="006504CF" w:rsidP="00572318">
            <w:pPr>
              <w:spacing w:after="0" w:line="240" w:lineRule="auto"/>
              <w:jc w:val="both"/>
              <w:rPr>
                <w:rFonts w:ascii="Times New Roman" w:eastAsia="Times New Roman" w:hAnsi="Times New Roman" w:cs="Times New Roman"/>
                <w:iCs/>
                <w:sz w:val="24"/>
                <w:szCs w:val="24"/>
                <w:lang w:eastAsia="lv-LV"/>
              </w:rPr>
            </w:pPr>
          </w:p>
          <w:p w14:paraId="29B97A29" w14:textId="1925D691" w:rsidR="00534195" w:rsidRPr="00395ACC" w:rsidRDefault="00534195" w:rsidP="00534195">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Aprēķinot </w:t>
            </w:r>
            <w:r w:rsidR="000247B1" w:rsidRPr="00395ACC">
              <w:rPr>
                <w:rFonts w:ascii="Times New Roman" w:eastAsia="Times New Roman" w:hAnsi="Times New Roman" w:cs="Times New Roman"/>
                <w:iCs/>
                <w:sz w:val="24"/>
                <w:szCs w:val="24"/>
                <w:lang w:eastAsia="lv-LV"/>
              </w:rPr>
              <w:t>atbilstības</w:t>
            </w:r>
            <w:r w:rsidRPr="00395ACC">
              <w:rPr>
                <w:rFonts w:ascii="Times New Roman" w:eastAsia="Times New Roman" w:hAnsi="Times New Roman" w:cs="Times New Roman"/>
                <w:iCs/>
                <w:sz w:val="24"/>
                <w:szCs w:val="24"/>
                <w:lang w:eastAsia="lv-LV"/>
              </w:rPr>
              <w:t xml:space="preserve"> izmaksas valdītājiem, veicot celējplatformu tehniskās pārbaudes, tiek pieņemts:</w:t>
            </w:r>
          </w:p>
          <w:p w14:paraId="4B904C2A" w14:textId="627044E9" w:rsidR="00534195" w:rsidRPr="00395ACC" w:rsidRDefault="00534195" w:rsidP="00534195">
            <w:pPr>
              <w:pStyle w:val="ListParagraph"/>
              <w:numPr>
                <w:ilvl w:val="0"/>
                <w:numId w:val="11"/>
              </w:numPr>
              <w:jc w:val="both"/>
              <w:rPr>
                <w:iCs/>
                <w:lang w:val="lv-LV" w:eastAsia="lv-LV"/>
              </w:rPr>
            </w:pPr>
            <w:r w:rsidRPr="00395ACC">
              <w:rPr>
                <w:iCs/>
                <w:lang w:val="lv-LV" w:eastAsia="lv-LV"/>
              </w:rPr>
              <w:lastRenderedPageBreak/>
              <w:t>Saskaņā ar PTAC datiem šobrīd ir 70 cēlējplatformas</w:t>
            </w:r>
            <w:r w:rsidR="000247B1" w:rsidRPr="00395ACC">
              <w:rPr>
                <w:iCs/>
                <w:lang w:val="lv-LV" w:eastAsia="lv-LV"/>
              </w:rPr>
              <w:t>,</w:t>
            </w:r>
            <w:r w:rsidRPr="00395ACC">
              <w:rPr>
                <w:iCs/>
                <w:lang w:val="lv-LV" w:eastAsia="lv-LV"/>
              </w:rPr>
              <w:t xml:space="preserve"> kam būtu jāveic tehniskā pārbaude;</w:t>
            </w:r>
          </w:p>
          <w:p w14:paraId="79C6B5DB" w14:textId="65E8C106" w:rsidR="00534195" w:rsidRPr="00395ACC" w:rsidRDefault="00534195" w:rsidP="00534195">
            <w:pPr>
              <w:pStyle w:val="ListParagraph"/>
              <w:numPr>
                <w:ilvl w:val="0"/>
                <w:numId w:val="11"/>
              </w:numPr>
              <w:jc w:val="both"/>
              <w:rPr>
                <w:iCs/>
                <w:lang w:val="lv-LV" w:eastAsia="lv-LV"/>
              </w:rPr>
            </w:pPr>
            <w:r w:rsidRPr="00395ACC">
              <w:rPr>
                <w:iCs/>
                <w:lang w:val="lv-LV" w:eastAsia="lv-LV"/>
              </w:rPr>
              <w:t xml:space="preserve">Laika patēriņš administratīvajām darbībām vienas cēlējplatformas tehniskās pārbaudes veikšanai ir </w:t>
            </w:r>
            <w:r w:rsidR="00C35C15" w:rsidRPr="00395ACC">
              <w:rPr>
                <w:iCs/>
                <w:lang w:val="lv-LV" w:eastAsia="lv-LV"/>
              </w:rPr>
              <w:t xml:space="preserve">trīs </w:t>
            </w:r>
            <w:r w:rsidRPr="00395ACC">
              <w:rPr>
                <w:iCs/>
                <w:lang w:val="lv-LV" w:eastAsia="lv-LV"/>
              </w:rPr>
              <w:t>stundas;</w:t>
            </w:r>
          </w:p>
          <w:p w14:paraId="573B8127" w14:textId="6418FC5B" w:rsidR="00534195" w:rsidRPr="00395ACC" w:rsidRDefault="00534195" w:rsidP="00534195">
            <w:pPr>
              <w:pStyle w:val="ListParagraph"/>
              <w:numPr>
                <w:ilvl w:val="0"/>
                <w:numId w:val="11"/>
              </w:numPr>
              <w:jc w:val="both"/>
              <w:rPr>
                <w:iCs/>
                <w:lang w:val="de-DE" w:eastAsia="lv-LV"/>
              </w:rPr>
            </w:pPr>
            <w:r w:rsidRPr="00395ACC">
              <w:rPr>
                <w:iCs/>
                <w:lang w:val="de-DE" w:eastAsia="lv-LV"/>
              </w:rPr>
              <w:t>Aprēķinos izmantot</w:t>
            </w:r>
            <w:r w:rsidR="003F684C" w:rsidRPr="00395ACC">
              <w:rPr>
                <w:iCs/>
                <w:lang w:val="de-DE" w:eastAsia="lv-LV"/>
              </w:rPr>
              <w:t xml:space="preserve">ā </w:t>
            </w:r>
            <w:r w:rsidRPr="00395ACC">
              <w:rPr>
                <w:iCs/>
                <w:lang w:val="de-DE" w:eastAsia="lv-LV"/>
              </w:rPr>
              <w:t xml:space="preserve">darba stundas likme ir </w:t>
            </w:r>
            <w:r w:rsidR="000247B1" w:rsidRPr="00395ACC">
              <w:rPr>
                <w:iCs/>
                <w:lang w:val="de-DE" w:eastAsia="lv-LV"/>
              </w:rPr>
              <w:t>8,64</w:t>
            </w:r>
            <w:r w:rsidRPr="00395ACC">
              <w:rPr>
                <w:iCs/>
                <w:lang w:val="de-DE" w:eastAsia="lv-LV"/>
              </w:rPr>
              <w:t xml:space="preserve"> euro.</w:t>
            </w:r>
          </w:p>
          <w:p w14:paraId="0B9105AE" w14:textId="3BDAEF38" w:rsidR="00534195" w:rsidRPr="00395ACC" w:rsidRDefault="00534195" w:rsidP="00534195">
            <w:pPr>
              <w:spacing w:after="0" w:line="240" w:lineRule="auto"/>
              <w:jc w:val="both"/>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C = (8,64x4) x (70x1) = 34,56x70 = 2 419,20</w:t>
            </w:r>
            <w:r w:rsidR="00406E2A" w:rsidRPr="00395ACC">
              <w:rPr>
                <w:rFonts w:ascii="Times New Roman" w:eastAsia="Times New Roman" w:hAnsi="Times New Roman" w:cs="Times New Roman"/>
                <w:b/>
                <w:bCs/>
                <w:iCs/>
                <w:sz w:val="24"/>
                <w:szCs w:val="24"/>
                <w:lang w:eastAsia="lv-LV"/>
              </w:rPr>
              <w:t xml:space="preserve"> </w:t>
            </w:r>
            <w:r w:rsidR="00406E2A" w:rsidRPr="00395ACC">
              <w:rPr>
                <w:rFonts w:ascii="Times New Roman" w:eastAsia="Times New Roman" w:hAnsi="Times New Roman" w:cs="Times New Roman"/>
                <w:b/>
                <w:bCs/>
                <w:i/>
                <w:sz w:val="24"/>
                <w:szCs w:val="24"/>
                <w:lang w:eastAsia="lv-LV"/>
              </w:rPr>
              <w:t>euro</w:t>
            </w:r>
          </w:p>
          <w:p w14:paraId="39E29F46" w14:textId="46050E21" w:rsidR="00534195" w:rsidRPr="00395ACC" w:rsidRDefault="00534195" w:rsidP="00534195">
            <w:pPr>
              <w:spacing w:after="0" w:line="240" w:lineRule="auto"/>
              <w:jc w:val="both"/>
              <w:rPr>
                <w:rFonts w:ascii="Times New Roman" w:eastAsia="Times New Roman" w:hAnsi="Times New Roman" w:cs="Times New Roman"/>
                <w:iCs/>
                <w:sz w:val="24"/>
                <w:szCs w:val="24"/>
                <w:lang w:eastAsia="lv-LV"/>
              </w:rPr>
            </w:pPr>
          </w:p>
          <w:p w14:paraId="183C5DF4" w14:textId="02C06297" w:rsidR="00455B38" w:rsidRPr="00395ACC" w:rsidRDefault="00534195" w:rsidP="000247B1">
            <w:pPr>
              <w:spacing w:after="0" w:line="240" w:lineRule="auto"/>
              <w:jc w:val="both"/>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Atbilstoši Noteikumu projektā noteiktajam, pēc liftu</w:t>
            </w:r>
            <w:r w:rsidR="00747B62" w:rsidRPr="00395ACC">
              <w:rPr>
                <w:rFonts w:ascii="Times New Roman" w:hAnsi="Times New Roman" w:cs="Times New Roman"/>
              </w:rPr>
              <w:t xml:space="preserve"> </w:t>
            </w:r>
            <w:r w:rsidR="00747B62" w:rsidRPr="00395ACC">
              <w:rPr>
                <w:rFonts w:ascii="Times New Roman" w:eastAsia="Times New Roman" w:hAnsi="Times New Roman" w:cs="Times New Roman"/>
                <w:iCs/>
                <w:sz w:val="24"/>
                <w:szCs w:val="24"/>
                <w:lang w:eastAsia="lv-LV"/>
              </w:rPr>
              <w:t>bez CE marķējuma</w:t>
            </w:r>
            <w:r w:rsidRPr="00395ACC">
              <w:rPr>
                <w:rFonts w:ascii="Times New Roman" w:eastAsia="Times New Roman" w:hAnsi="Times New Roman" w:cs="Times New Roman"/>
                <w:iCs/>
                <w:sz w:val="24"/>
                <w:szCs w:val="24"/>
                <w:lang w:eastAsia="lv-LV"/>
              </w:rPr>
              <w:t xml:space="preserve"> drošuma un risku novērtēšanas, valdītājiem būs jāveic attiecīgo liftu modernizācija. Taču šādas modernizācijas izmaksas nav nosakāmas un konkrēti aprēķināmas, jo ir ļoti daudzi ietekmējoši faktori, kas varētu ietekmēt liftu</w:t>
            </w:r>
            <w:r w:rsidR="00D23D39" w:rsidRPr="00395ACC">
              <w:rPr>
                <w:rFonts w:ascii="Times New Roman" w:eastAsia="Times New Roman" w:hAnsi="Times New Roman" w:cs="Times New Roman"/>
                <w:iCs/>
                <w:sz w:val="24"/>
                <w:szCs w:val="24"/>
                <w:lang w:eastAsia="lv-LV"/>
              </w:rPr>
              <w:t xml:space="preserve"> bez CE </w:t>
            </w:r>
            <w:r w:rsidR="00D23D39" w:rsidRPr="00395ACC">
              <w:rPr>
                <w:rFonts w:ascii="Times New Roman" w:hAnsi="Times New Roman" w:cs="Times New Roman"/>
                <w:sz w:val="24"/>
                <w:szCs w:val="24"/>
              </w:rPr>
              <w:t>marķējuma</w:t>
            </w:r>
            <w:r w:rsidR="00D23D39" w:rsidRPr="00395ACC">
              <w:rPr>
                <w:rFonts w:ascii="Times New Roman" w:eastAsia="Times New Roman" w:hAnsi="Times New Roman" w:cs="Times New Roman"/>
                <w:iCs/>
                <w:sz w:val="24"/>
                <w:szCs w:val="24"/>
                <w:lang w:eastAsia="lv-LV"/>
              </w:rPr>
              <w:t xml:space="preserve"> </w:t>
            </w:r>
            <w:r w:rsidRPr="00395ACC">
              <w:rPr>
                <w:rFonts w:ascii="Times New Roman" w:eastAsia="Times New Roman" w:hAnsi="Times New Roman" w:cs="Times New Roman"/>
                <w:iCs/>
                <w:sz w:val="24"/>
                <w:szCs w:val="24"/>
                <w:lang w:eastAsia="lv-LV"/>
              </w:rPr>
              <w:t>izmaksas, piemēram, dzīvojamās ēkas kopējais stāvu skaits, liftu nominālā celtspēja, apdare, nepieciešamie būvdarbi pie liftu nomaiņas</w:t>
            </w:r>
            <w:r w:rsidR="000247B1" w:rsidRPr="00395ACC">
              <w:rPr>
                <w:rFonts w:ascii="Times New Roman" w:eastAsia="Times New Roman" w:hAnsi="Times New Roman" w:cs="Times New Roman"/>
                <w:iCs/>
                <w:sz w:val="24"/>
                <w:szCs w:val="24"/>
                <w:lang w:eastAsia="lv-LV"/>
              </w:rPr>
              <w:t>. Aptaujājot uzņēmējus, kas veic šādu liftu apkalpošanu un modernizāciju, tika norādīts, ka izmaksas ir ļoti atkarīgas no attiecīgo liftu drošuma un riska izvērtēšanas rezultātiem. Šobrīd arī tipisko gadījumu nav iespējams nodefinēt.</w:t>
            </w:r>
          </w:p>
        </w:tc>
      </w:tr>
      <w:tr w:rsidR="00455B38" w:rsidRPr="00395ACC" w14:paraId="19B73718" w14:textId="77777777" w:rsidTr="007F3B6B">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83C7CA3"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5.</w:t>
            </w:r>
          </w:p>
        </w:tc>
        <w:tc>
          <w:tcPr>
            <w:tcW w:w="1665" w:type="pct"/>
            <w:tcBorders>
              <w:top w:val="outset" w:sz="6" w:space="0" w:color="auto"/>
              <w:left w:val="outset" w:sz="6" w:space="0" w:color="auto"/>
              <w:bottom w:val="outset" w:sz="6" w:space="0" w:color="auto"/>
              <w:right w:val="outset" w:sz="6" w:space="0" w:color="auto"/>
            </w:tcBorders>
            <w:hideMark/>
          </w:tcPr>
          <w:p w14:paraId="53865C7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64974176"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3565DBFF" w14:textId="77777777" w:rsidR="008464CE"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w:t>
      </w:r>
    </w:p>
    <w:tbl>
      <w:tblPr>
        <w:tblW w:w="90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985"/>
        <w:gridCol w:w="1134"/>
        <w:gridCol w:w="1149"/>
        <w:gridCol w:w="1142"/>
        <w:gridCol w:w="1276"/>
        <w:gridCol w:w="1110"/>
        <w:gridCol w:w="1134"/>
        <w:gridCol w:w="1150"/>
      </w:tblGrid>
      <w:tr w:rsidR="00604077" w:rsidRPr="00395ACC" w14:paraId="1205076A" w14:textId="77777777" w:rsidTr="007F3B6B">
        <w:trPr>
          <w:trHeight w:val="286"/>
          <w:tblCellSpacing w:w="20" w:type="dxa"/>
          <w:jc w:val="center"/>
        </w:trPr>
        <w:tc>
          <w:tcPr>
            <w:tcW w:w="9000" w:type="dxa"/>
            <w:gridSpan w:val="8"/>
          </w:tcPr>
          <w:p w14:paraId="1FB586E7" w14:textId="1E901053" w:rsidR="00604077" w:rsidRPr="00395ACC" w:rsidRDefault="00604077" w:rsidP="008464CE">
            <w:pPr>
              <w:spacing w:after="0" w:line="240" w:lineRule="auto"/>
              <w:jc w:val="center"/>
              <w:rPr>
                <w:rFonts w:ascii="Times New Roman" w:eastAsia="Times New Roman" w:hAnsi="Times New Roman" w:cs="Times New Roman"/>
                <w:b/>
                <w:bCs/>
                <w:i/>
                <w:iCs/>
                <w:sz w:val="24"/>
                <w:szCs w:val="24"/>
                <w:lang w:eastAsia="lv-LV"/>
              </w:rPr>
            </w:pPr>
            <w:r w:rsidRPr="00395ACC">
              <w:rPr>
                <w:rFonts w:ascii="Times New Roman" w:eastAsia="Times New Roman" w:hAnsi="Times New Roman" w:cs="Times New Roman"/>
                <w:b/>
                <w:bCs/>
                <w:iCs/>
                <w:sz w:val="24"/>
                <w:szCs w:val="24"/>
                <w:lang w:eastAsia="lv-LV"/>
              </w:rPr>
              <w:br w:type="page"/>
              <w:t>III. Tiesību akta projekta ietekme uz valsts budžetu un pašvaldību budžetiem</w:t>
            </w:r>
          </w:p>
        </w:tc>
      </w:tr>
      <w:tr w:rsidR="00C22FB5" w:rsidRPr="00395ACC" w14:paraId="358477A3" w14:textId="77777777" w:rsidTr="007F3B6B">
        <w:trPr>
          <w:tblCellSpacing w:w="20" w:type="dxa"/>
          <w:jc w:val="center"/>
        </w:trPr>
        <w:tc>
          <w:tcPr>
            <w:tcW w:w="925" w:type="dxa"/>
            <w:vMerge w:val="restart"/>
            <w:vAlign w:val="center"/>
          </w:tcPr>
          <w:p w14:paraId="65FA2986" w14:textId="77777777" w:rsidR="00C22FB5" w:rsidRPr="00395ACC" w:rsidRDefault="00C22FB5" w:rsidP="004E3EBD">
            <w:pPr>
              <w:spacing w:after="0" w:line="240" w:lineRule="auto"/>
              <w:jc w:val="center"/>
              <w:rPr>
                <w:rFonts w:ascii="Times New Roman" w:eastAsia="Times New Roman" w:hAnsi="Times New Roman" w:cs="Times New Roman"/>
                <w:b/>
                <w:iCs/>
                <w:sz w:val="24"/>
                <w:szCs w:val="24"/>
                <w:lang w:eastAsia="lv-LV"/>
              </w:rPr>
            </w:pPr>
            <w:r w:rsidRPr="00395ACC">
              <w:rPr>
                <w:rFonts w:ascii="Times New Roman" w:eastAsia="Times New Roman" w:hAnsi="Times New Roman" w:cs="Times New Roman"/>
                <w:b/>
                <w:iCs/>
                <w:sz w:val="24"/>
                <w:szCs w:val="24"/>
                <w:lang w:eastAsia="lv-LV"/>
              </w:rPr>
              <w:t>Rādītāji</w:t>
            </w:r>
          </w:p>
        </w:tc>
        <w:tc>
          <w:tcPr>
            <w:tcW w:w="2243" w:type="dxa"/>
            <w:gridSpan w:val="2"/>
            <w:vMerge w:val="restart"/>
            <w:vAlign w:val="center"/>
          </w:tcPr>
          <w:p w14:paraId="4917E67A" w14:textId="2E700B64" w:rsidR="00C22FB5" w:rsidRPr="00395ACC" w:rsidRDefault="00C22FB5" w:rsidP="008464CE">
            <w:pPr>
              <w:spacing w:after="0" w:line="240" w:lineRule="auto"/>
              <w:jc w:val="center"/>
              <w:rPr>
                <w:rFonts w:ascii="Times New Roman" w:eastAsia="Times New Roman" w:hAnsi="Times New Roman" w:cs="Times New Roman"/>
                <w:b/>
                <w:iCs/>
                <w:sz w:val="24"/>
                <w:szCs w:val="24"/>
                <w:lang w:eastAsia="lv-LV"/>
              </w:rPr>
            </w:pPr>
            <w:r w:rsidRPr="00395ACC">
              <w:rPr>
                <w:rFonts w:ascii="Times New Roman" w:eastAsia="Times New Roman" w:hAnsi="Times New Roman" w:cs="Times New Roman"/>
                <w:b/>
                <w:iCs/>
                <w:sz w:val="24"/>
                <w:szCs w:val="24"/>
                <w:lang w:eastAsia="lv-LV"/>
              </w:rPr>
              <w:t>20</w:t>
            </w:r>
            <w:r w:rsidR="006A7A66" w:rsidRPr="00395ACC">
              <w:rPr>
                <w:rFonts w:ascii="Times New Roman" w:eastAsia="Times New Roman" w:hAnsi="Times New Roman" w:cs="Times New Roman"/>
                <w:b/>
                <w:iCs/>
                <w:sz w:val="24"/>
                <w:szCs w:val="24"/>
                <w:lang w:eastAsia="lv-LV"/>
              </w:rPr>
              <w:t>20</w:t>
            </w:r>
            <w:r w:rsidRPr="00395ACC">
              <w:rPr>
                <w:rFonts w:ascii="Times New Roman" w:eastAsia="Times New Roman" w:hAnsi="Times New Roman" w:cs="Times New Roman"/>
                <w:b/>
                <w:iCs/>
                <w:sz w:val="24"/>
                <w:szCs w:val="24"/>
                <w:lang w:eastAsia="lv-LV"/>
              </w:rPr>
              <w:t>.gads</w:t>
            </w:r>
          </w:p>
        </w:tc>
        <w:tc>
          <w:tcPr>
            <w:tcW w:w="5752" w:type="dxa"/>
            <w:gridSpan w:val="5"/>
          </w:tcPr>
          <w:p w14:paraId="34F1A645" w14:textId="7DE8C52B"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eastAsia="lv-LV"/>
              </w:rPr>
              <w:t>Turpmākie trīs gadi (</w:t>
            </w:r>
            <w:r w:rsidRPr="00395ACC">
              <w:rPr>
                <w:rFonts w:ascii="Times New Roman" w:eastAsia="Times New Roman" w:hAnsi="Times New Roman" w:cs="Times New Roman"/>
                <w:i/>
                <w:iCs/>
                <w:sz w:val="24"/>
                <w:szCs w:val="24"/>
                <w:lang w:eastAsia="lv-LV"/>
              </w:rPr>
              <w:t>euro</w:t>
            </w:r>
            <w:r w:rsidRPr="00395ACC">
              <w:rPr>
                <w:rFonts w:ascii="Times New Roman" w:eastAsia="Times New Roman" w:hAnsi="Times New Roman" w:cs="Times New Roman"/>
                <w:iCs/>
                <w:sz w:val="24"/>
                <w:szCs w:val="24"/>
                <w:lang w:eastAsia="lv-LV"/>
              </w:rPr>
              <w:t>)</w:t>
            </w:r>
          </w:p>
        </w:tc>
      </w:tr>
      <w:tr w:rsidR="00C22FB5" w:rsidRPr="00395ACC" w14:paraId="388B1DEC" w14:textId="77777777" w:rsidTr="007F3B6B">
        <w:trPr>
          <w:tblCellSpacing w:w="20" w:type="dxa"/>
          <w:jc w:val="center"/>
        </w:trPr>
        <w:tc>
          <w:tcPr>
            <w:tcW w:w="925" w:type="dxa"/>
            <w:vMerge/>
            <w:vAlign w:val="center"/>
          </w:tcPr>
          <w:p w14:paraId="35EE8880" w14:textId="77777777" w:rsidR="00C22FB5" w:rsidRPr="00395ACC" w:rsidRDefault="00C22FB5" w:rsidP="008464CE">
            <w:pPr>
              <w:spacing w:after="0" w:line="240" w:lineRule="auto"/>
              <w:rPr>
                <w:rFonts w:ascii="Times New Roman" w:eastAsia="Times New Roman" w:hAnsi="Times New Roman" w:cs="Times New Roman"/>
                <w:b/>
                <w:i/>
                <w:iCs/>
                <w:sz w:val="24"/>
                <w:szCs w:val="24"/>
                <w:lang w:eastAsia="lv-LV"/>
              </w:rPr>
            </w:pPr>
          </w:p>
        </w:tc>
        <w:tc>
          <w:tcPr>
            <w:tcW w:w="2243" w:type="dxa"/>
            <w:gridSpan w:val="2"/>
            <w:vMerge/>
            <w:vAlign w:val="center"/>
          </w:tcPr>
          <w:p w14:paraId="1AF759A3" w14:textId="77777777"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p>
        </w:tc>
        <w:tc>
          <w:tcPr>
            <w:tcW w:w="2378" w:type="dxa"/>
            <w:gridSpan w:val="2"/>
          </w:tcPr>
          <w:p w14:paraId="1E369277" w14:textId="1B71BCF8"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b/>
                <w:bCs/>
                <w:iCs/>
                <w:sz w:val="24"/>
                <w:szCs w:val="24"/>
                <w:lang w:eastAsia="lv-LV"/>
              </w:rPr>
              <w:t>202</w:t>
            </w:r>
            <w:r w:rsidR="006A7A66" w:rsidRPr="00395ACC">
              <w:rPr>
                <w:rFonts w:ascii="Times New Roman" w:eastAsia="Times New Roman" w:hAnsi="Times New Roman" w:cs="Times New Roman"/>
                <w:b/>
                <w:bCs/>
                <w:iCs/>
                <w:sz w:val="24"/>
                <w:szCs w:val="24"/>
                <w:lang w:eastAsia="lv-LV"/>
              </w:rPr>
              <w:t>1</w:t>
            </w:r>
          </w:p>
        </w:tc>
        <w:tc>
          <w:tcPr>
            <w:tcW w:w="2204" w:type="dxa"/>
            <w:gridSpan w:val="2"/>
          </w:tcPr>
          <w:p w14:paraId="2E9DA750" w14:textId="756B2E10"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b/>
                <w:bCs/>
                <w:iCs/>
                <w:sz w:val="24"/>
                <w:szCs w:val="24"/>
                <w:lang w:eastAsia="lv-LV"/>
              </w:rPr>
              <w:t>202</w:t>
            </w:r>
            <w:r w:rsidR="006A7A66" w:rsidRPr="00395ACC">
              <w:rPr>
                <w:rFonts w:ascii="Times New Roman" w:eastAsia="Times New Roman" w:hAnsi="Times New Roman" w:cs="Times New Roman"/>
                <w:b/>
                <w:bCs/>
                <w:iCs/>
                <w:sz w:val="24"/>
                <w:szCs w:val="24"/>
                <w:lang w:eastAsia="lv-LV"/>
              </w:rPr>
              <w:t>2</w:t>
            </w:r>
          </w:p>
        </w:tc>
        <w:tc>
          <w:tcPr>
            <w:tcW w:w="1090" w:type="dxa"/>
            <w:vAlign w:val="center"/>
          </w:tcPr>
          <w:p w14:paraId="712877DC" w14:textId="2BD30FF4" w:rsidR="00C22FB5" w:rsidRPr="00395ACC" w:rsidRDefault="00C22FB5" w:rsidP="008464CE">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b/>
                <w:bCs/>
                <w:iCs/>
                <w:sz w:val="24"/>
                <w:szCs w:val="24"/>
                <w:lang w:eastAsia="lv-LV"/>
              </w:rPr>
              <w:t>202</w:t>
            </w:r>
            <w:r w:rsidR="006A7A66" w:rsidRPr="00395ACC">
              <w:rPr>
                <w:rFonts w:ascii="Times New Roman" w:eastAsia="Times New Roman" w:hAnsi="Times New Roman" w:cs="Times New Roman"/>
                <w:b/>
                <w:bCs/>
                <w:iCs/>
                <w:sz w:val="24"/>
                <w:szCs w:val="24"/>
                <w:lang w:eastAsia="lv-LV"/>
              </w:rPr>
              <w:t>3</w:t>
            </w:r>
          </w:p>
        </w:tc>
      </w:tr>
      <w:tr w:rsidR="00C22FB5" w:rsidRPr="00395ACC" w14:paraId="1B201598" w14:textId="77777777" w:rsidTr="007F3B6B">
        <w:trPr>
          <w:tblCellSpacing w:w="20" w:type="dxa"/>
          <w:jc w:val="center"/>
        </w:trPr>
        <w:tc>
          <w:tcPr>
            <w:tcW w:w="925" w:type="dxa"/>
            <w:vMerge/>
            <w:vAlign w:val="center"/>
          </w:tcPr>
          <w:p w14:paraId="4C07A8E5" w14:textId="77777777" w:rsidR="00C22FB5" w:rsidRPr="00395ACC" w:rsidRDefault="00C22FB5" w:rsidP="008464CE">
            <w:pPr>
              <w:spacing w:after="0" w:line="240" w:lineRule="auto"/>
              <w:rPr>
                <w:rFonts w:ascii="Times New Roman" w:eastAsia="Times New Roman" w:hAnsi="Times New Roman" w:cs="Times New Roman"/>
                <w:b/>
                <w:i/>
                <w:iCs/>
                <w:sz w:val="24"/>
                <w:szCs w:val="24"/>
                <w:lang w:eastAsia="lv-LV"/>
              </w:rPr>
            </w:pPr>
          </w:p>
        </w:tc>
        <w:tc>
          <w:tcPr>
            <w:tcW w:w="1094" w:type="dxa"/>
            <w:vAlign w:val="center"/>
          </w:tcPr>
          <w:p w14:paraId="5CE741F1" w14:textId="6BAEAACA"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eastAsia="lv-LV"/>
              </w:rPr>
              <w:t>saskaņā ar valsts budžetu kārtējam gadam</w:t>
            </w:r>
          </w:p>
        </w:tc>
        <w:tc>
          <w:tcPr>
            <w:tcW w:w="1109" w:type="dxa"/>
            <w:vAlign w:val="center"/>
          </w:tcPr>
          <w:p w14:paraId="2ED991D8" w14:textId="386BFD85"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eastAsia="lv-LV"/>
              </w:rPr>
              <w:t>izmaiņas kārtējā gadā, salīdzinot ar budžetu kārtējam gadam</w:t>
            </w:r>
          </w:p>
        </w:tc>
        <w:tc>
          <w:tcPr>
            <w:tcW w:w="1102" w:type="dxa"/>
            <w:vAlign w:val="center"/>
          </w:tcPr>
          <w:p w14:paraId="13EA767C" w14:textId="1D0D3F67" w:rsidR="00C22FB5" w:rsidRPr="00395ACC" w:rsidRDefault="00C22FB5" w:rsidP="00C22FB5">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saskaņā ar vidēja termiņa budžeta ietvaru</w:t>
            </w:r>
          </w:p>
        </w:tc>
        <w:tc>
          <w:tcPr>
            <w:tcW w:w="1236" w:type="dxa"/>
            <w:vAlign w:val="center"/>
          </w:tcPr>
          <w:p w14:paraId="4679D31B" w14:textId="5B17CC18"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val="sv-SE" w:eastAsia="lv-LV"/>
              </w:rPr>
              <w:t>izmaiņas, salīdzinot ar vidēja termiņa budžeta ietvaru 202</w:t>
            </w:r>
            <w:r w:rsidR="006A7A66" w:rsidRPr="00395ACC">
              <w:rPr>
                <w:rFonts w:ascii="Times New Roman" w:eastAsia="Times New Roman" w:hAnsi="Times New Roman" w:cs="Times New Roman"/>
                <w:iCs/>
                <w:sz w:val="24"/>
                <w:szCs w:val="24"/>
                <w:lang w:val="sv-SE" w:eastAsia="lv-LV"/>
              </w:rPr>
              <w:t>1</w:t>
            </w:r>
            <w:r w:rsidRPr="00395ACC">
              <w:rPr>
                <w:rFonts w:ascii="Times New Roman" w:eastAsia="Times New Roman" w:hAnsi="Times New Roman" w:cs="Times New Roman"/>
                <w:iCs/>
                <w:sz w:val="24"/>
                <w:szCs w:val="24"/>
                <w:lang w:val="sv-SE" w:eastAsia="lv-LV"/>
              </w:rPr>
              <w:t>. gadam</w:t>
            </w:r>
          </w:p>
        </w:tc>
        <w:tc>
          <w:tcPr>
            <w:tcW w:w="1070" w:type="dxa"/>
            <w:vAlign w:val="center"/>
          </w:tcPr>
          <w:p w14:paraId="4D82C844" w14:textId="3E39EB2B" w:rsidR="00C22FB5" w:rsidRPr="00395ACC" w:rsidRDefault="00C22FB5" w:rsidP="00C22FB5">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saskaņā ar vidēja termiņa budžeta ietvaru</w:t>
            </w:r>
          </w:p>
        </w:tc>
        <w:tc>
          <w:tcPr>
            <w:tcW w:w="1094" w:type="dxa"/>
            <w:vAlign w:val="center"/>
          </w:tcPr>
          <w:p w14:paraId="27D0F5AA" w14:textId="3AFDA75C"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val="sv-SE" w:eastAsia="lv-LV"/>
              </w:rPr>
              <w:t>izmaiņas, salīdzinot ar vidēja termiņa budžeta ietvaru 202</w:t>
            </w:r>
            <w:r w:rsidR="006A7A66" w:rsidRPr="00395ACC">
              <w:rPr>
                <w:rFonts w:ascii="Times New Roman" w:eastAsia="Times New Roman" w:hAnsi="Times New Roman" w:cs="Times New Roman"/>
                <w:iCs/>
                <w:sz w:val="24"/>
                <w:szCs w:val="24"/>
                <w:lang w:val="sv-SE" w:eastAsia="lv-LV"/>
              </w:rPr>
              <w:t>2</w:t>
            </w:r>
            <w:r w:rsidRPr="00395ACC">
              <w:rPr>
                <w:rFonts w:ascii="Times New Roman" w:eastAsia="Times New Roman" w:hAnsi="Times New Roman" w:cs="Times New Roman"/>
                <w:iCs/>
                <w:sz w:val="24"/>
                <w:szCs w:val="24"/>
                <w:lang w:val="sv-SE" w:eastAsia="lv-LV"/>
              </w:rPr>
              <w:t>. gadam</w:t>
            </w:r>
          </w:p>
        </w:tc>
        <w:tc>
          <w:tcPr>
            <w:tcW w:w="1090" w:type="dxa"/>
            <w:vAlign w:val="center"/>
          </w:tcPr>
          <w:p w14:paraId="7A2290F6" w14:textId="300A4AD1" w:rsidR="00C22FB5" w:rsidRPr="00395ACC" w:rsidRDefault="00C22FB5" w:rsidP="00C22FB5">
            <w:pPr>
              <w:spacing w:after="0" w:line="240" w:lineRule="auto"/>
              <w:jc w:val="center"/>
              <w:rPr>
                <w:rFonts w:ascii="Times New Roman" w:eastAsia="Times New Roman" w:hAnsi="Times New Roman" w:cs="Times New Roman"/>
                <w:b/>
                <w:i/>
                <w:iCs/>
                <w:sz w:val="24"/>
                <w:szCs w:val="24"/>
                <w:lang w:eastAsia="lv-LV"/>
              </w:rPr>
            </w:pPr>
            <w:r w:rsidRPr="00395ACC">
              <w:rPr>
                <w:rFonts w:ascii="Times New Roman" w:eastAsia="Times New Roman" w:hAnsi="Times New Roman" w:cs="Times New Roman"/>
                <w:iCs/>
                <w:sz w:val="24"/>
                <w:szCs w:val="24"/>
                <w:lang w:val="sv-SE" w:eastAsia="lv-LV"/>
              </w:rPr>
              <w:t>izmaiņas, salīdzinot ar vidēja termiņa budžeta 202</w:t>
            </w:r>
            <w:r w:rsidR="006A7A66" w:rsidRPr="00395ACC">
              <w:rPr>
                <w:rFonts w:ascii="Times New Roman" w:eastAsia="Times New Roman" w:hAnsi="Times New Roman" w:cs="Times New Roman"/>
                <w:iCs/>
                <w:sz w:val="24"/>
                <w:szCs w:val="24"/>
                <w:lang w:val="sv-SE" w:eastAsia="lv-LV"/>
              </w:rPr>
              <w:t>2</w:t>
            </w:r>
            <w:r w:rsidRPr="00395ACC">
              <w:rPr>
                <w:rFonts w:ascii="Times New Roman" w:eastAsia="Times New Roman" w:hAnsi="Times New Roman" w:cs="Times New Roman"/>
                <w:iCs/>
                <w:sz w:val="24"/>
                <w:szCs w:val="24"/>
                <w:lang w:val="sv-SE" w:eastAsia="lv-LV"/>
              </w:rPr>
              <w:t>. gadam</w:t>
            </w:r>
          </w:p>
        </w:tc>
      </w:tr>
      <w:tr w:rsidR="00C22FB5" w:rsidRPr="00395ACC" w14:paraId="54209125" w14:textId="77777777" w:rsidTr="007F3B6B">
        <w:trPr>
          <w:tblCellSpacing w:w="20" w:type="dxa"/>
          <w:jc w:val="center"/>
        </w:trPr>
        <w:tc>
          <w:tcPr>
            <w:tcW w:w="925" w:type="dxa"/>
            <w:vAlign w:val="center"/>
          </w:tcPr>
          <w:p w14:paraId="38E9352C"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1</w:t>
            </w:r>
          </w:p>
        </w:tc>
        <w:tc>
          <w:tcPr>
            <w:tcW w:w="1094" w:type="dxa"/>
            <w:vAlign w:val="center"/>
          </w:tcPr>
          <w:p w14:paraId="65A9A15D"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2</w:t>
            </w:r>
          </w:p>
        </w:tc>
        <w:tc>
          <w:tcPr>
            <w:tcW w:w="1109" w:type="dxa"/>
            <w:vAlign w:val="center"/>
          </w:tcPr>
          <w:p w14:paraId="37A05875"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3</w:t>
            </w:r>
          </w:p>
        </w:tc>
        <w:tc>
          <w:tcPr>
            <w:tcW w:w="1102" w:type="dxa"/>
          </w:tcPr>
          <w:p w14:paraId="624B5E5D" w14:textId="27363153"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4</w:t>
            </w:r>
          </w:p>
        </w:tc>
        <w:tc>
          <w:tcPr>
            <w:tcW w:w="1236" w:type="dxa"/>
            <w:vAlign w:val="center"/>
          </w:tcPr>
          <w:p w14:paraId="1D6E5B05" w14:textId="09B09C79"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5</w:t>
            </w:r>
          </w:p>
        </w:tc>
        <w:tc>
          <w:tcPr>
            <w:tcW w:w="1070" w:type="dxa"/>
          </w:tcPr>
          <w:p w14:paraId="7F75CE9D" w14:textId="576F8B79"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6</w:t>
            </w:r>
          </w:p>
        </w:tc>
        <w:tc>
          <w:tcPr>
            <w:tcW w:w="1094" w:type="dxa"/>
            <w:vAlign w:val="center"/>
          </w:tcPr>
          <w:p w14:paraId="2DA6927A" w14:textId="449C8D60"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7</w:t>
            </w:r>
          </w:p>
        </w:tc>
        <w:tc>
          <w:tcPr>
            <w:tcW w:w="1090" w:type="dxa"/>
            <w:vAlign w:val="center"/>
          </w:tcPr>
          <w:p w14:paraId="6A4E2CFB" w14:textId="25043EA3"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8</w:t>
            </w:r>
          </w:p>
        </w:tc>
      </w:tr>
      <w:tr w:rsidR="00C22FB5" w:rsidRPr="00395ACC" w14:paraId="179E414A" w14:textId="77777777" w:rsidTr="007F3B6B">
        <w:trPr>
          <w:tblCellSpacing w:w="20" w:type="dxa"/>
          <w:jc w:val="center"/>
        </w:trPr>
        <w:tc>
          <w:tcPr>
            <w:tcW w:w="925" w:type="dxa"/>
          </w:tcPr>
          <w:p w14:paraId="006D0ADE"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 Budžeta ieņēmumi:</w:t>
            </w:r>
          </w:p>
        </w:tc>
        <w:tc>
          <w:tcPr>
            <w:tcW w:w="1094" w:type="dxa"/>
            <w:vAlign w:val="center"/>
          </w:tcPr>
          <w:p w14:paraId="724692A1"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109" w:type="dxa"/>
            <w:vAlign w:val="center"/>
          </w:tcPr>
          <w:p w14:paraId="18741C3C" w14:textId="77777777" w:rsidR="00C22FB5" w:rsidRPr="00395ACC" w:rsidRDefault="00C22FB5"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102" w:type="dxa"/>
            <w:vAlign w:val="center"/>
          </w:tcPr>
          <w:p w14:paraId="6575EEB0" w14:textId="440E1975"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236" w:type="dxa"/>
            <w:vAlign w:val="center"/>
          </w:tcPr>
          <w:p w14:paraId="396BDE79" w14:textId="00700B80"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1070" w:type="dxa"/>
            <w:vAlign w:val="center"/>
          </w:tcPr>
          <w:p w14:paraId="203F12D3" w14:textId="6BF373F8"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vAlign w:val="center"/>
          </w:tcPr>
          <w:p w14:paraId="7A429607" w14:textId="658451B2"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1090" w:type="dxa"/>
            <w:vAlign w:val="center"/>
          </w:tcPr>
          <w:p w14:paraId="67829515" w14:textId="77777777"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r>
      <w:tr w:rsidR="00604077" w:rsidRPr="00395ACC" w14:paraId="0DF2D00D" w14:textId="77777777" w:rsidTr="007F3B6B">
        <w:trPr>
          <w:trHeight w:val="1403"/>
          <w:tblCellSpacing w:w="20" w:type="dxa"/>
          <w:jc w:val="center"/>
        </w:trPr>
        <w:tc>
          <w:tcPr>
            <w:tcW w:w="925" w:type="dxa"/>
          </w:tcPr>
          <w:p w14:paraId="2D3B749F"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1094" w:type="dxa"/>
            <w:vAlign w:val="center"/>
          </w:tcPr>
          <w:p w14:paraId="5D1AD6C1" w14:textId="77777777" w:rsidR="00C22FB5" w:rsidRPr="00395ACC" w:rsidRDefault="00C22FB5" w:rsidP="00604077">
            <w:pPr>
              <w:spacing w:after="0" w:line="240" w:lineRule="auto"/>
              <w:rPr>
                <w:rFonts w:ascii="Times New Roman" w:eastAsia="Times New Roman" w:hAnsi="Times New Roman" w:cs="Times New Roman"/>
                <w:sz w:val="24"/>
                <w:szCs w:val="24"/>
                <w:lang w:eastAsia="lv-LV"/>
              </w:rPr>
            </w:pPr>
          </w:p>
          <w:p w14:paraId="69AD9449"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109" w:type="dxa"/>
            <w:vAlign w:val="center"/>
          </w:tcPr>
          <w:p w14:paraId="087E779F" w14:textId="77777777" w:rsidR="00C22FB5" w:rsidRPr="00395ACC" w:rsidRDefault="00C22FB5" w:rsidP="00604077">
            <w:pPr>
              <w:spacing w:after="0" w:line="240" w:lineRule="auto"/>
              <w:rPr>
                <w:rFonts w:ascii="Times New Roman" w:eastAsia="Times New Roman" w:hAnsi="Times New Roman" w:cs="Times New Roman"/>
                <w:sz w:val="24"/>
                <w:szCs w:val="24"/>
                <w:lang w:eastAsia="lv-LV"/>
              </w:rPr>
            </w:pPr>
          </w:p>
          <w:p w14:paraId="76BFBB91"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102" w:type="dxa"/>
            <w:vAlign w:val="center"/>
          </w:tcPr>
          <w:p w14:paraId="016DB361"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27FE5800"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2AB66DEE"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0F909077" w14:textId="6382C46D" w:rsidR="00C22FB5" w:rsidRPr="00395ACC" w:rsidRDefault="00604077"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p w14:paraId="5F99B0ED"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1756809F" w14:textId="3802D45C"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tc>
        <w:tc>
          <w:tcPr>
            <w:tcW w:w="1236" w:type="dxa"/>
            <w:vAlign w:val="center"/>
          </w:tcPr>
          <w:p w14:paraId="6AD34792"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p>
          <w:p w14:paraId="466DAC9E"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070" w:type="dxa"/>
            <w:vAlign w:val="center"/>
          </w:tcPr>
          <w:p w14:paraId="522093B3" w14:textId="77777777" w:rsidR="00604077" w:rsidRPr="00395ACC" w:rsidRDefault="00604077" w:rsidP="00604077">
            <w:pPr>
              <w:spacing w:after="0" w:line="240" w:lineRule="auto"/>
              <w:jc w:val="center"/>
              <w:rPr>
                <w:rFonts w:ascii="Times New Roman" w:eastAsia="Times New Roman" w:hAnsi="Times New Roman" w:cs="Times New Roman"/>
                <w:sz w:val="24"/>
                <w:szCs w:val="24"/>
                <w:lang w:eastAsia="lv-LV"/>
              </w:rPr>
            </w:pPr>
          </w:p>
          <w:p w14:paraId="623FE074" w14:textId="104C1725" w:rsidR="00C22FB5" w:rsidRPr="00395ACC" w:rsidRDefault="00604077"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094" w:type="dxa"/>
            <w:vAlign w:val="center"/>
          </w:tcPr>
          <w:p w14:paraId="79BCA101" w14:textId="77777777" w:rsidR="00C22FB5" w:rsidRPr="00395ACC" w:rsidRDefault="00C22FB5" w:rsidP="00604077">
            <w:pPr>
              <w:spacing w:after="0" w:line="240" w:lineRule="auto"/>
              <w:rPr>
                <w:rFonts w:ascii="Times New Roman" w:eastAsia="Times New Roman" w:hAnsi="Times New Roman" w:cs="Times New Roman"/>
                <w:sz w:val="24"/>
                <w:szCs w:val="24"/>
                <w:lang w:eastAsia="lv-LV"/>
              </w:rPr>
            </w:pPr>
          </w:p>
          <w:p w14:paraId="547999F9"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c>
          <w:tcPr>
            <w:tcW w:w="1090" w:type="dxa"/>
            <w:vAlign w:val="center"/>
          </w:tcPr>
          <w:p w14:paraId="5814D3FA"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p>
          <w:p w14:paraId="68F8055E" w14:textId="77777777" w:rsidR="00C22FB5" w:rsidRPr="00395ACC" w:rsidRDefault="00C22FB5" w:rsidP="00604077">
            <w:pPr>
              <w:spacing w:after="0" w:line="240" w:lineRule="auto"/>
              <w:jc w:val="center"/>
              <w:rPr>
                <w:rFonts w:ascii="Times New Roman" w:eastAsia="Times New Roman" w:hAnsi="Times New Roman" w:cs="Times New Roman"/>
                <w:sz w:val="24"/>
                <w:szCs w:val="24"/>
                <w:lang w:eastAsia="lv-LV"/>
              </w:rPr>
            </w:pPr>
            <w:r w:rsidRPr="00395ACC">
              <w:rPr>
                <w:rFonts w:ascii="Times New Roman" w:eastAsia="Times New Roman" w:hAnsi="Times New Roman" w:cs="Times New Roman"/>
                <w:sz w:val="24"/>
                <w:szCs w:val="24"/>
                <w:lang w:eastAsia="lv-LV"/>
              </w:rPr>
              <w:t>0</w:t>
            </w:r>
          </w:p>
        </w:tc>
      </w:tr>
      <w:tr w:rsidR="00604077" w:rsidRPr="00395ACC" w14:paraId="5B36DAB4" w14:textId="77777777" w:rsidTr="007F3B6B">
        <w:trPr>
          <w:tblCellSpacing w:w="20" w:type="dxa"/>
          <w:jc w:val="center"/>
        </w:trPr>
        <w:tc>
          <w:tcPr>
            <w:tcW w:w="925" w:type="dxa"/>
          </w:tcPr>
          <w:p w14:paraId="37244197"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1.2. valsts speciālais budžets</w:t>
            </w:r>
          </w:p>
        </w:tc>
        <w:tc>
          <w:tcPr>
            <w:tcW w:w="1094" w:type="dxa"/>
            <w:vAlign w:val="center"/>
          </w:tcPr>
          <w:p w14:paraId="04F5008C"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4622A14C"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vAlign w:val="center"/>
          </w:tcPr>
          <w:p w14:paraId="1467AE79" w14:textId="33A3FF41"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3992C16B" w14:textId="6C9111E0"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vAlign w:val="center"/>
          </w:tcPr>
          <w:p w14:paraId="62F1AA41" w14:textId="35843881"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4E12F36C" w14:textId="4792B9E0"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48115000"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67BC4293" w14:textId="77777777" w:rsidTr="007F3B6B">
        <w:trPr>
          <w:tblCellSpacing w:w="20" w:type="dxa"/>
          <w:jc w:val="center"/>
        </w:trPr>
        <w:tc>
          <w:tcPr>
            <w:tcW w:w="925" w:type="dxa"/>
          </w:tcPr>
          <w:p w14:paraId="627108E6" w14:textId="77777777" w:rsidR="00C22FB5" w:rsidRPr="00395ACC" w:rsidRDefault="00C22FB5" w:rsidP="008464CE">
            <w:pPr>
              <w:spacing w:after="0" w:line="240" w:lineRule="auto"/>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1.3. pašvaldību budžets</w:t>
            </w:r>
          </w:p>
        </w:tc>
        <w:tc>
          <w:tcPr>
            <w:tcW w:w="1094" w:type="dxa"/>
            <w:vAlign w:val="center"/>
          </w:tcPr>
          <w:p w14:paraId="256F53C5"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3AED7BD7"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vAlign w:val="center"/>
          </w:tcPr>
          <w:p w14:paraId="6A458495" w14:textId="2C78892D"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43B4C7B0" w14:textId="689D013E"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vAlign w:val="center"/>
          </w:tcPr>
          <w:p w14:paraId="3DB86068" w14:textId="273354CC"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95D89F3" w14:textId="6C1D5E5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6481EF0A"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0CD155D2" w14:textId="77777777" w:rsidTr="007F3B6B">
        <w:trPr>
          <w:tblCellSpacing w:w="20" w:type="dxa"/>
          <w:jc w:val="center"/>
        </w:trPr>
        <w:tc>
          <w:tcPr>
            <w:tcW w:w="925" w:type="dxa"/>
          </w:tcPr>
          <w:p w14:paraId="3C52E97A"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 Budžeta izdevumi:</w:t>
            </w:r>
          </w:p>
        </w:tc>
        <w:tc>
          <w:tcPr>
            <w:tcW w:w="1094" w:type="dxa"/>
          </w:tcPr>
          <w:p w14:paraId="53D3D29F" w14:textId="77777777" w:rsidR="00C22FB5" w:rsidRPr="00395ACC" w:rsidRDefault="00C22FB5" w:rsidP="002C5A8C">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109" w:type="dxa"/>
          </w:tcPr>
          <w:p w14:paraId="00440DC9" w14:textId="77777777" w:rsidR="00C22FB5" w:rsidRPr="00395ACC" w:rsidRDefault="00C22FB5" w:rsidP="002C5A8C">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102" w:type="dxa"/>
            <w:vAlign w:val="center"/>
          </w:tcPr>
          <w:p w14:paraId="721F9130" w14:textId="7748DA97"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236" w:type="dxa"/>
            <w:vAlign w:val="center"/>
          </w:tcPr>
          <w:p w14:paraId="4DD17A56" w14:textId="07FC38E6" w:rsidR="00C22FB5" w:rsidRPr="00395ACC" w:rsidRDefault="00C22FB5" w:rsidP="00604077">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1070" w:type="dxa"/>
            <w:vAlign w:val="center"/>
          </w:tcPr>
          <w:p w14:paraId="61A1D7EA" w14:textId="40F6D3CF" w:rsidR="00C22FB5" w:rsidRPr="00395ACC" w:rsidRDefault="00604077" w:rsidP="00604077">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094" w:type="dxa"/>
          </w:tcPr>
          <w:p w14:paraId="784F166C" w14:textId="65574FEB" w:rsidR="00C22FB5" w:rsidRPr="00395ACC" w:rsidRDefault="00C22FB5" w:rsidP="002C5A8C">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c>
          <w:tcPr>
            <w:tcW w:w="1090" w:type="dxa"/>
          </w:tcPr>
          <w:p w14:paraId="0D1C2C04" w14:textId="7A1B656F" w:rsidR="00C22FB5" w:rsidRPr="00395ACC" w:rsidRDefault="00C22FB5" w:rsidP="002C5A8C">
            <w:pPr>
              <w:spacing w:after="0" w:line="240" w:lineRule="auto"/>
              <w:jc w:val="center"/>
              <w:rPr>
                <w:rFonts w:ascii="Times New Roman" w:eastAsia="Times New Roman" w:hAnsi="Times New Roman" w:cs="Times New Roman"/>
                <w:bCs/>
                <w:i/>
                <w:iCs/>
                <w:sz w:val="24"/>
                <w:szCs w:val="24"/>
                <w:lang w:eastAsia="lv-LV"/>
              </w:rPr>
            </w:pPr>
            <w:r w:rsidRPr="00395ACC">
              <w:rPr>
                <w:rFonts w:ascii="Times New Roman" w:eastAsia="Times New Roman" w:hAnsi="Times New Roman" w:cs="Times New Roman"/>
                <w:bCs/>
                <w:iCs/>
                <w:sz w:val="24"/>
                <w:szCs w:val="24"/>
                <w:lang w:eastAsia="lv-LV"/>
              </w:rPr>
              <w:t>0</w:t>
            </w:r>
          </w:p>
        </w:tc>
      </w:tr>
      <w:tr w:rsidR="00C22FB5" w:rsidRPr="00395ACC" w14:paraId="0024C9B5" w14:textId="77777777" w:rsidTr="007F3B6B">
        <w:trPr>
          <w:tblCellSpacing w:w="20" w:type="dxa"/>
          <w:jc w:val="center"/>
        </w:trPr>
        <w:tc>
          <w:tcPr>
            <w:tcW w:w="925" w:type="dxa"/>
          </w:tcPr>
          <w:p w14:paraId="55D60DE3"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2.1. valsts pamatbudžets</w:t>
            </w:r>
          </w:p>
        </w:tc>
        <w:tc>
          <w:tcPr>
            <w:tcW w:w="1094" w:type="dxa"/>
          </w:tcPr>
          <w:p w14:paraId="0FDFAAF0"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tcPr>
          <w:p w14:paraId="12AD7B21"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vAlign w:val="center"/>
          </w:tcPr>
          <w:p w14:paraId="09438392" w14:textId="582876E7"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24594E79" w14:textId="4011E323"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vAlign w:val="center"/>
          </w:tcPr>
          <w:p w14:paraId="28544285" w14:textId="2366596E"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11243540" w14:textId="18E51B4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51BA20E" w14:textId="2B916A73"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00B19B01" w14:textId="77777777" w:rsidTr="007F3B6B">
        <w:trPr>
          <w:tblCellSpacing w:w="20" w:type="dxa"/>
          <w:jc w:val="center"/>
        </w:trPr>
        <w:tc>
          <w:tcPr>
            <w:tcW w:w="925" w:type="dxa"/>
          </w:tcPr>
          <w:p w14:paraId="1E5AD755"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2.2. valsts speciālais budžets</w:t>
            </w:r>
          </w:p>
        </w:tc>
        <w:tc>
          <w:tcPr>
            <w:tcW w:w="1094" w:type="dxa"/>
            <w:vAlign w:val="center"/>
          </w:tcPr>
          <w:p w14:paraId="1E03A2A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0C83F9E6"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vAlign w:val="center"/>
          </w:tcPr>
          <w:p w14:paraId="71CBEADB" w14:textId="28819ED0"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3E16B17D" w14:textId="7E1B20F2"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vAlign w:val="center"/>
          </w:tcPr>
          <w:p w14:paraId="6C547AD4" w14:textId="0FB660D7"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07A3E673" w14:textId="4388A5FC"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5CC7BAE"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2E6F4002" w14:textId="77777777" w:rsidTr="007F3B6B">
        <w:trPr>
          <w:tblCellSpacing w:w="20" w:type="dxa"/>
          <w:jc w:val="center"/>
        </w:trPr>
        <w:tc>
          <w:tcPr>
            <w:tcW w:w="925" w:type="dxa"/>
          </w:tcPr>
          <w:p w14:paraId="38943235"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2.3. pašvaldību budžets </w:t>
            </w:r>
          </w:p>
        </w:tc>
        <w:tc>
          <w:tcPr>
            <w:tcW w:w="1094" w:type="dxa"/>
            <w:vAlign w:val="center"/>
          </w:tcPr>
          <w:p w14:paraId="568A05AA"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p w14:paraId="3E4252CB" w14:textId="77777777" w:rsidR="00CE068C" w:rsidRPr="00395ACC" w:rsidRDefault="00CE068C" w:rsidP="00CE068C">
            <w:pPr>
              <w:rPr>
                <w:rFonts w:ascii="Times New Roman" w:eastAsia="Times New Roman" w:hAnsi="Times New Roman" w:cs="Times New Roman"/>
                <w:iCs/>
                <w:sz w:val="24"/>
                <w:szCs w:val="24"/>
                <w:lang w:eastAsia="lv-LV"/>
              </w:rPr>
            </w:pPr>
          </w:p>
          <w:p w14:paraId="2856E19D" w14:textId="08083768" w:rsidR="00CE068C" w:rsidRPr="00395ACC" w:rsidRDefault="00CE068C" w:rsidP="00CE068C">
            <w:pPr>
              <w:rPr>
                <w:rFonts w:ascii="Times New Roman" w:eastAsia="Times New Roman" w:hAnsi="Times New Roman" w:cs="Times New Roman"/>
                <w:sz w:val="24"/>
                <w:szCs w:val="24"/>
                <w:lang w:eastAsia="lv-LV"/>
              </w:rPr>
            </w:pPr>
          </w:p>
        </w:tc>
        <w:tc>
          <w:tcPr>
            <w:tcW w:w="1109" w:type="dxa"/>
            <w:vAlign w:val="center"/>
          </w:tcPr>
          <w:p w14:paraId="281A187B"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vAlign w:val="center"/>
          </w:tcPr>
          <w:p w14:paraId="437AE889" w14:textId="62ADD253"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0C29F55D" w14:textId="36FDD902"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vAlign w:val="center"/>
          </w:tcPr>
          <w:p w14:paraId="0E6A7A38" w14:textId="416A9929"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40B6999F" w14:textId="7FF8FF63"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8304260"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07AABD41" w14:textId="77777777" w:rsidTr="007F3B6B">
        <w:trPr>
          <w:tblCellSpacing w:w="20" w:type="dxa"/>
          <w:jc w:val="center"/>
        </w:trPr>
        <w:tc>
          <w:tcPr>
            <w:tcW w:w="925" w:type="dxa"/>
          </w:tcPr>
          <w:p w14:paraId="7CF74C1D"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3. Finansiālā ietekme:</w:t>
            </w:r>
          </w:p>
        </w:tc>
        <w:tc>
          <w:tcPr>
            <w:tcW w:w="1094" w:type="dxa"/>
            <w:shd w:val="clear" w:color="auto" w:fill="auto"/>
            <w:vAlign w:val="center"/>
          </w:tcPr>
          <w:p w14:paraId="362FE800" w14:textId="77777777" w:rsidR="00C22FB5" w:rsidRPr="00395ACC" w:rsidRDefault="00C22FB5" w:rsidP="002C5A8C">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0</w:t>
            </w:r>
          </w:p>
        </w:tc>
        <w:tc>
          <w:tcPr>
            <w:tcW w:w="1109" w:type="dxa"/>
            <w:vAlign w:val="center"/>
          </w:tcPr>
          <w:p w14:paraId="66E41E6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vAlign w:val="center"/>
          </w:tcPr>
          <w:p w14:paraId="39700E7E" w14:textId="3182A006"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586ECCBA" w14:textId="5D379C32" w:rsidR="00C22FB5" w:rsidRPr="00395ACC" w:rsidRDefault="00C22FB5"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vAlign w:val="center"/>
          </w:tcPr>
          <w:p w14:paraId="08D418FB" w14:textId="7B41CFC2" w:rsidR="00C22FB5" w:rsidRPr="00395ACC" w:rsidRDefault="00604077" w:rsidP="00604077">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DB0D2B7" w14:textId="25DF768F"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73907378" w14:textId="043F389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6428B3C4" w14:textId="77777777" w:rsidTr="007F3B6B">
        <w:trPr>
          <w:tblCellSpacing w:w="20" w:type="dxa"/>
          <w:jc w:val="center"/>
        </w:trPr>
        <w:tc>
          <w:tcPr>
            <w:tcW w:w="925" w:type="dxa"/>
          </w:tcPr>
          <w:p w14:paraId="3C2B276D"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3.1. valsts pamatbudžets</w:t>
            </w:r>
          </w:p>
        </w:tc>
        <w:tc>
          <w:tcPr>
            <w:tcW w:w="1094" w:type="dxa"/>
            <w:shd w:val="clear" w:color="auto" w:fill="auto"/>
            <w:vAlign w:val="center"/>
          </w:tcPr>
          <w:p w14:paraId="5E945F01"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7D0DA478"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71FD5759" w14:textId="26CC2D8E"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0F6B7A25" w14:textId="1AE8D9EF"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5EF99F2C" w14:textId="01FC5F9B"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9399C4F" w14:textId="4BCEFE2B"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222E4563" w14:textId="1E0003C9"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79FF11FA" w14:textId="77777777" w:rsidTr="007F3B6B">
        <w:trPr>
          <w:tblCellSpacing w:w="20" w:type="dxa"/>
          <w:jc w:val="center"/>
        </w:trPr>
        <w:tc>
          <w:tcPr>
            <w:tcW w:w="925" w:type="dxa"/>
          </w:tcPr>
          <w:p w14:paraId="08854704"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3.2. speciālais budžets</w:t>
            </w:r>
          </w:p>
        </w:tc>
        <w:tc>
          <w:tcPr>
            <w:tcW w:w="1094" w:type="dxa"/>
            <w:shd w:val="clear" w:color="auto" w:fill="auto"/>
            <w:vAlign w:val="center"/>
          </w:tcPr>
          <w:p w14:paraId="7C020BA3"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75856C57"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4EF9C22C" w14:textId="49EC6791"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1A9A36D3" w14:textId="1F0CF40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518B9283" w14:textId="0D4E109B"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293601D0" w14:textId="295C35E0"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17F0552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141A16E1" w14:textId="77777777" w:rsidTr="007F3B6B">
        <w:trPr>
          <w:tblCellSpacing w:w="20" w:type="dxa"/>
          <w:jc w:val="center"/>
        </w:trPr>
        <w:tc>
          <w:tcPr>
            <w:tcW w:w="925" w:type="dxa"/>
          </w:tcPr>
          <w:p w14:paraId="4961A419"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3.3. pašvaldību budžets </w:t>
            </w:r>
          </w:p>
        </w:tc>
        <w:tc>
          <w:tcPr>
            <w:tcW w:w="1094" w:type="dxa"/>
            <w:shd w:val="clear" w:color="auto" w:fill="auto"/>
            <w:vAlign w:val="center"/>
          </w:tcPr>
          <w:p w14:paraId="41E12BB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76572D7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7AE251F7" w14:textId="06DFB625"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09786FEC" w14:textId="5E9AFCD5"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4A547E8F" w14:textId="4F5B66E2"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6C6A790A" w14:textId="7280980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4BB25956"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37191EF3" w14:textId="77777777" w:rsidTr="007F3B6B">
        <w:trPr>
          <w:tblCellSpacing w:w="20" w:type="dxa"/>
          <w:jc w:val="center"/>
        </w:trPr>
        <w:tc>
          <w:tcPr>
            <w:tcW w:w="925" w:type="dxa"/>
            <w:vMerge w:val="restart"/>
          </w:tcPr>
          <w:p w14:paraId="47EC7906" w14:textId="75B491E5"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 Finanšu līdzekļi papildu izde</w:t>
            </w:r>
            <w:r w:rsidRPr="00395ACC">
              <w:rPr>
                <w:rFonts w:ascii="Times New Roman" w:eastAsia="Times New Roman" w:hAnsi="Times New Roman" w:cs="Times New Roman"/>
                <w:iCs/>
                <w:sz w:val="24"/>
                <w:szCs w:val="24"/>
                <w:lang w:eastAsia="lv-LV"/>
              </w:rPr>
              <w:softHyphen/>
              <w:t xml:space="preserve">vumu finansēšanai (kompensējošu izdevumu samazinājumu norāda ar </w:t>
            </w:r>
            <w:r w:rsidR="001C15D2"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w:t>
            </w:r>
            <w:r w:rsidR="001C15D2" w:rsidRPr="00395ACC">
              <w:rPr>
                <w:rFonts w:ascii="Times New Roman" w:eastAsia="Times New Roman" w:hAnsi="Times New Roman" w:cs="Times New Roman"/>
                <w:iCs/>
                <w:sz w:val="24"/>
                <w:szCs w:val="24"/>
                <w:lang w:eastAsia="lv-LV"/>
              </w:rPr>
              <w:t>”</w:t>
            </w:r>
            <w:r w:rsidRPr="00395ACC">
              <w:rPr>
                <w:rFonts w:ascii="Times New Roman" w:eastAsia="Times New Roman" w:hAnsi="Times New Roman" w:cs="Times New Roman"/>
                <w:iCs/>
                <w:sz w:val="24"/>
                <w:szCs w:val="24"/>
                <w:lang w:eastAsia="lv-LV"/>
              </w:rPr>
              <w:t xml:space="preserve"> zīmi)</w:t>
            </w:r>
          </w:p>
        </w:tc>
        <w:tc>
          <w:tcPr>
            <w:tcW w:w="1094" w:type="dxa"/>
            <w:vMerge w:val="restart"/>
            <w:vAlign w:val="center"/>
          </w:tcPr>
          <w:p w14:paraId="55EBB95D" w14:textId="5EC01D55"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4F330AFD"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6704CCBF" w14:textId="0086C3D9"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74395C75" w14:textId="576F61B9"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4E8B38C7" w14:textId="4D1403D8"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579CD875" w14:textId="26881B4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728E655"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53338F62" w14:textId="77777777" w:rsidTr="007F3B6B">
        <w:trPr>
          <w:tblCellSpacing w:w="20" w:type="dxa"/>
          <w:jc w:val="center"/>
        </w:trPr>
        <w:tc>
          <w:tcPr>
            <w:tcW w:w="925" w:type="dxa"/>
            <w:vMerge/>
          </w:tcPr>
          <w:p w14:paraId="59C52279"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p>
        </w:tc>
        <w:tc>
          <w:tcPr>
            <w:tcW w:w="1094" w:type="dxa"/>
            <w:vMerge/>
          </w:tcPr>
          <w:p w14:paraId="7AC85FC2" w14:textId="77777777"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p>
        </w:tc>
        <w:tc>
          <w:tcPr>
            <w:tcW w:w="1109" w:type="dxa"/>
            <w:vAlign w:val="center"/>
          </w:tcPr>
          <w:p w14:paraId="740E939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470E8F1B" w14:textId="13E44F29"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236" w:type="dxa"/>
            <w:vAlign w:val="center"/>
          </w:tcPr>
          <w:p w14:paraId="6E408994" w14:textId="3E2FB3B9"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08C1B50C" w14:textId="38BDA718" w:rsidR="00C22FB5" w:rsidRPr="00395ACC" w:rsidRDefault="00604077"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4" w:type="dxa"/>
            <w:vAlign w:val="center"/>
          </w:tcPr>
          <w:p w14:paraId="3CEAD380" w14:textId="4E0DF6CB"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17C09C2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1383A5E6" w14:textId="77777777" w:rsidTr="007F3B6B">
        <w:trPr>
          <w:trHeight w:val="735"/>
          <w:tblCellSpacing w:w="20" w:type="dxa"/>
          <w:jc w:val="center"/>
        </w:trPr>
        <w:tc>
          <w:tcPr>
            <w:tcW w:w="925" w:type="dxa"/>
            <w:vMerge/>
          </w:tcPr>
          <w:p w14:paraId="7C108F2B"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p>
        </w:tc>
        <w:tc>
          <w:tcPr>
            <w:tcW w:w="1094" w:type="dxa"/>
            <w:vMerge/>
          </w:tcPr>
          <w:p w14:paraId="22516C65" w14:textId="77777777"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p>
        </w:tc>
        <w:tc>
          <w:tcPr>
            <w:tcW w:w="1109" w:type="dxa"/>
            <w:vAlign w:val="center"/>
          </w:tcPr>
          <w:p w14:paraId="28B8174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2ED1F843"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236" w:type="dxa"/>
            <w:vAlign w:val="center"/>
          </w:tcPr>
          <w:p w14:paraId="39614480" w14:textId="1494E2EA"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04A41C2D"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638DB033" w14:textId="0A4B4509"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4DAD7C3A"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790C8E23" w14:textId="77777777" w:rsidTr="007F3B6B">
        <w:trPr>
          <w:tblCellSpacing w:w="20" w:type="dxa"/>
          <w:jc w:val="center"/>
        </w:trPr>
        <w:tc>
          <w:tcPr>
            <w:tcW w:w="925" w:type="dxa"/>
          </w:tcPr>
          <w:p w14:paraId="3C802074"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5. Precizēta finansiālā ietekme:</w:t>
            </w:r>
          </w:p>
        </w:tc>
        <w:tc>
          <w:tcPr>
            <w:tcW w:w="1094" w:type="dxa"/>
            <w:vMerge w:val="restart"/>
            <w:vAlign w:val="center"/>
          </w:tcPr>
          <w:p w14:paraId="1A69C8F3" w14:textId="0B322903"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r w:rsidRPr="00395ACC">
              <w:rPr>
                <w:rFonts w:ascii="Times New Roman" w:eastAsia="Times New Roman" w:hAnsi="Times New Roman" w:cs="Times New Roman"/>
                <w:iCs/>
                <w:sz w:val="24"/>
                <w:szCs w:val="24"/>
                <w:lang w:eastAsia="lv-LV"/>
              </w:rPr>
              <w:t>0</w:t>
            </w:r>
          </w:p>
        </w:tc>
        <w:tc>
          <w:tcPr>
            <w:tcW w:w="1109" w:type="dxa"/>
            <w:vAlign w:val="center"/>
          </w:tcPr>
          <w:p w14:paraId="674EDEB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230012A0"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236" w:type="dxa"/>
            <w:vAlign w:val="center"/>
          </w:tcPr>
          <w:p w14:paraId="57C283B8" w14:textId="482DE03B"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05603B23"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5C440C00" w14:textId="26D99CC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398D33E4"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5B9DCC2B" w14:textId="77777777" w:rsidTr="007F3B6B">
        <w:trPr>
          <w:tblCellSpacing w:w="20" w:type="dxa"/>
          <w:jc w:val="center"/>
        </w:trPr>
        <w:tc>
          <w:tcPr>
            <w:tcW w:w="925" w:type="dxa"/>
          </w:tcPr>
          <w:p w14:paraId="71B5CC86"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5.1. valsts pamatbudžets</w:t>
            </w:r>
          </w:p>
        </w:tc>
        <w:tc>
          <w:tcPr>
            <w:tcW w:w="1094" w:type="dxa"/>
            <w:vMerge/>
            <w:vAlign w:val="center"/>
          </w:tcPr>
          <w:p w14:paraId="66741B9A" w14:textId="77777777"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p>
        </w:tc>
        <w:tc>
          <w:tcPr>
            <w:tcW w:w="1109" w:type="dxa"/>
            <w:vAlign w:val="center"/>
          </w:tcPr>
          <w:p w14:paraId="0F53C495"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5FD03CDD"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236" w:type="dxa"/>
            <w:vAlign w:val="center"/>
          </w:tcPr>
          <w:p w14:paraId="1BA92F3E" w14:textId="54D739C6"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6676C5E1"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44863052" w14:textId="57C97412"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6AF8889D"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3237FAA5" w14:textId="77777777" w:rsidTr="007F3B6B">
        <w:trPr>
          <w:tblCellSpacing w:w="20" w:type="dxa"/>
          <w:jc w:val="center"/>
        </w:trPr>
        <w:tc>
          <w:tcPr>
            <w:tcW w:w="925" w:type="dxa"/>
          </w:tcPr>
          <w:p w14:paraId="4FAE856E"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5.2. speciālais budžets</w:t>
            </w:r>
          </w:p>
        </w:tc>
        <w:tc>
          <w:tcPr>
            <w:tcW w:w="1094" w:type="dxa"/>
            <w:vMerge/>
            <w:vAlign w:val="center"/>
          </w:tcPr>
          <w:p w14:paraId="7541B7CE" w14:textId="77777777"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p>
        </w:tc>
        <w:tc>
          <w:tcPr>
            <w:tcW w:w="1109" w:type="dxa"/>
            <w:vAlign w:val="center"/>
          </w:tcPr>
          <w:p w14:paraId="75355AC9"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0D64B77E"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236" w:type="dxa"/>
            <w:vAlign w:val="center"/>
          </w:tcPr>
          <w:p w14:paraId="1AE8C217" w14:textId="52BBE59E"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078C5CA8"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6E6AA393" w14:textId="759245CA"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0C123997"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C22FB5" w:rsidRPr="00395ACC" w14:paraId="12E9C774" w14:textId="77777777" w:rsidTr="007F3B6B">
        <w:trPr>
          <w:tblCellSpacing w:w="20" w:type="dxa"/>
          <w:jc w:val="center"/>
        </w:trPr>
        <w:tc>
          <w:tcPr>
            <w:tcW w:w="925" w:type="dxa"/>
          </w:tcPr>
          <w:p w14:paraId="28976CE6" w14:textId="77777777" w:rsidR="00C22FB5" w:rsidRPr="00395ACC" w:rsidRDefault="00C22FB5" w:rsidP="008464CE">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5.3. pašvaldību budžets </w:t>
            </w:r>
          </w:p>
        </w:tc>
        <w:tc>
          <w:tcPr>
            <w:tcW w:w="1094" w:type="dxa"/>
            <w:vMerge/>
            <w:vAlign w:val="center"/>
          </w:tcPr>
          <w:p w14:paraId="54398F0B" w14:textId="77777777" w:rsidR="00C22FB5" w:rsidRPr="00395ACC" w:rsidRDefault="00C22FB5" w:rsidP="002C5A8C">
            <w:pPr>
              <w:spacing w:after="0" w:line="240" w:lineRule="auto"/>
              <w:jc w:val="center"/>
              <w:rPr>
                <w:rFonts w:ascii="Times New Roman" w:eastAsia="Times New Roman" w:hAnsi="Times New Roman" w:cs="Times New Roman"/>
                <w:i/>
                <w:iCs/>
                <w:sz w:val="24"/>
                <w:szCs w:val="24"/>
                <w:lang w:eastAsia="lv-LV"/>
              </w:rPr>
            </w:pPr>
          </w:p>
        </w:tc>
        <w:tc>
          <w:tcPr>
            <w:tcW w:w="1109" w:type="dxa"/>
            <w:vAlign w:val="center"/>
          </w:tcPr>
          <w:p w14:paraId="3F316A85"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102" w:type="dxa"/>
          </w:tcPr>
          <w:p w14:paraId="0DB11ADD"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236" w:type="dxa"/>
            <w:vAlign w:val="center"/>
          </w:tcPr>
          <w:p w14:paraId="65D03BC4" w14:textId="6BE00F1F"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70" w:type="dxa"/>
          </w:tcPr>
          <w:p w14:paraId="4B22C7CA"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p>
        </w:tc>
        <w:tc>
          <w:tcPr>
            <w:tcW w:w="1094" w:type="dxa"/>
            <w:vAlign w:val="center"/>
          </w:tcPr>
          <w:p w14:paraId="0091CB0A" w14:textId="2ECB5FB1"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c>
          <w:tcPr>
            <w:tcW w:w="1090" w:type="dxa"/>
            <w:vAlign w:val="center"/>
          </w:tcPr>
          <w:p w14:paraId="7426E345" w14:textId="77777777" w:rsidR="00C22FB5" w:rsidRPr="00395ACC" w:rsidRDefault="00C22FB5" w:rsidP="002C5A8C">
            <w:pPr>
              <w:spacing w:after="0" w:line="240" w:lineRule="auto"/>
              <w:jc w:val="center"/>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0</w:t>
            </w:r>
          </w:p>
        </w:tc>
      </w:tr>
      <w:tr w:rsidR="00BA1BCC" w:rsidRPr="00395ACC" w14:paraId="704E14BC" w14:textId="77777777" w:rsidTr="007F3B6B">
        <w:trPr>
          <w:tblCellSpacing w:w="20" w:type="dxa"/>
          <w:jc w:val="center"/>
        </w:trPr>
        <w:tc>
          <w:tcPr>
            <w:tcW w:w="925" w:type="dxa"/>
          </w:tcPr>
          <w:p w14:paraId="6660EAA2" w14:textId="38CCD54C" w:rsidR="00BA1BCC" w:rsidRPr="00395ACC" w:rsidRDefault="00BA1BCC" w:rsidP="00BA1BCC">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6. Detalizēts ieņēmumu un izdevu</w:t>
            </w:r>
            <w:r w:rsidRPr="00395ACC">
              <w:rPr>
                <w:rFonts w:ascii="Times New Roman" w:eastAsia="Times New Roman" w:hAnsi="Times New Roman" w:cs="Times New Roman"/>
                <w:iCs/>
                <w:sz w:val="24"/>
                <w:szCs w:val="24"/>
                <w:lang w:eastAsia="lv-LV"/>
              </w:rPr>
              <w:softHyphen/>
              <w:t>mu aprēķins (ja nepieciešams, detalizētu ieņēmumu un izdevumu aprēķinu var pievienot anotācijas pielikumā):</w:t>
            </w:r>
          </w:p>
        </w:tc>
        <w:tc>
          <w:tcPr>
            <w:tcW w:w="8035" w:type="dxa"/>
            <w:gridSpan w:val="7"/>
            <w:vMerge w:val="restart"/>
            <w:vAlign w:val="center"/>
          </w:tcPr>
          <w:p w14:paraId="1803AA7C" w14:textId="77777777" w:rsidR="00BA1BCC" w:rsidRPr="00395ACC" w:rsidRDefault="00BA1BCC" w:rsidP="00BA1BCC">
            <w:pPr>
              <w:spacing w:after="0" w:line="240" w:lineRule="auto"/>
              <w:jc w:val="both"/>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Liftu valdītājs ir atbildīgs, lai lifti un cēlējplatformas atbilstu Noteikumu projektā noteiktajām prasībām un tiktu droši lietoti, un uzturēti to ekspluatācijas laikā. Ņemot vērā, ka BIR un PTAC rīcībā nav informācijas par to, cik no 3734 liftiem un 70 cēlējplatformām ir pašvaldību īpašumā, līdz ar to nav iespējams noteikt Noteikuma projekta ietekmi uz valsts budžetu un pašvaldību budžetiem.</w:t>
            </w:r>
          </w:p>
          <w:p w14:paraId="13888A13" w14:textId="77777777" w:rsidR="00BA1BCC" w:rsidRPr="00395ACC" w:rsidRDefault="00BA1BCC" w:rsidP="00BA1BCC">
            <w:pPr>
              <w:spacing w:after="0" w:line="240" w:lineRule="auto"/>
              <w:jc w:val="center"/>
              <w:rPr>
                <w:rFonts w:ascii="Times New Roman" w:eastAsia="Times New Roman" w:hAnsi="Times New Roman" w:cs="Times New Roman"/>
                <w:iCs/>
                <w:sz w:val="24"/>
                <w:szCs w:val="24"/>
                <w:lang w:eastAsia="lv-LV"/>
              </w:rPr>
            </w:pPr>
          </w:p>
          <w:p w14:paraId="5B4E9200" w14:textId="77777777" w:rsidR="00CE068C" w:rsidRPr="00395ACC" w:rsidRDefault="00CE068C" w:rsidP="00CE068C">
            <w:pPr>
              <w:rPr>
                <w:rFonts w:ascii="Times New Roman" w:eastAsia="Times New Roman" w:hAnsi="Times New Roman" w:cs="Times New Roman"/>
                <w:sz w:val="24"/>
                <w:szCs w:val="24"/>
                <w:lang w:eastAsia="lv-LV"/>
              </w:rPr>
            </w:pPr>
          </w:p>
          <w:p w14:paraId="795A2BD3" w14:textId="77777777" w:rsidR="00CE068C" w:rsidRPr="00395ACC" w:rsidRDefault="00CE068C" w:rsidP="00CE068C">
            <w:pPr>
              <w:rPr>
                <w:rFonts w:ascii="Times New Roman" w:eastAsia="Times New Roman" w:hAnsi="Times New Roman" w:cs="Times New Roman"/>
                <w:sz w:val="24"/>
                <w:szCs w:val="24"/>
                <w:lang w:eastAsia="lv-LV"/>
              </w:rPr>
            </w:pPr>
          </w:p>
          <w:p w14:paraId="060067BA" w14:textId="77777777" w:rsidR="00CE068C" w:rsidRPr="00395ACC" w:rsidRDefault="00CE068C" w:rsidP="00CE068C">
            <w:pPr>
              <w:rPr>
                <w:rFonts w:ascii="Times New Roman" w:eastAsia="Times New Roman" w:hAnsi="Times New Roman" w:cs="Times New Roman"/>
                <w:sz w:val="24"/>
                <w:szCs w:val="24"/>
                <w:lang w:eastAsia="lv-LV"/>
              </w:rPr>
            </w:pPr>
          </w:p>
          <w:p w14:paraId="59A687C8" w14:textId="77777777" w:rsidR="00CE068C" w:rsidRPr="00395ACC" w:rsidRDefault="00CE068C" w:rsidP="00CE068C">
            <w:pPr>
              <w:rPr>
                <w:rFonts w:ascii="Times New Roman" w:eastAsia="Times New Roman" w:hAnsi="Times New Roman" w:cs="Times New Roman"/>
                <w:sz w:val="24"/>
                <w:szCs w:val="24"/>
                <w:lang w:eastAsia="lv-LV"/>
              </w:rPr>
            </w:pPr>
          </w:p>
          <w:p w14:paraId="63DD7BF4" w14:textId="77777777" w:rsidR="00CE068C" w:rsidRPr="00395ACC" w:rsidRDefault="00CE068C" w:rsidP="00CE068C">
            <w:pPr>
              <w:rPr>
                <w:rFonts w:ascii="Times New Roman" w:eastAsia="Times New Roman" w:hAnsi="Times New Roman" w:cs="Times New Roman"/>
                <w:sz w:val="24"/>
                <w:szCs w:val="24"/>
                <w:lang w:eastAsia="lv-LV"/>
              </w:rPr>
            </w:pPr>
          </w:p>
          <w:p w14:paraId="053561D5" w14:textId="77777777" w:rsidR="00CE068C" w:rsidRPr="00395ACC" w:rsidRDefault="00CE068C" w:rsidP="00CE068C">
            <w:pPr>
              <w:rPr>
                <w:rFonts w:ascii="Times New Roman" w:eastAsia="Times New Roman" w:hAnsi="Times New Roman" w:cs="Times New Roman"/>
                <w:sz w:val="24"/>
                <w:szCs w:val="24"/>
                <w:lang w:eastAsia="lv-LV"/>
              </w:rPr>
            </w:pPr>
          </w:p>
          <w:p w14:paraId="7707219E" w14:textId="77777777" w:rsidR="00CE068C" w:rsidRPr="00395ACC" w:rsidRDefault="00CE068C" w:rsidP="00CE068C">
            <w:pPr>
              <w:rPr>
                <w:rFonts w:ascii="Times New Roman" w:eastAsia="Times New Roman" w:hAnsi="Times New Roman" w:cs="Times New Roman"/>
                <w:sz w:val="24"/>
                <w:szCs w:val="24"/>
                <w:lang w:eastAsia="lv-LV"/>
              </w:rPr>
            </w:pPr>
          </w:p>
          <w:p w14:paraId="3ECD36B2" w14:textId="77777777" w:rsidR="00CE068C" w:rsidRPr="00395ACC" w:rsidRDefault="00CE068C" w:rsidP="00CE068C">
            <w:pPr>
              <w:rPr>
                <w:rFonts w:ascii="Times New Roman" w:eastAsia="Times New Roman" w:hAnsi="Times New Roman" w:cs="Times New Roman"/>
                <w:sz w:val="24"/>
                <w:szCs w:val="24"/>
                <w:lang w:eastAsia="lv-LV"/>
              </w:rPr>
            </w:pPr>
          </w:p>
          <w:p w14:paraId="6E3DF2FA" w14:textId="77777777" w:rsidR="00CE068C" w:rsidRPr="00395ACC" w:rsidRDefault="00CE068C" w:rsidP="00CE068C">
            <w:pPr>
              <w:rPr>
                <w:rFonts w:ascii="Times New Roman" w:eastAsia="Times New Roman" w:hAnsi="Times New Roman" w:cs="Times New Roman"/>
                <w:iCs/>
                <w:sz w:val="24"/>
                <w:szCs w:val="24"/>
                <w:lang w:eastAsia="lv-LV"/>
              </w:rPr>
            </w:pPr>
          </w:p>
          <w:p w14:paraId="4E4683CC" w14:textId="77777777" w:rsidR="00CE068C" w:rsidRPr="00395ACC" w:rsidRDefault="00CE068C" w:rsidP="00CE068C">
            <w:pPr>
              <w:rPr>
                <w:rFonts w:ascii="Times New Roman" w:eastAsia="Times New Roman" w:hAnsi="Times New Roman" w:cs="Times New Roman"/>
                <w:sz w:val="24"/>
                <w:szCs w:val="24"/>
                <w:lang w:eastAsia="lv-LV"/>
              </w:rPr>
            </w:pPr>
          </w:p>
          <w:p w14:paraId="2CD3171D" w14:textId="77777777" w:rsidR="00CE068C" w:rsidRPr="00395ACC" w:rsidRDefault="00CE068C" w:rsidP="00CE068C">
            <w:pPr>
              <w:rPr>
                <w:rFonts w:ascii="Times New Roman" w:eastAsia="Times New Roman" w:hAnsi="Times New Roman" w:cs="Times New Roman"/>
                <w:sz w:val="24"/>
                <w:szCs w:val="24"/>
                <w:lang w:eastAsia="lv-LV"/>
              </w:rPr>
            </w:pPr>
          </w:p>
          <w:p w14:paraId="303C6787" w14:textId="77777777" w:rsidR="00CE068C" w:rsidRPr="00395ACC" w:rsidRDefault="00CE068C" w:rsidP="00CE068C">
            <w:pPr>
              <w:rPr>
                <w:rFonts w:ascii="Times New Roman" w:eastAsia="Times New Roman" w:hAnsi="Times New Roman" w:cs="Times New Roman"/>
                <w:sz w:val="24"/>
                <w:szCs w:val="24"/>
                <w:lang w:eastAsia="lv-LV"/>
              </w:rPr>
            </w:pPr>
          </w:p>
          <w:p w14:paraId="2B2AC63F" w14:textId="77777777" w:rsidR="00CE068C" w:rsidRPr="00395ACC" w:rsidRDefault="00CE068C" w:rsidP="00CE068C">
            <w:pPr>
              <w:rPr>
                <w:rFonts w:ascii="Times New Roman" w:eastAsia="Times New Roman" w:hAnsi="Times New Roman" w:cs="Times New Roman"/>
                <w:sz w:val="24"/>
                <w:szCs w:val="24"/>
                <w:lang w:eastAsia="lv-LV"/>
              </w:rPr>
            </w:pPr>
          </w:p>
          <w:p w14:paraId="72859A4F" w14:textId="77777777" w:rsidR="00CE068C" w:rsidRPr="00395ACC" w:rsidRDefault="00CE068C" w:rsidP="00CE068C">
            <w:pPr>
              <w:rPr>
                <w:rFonts w:ascii="Times New Roman" w:eastAsia="Times New Roman" w:hAnsi="Times New Roman" w:cs="Times New Roman"/>
                <w:iCs/>
                <w:sz w:val="24"/>
                <w:szCs w:val="24"/>
                <w:lang w:eastAsia="lv-LV"/>
              </w:rPr>
            </w:pPr>
          </w:p>
          <w:p w14:paraId="17884C8C" w14:textId="77777777" w:rsidR="00CE068C" w:rsidRPr="00395ACC" w:rsidRDefault="00CE068C" w:rsidP="00CE068C">
            <w:pPr>
              <w:rPr>
                <w:rFonts w:ascii="Times New Roman" w:eastAsia="Times New Roman" w:hAnsi="Times New Roman" w:cs="Times New Roman"/>
                <w:sz w:val="24"/>
                <w:szCs w:val="24"/>
                <w:lang w:eastAsia="lv-LV"/>
              </w:rPr>
            </w:pPr>
          </w:p>
          <w:p w14:paraId="43E4FB71" w14:textId="77777777" w:rsidR="00CE068C" w:rsidRPr="00395ACC" w:rsidRDefault="00CE068C" w:rsidP="00CE068C">
            <w:pPr>
              <w:rPr>
                <w:rFonts w:ascii="Times New Roman" w:eastAsia="Times New Roman" w:hAnsi="Times New Roman" w:cs="Times New Roman"/>
                <w:iCs/>
                <w:sz w:val="24"/>
                <w:szCs w:val="24"/>
                <w:lang w:eastAsia="lv-LV"/>
              </w:rPr>
            </w:pPr>
          </w:p>
          <w:p w14:paraId="0055E830" w14:textId="7AB926FE" w:rsidR="00CE068C" w:rsidRPr="00395ACC" w:rsidRDefault="00CE068C" w:rsidP="00CE068C">
            <w:pPr>
              <w:rPr>
                <w:rFonts w:ascii="Times New Roman" w:eastAsia="Times New Roman" w:hAnsi="Times New Roman" w:cs="Times New Roman"/>
                <w:iCs/>
                <w:sz w:val="24"/>
                <w:szCs w:val="24"/>
                <w:lang w:eastAsia="lv-LV"/>
              </w:rPr>
            </w:pPr>
          </w:p>
          <w:p w14:paraId="2C19C8E6" w14:textId="77777777" w:rsidR="00CE068C" w:rsidRPr="00395ACC" w:rsidRDefault="00CE068C" w:rsidP="00CE068C">
            <w:pPr>
              <w:rPr>
                <w:rFonts w:ascii="Times New Roman" w:eastAsia="Times New Roman" w:hAnsi="Times New Roman" w:cs="Times New Roman"/>
                <w:sz w:val="24"/>
                <w:szCs w:val="24"/>
                <w:lang w:eastAsia="lv-LV"/>
              </w:rPr>
            </w:pPr>
          </w:p>
          <w:p w14:paraId="692CA1F5" w14:textId="428EEE39" w:rsidR="00CE068C" w:rsidRPr="00395ACC" w:rsidRDefault="00CE068C" w:rsidP="00CE068C">
            <w:pPr>
              <w:rPr>
                <w:rFonts w:ascii="Times New Roman" w:eastAsia="Times New Roman" w:hAnsi="Times New Roman" w:cs="Times New Roman"/>
                <w:sz w:val="24"/>
                <w:szCs w:val="24"/>
                <w:lang w:eastAsia="lv-LV"/>
              </w:rPr>
            </w:pPr>
          </w:p>
        </w:tc>
      </w:tr>
      <w:tr w:rsidR="00BA1BCC" w:rsidRPr="00395ACC" w14:paraId="63723E8F" w14:textId="77777777" w:rsidTr="007F3B6B">
        <w:trPr>
          <w:tblCellSpacing w:w="20" w:type="dxa"/>
          <w:jc w:val="center"/>
        </w:trPr>
        <w:tc>
          <w:tcPr>
            <w:tcW w:w="925" w:type="dxa"/>
          </w:tcPr>
          <w:p w14:paraId="62ECECE2" w14:textId="71E61E86" w:rsidR="00BA1BCC" w:rsidRPr="00395ACC" w:rsidRDefault="00BA1BCC" w:rsidP="00BA1BCC">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6.1. detalizēts ieņēmumu aprēķins</w:t>
            </w:r>
          </w:p>
        </w:tc>
        <w:tc>
          <w:tcPr>
            <w:tcW w:w="8035" w:type="dxa"/>
            <w:gridSpan w:val="7"/>
            <w:vMerge/>
            <w:vAlign w:val="center"/>
          </w:tcPr>
          <w:p w14:paraId="3802EE06" w14:textId="77777777" w:rsidR="00BA1BCC" w:rsidRPr="00395ACC" w:rsidRDefault="00BA1BCC" w:rsidP="00BA1BCC">
            <w:pPr>
              <w:spacing w:after="0" w:line="240" w:lineRule="auto"/>
              <w:jc w:val="center"/>
              <w:rPr>
                <w:rFonts w:ascii="Times New Roman" w:eastAsia="Times New Roman" w:hAnsi="Times New Roman" w:cs="Times New Roman"/>
                <w:iCs/>
                <w:sz w:val="24"/>
                <w:szCs w:val="24"/>
                <w:lang w:eastAsia="lv-LV"/>
              </w:rPr>
            </w:pPr>
          </w:p>
        </w:tc>
      </w:tr>
      <w:tr w:rsidR="00BA1BCC" w:rsidRPr="00395ACC" w14:paraId="349F4D49" w14:textId="77777777" w:rsidTr="007F3B6B">
        <w:trPr>
          <w:trHeight w:val="1660"/>
          <w:tblCellSpacing w:w="20" w:type="dxa"/>
          <w:jc w:val="center"/>
        </w:trPr>
        <w:tc>
          <w:tcPr>
            <w:tcW w:w="925" w:type="dxa"/>
          </w:tcPr>
          <w:p w14:paraId="77CDBB63" w14:textId="7E206460" w:rsidR="00BA1BCC" w:rsidRPr="00395ACC" w:rsidRDefault="00BA1BCC" w:rsidP="00BA1BCC">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6.2. detalizēts izdevumu aprēķins</w:t>
            </w:r>
          </w:p>
        </w:tc>
        <w:tc>
          <w:tcPr>
            <w:tcW w:w="8035" w:type="dxa"/>
            <w:gridSpan w:val="7"/>
            <w:vMerge/>
            <w:vAlign w:val="center"/>
          </w:tcPr>
          <w:p w14:paraId="7FAD40E3" w14:textId="77777777" w:rsidR="00BA1BCC" w:rsidRPr="00395ACC" w:rsidRDefault="00BA1BCC" w:rsidP="00BA1BCC">
            <w:pPr>
              <w:spacing w:after="0" w:line="240" w:lineRule="auto"/>
              <w:jc w:val="center"/>
              <w:rPr>
                <w:rFonts w:ascii="Times New Roman" w:eastAsia="Times New Roman" w:hAnsi="Times New Roman" w:cs="Times New Roman"/>
                <w:iCs/>
                <w:sz w:val="24"/>
                <w:szCs w:val="24"/>
                <w:lang w:eastAsia="lv-LV"/>
              </w:rPr>
            </w:pPr>
          </w:p>
        </w:tc>
      </w:tr>
      <w:tr w:rsidR="00BA1BCC" w:rsidRPr="00395ACC" w14:paraId="589DDEB8" w14:textId="77777777" w:rsidTr="007F3B6B">
        <w:trPr>
          <w:tblCellSpacing w:w="20" w:type="dxa"/>
          <w:jc w:val="center"/>
        </w:trPr>
        <w:tc>
          <w:tcPr>
            <w:tcW w:w="925" w:type="dxa"/>
          </w:tcPr>
          <w:p w14:paraId="0A1FCD33" w14:textId="31DE2914" w:rsidR="00BA1BCC" w:rsidRPr="00395ACC" w:rsidRDefault="00BA1BCC" w:rsidP="00BA1BCC">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7. Amata vietu skaita izmaiņas</w:t>
            </w:r>
          </w:p>
        </w:tc>
        <w:tc>
          <w:tcPr>
            <w:tcW w:w="8035" w:type="dxa"/>
            <w:gridSpan w:val="7"/>
            <w:vAlign w:val="center"/>
          </w:tcPr>
          <w:p w14:paraId="010FDCFF" w14:textId="032CC642" w:rsidR="00BA1BCC" w:rsidRPr="00395ACC" w:rsidRDefault="00F5349D" w:rsidP="0082122A">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r w:rsidR="00BA1BCC" w:rsidRPr="00395ACC" w14:paraId="0D174315" w14:textId="77777777" w:rsidTr="007F3B6B">
        <w:trPr>
          <w:tblCellSpacing w:w="20" w:type="dxa"/>
          <w:jc w:val="center"/>
        </w:trPr>
        <w:tc>
          <w:tcPr>
            <w:tcW w:w="925" w:type="dxa"/>
          </w:tcPr>
          <w:p w14:paraId="7FAB9531" w14:textId="34AC8838" w:rsidR="00BA1BCC" w:rsidRPr="00395ACC" w:rsidRDefault="00BA1BCC" w:rsidP="00BA1BCC">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8. Cita informācija</w:t>
            </w:r>
          </w:p>
        </w:tc>
        <w:tc>
          <w:tcPr>
            <w:tcW w:w="8035" w:type="dxa"/>
            <w:gridSpan w:val="7"/>
            <w:vAlign w:val="center"/>
          </w:tcPr>
          <w:p w14:paraId="74877EC5" w14:textId="33B7EF31" w:rsidR="00BA1BCC" w:rsidRPr="00395ACC" w:rsidRDefault="00BA1BCC" w:rsidP="00BA1BCC">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5B32CAA0" w14:textId="49B37318" w:rsidR="00455B38" w:rsidRPr="00395ACC" w:rsidRDefault="00455B38" w:rsidP="00455B38">
      <w:pPr>
        <w:spacing w:after="0" w:line="240" w:lineRule="auto"/>
        <w:rPr>
          <w:rFonts w:ascii="Times New Roman" w:eastAsia="Times New Roman" w:hAnsi="Times New Roman" w:cs="Times New Roman"/>
          <w:iCs/>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3242"/>
        <w:gridCol w:w="5514"/>
      </w:tblGrid>
      <w:tr w:rsidR="006F3459" w:rsidRPr="00395ACC" w14:paraId="3801275D" w14:textId="77777777" w:rsidTr="007F3B6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6C4789" w14:textId="77777777" w:rsidR="00185657" w:rsidRPr="00395ACC" w:rsidRDefault="00185657" w:rsidP="005E38C7">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IV. Tiesību akta projekta ietekme uz spēkā esošo tiesību normu sistēmu</w:t>
            </w:r>
          </w:p>
        </w:tc>
      </w:tr>
      <w:tr w:rsidR="006F3459" w:rsidRPr="00395ACC" w14:paraId="03C19A3B" w14:textId="77777777" w:rsidTr="007F3B6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1F4FF766"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1.</w:t>
            </w:r>
          </w:p>
        </w:tc>
        <w:tc>
          <w:tcPr>
            <w:tcW w:w="1783" w:type="pct"/>
            <w:tcBorders>
              <w:top w:val="outset" w:sz="6" w:space="0" w:color="auto"/>
              <w:left w:val="outset" w:sz="6" w:space="0" w:color="auto"/>
              <w:bottom w:val="outset" w:sz="6" w:space="0" w:color="auto"/>
              <w:right w:val="outset" w:sz="6" w:space="0" w:color="auto"/>
            </w:tcBorders>
            <w:hideMark/>
          </w:tcPr>
          <w:p w14:paraId="59D2CB03"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Saistītie tiesību aktu projekti</w:t>
            </w:r>
          </w:p>
        </w:tc>
        <w:tc>
          <w:tcPr>
            <w:tcW w:w="3002" w:type="pct"/>
            <w:tcBorders>
              <w:top w:val="outset" w:sz="6" w:space="0" w:color="auto"/>
              <w:left w:val="outset" w:sz="6" w:space="0" w:color="auto"/>
              <w:bottom w:val="outset" w:sz="6" w:space="0" w:color="auto"/>
              <w:right w:val="outset" w:sz="6" w:space="0" w:color="auto"/>
            </w:tcBorders>
            <w:hideMark/>
          </w:tcPr>
          <w:p w14:paraId="06C30C75" w14:textId="64E89A31" w:rsidR="00185657" w:rsidRPr="00395ACC" w:rsidRDefault="006F3459" w:rsidP="006F3459">
            <w:pPr>
              <w:spacing w:after="0" w:line="240" w:lineRule="auto"/>
              <w:jc w:val="both"/>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bCs/>
                <w:iCs/>
                <w:sz w:val="24"/>
                <w:szCs w:val="24"/>
                <w:lang w:eastAsia="lv-LV"/>
              </w:rPr>
              <w:t>Ministru kabineta 2000</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.gada 7.</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novembra noteikumos Nr.</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384 “Noteikumi par bīstamajām iekārtām” nav noteiktas prasības vertikālajām cēlējplatformām, līdz ar to, pēc Noteikuma projekta spēkā stāšanās, nepieciešams veikt grozījumus Ministru kabineta 2000.</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gada 7.</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novembra noteikumos Nr.</w:t>
            </w:r>
            <w:r w:rsidR="0082122A" w:rsidRPr="00395ACC">
              <w:rPr>
                <w:rFonts w:ascii="Times New Roman" w:eastAsia="Times New Roman" w:hAnsi="Times New Roman" w:cs="Times New Roman"/>
                <w:bCs/>
                <w:iCs/>
                <w:sz w:val="24"/>
                <w:szCs w:val="24"/>
                <w:lang w:eastAsia="lv-LV"/>
              </w:rPr>
              <w:t xml:space="preserve"> </w:t>
            </w:r>
            <w:r w:rsidRPr="00395ACC">
              <w:rPr>
                <w:rFonts w:ascii="Times New Roman" w:eastAsia="Times New Roman" w:hAnsi="Times New Roman" w:cs="Times New Roman"/>
                <w:bCs/>
                <w:iCs/>
                <w:sz w:val="24"/>
                <w:szCs w:val="24"/>
                <w:lang w:eastAsia="lv-LV"/>
              </w:rPr>
              <w:t>384 “Noteikumi par bīstamajām iekārtām”, iekļaujot vertikālās cēlējplatformas.</w:t>
            </w:r>
          </w:p>
        </w:tc>
      </w:tr>
      <w:tr w:rsidR="006F3459" w:rsidRPr="00395ACC" w14:paraId="61409CD5" w14:textId="77777777" w:rsidTr="007F3B6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354685FA"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2.</w:t>
            </w:r>
          </w:p>
        </w:tc>
        <w:tc>
          <w:tcPr>
            <w:tcW w:w="1783" w:type="pct"/>
            <w:tcBorders>
              <w:top w:val="outset" w:sz="6" w:space="0" w:color="auto"/>
              <w:left w:val="outset" w:sz="6" w:space="0" w:color="auto"/>
              <w:bottom w:val="outset" w:sz="6" w:space="0" w:color="auto"/>
              <w:right w:val="outset" w:sz="6" w:space="0" w:color="auto"/>
            </w:tcBorders>
            <w:hideMark/>
          </w:tcPr>
          <w:p w14:paraId="6D8E98AA"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Atbildīgā institūcija</w:t>
            </w:r>
          </w:p>
        </w:tc>
        <w:tc>
          <w:tcPr>
            <w:tcW w:w="3002" w:type="pct"/>
            <w:tcBorders>
              <w:top w:val="outset" w:sz="6" w:space="0" w:color="auto"/>
              <w:left w:val="outset" w:sz="6" w:space="0" w:color="auto"/>
              <w:bottom w:val="outset" w:sz="6" w:space="0" w:color="auto"/>
              <w:right w:val="outset" w:sz="6" w:space="0" w:color="auto"/>
            </w:tcBorders>
            <w:hideMark/>
          </w:tcPr>
          <w:p w14:paraId="1283B197" w14:textId="39CA857E" w:rsidR="00185657" w:rsidRPr="00395ACC" w:rsidRDefault="006F3459"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Ekonomikas ministrija</w:t>
            </w:r>
          </w:p>
        </w:tc>
      </w:tr>
      <w:tr w:rsidR="006F3459" w:rsidRPr="00395ACC" w14:paraId="466EBDF4" w14:textId="77777777" w:rsidTr="007F3B6B">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6CD9350"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3.</w:t>
            </w:r>
          </w:p>
        </w:tc>
        <w:tc>
          <w:tcPr>
            <w:tcW w:w="1783" w:type="pct"/>
            <w:tcBorders>
              <w:top w:val="outset" w:sz="6" w:space="0" w:color="auto"/>
              <w:left w:val="outset" w:sz="6" w:space="0" w:color="auto"/>
              <w:bottom w:val="outset" w:sz="6" w:space="0" w:color="auto"/>
              <w:right w:val="outset" w:sz="6" w:space="0" w:color="auto"/>
            </w:tcBorders>
            <w:hideMark/>
          </w:tcPr>
          <w:p w14:paraId="1799282D" w14:textId="77777777" w:rsidR="00185657" w:rsidRPr="00395ACC" w:rsidRDefault="00185657"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Cita informācija</w:t>
            </w:r>
          </w:p>
        </w:tc>
        <w:tc>
          <w:tcPr>
            <w:tcW w:w="3002" w:type="pct"/>
            <w:tcBorders>
              <w:top w:val="outset" w:sz="6" w:space="0" w:color="auto"/>
              <w:left w:val="outset" w:sz="6" w:space="0" w:color="auto"/>
              <w:bottom w:val="outset" w:sz="6" w:space="0" w:color="auto"/>
              <w:right w:val="outset" w:sz="6" w:space="0" w:color="auto"/>
            </w:tcBorders>
            <w:hideMark/>
          </w:tcPr>
          <w:p w14:paraId="69A6FE18" w14:textId="75825402" w:rsidR="00185657" w:rsidRPr="00395ACC" w:rsidRDefault="006F3459" w:rsidP="00D957D9">
            <w:pPr>
              <w:spacing w:after="0" w:line="240" w:lineRule="auto"/>
              <w:rPr>
                <w:rFonts w:ascii="Times New Roman" w:eastAsia="Times New Roman" w:hAnsi="Times New Roman" w:cs="Times New Roman"/>
                <w:iCs/>
                <w:sz w:val="24"/>
                <w:szCs w:val="24"/>
                <w:lang w:val="en-US" w:eastAsia="lv-LV"/>
              </w:rPr>
            </w:pPr>
            <w:r w:rsidRPr="00395ACC">
              <w:rPr>
                <w:rFonts w:ascii="Times New Roman" w:eastAsia="Times New Roman" w:hAnsi="Times New Roman" w:cs="Times New Roman"/>
                <w:iCs/>
                <w:sz w:val="24"/>
                <w:szCs w:val="24"/>
                <w:lang w:val="en-US" w:eastAsia="lv-LV"/>
              </w:rPr>
              <w:t>Nav</w:t>
            </w:r>
          </w:p>
        </w:tc>
      </w:tr>
    </w:tbl>
    <w:p w14:paraId="561ED745"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455B38" w:rsidRPr="00395ACC" w14:paraId="32A792AF" w14:textId="77777777" w:rsidTr="007F3B6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8355FC2"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5B38" w:rsidRPr="00395ACC" w14:paraId="2CBEDCBD" w14:textId="77777777" w:rsidTr="007F3B6B">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B30B21" w14:textId="77777777" w:rsidR="00455B38" w:rsidRPr="00395ACC" w:rsidRDefault="00455B38" w:rsidP="00D957D9">
            <w:pPr>
              <w:spacing w:after="0" w:line="240" w:lineRule="auto"/>
              <w:jc w:val="center"/>
              <w:rPr>
                <w:rFonts w:ascii="Times New Roman" w:eastAsia="Times New Roman" w:hAnsi="Times New Roman" w:cs="Times New Roman"/>
                <w:bCs/>
                <w:iCs/>
                <w:sz w:val="24"/>
                <w:szCs w:val="24"/>
                <w:lang w:eastAsia="lv-LV"/>
              </w:rPr>
            </w:pPr>
            <w:r w:rsidRPr="00395ACC">
              <w:rPr>
                <w:rFonts w:ascii="Times New Roman" w:eastAsia="Times New Roman" w:hAnsi="Times New Roman" w:cs="Times New Roman"/>
                <w:bCs/>
                <w:iCs/>
                <w:sz w:val="24"/>
                <w:szCs w:val="24"/>
                <w:lang w:eastAsia="lv-LV"/>
              </w:rPr>
              <w:t>Projekts šo jomu neskar</w:t>
            </w:r>
          </w:p>
        </w:tc>
      </w:tr>
    </w:tbl>
    <w:p w14:paraId="3126F9C8"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22"/>
        <w:gridCol w:w="1368"/>
        <w:gridCol w:w="7281"/>
      </w:tblGrid>
      <w:tr w:rsidR="00455B38" w:rsidRPr="00395ACC" w14:paraId="7557B233" w14:textId="77777777" w:rsidTr="007F3B6B">
        <w:trPr>
          <w:tblCellSpacing w:w="15" w:type="dxa"/>
        </w:trPr>
        <w:tc>
          <w:tcPr>
            <w:tcW w:w="9012" w:type="dxa"/>
            <w:gridSpan w:val="3"/>
            <w:tcBorders>
              <w:top w:val="outset" w:sz="6" w:space="0" w:color="auto"/>
              <w:left w:val="outset" w:sz="6" w:space="0" w:color="auto"/>
              <w:bottom w:val="outset" w:sz="6" w:space="0" w:color="auto"/>
              <w:right w:val="outset" w:sz="6" w:space="0" w:color="auto"/>
            </w:tcBorders>
            <w:vAlign w:val="center"/>
            <w:hideMark/>
          </w:tcPr>
          <w:p w14:paraId="3F492D32"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VI. Sabiedrības līdzdalība un komunikācijas aktivitātes</w:t>
            </w:r>
          </w:p>
        </w:tc>
      </w:tr>
      <w:tr w:rsidR="00455B38" w:rsidRPr="00395ACC" w14:paraId="345D8133"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405C42F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338" w:type="dxa"/>
            <w:tcBorders>
              <w:top w:val="outset" w:sz="6" w:space="0" w:color="auto"/>
              <w:left w:val="outset" w:sz="6" w:space="0" w:color="auto"/>
              <w:bottom w:val="outset" w:sz="6" w:space="0" w:color="auto"/>
              <w:right w:val="outset" w:sz="6" w:space="0" w:color="auto"/>
            </w:tcBorders>
            <w:hideMark/>
          </w:tcPr>
          <w:p w14:paraId="2E81E210"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7237" w:type="dxa"/>
            <w:tcBorders>
              <w:top w:val="outset" w:sz="6" w:space="0" w:color="auto"/>
              <w:left w:val="outset" w:sz="6" w:space="0" w:color="auto"/>
              <w:bottom w:val="outset" w:sz="6" w:space="0" w:color="auto"/>
              <w:right w:val="outset" w:sz="6" w:space="0" w:color="auto"/>
            </w:tcBorders>
            <w:hideMark/>
          </w:tcPr>
          <w:p w14:paraId="47CA3B9B" w14:textId="57852D73" w:rsidR="00410AF5" w:rsidRPr="00395ACC" w:rsidRDefault="00706B85" w:rsidP="0009094B">
            <w:pPr>
              <w:pStyle w:val="naiskr"/>
              <w:spacing w:before="0" w:after="0"/>
              <w:jc w:val="both"/>
              <w:rPr>
                <w:bCs/>
              </w:rPr>
            </w:pPr>
            <w:r w:rsidRPr="00395ACC">
              <w:rPr>
                <w:bCs/>
              </w:rPr>
              <w:t>Sabiedrības līdzdalība Projekta izstrādē īstenota atbilstoši Ministru kabineta 2009.</w:t>
            </w:r>
            <w:r w:rsidR="00121EAD" w:rsidRPr="00395ACC">
              <w:rPr>
                <w:bCs/>
              </w:rPr>
              <w:t xml:space="preserve"> </w:t>
            </w:r>
            <w:r w:rsidRPr="00395ACC">
              <w:rPr>
                <w:bCs/>
              </w:rPr>
              <w:t>gada 25.</w:t>
            </w:r>
            <w:r w:rsidR="00121EAD" w:rsidRPr="00395ACC">
              <w:rPr>
                <w:bCs/>
              </w:rPr>
              <w:t xml:space="preserve"> </w:t>
            </w:r>
            <w:r w:rsidRPr="00395ACC">
              <w:rPr>
                <w:bCs/>
              </w:rPr>
              <w:t>augusta noteikumiem Nr.</w:t>
            </w:r>
            <w:r w:rsidR="00121EAD" w:rsidRPr="00395ACC">
              <w:rPr>
                <w:bCs/>
              </w:rPr>
              <w:t xml:space="preserve"> </w:t>
            </w:r>
            <w:r w:rsidRPr="00395ACC">
              <w:rPr>
                <w:bCs/>
              </w:rPr>
              <w:t>970 “Sabiedrības līdzdalības kārtība attīstības plānošanas procesā” 7.4.</w:t>
            </w:r>
            <w:r w:rsidR="004A2CAA" w:rsidRPr="00395ACC">
              <w:rPr>
                <w:vertAlign w:val="superscript"/>
              </w:rPr>
              <w:t xml:space="preserve"> 1</w:t>
            </w:r>
            <w:r w:rsidR="00121EAD" w:rsidRPr="00395ACC">
              <w:rPr>
                <w:bCs/>
              </w:rPr>
              <w:t xml:space="preserve"> </w:t>
            </w:r>
            <w:r w:rsidRPr="00395ACC">
              <w:rPr>
                <w:bCs/>
              </w:rPr>
              <w:t>apakšpunktā, proti, sabiedrības pārstāvjiem tika dota iespēja rakstiski sniegt viedokli par Noteikumu projektu tā izstrādes stadijā.</w:t>
            </w:r>
          </w:p>
        </w:tc>
      </w:tr>
      <w:tr w:rsidR="00455B38" w:rsidRPr="00395ACC" w14:paraId="5BDAE221"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02325DD8"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338" w:type="dxa"/>
            <w:tcBorders>
              <w:top w:val="outset" w:sz="6" w:space="0" w:color="auto"/>
              <w:left w:val="outset" w:sz="6" w:space="0" w:color="auto"/>
              <w:bottom w:val="outset" w:sz="6" w:space="0" w:color="auto"/>
              <w:right w:val="outset" w:sz="6" w:space="0" w:color="auto"/>
            </w:tcBorders>
            <w:hideMark/>
          </w:tcPr>
          <w:p w14:paraId="6146D28D"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Sabiedrības līdzdalība projekta izstrādē</w:t>
            </w:r>
          </w:p>
        </w:tc>
        <w:tc>
          <w:tcPr>
            <w:tcW w:w="7237" w:type="dxa"/>
            <w:tcBorders>
              <w:top w:val="outset" w:sz="6" w:space="0" w:color="auto"/>
              <w:left w:val="outset" w:sz="6" w:space="0" w:color="auto"/>
              <w:bottom w:val="outset" w:sz="6" w:space="0" w:color="auto"/>
              <w:right w:val="outset" w:sz="6" w:space="0" w:color="auto"/>
            </w:tcBorders>
            <w:hideMark/>
          </w:tcPr>
          <w:p w14:paraId="75085612" w14:textId="630A4659" w:rsidR="008B5BE6" w:rsidRPr="00395ACC" w:rsidRDefault="00001B83" w:rsidP="00D957D9">
            <w:pPr>
              <w:spacing w:after="0" w:line="240" w:lineRule="auto"/>
              <w:jc w:val="both"/>
              <w:rPr>
                <w:rFonts w:ascii="Times New Roman" w:eastAsia="Times New Roman" w:hAnsi="Times New Roman" w:cs="Times New Roman"/>
                <w:iCs/>
                <w:sz w:val="24"/>
                <w:szCs w:val="24"/>
                <w:lang w:eastAsia="lv-LV"/>
              </w:rPr>
            </w:pPr>
            <w:r w:rsidRPr="00395ACC">
              <w:rPr>
                <w:rFonts w:ascii="Times New Roman" w:hAnsi="Times New Roman" w:cs="Times New Roman"/>
                <w:color w:val="000000" w:themeColor="text1"/>
                <w:sz w:val="24"/>
                <w:szCs w:val="24"/>
              </w:rPr>
              <w:t>20</w:t>
            </w:r>
            <w:r w:rsidR="00CE068C" w:rsidRPr="00395ACC">
              <w:rPr>
                <w:rFonts w:ascii="Times New Roman" w:hAnsi="Times New Roman" w:cs="Times New Roman"/>
                <w:color w:val="000000" w:themeColor="text1"/>
                <w:sz w:val="24"/>
                <w:szCs w:val="24"/>
              </w:rPr>
              <w:t>20</w:t>
            </w:r>
            <w:r w:rsidRPr="00395ACC">
              <w:rPr>
                <w:rFonts w:ascii="Times New Roman" w:hAnsi="Times New Roman" w:cs="Times New Roman"/>
                <w:color w:val="000000" w:themeColor="text1"/>
                <w:sz w:val="24"/>
                <w:szCs w:val="24"/>
              </w:rPr>
              <w:t xml:space="preserve">.gada </w:t>
            </w:r>
            <w:r w:rsidR="00AE588D" w:rsidRPr="00395ACC">
              <w:rPr>
                <w:rFonts w:ascii="Times New Roman" w:hAnsi="Times New Roman" w:cs="Times New Roman"/>
                <w:color w:val="000000" w:themeColor="text1"/>
                <w:sz w:val="24"/>
                <w:szCs w:val="24"/>
              </w:rPr>
              <w:t>27</w:t>
            </w:r>
            <w:r w:rsidR="002E23AF" w:rsidRPr="00395ACC">
              <w:rPr>
                <w:rFonts w:ascii="Times New Roman" w:hAnsi="Times New Roman" w:cs="Times New Roman"/>
                <w:color w:val="000000" w:themeColor="text1"/>
                <w:sz w:val="24"/>
                <w:szCs w:val="24"/>
              </w:rPr>
              <w:t xml:space="preserve">.janvārī </w:t>
            </w:r>
            <w:r w:rsidRPr="00395ACC">
              <w:rPr>
                <w:rFonts w:ascii="Times New Roman" w:hAnsi="Times New Roman" w:cs="Times New Roman"/>
                <w:color w:val="000000" w:themeColor="text1"/>
                <w:sz w:val="24"/>
                <w:szCs w:val="24"/>
              </w:rPr>
              <w:t xml:space="preserve">Noteikumu projekts kopā ar sākotnējās ietekmes novērtējuma ziņojumu (anotāciju) tika  publicēts Ekonomikas ministrijas tīmekļa vietnē:  </w:t>
            </w:r>
            <w:hyperlink r:id="rId8" w:history="1">
              <w:r w:rsidRPr="00395ACC">
                <w:rPr>
                  <w:rStyle w:val="Hyperlink"/>
                  <w:rFonts w:ascii="Times New Roman" w:hAnsi="Times New Roman" w:cs="Times New Roman"/>
                  <w:sz w:val="24"/>
                  <w:szCs w:val="24"/>
                </w:rPr>
                <w:t>https://em.gov.lv/lv/Ministrija/sabiedribas_lidzdaliba/diskusiju_dokumenti/</w:t>
              </w:r>
            </w:hyperlink>
            <w:r w:rsidRPr="00395ACC">
              <w:rPr>
                <w:rFonts w:ascii="Times New Roman" w:hAnsi="Times New Roman" w:cs="Times New Roman"/>
                <w:color w:val="000000" w:themeColor="text1"/>
                <w:sz w:val="24"/>
                <w:szCs w:val="24"/>
              </w:rPr>
              <w:t xml:space="preserve"> un Valsts kancelejas tīmekļa vietnē: </w:t>
            </w:r>
            <w:hyperlink r:id="rId9" w:history="1">
              <w:r w:rsidRPr="00395ACC">
                <w:rPr>
                  <w:rStyle w:val="Hyperlink"/>
                  <w:rFonts w:ascii="Times New Roman" w:hAnsi="Times New Roman" w:cs="Times New Roman"/>
                  <w:sz w:val="24"/>
                  <w:szCs w:val="24"/>
                </w:rPr>
                <w:t>https://www.mk.gov.lv/content/ministru-kabineta-diskusiju-dokumenti</w:t>
              </w:r>
            </w:hyperlink>
            <w:r w:rsidRPr="00395ACC">
              <w:rPr>
                <w:rFonts w:ascii="Times New Roman" w:hAnsi="Times New Roman" w:cs="Times New Roman"/>
                <w:color w:val="000000" w:themeColor="text1"/>
                <w:sz w:val="24"/>
                <w:szCs w:val="24"/>
              </w:rPr>
              <w:t>, aicinot sabiedrību izteikt savu rakstisku viedokli</w:t>
            </w:r>
            <w:r w:rsidRPr="00395ACC">
              <w:rPr>
                <w:rFonts w:ascii="Times New Roman" w:eastAsia="Times New Roman" w:hAnsi="Times New Roman" w:cs="Times New Roman"/>
                <w:iCs/>
                <w:sz w:val="24"/>
                <w:szCs w:val="24"/>
                <w:lang w:eastAsia="lv-LV"/>
              </w:rPr>
              <w:t xml:space="preserve"> </w:t>
            </w:r>
          </w:p>
        </w:tc>
      </w:tr>
      <w:tr w:rsidR="00455B38" w:rsidRPr="00395ACC" w14:paraId="6F30FEAD"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7721F3E9"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lastRenderedPageBreak/>
              <w:t>3.</w:t>
            </w:r>
          </w:p>
        </w:tc>
        <w:tc>
          <w:tcPr>
            <w:tcW w:w="1338" w:type="dxa"/>
            <w:tcBorders>
              <w:top w:val="outset" w:sz="6" w:space="0" w:color="auto"/>
              <w:left w:val="outset" w:sz="6" w:space="0" w:color="auto"/>
              <w:bottom w:val="outset" w:sz="6" w:space="0" w:color="auto"/>
              <w:right w:val="outset" w:sz="6" w:space="0" w:color="auto"/>
            </w:tcBorders>
            <w:hideMark/>
          </w:tcPr>
          <w:p w14:paraId="0A7C9769"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Sabiedrības līdzdalības rezultāti</w:t>
            </w:r>
          </w:p>
          <w:p w14:paraId="6C972F5F" w14:textId="566C0EB2" w:rsidR="007219F1" w:rsidRPr="00395ACC" w:rsidRDefault="007219F1" w:rsidP="00D957D9">
            <w:pPr>
              <w:spacing w:after="0" w:line="240" w:lineRule="auto"/>
              <w:rPr>
                <w:rFonts w:ascii="Times New Roman" w:eastAsia="Times New Roman" w:hAnsi="Times New Roman" w:cs="Times New Roman"/>
                <w:iCs/>
                <w:sz w:val="24"/>
                <w:szCs w:val="24"/>
                <w:lang w:eastAsia="lv-LV"/>
              </w:rPr>
            </w:pPr>
          </w:p>
        </w:tc>
        <w:tc>
          <w:tcPr>
            <w:tcW w:w="7237" w:type="dxa"/>
            <w:tcBorders>
              <w:top w:val="outset" w:sz="6" w:space="0" w:color="auto"/>
              <w:left w:val="outset" w:sz="6" w:space="0" w:color="auto"/>
              <w:bottom w:val="outset" w:sz="6" w:space="0" w:color="auto"/>
              <w:right w:val="outset" w:sz="6" w:space="0" w:color="auto"/>
            </w:tcBorders>
            <w:hideMark/>
          </w:tcPr>
          <w:p w14:paraId="7F0147EB" w14:textId="1A2A42DC" w:rsidR="00455B38" w:rsidRPr="00395ACC" w:rsidRDefault="00D23D39"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Ekonomikas ministrija ir saņēmusi iebildumus un priek</w:t>
            </w:r>
            <w:r w:rsidR="001173EA" w:rsidRPr="00395ACC">
              <w:rPr>
                <w:rFonts w:ascii="Times New Roman" w:eastAsia="Times New Roman" w:hAnsi="Times New Roman" w:cs="Times New Roman"/>
                <w:iCs/>
                <w:sz w:val="24"/>
                <w:szCs w:val="24"/>
                <w:lang w:eastAsia="lv-LV"/>
              </w:rPr>
              <w:t>š</w:t>
            </w:r>
            <w:r w:rsidRPr="00395ACC">
              <w:rPr>
                <w:rFonts w:ascii="Times New Roman" w:eastAsia="Times New Roman" w:hAnsi="Times New Roman" w:cs="Times New Roman"/>
                <w:iCs/>
                <w:sz w:val="24"/>
                <w:szCs w:val="24"/>
                <w:lang w:eastAsia="lv-LV"/>
              </w:rPr>
              <w:t xml:space="preserve">likumus no AS “Latvijas Balzams”, </w:t>
            </w:r>
            <w:r w:rsidR="00A049AD" w:rsidRPr="00395ACC">
              <w:rPr>
                <w:rFonts w:ascii="Times New Roman" w:eastAsia="Times New Roman" w:hAnsi="Times New Roman" w:cs="Times New Roman"/>
                <w:iCs/>
                <w:sz w:val="24"/>
                <w:szCs w:val="24"/>
                <w:lang w:eastAsia="lv-LV"/>
              </w:rPr>
              <w:t>Latvijas Lielo pils</w:t>
            </w:r>
            <w:r w:rsidR="001173EA" w:rsidRPr="00395ACC">
              <w:rPr>
                <w:rFonts w:ascii="Times New Roman" w:eastAsia="Times New Roman" w:hAnsi="Times New Roman" w:cs="Times New Roman"/>
                <w:iCs/>
                <w:sz w:val="24"/>
                <w:szCs w:val="24"/>
                <w:lang w:eastAsia="lv-LV"/>
              </w:rPr>
              <w:t>ē</w:t>
            </w:r>
            <w:r w:rsidR="00A049AD" w:rsidRPr="00395ACC">
              <w:rPr>
                <w:rFonts w:ascii="Times New Roman" w:eastAsia="Times New Roman" w:hAnsi="Times New Roman" w:cs="Times New Roman"/>
                <w:iCs/>
                <w:sz w:val="24"/>
                <w:szCs w:val="24"/>
                <w:lang w:eastAsia="lv-LV"/>
              </w:rPr>
              <w:t>tu asociācijas un no akredit</w:t>
            </w:r>
            <w:r w:rsidR="001173EA" w:rsidRPr="00395ACC">
              <w:rPr>
                <w:rFonts w:ascii="Times New Roman" w:eastAsia="Times New Roman" w:hAnsi="Times New Roman" w:cs="Times New Roman"/>
                <w:iCs/>
                <w:sz w:val="24"/>
                <w:szCs w:val="24"/>
                <w:lang w:eastAsia="lv-LV"/>
              </w:rPr>
              <w:t>ētām inspicēšanas institūcijām.</w:t>
            </w:r>
            <w:r w:rsidR="00A049AD" w:rsidRPr="00395ACC">
              <w:rPr>
                <w:rFonts w:ascii="Times New Roman" w:eastAsia="Times New Roman" w:hAnsi="Times New Roman" w:cs="Times New Roman"/>
                <w:iCs/>
                <w:sz w:val="24"/>
                <w:szCs w:val="24"/>
                <w:lang w:eastAsia="lv-LV"/>
              </w:rPr>
              <w:t xml:space="preserve"> Ekonomikas ministrija ir </w:t>
            </w:r>
            <w:r w:rsidR="001173EA" w:rsidRPr="00395ACC">
              <w:rPr>
                <w:rFonts w:ascii="Times New Roman" w:eastAsia="Times New Roman" w:hAnsi="Times New Roman" w:cs="Times New Roman"/>
                <w:iCs/>
                <w:sz w:val="24"/>
                <w:szCs w:val="24"/>
                <w:lang w:eastAsia="lv-LV"/>
              </w:rPr>
              <w:t>ņē</w:t>
            </w:r>
            <w:r w:rsidR="00A049AD" w:rsidRPr="00395ACC">
              <w:rPr>
                <w:rFonts w:ascii="Times New Roman" w:eastAsia="Times New Roman" w:hAnsi="Times New Roman" w:cs="Times New Roman"/>
                <w:iCs/>
                <w:sz w:val="24"/>
                <w:szCs w:val="24"/>
                <w:lang w:eastAsia="lv-LV"/>
              </w:rPr>
              <w:t>musi v</w:t>
            </w:r>
            <w:r w:rsidR="001173EA" w:rsidRPr="00395ACC">
              <w:rPr>
                <w:rFonts w:ascii="Times New Roman" w:eastAsia="Times New Roman" w:hAnsi="Times New Roman" w:cs="Times New Roman"/>
                <w:iCs/>
                <w:sz w:val="24"/>
                <w:szCs w:val="24"/>
                <w:lang w:eastAsia="lv-LV"/>
              </w:rPr>
              <w:t xml:space="preserve">ērā </w:t>
            </w:r>
            <w:r w:rsidR="00A049AD" w:rsidRPr="00395ACC">
              <w:rPr>
                <w:rFonts w:ascii="Times New Roman" w:eastAsia="Times New Roman" w:hAnsi="Times New Roman" w:cs="Times New Roman"/>
                <w:iCs/>
                <w:sz w:val="24"/>
                <w:szCs w:val="24"/>
                <w:lang w:eastAsia="lv-LV"/>
              </w:rPr>
              <w:t xml:space="preserve">iesniegtos iebildumus. </w:t>
            </w:r>
          </w:p>
        </w:tc>
      </w:tr>
      <w:tr w:rsidR="00455B38" w:rsidRPr="00395ACC" w14:paraId="1C27889E" w14:textId="77777777" w:rsidTr="007F3B6B">
        <w:trPr>
          <w:tblCellSpacing w:w="15" w:type="dxa"/>
        </w:trPr>
        <w:tc>
          <w:tcPr>
            <w:tcW w:w="377" w:type="dxa"/>
            <w:tcBorders>
              <w:top w:val="outset" w:sz="6" w:space="0" w:color="auto"/>
              <w:left w:val="outset" w:sz="6" w:space="0" w:color="auto"/>
              <w:bottom w:val="outset" w:sz="6" w:space="0" w:color="auto"/>
              <w:right w:val="outset" w:sz="6" w:space="0" w:color="auto"/>
            </w:tcBorders>
            <w:hideMark/>
          </w:tcPr>
          <w:p w14:paraId="45A719E0"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4.</w:t>
            </w:r>
          </w:p>
        </w:tc>
        <w:tc>
          <w:tcPr>
            <w:tcW w:w="1338" w:type="dxa"/>
            <w:tcBorders>
              <w:top w:val="outset" w:sz="6" w:space="0" w:color="auto"/>
              <w:left w:val="outset" w:sz="6" w:space="0" w:color="auto"/>
              <w:bottom w:val="outset" w:sz="6" w:space="0" w:color="auto"/>
              <w:right w:val="outset" w:sz="6" w:space="0" w:color="auto"/>
            </w:tcBorders>
            <w:hideMark/>
          </w:tcPr>
          <w:p w14:paraId="369876EC"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7237" w:type="dxa"/>
            <w:tcBorders>
              <w:top w:val="outset" w:sz="6" w:space="0" w:color="auto"/>
              <w:left w:val="outset" w:sz="6" w:space="0" w:color="auto"/>
              <w:bottom w:val="outset" w:sz="6" w:space="0" w:color="auto"/>
              <w:right w:val="outset" w:sz="6" w:space="0" w:color="auto"/>
            </w:tcBorders>
            <w:hideMark/>
          </w:tcPr>
          <w:p w14:paraId="12171FB1"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33B0DB88" w14:textId="77777777" w:rsidR="00455B38" w:rsidRPr="00395ACC" w:rsidRDefault="00455B38" w:rsidP="00455B38">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  </w:t>
      </w: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3"/>
        <w:gridCol w:w="5510"/>
      </w:tblGrid>
      <w:tr w:rsidR="00455B38" w:rsidRPr="00395ACC" w14:paraId="718CA385" w14:textId="77777777" w:rsidTr="007F3B6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2E2CAD9" w14:textId="77777777" w:rsidR="00455B38" w:rsidRPr="00395ACC" w:rsidRDefault="00455B38" w:rsidP="00D957D9">
            <w:pPr>
              <w:spacing w:after="0" w:line="240" w:lineRule="auto"/>
              <w:jc w:val="center"/>
              <w:rPr>
                <w:rFonts w:ascii="Times New Roman" w:eastAsia="Times New Roman" w:hAnsi="Times New Roman" w:cs="Times New Roman"/>
                <w:b/>
                <w:bCs/>
                <w:iCs/>
                <w:sz w:val="24"/>
                <w:szCs w:val="24"/>
                <w:lang w:eastAsia="lv-LV"/>
              </w:rPr>
            </w:pPr>
            <w:r w:rsidRPr="00395AC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455B38" w:rsidRPr="00395ACC" w14:paraId="5D21F678" w14:textId="77777777" w:rsidTr="007F3B6B">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B6A2A77"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1.</w:t>
            </w:r>
          </w:p>
        </w:tc>
        <w:tc>
          <w:tcPr>
            <w:tcW w:w="1644" w:type="pct"/>
            <w:tcBorders>
              <w:top w:val="outset" w:sz="6" w:space="0" w:color="auto"/>
              <w:left w:val="outset" w:sz="6" w:space="0" w:color="auto"/>
              <w:bottom w:val="outset" w:sz="6" w:space="0" w:color="auto"/>
              <w:right w:val="outset" w:sz="6" w:space="0" w:color="auto"/>
            </w:tcBorders>
            <w:hideMark/>
          </w:tcPr>
          <w:p w14:paraId="72EBE886"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F445FF4" w14:textId="750F71B8" w:rsidR="00455B38" w:rsidRPr="00395ACC" w:rsidRDefault="006951EF"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 xml:space="preserve">Ekonomikas ministrija, </w:t>
            </w:r>
            <w:r w:rsidR="00455B38" w:rsidRPr="00395ACC">
              <w:rPr>
                <w:rFonts w:ascii="Times New Roman" w:eastAsia="Times New Roman" w:hAnsi="Times New Roman" w:cs="Times New Roman"/>
                <w:iCs/>
                <w:sz w:val="24"/>
                <w:szCs w:val="24"/>
                <w:lang w:eastAsia="lv-LV"/>
              </w:rPr>
              <w:t>Patērētāju tiesību aizsardzības centrs</w:t>
            </w:r>
          </w:p>
        </w:tc>
      </w:tr>
      <w:tr w:rsidR="00455B38" w:rsidRPr="00395ACC" w14:paraId="5FDB8144" w14:textId="77777777" w:rsidTr="007F3B6B">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AF949D5"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2.</w:t>
            </w:r>
          </w:p>
        </w:tc>
        <w:tc>
          <w:tcPr>
            <w:tcW w:w="1644" w:type="pct"/>
            <w:tcBorders>
              <w:top w:val="outset" w:sz="6" w:space="0" w:color="auto"/>
              <w:left w:val="outset" w:sz="6" w:space="0" w:color="auto"/>
              <w:bottom w:val="outset" w:sz="6" w:space="0" w:color="auto"/>
              <w:right w:val="outset" w:sz="6" w:space="0" w:color="auto"/>
            </w:tcBorders>
            <w:hideMark/>
          </w:tcPr>
          <w:p w14:paraId="4892745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Projekta izpildes ietekme uz pārvaldes funkcijām un institucionālo struktūru.</w:t>
            </w:r>
            <w:r w:rsidRPr="00395AC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5858F69" w14:textId="7A7E27F0" w:rsidR="00455B38" w:rsidRPr="00395ACC" w:rsidRDefault="006951EF" w:rsidP="00D957D9">
            <w:pPr>
              <w:spacing w:after="0" w:line="240" w:lineRule="auto"/>
              <w:rPr>
                <w:rFonts w:ascii="Times New Roman" w:eastAsia="Times New Roman" w:hAnsi="Times New Roman" w:cs="Times New Roman"/>
                <w:iCs/>
                <w:sz w:val="24"/>
                <w:szCs w:val="24"/>
                <w:lang w:eastAsia="lv-LV"/>
              </w:rPr>
            </w:pPr>
            <w:r w:rsidRPr="00395ACC">
              <w:rPr>
                <w:rFonts w:ascii="Times New Roman" w:hAnsi="Times New Roman" w:cs="Times New Roman"/>
                <w:sz w:val="24"/>
                <w:szCs w:val="24"/>
              </w:rPr>
              <w:t>Projekts šo jomu neskar</w:t>
            </w:r>
            <w:r w:rsidR="00C818B8" w:rsidRPr="00395ACC">
              <w:rPr>
                <w:rFonts w:ascii="Times New Roman" w:hAnsi="Times New Roman" w:cs="Times New Roman"/>
                <w:sz w:val="24"/>
                <w:szCs w:val="24"/>
              </w:rPr>
              <w:t>.</w:t>
            </w:r>
          </w:p>
        </w:tc>
      </w:tr>
      <w:tr w:rsidR="00455B38" w:rsidRPr="00395ACC" w14:paraId="4975F86E" w14:textId="77777777" w:rsidTr="007F3B6B">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2FAEA8B"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3.</w:t>
            </w:r>
          </w:p>
        </w:tc>
        <w:tc>
          <w:tcPr>
            <w:tcW w:w="1644" w:type="pct"/>
            <w:tcBorders>
              <w:top w:val="outset" w:sz="6" w:space="0" w:color="auto"/>
              <w:left w:val="outset" w:sz="6" w:space="0" w:color="auto"/>
              <w:bottom w:val="outset" w:sz="6" w:space="0" w:color="auto"/>
              <w:right w:val="outset" w:sz="6" w:space="0" w:color="auto"/>
            </w:tcBorders>
            <w:hideMark/>
          </w:tcPr>
          <w:p w14:paraId="6F048BFE"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7B83A4" w14:textId="77777777" w:rsidR="00455B38" w:rsidRPr="00395ACC" w:rsidRDefault="00455B38" w:rsidP="00D957D9">
            <w:pPr>
              <w:spacing w:after="0" w:line="240" w:lineRule="auto"/>
              <w:rPr>
                <w:rFonts w:ascii="Times New Roman" w:eastAsia="Times New Roman" w:hAnsi="Times New Roman" w:cs="Times New Roman"/>
                <w:iCs/>
                <w:sz w:val="24"/>
                <w:szCs w:val="24"/>
                <w:lang w:eastAsia="lv-LV"/>
              </w:rPr>
            </w:pPr>
            <w:r w:rsidRPr="00395ACC">
              <w:rPr>
                <w:rFonts w:ascii="Times New Roman" w:eastAsia="Times New Roman" w:hAnsi="Times New Roman" w:cs="Times New Roman"/>
                <w:iCs/>
                <w:sz w:val="24"/>
                <w:szCs w:val="24"/>
                <w:lang w:eastAsia="lv-LV"/>
              </w:rPr>
              <w:t>Nav</w:t>
            </w:r>
          </w:p>
        </w:tc>
      </w:tr>
    </w:tbl>
    <w:p w14:paraId="4DC8633C" w14:textId="77777777" w:rsidR="00455B38" w:rsidRPr="00395ACC" w:rsidRDefault="00455B38" w:rsidP="00455B38">
      <w:pPr>
        <w:spacing w:after="0" w:line="240" w:lineRule="auto"/>
        <w:rPr>
          <w:rFonts w:ascii="Times New Roman" w:hAnsi="Times New Roman" w:cs="Times New Roman"/>
          <w:sz w:val="28"/>
          <w:szCs w:val="28"/>
        </w:rPr>
      </w:pPr>
    </w:p>
    <w:p w14:paraId="1B93D562" w14:textId="77777777" w:rsidR="00455B38" w:rsidRPr="00395ACC" w:rsidRDefault="00455B38" w:rsidP="00455B38">
      <w:pPr>
        <w:spacing w:after="0" w:line="240" w:lineRule="auto"/>
        <w:rPr>
          <w:rFonts w:ascii="Times New Roman" w:hAnsi="Times New Roman" w:cs="Times New Roman"/>
          <w:sz w:val="28"/>
          <w:szCs w:val="28"/>
        </w:rPr>
      </w:pPr>
    </w:p>
    <w:p w14:paraId="49E8C60E" w14:textId="13A181E1" w:rsidR="00015204" w:rsidRPr="00395ACC" w:rsidRDefault="00455B38" w:rsidP="00455B38">
      <w:pPr>
        <w:spacing w:after="0" w:line="240" w:lineRule="auto"/>
        <w:rPr>
          <w:rFonts w:ascii="Times New Roman" w:eastAsia="Times New Roman" w:hAnsi="Times New Roman" w:cs="Times New Roman"/>
          <w:sz w:val="26"/>
          <w:szCs w:val="26"/>
          <w:lang w:eastAsia="lv-LV"/>
        </w:rPr>
      </w:pPr>
      <w:r w:rsidRPr="00395ACC">
        <w:rPr>
          <w:rFonts w:ascii="Times New Roman" w:eastAsia="Times New Roman" w:hAnsi="Times New Roman" w:cs="Times New Roman"/>
          <w:sz w:val="26"/>
          <w:szCs w:val="26"/>
          <w:lang w:eastAsia="lv-LV"/>
        </w:rPr>
        <w:t>Ekonomikas ministr</w:t>
      </w:r>
      <w:r w:rsidR="001173EA" w:rsidRPr="00395ACC">
        <w:rPr>
          <w:rFonts w:ascii="Times New Roman" w:eastAsia="Times New Roman" w:hAnsi="Times New Roman" w:cs="Times New Roman"/>
          <w:sz w:val="26"/>
          <w:szCs w:val="26"/>
          <w:lang w:eastAsia="lv-LV"/>
        </w:rPr>
        <w:t>s</w:t>
      </w:r>
      <w:r w:rsidR="001173EA"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015204" w:rsidRPr="00395ACC">
        <w:rPr>
          <w:rFonts w:ascii="Times New Roman" w:eastAsia="Times New Roman" w:hAnsi="Times New Roman" w:cs="Times New Roman"/>
          <w:sz w:val="26"/>
          <w:szCs w:val="26"/>
          <w:lang w:eastAsia="lv-LV"/>
        </w:rPr>
        <w:tab/>
      </w:r>
      <w:r w:rsidR="001173EA" w:rsidRPr="00395ACC">
        <w:rPr>
          <w:rFonts w:ascii="Times New Roman" w:eastAsia="Times New Roman" w:hAnsi="Times New Roman" w:cs="Times New Roman"/>
          <w:sz w:val="26"/>
          <w:szCs w:val="26"/>
          <w:lang w:eastAsia="lv-LV"/>
        </w:rPr>
        <w:t>J.Vitenbergs</w:t>
      </w:r>
    </w:p>
    <w:p w14:paraId="116DC940" w14:textId="5FC537FB" w:rsidR="00455B38" w:rsidRPr="00395ACC" w:rsidRDefault="00455B38" w:rsidP="00455B38">
      <w:pPr>
        <w:spacing w:after="0" w:line="240" w:lineRule="auto"/>
        <w:rPr>
          <w:rFonts w:ascii="Times New Roman" w:eastAsia="Times New Roman" w:hAnsi="Times New Roman" w:cs="Times New Roman"/>
          <w:sz w:val="26"/>
          <w:szCs w:val="26"/>
          <w:lang w:eastAsia="lv-LV"/>
        </w:rPr>
      </w:pP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Pr>
          <w:rFonts w:ascii="Times New Roman" w:eastAsia="Times New Roman" w:hAnsi="Times New Roman" w:cs="Times New Roman"/>
          <w:sz w:val="26"/>
          <w:szCs w:val="26"/>
          <w:lang w:eastAsia="lv-LV"/>
        </w:rPr>
        <w:tab/>
      </w:r>
      <w:r w:rsidRPr="00395ACC" w:rsidDel="0053758B">
        <w:rPr>
          <w:rFonts w:ascii="Times New Roman" w:eastAsia="Times New Roman" w:hAnsi="Times New Roman" w:cs="Times New Roman"/>
          <w:sz w:val="26"/>
          <w:szCs w:val="26"/>
          <w:lang w:eastAsia="lv-LV"/>
        </w:rPr>
        <w:t xml:space="preserve"> </w:t>
      </w:r>
    </w:p>
    <w:p w14:paraId="76ACCF08" w14:textId="77777777" w:rsidR="00455B38" w:rsidRPr="00395ACC" w:rsidRDefault="00455B38" w:rsidP="00455B38">
      <w:pPr>
        <w:spacing w:after="0" w:line="240" w:lineRule="auto"/>
        <w:rPr>
          <w:rFonts w:ascii="Times New Roman" w:eastAsia="Times New Roman" w:hAnsi="Times New Roman" w:cs="Times New Roman"/>
          <w:sz w:val="26"/>
          <w:szCs w:val="26"/>
          <w:lang w:eastAsia="lv-LV"/>
        </w:rPr>
      </w:pPr>
    </w:p>
    <w:p w14:paraId="5E8F4DFB" w14:textId="5CD3A2DC" w:rsidR="00455B38" w:rsidRPr="00395ACC" w:rsidRDefault="001173EA" w:rsidP="00455B38">
      <w:pPr>
        <w:spacing w:after="0" w:line="240" w:lineRule="auto"/>
        <w:rPr>
          <w:rFonts w:ascii="Times New Roman" w:hAnsi="Times New Roman" w:cs="Times New Roman"/>
          <w:sz w:val="26"/>
          <w:szCs w:val="26"/>
        </w:rPr>
      </w:pPr>
      <w:r w:rsidRPr="00395ACC">
        <w:rPr>
          <w:rFonts w:ascii="Times New Roman" w:eastAsia="Times New Roman" w:hAnsi="Times New Roman" w:cs="Times New Roman"/>
          <w:sz w:val="26"/>
          <w:szCs w:val="26"/>
          <w:lang w:eastAsia="lv-LV"/>
        </w:rPr>
        <w:t>Valsts sekretāra vietnie</w:t>
      </w:r>
      <w:r w:rsidR="006D0767">
        <w:rPr>
          <w:rFonts w:ascii="Times New Roman" w:eastAsia="Times New Roman" w:hAnsi="Times New Roman" w:cs="Times New Roman"/>
          <w:sz w:val="26"/>
          <w:szCs w:val="26"/>
          <w:lang w:eastAsia="lv-LV"/>
        </w:rPr>
        <w:t>ce</w:t>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455B38" w:rsidRPr="00395ACC">
        <w:rPr>
          <w:rFonts w:ascii="Times New Roman" w:eastAsia="Times New Roman" w:hAnsi="Times New Roman" w:cs="Times New Roman"/>
          <w:sz w:val="26"/>
          <w:szCs w:val="26"/>
          <w:lang w:eastAsia="lv-LV"/>
        </w:rPr>
        <w:tab/>
      </w:r>
      <w:r w:rsidR="006D0767">
        <w:rPr>
          <w:rFonts w:ascii="Times New Roman" w:eastAsia="Times New Roman" w:hAnsi="Times New Roman" w:cs="Times New Roman"/>
          <w:sz w:val="26"/>
          <w:szCs w:val="26"/>
          <w:lang w:eastAsia="lv-LV"/>
        </w:rPr>
        <w:t>Z.Liepiņa</w:t>
      </w:r>
    </w:p>
    <w:p w14:paraId="3AAF7B90" w14:textId="77777777" w:rsidR="00455B38" w:rsidRPr="00395ACC" w:rsidRDefault="00455B38" w:rsidP="00455B38">
      <w:pPr>
        <w:spacing w:after="0" w:line="240" w:lineRule="auto"/>
        <w:ind w:firstLine="720"/>
        <w:rPr>
          <w:rFonts w:ascii="Times New Roman" w:hAnsi="Times New Roman" w:cs="Times New Roman"/>
          <w:sz w:val="28"/>
          <w:szCs w:val="28"/>
        </w:rPr>
      </w:pPr>
    </w:p>
    <w:p w14:paraId="792413EF" w14:textId="77777777" w:rsidR="00455B38" w:rsidRPr="00395ACC" w:rsidRDefault="00455B38" w:rsidP="00455B38">
      <w:pPr>
        <w:tabs>
          <w:tab w:val="left" w:pos="6237"/>
        </w:tabs>
        <w:spacing w:after="0" w:line="240" w:lineRule="auto"/>
        <w:ind w:firstLine="720"/>
        <w:rPr>
          <w:rFonts w:ascii="Times New Roman" w:hAnsi="Times New Roman" w:cs="Times New Roman"/>
          <w:sz w:val="28"/>
          <w:szCs w:val="28"/>
        </w:rPr>
      </w:pPr>
    </w:p>
    <w:p w14:paraId="781DA2BE" w14:textId="77777777" w:rsidR="00455B38" w:rsidRPr="00395ACC" w:rsidRDefault="00455B38" w:rsidP="00455B38">
      <w:pPr>
        <w:tabs>
          <w:tab w:val="left" w:pos="6237"/>
        </w:tabs>
        <w:spacing w:after="0" w:line="240" w:lineRule="auto"/>
        <w:ind w:firstLine="720"/>
        <w:rPr>
          <w:rFonts w:ascii="Times New Roman" w:hAnsi="Times New Roman" w:cs="Times New Roman"/>
          <w:sz w:val="28"/>
          <w:szCs w:val="28"/>
        </w:rPr>
      </w:pPr>
    </w:p>
    <w:p w14:paraId="23F95B05" w14:textId="3E1BAF95" w:rsidR="00455B38" w:rsidRDefault="00455B38" w:rsidP="00455B38">
      <w:pPr>
        <w:tabs>
          <w:tab w:val="left" w:pos="6237"/>
        </w:tabs>
        <w:spacing w:after="0" w:line="240" w:lineRule="auto"/>
        <w:ind w:firstLine="720"/>
        <w:rPr>
          <w:rFonts w:ascii="Times New Roman" w:hAnsi="Times New Roman" w:cs="Times New Roman"/>
          <w:sz w:val="28"/>
          <w:szCs w:val="28"/>
        </w:rPr>
      </w:pPr>
    </w:p>
    <w:p w14:paraId="472BC2EA" w14:textId="74E17866" w:rsidR="006D0767" w:rsidRDefault="006D0767" w:rsidP="00455B38">
      <w:pPr>
        <w:tabs>
          <w:tab w:val="left" w:pos="6237"/>
        </w:tabs>
        <w:spacing w:after="0" w:line="240" w:lineRule="auto"/>
        <w:ind w:firstLine="720"/>
        <w:rPr>
          <w:rFonts w:ascii="Times New Roman" w:hAnsi="Times New Roman" w:cs="Times New Roman"/>
          <w:sz w:val="28"/>
          <w:szCs w:val="28"/>
        </w:rPr>
      </w:pPr>
    </w:p>
    <w:p w14:paraId="08D4E8C1" w14:textId="77777777" w:rsidR="006D0767" w:rsidRPr="00395ACC" w:rsidRDefault="006D0767" w:rsidP="00455B38">
      <w:pPr>
        <w:tabs>
          <w:tab w:val="left" w:pos="6237"/>
        </w:tabs>
        <w:spacing w:after="0" w:line="240" w:lineRule="auto"/>
        <w:ind w:firstLine="720"/>
        <w:rPr>
          <w:rFonts w:ascii="Times New Roman" w:hAnsi="Times New Roman" w:cs="Times New Roman"/>
          <w:sz w:val="28"/>
          <w:szCs w:val="28"/>
        </w:rPr>
      </w:pPr>
    </w:p>
    <w:p w14:paraId="30259C5E" w14:textId="0A8BAA8A" w:rsidR="00455B38" w:rsidRPr="006D0767" w:rsidRDefault="006951EF" w:rsidP="001C15D2">
      <w:pPr>
        <w:pStyle w:val="List"/>
        <w:rPr>
          <w:rFonts w:ascii="Times New Roman" w:hAnsi="Times New Roman" w:cs="Times New Roman"/>
          <w:sz w:val="20"/>
          <w:szCs w:val="20"/>
        </w:rPr>
      </w:pPr>
      <w:r w:rsidRPr="006D0767">
        <w:rPr>
          <w:rFonts w:ascii="Times New Roman" w:hAnsi="Times New Roman" w:cs="Times New Roman"/>
          <w:sz w:val="20"/>
          <w:szCs w:val="20"/>
        </w:rPr>
        <w:t>Matēviča</w:t>
      </w:r>
      <w:r w:rsidR="00455B38" w:rsidRPr="006D0767">
        <w:rPr>
          <w:rFonts w:ascii="Times New Roman" w:hAnsi="Times New Roman" w:cs="Times New Roman"/>
          <w:sz w:val="20"/>
          <w:szCs w:val="20"/>
        </w:rPr>
        <w:t>, 670130</w:t>
      </w:r>
      <w:r w:rsidRPr="006D0767">
        <w:rPr>
          <w:rFonts w:ascii="Times New Roman" w:hAnsi="Times New Roman" w:cs="Times New Roman"/>
          <w:sz w:val="20"/>
          <w:szCs w:val="20"/>
        </w:rPr>
        <w:t>66</w:t>
      </w:r>
    </w:p>
    <w:p w14:paraId="2DEC9BEA" w14:textId="20D66A7A" w:rsidR="00455B38" w:rsidRPr="006D0767" w:rsidRDefault="00820507" w:rsidP="001C15D2">
      <w:pPr>
        <w:pStyle w:val="List"/>
        <w:rPr>
          <w:rFonts w:ascii="Times New Roman" w:hAnsi="Times New Roman" w:cs="Times New Roman"/>
          <w:sz w:val="20"/>
          <w:szCs w:val="20"/>
        </w:rPr>
      </w:pPr>
      <w:hyperlink r:id="rId10" w:history="1">
        <w:r w:rsidR="001C15D2" w:rsidRPr="006D0767">
          <w:rPr>
            <w:rStyle w:val="Hyperlink"/>
            <w:rFonts w:ascii="Times New Roman" w:hAnsi="Times New Roman" w:cs="Times New Roman"/>
            <w:sz w:val="20"/>
            <w:szCs w:val="20"/>
          </w:rPr>
          <w:t>Inese.Matevica@em.gov.lv</w:t>
        </w:r>
      </w:hyperlink>
    </w:p>
    <w:p w14:paraId="69262AB6" w14:textId="77777777" w:rsidR="00D957D9" w:rsidRPr="00395ACC" w:rsidRDefault="00D957D9">
      <w:pPr>
        <w:rPr>
          <w:rFonts w:ascii="Times New Roman" w:hAnsi="Times New Roman" w:cs="Times New Roman"/>
        </w:rPr>
      </w:pPr>
    </w:p>
    <w:sectPr w:rsidR="00D957D9" w:rsidRPr="00395ACC" w:rsidSect="00D957D9">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31403" w14:textId="77777777" w:rsidR="00820507" w:rsidRDefault="00820507" w:rsidP="005476D8">
      <w:pPr>
        <w:spacing w:after="0" w:line="240" w:lineRule="auto"/>
      </w:pPr>
      <w:r>
        <w:separator/>
      </w:r>
    </w:p>
  </w:endnote>
  <w:endnote w:type="continuationSeparator" w:id="0">
    <w:p w14:paraId="2A4F3F17" w14:textId="77777777" w:rsidR="00820507" w:rsidRDefault="00820507" w:rsidP="0054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C051" w14:textId="1876093C" w:rsidR="003B4C8E" w:rsidRPr="00B8085F" w:rsidRDefault="003B4C8E" w:rsidP="00B8085F">
    <w:pPr>
      <w:pStyle w:val="Footer"/>
      <w:rPr>
        <w:rFonts w:ascii="Times New Roman" w:hAnsi="Times New Roman" w:cs="Times New Roman"/>
        <w:sz w:val="18"/>
        <w:szCs w:val="18"/>
      </w:rPr>
    </w:pPr>
    <w:r w:rsidRPr="00B8085F">
      <w:rPr>
        <w:rFonts w:ascii="Times New Roman" w:hAnsi="Times New Roman" w:cs="Times New Roman"/>
        <w:sz w:val="18"/>
        <w:szCs w:val="18"/>
      </w:rPr>
      <w:t>EMAnot_Ministru kabineta noteikumu “Liftu un vertikālo cēlējplatformu drošības prasību un tehniskās uzraudzības noteikumi”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16F0B" w14:textId="58C48F67" w:rsidR="003B4C8E" w:rsidRPr="007B1E64" w:rsidRDefault="003B4C8E" w:rsidP="00B8085F">
    <w:pPr>
      <w:pStyle w:val="Footer"/>
      <w:rPr>
        <w:rFonts w:ascii="Times New Roman" w:hAnsi="Times New Roman" w:cs="Times New Roman"/>
        <w:sz w:val="18"/>
        <w:szCs w:val="18"/>
      </w:rPr>
    </w:pPr>
    <w:r w:rsidRPr="007B1E64">
      <w:rPr>
        <w:rFonts w:ascii="Times New Roman" w:hAnsi="Times New Roman" w:cs="Times New Roman"/>
        <w:sz w:val="18"/>
        <w:szCs w:val="18"/>
      </w:rPr>
      <w:t>EMAnot</w:t>
    </w:r>
    <w:r>
      <w:rPr>
        <w:rFonts w:ascii="Times New Roman" w:hAnsi="Times New Roman" w:cs="Times New Roman"/>
        <w:sz w:val="18"/>
        <w:szCs w:val="18"/>
      </w:rPr>
      <w:t>_Ministru</w:t>
    </w:r>
    <w:r w:rsidRPr="007B1E64">
      <w:rPr>
        <w:rFonts w:ascii="Times New Roman" w:hAnsi="Times New Roman" w:cs="Times New Roman"/>
        <w:sz w:val="18"/>
        <w:szCs w:val="18"/>
      </w:rPr>
      <w:t xml:space="preserve"> kabineta noteikumu “</w:t>
    </w:r>
    <w:r>
      <w:rPr>
        <w:rFonts w:ascii="Times New Roman" w:hAnsi="Times New Roman" w:cs="Times New Roman"/>
        <w:sz w:val="18"/>
        <w:szCs w:val="18"/>
      </w:rPr>
      <w:t>Liftu un vertikālo cēlējplatformu drošības prasību un tehniskās uzraudzības noteikumi</w:t>
    </w:r>
    <w:r w:rsidRPr="007B1E64">
      <w:rPr>
        <w:rFonts w:ascii="Times New Roman" w:hAnsi="Times New Roman" w:cs="Times New Roman"/>
        <w:sz w:val="18"/>
        <w:szCs w:val="18"/>
      </w:rPr>
      <w:t>” sākotnējās ietekmes novērtējuma ziņojums (anotācija)</w:t>
    </w:r>
  </w:p>
  <w:p w14:paraId="6CEB217D" w14:textId="2C82B11D" w:rsidR="003B4C8E" w:rsidRPr="00B8085F" w:rsidRDefault="003B4C8E" w:rsidP="00B8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839AC" w14:textId="77777777" w:rsidR="00820507" w:rsidRDefault="00820507" w:rsidP="005476D8">
      <w:pPr>
        <w:spacing w:after="0" w:line="240" w:lineRule="auto"/>
      </w:pPr>
      <w:r>
        <w:separator/>
      </w:r>
    </w:p>
  </w:footnote>
  <w:footnote w:type="continuationSeparator" w:id="0">
    <w:p w14:paraId="3C6F1228" w14:textId="77777777" w:rsidR="00820507" w:rsidRDefault="00820507" w:rsidP="0054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CA8A506" w14:textId="77777777" w:rsidR="003B4C8E" w:rsidRPr="00C25B49" w:rsidRDefault="003B4C8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473"/>
    <w:multiLevelType w:val="hybridMultilevel"/>
    <w:tmpl w:val="4C1AE19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501F4B"/>
    <w:multiLevelType w:val="hybridMultilevel"/>
    <w:tmpl w:val="3B0E069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04C7DF4"/>
    <w:multiLevelType w:val="hybridMultilevel"/>
    <w:tmpl w:val="874036A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661468"/>
    <w:multiLevelType w:val="hybridMultilevel"/>
    <w:tmpl w:val="93F6A8E6"/>
    <w:lvl w:ilvl="0" w:tplc="04260001">
      <w:start w:val="1"/>
      <w:numFmt w:val="bullet"/>
      <w:lvlText w:val=""/>
      <w:lvlJc w:val="left"/>
      <w:pPr>
        <w:ind w:left="720" w:hanging="360"/>
      </w:pPr>
      <w:rPr>
        <w:rFonts w:ascii="Symbol" w:hAnsi="Symbol" w:hint="default"/>
      </w:rPr>
    </w:lvl>
    <w:lvl w:ilvl="1" w:tplc="4D623B80">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1">
      <w:start w:val="1"/>
      <w:numFmt w:val="bullet"/>
      <w:lvlText w:val=""/>
      <w:lvlJc w:val="left"/>
      <w:pPr>
        <w:ind w:left="2880" w:hanging="360"/>
      </w:pPr>
      <w:rPr>
        <w:rFonts w:ascii="Symbol" w:hAnsi="Symbol" w:hint="default"/>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4314787"/>
    <w:multiLevelType w:val="hybridMultilevel"/>
    <w:tmpl w:val="8F16E2F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E123DC4"/>
    <w:multiLevelType w:val="hybridMultilevel"/>
    <w:tmpl w:val="90DE414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DE4510C"/>
    <w:multiLevelType w:val="hybridMultilevel"/>
    <w:tmpl w:val="F2125576"/>
    <w:lvl w:ilvl="0" w:tplc="42CAA1CC">
      <w:start w:val="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32258DE"/>
    <w:multiLevelType w:val="hybridMultilevel"/>
    <w:tmpl w:val="4AEC90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8354BB"/>
    <w:multiLevelType w:val="hybridMultilevel"/>
    <w:tmpl w:val="83A0292E"/>
    <w:lvl w:ilvl="0" w:tplc="5EAEBED6">
      <w:start w:val="4"/>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C344D3"/>
    <w:multiLevelType w:val="hybridMultilevel"/>
    <w:tmpl w:val="37BA63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EF2D0D"/>
    <w:multiLevelType w:val="hybridMultilevel"/>
    <w:tmpl w:val="973C6316"/>
    <w:lvl w:ilvl="0" w:tplc="44CEE80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4A91"/>
    <w:multiLevelType w:val="hybridMultilevel"/>
    <w:tmpl w:val="B6D49870"/>
    <w:lvl w:ilvl="0" w:tplc="0298C1A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76F307A"/>
    <w:multiLevelType w:val="hybridMultilevel"/>
    <w:tmpl w:val="D66C69FE"/>
    <w:lvl w:ilvl="0" w:tplc="4D623B80">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3"/>
  </w:num>
  <w:num w:numId="5">
    <w:abstractNumId w:val="12"/>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9"/>
  </w:num>
  <w:num w:numId="11">
    <w:abstractNumId w:val="2"/>
  </w:num>
  <w:num w:numId="12">
    <w:abstractNumId w:val="0"/>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38"/>
    <w:rsid w:val="00001B83"/>
    <w:rsid w:val="00002B2C"/>
    <w:rsid w:val="00005F98"/>
    <w:rsid w:val="00006312"/>
    <w:rsid w:val="00015204"/>
    <w:rsid w:val="000222EB"/>
    <w:rsid w:val="00022B60"/>
    <w:rsid w:val="000231A1"/>
    <w:rsid w:val="000247B1"/>
    <w:rsid w:val="00030E61"/>
    <w:rsid w:val="00033564"/>
    <w:rsid w:val="000522D6"/>
    <w:rsid w:val="00060E84"/>
    <w:rsid w:val="0006120D"/>
    <w:rsid w:val="00080003"/>
    <w:rsid w:val="000847C6"/>
    <w:rsid w:val="0009094B"/>
    <w:rsid w:val="000A1D3C"/>
    <w:rsid w:val="000A48CA"/>
    <w:rsid w:val="000B197D"/>
    <w:rsid w:val="000B6E6F"/>
    <w:rsid w:val="000C600B"/>
    <w:rsid w:val="000D0525"/>
    <w:rsid w:val="000D2BA0"/>
    <w:rsid w:val="000E3EC3"/>
    <w:rsid w:val="000E4397"/>
    <w:rsid w:val="001006BF"/>
    <w:rsid w:val="001016F4"/>
    <w:rsid w:val="0010198A"/>
    <w:rsid w:val="00107444"/>
    <w:rsid w:val="00107479"/>
    <w:rsid w:val="001173EA"/>
    <w:rsid w:val="00120A1E"/>
    <w:rsid w:val="00121EAD"/>
    <w:rsid w:val="00122DDA"/>
    <w:rsid w:val="001272DE"/>
    <w:rsid w:val="0013189F"/>
    <w:rsid w:val="00137CC2"/>
    <w:rsid w:val="00142103"/>
    <w:rsid w:val="001513A0"/>
    <w:rsid w:val="00155E86"/>
    <w:rsid w:val="00174BDE"/>
    <w:rsid w:val="00185657"/>
    <w:rsid w:val="00190F0A"/>
    <w:rsid w:val="00192EA4"/>
    <w:rsid w:val="001947B8"/>
    <w:rsid w:val="00196F3B"/>
    <w:rsid w:val="001A13D6"/>
    <w:rsid w:val="001A2112"/>
    <w:rsid w:val="001A50F2"/>
    <w:rsid w:val="001A610F"/>
    <w:rsid w:val="001A71BB"/>
    <w:rsid w:val="001B214C"/>
    <w:rsid w:val="001B5975"/>
    <w:rsid w:val="001C15D2"/>
    <w:rsid w:val="001C17F3"/>
    <w:rsid w:val="001C470A"/>
    <w:rsid w:val="001C5254"/>
    <w:rsid w:val="001D3DCB"/>
    <w:rsid w:val="001D566B"/>
    <w:rsid w:val="001E0789"/>
    <w:rsid w:val="001E633D"/>
    <w:rsid w:val="001E67AA"/>
    <w:rsid w:val="00216238"/>
    <w:rsid w:val="002174F1"/>
    <w:rsid w:val="002244CB"/>
    <w:rsid w:val="00226F83"/>
    <w:rsid w:val="00227A5C"/>
    <w:rsid w:val="00232EFC"/>
    <w:rsid w:val="00236153"/>
    <w:rsid w:val="0024010B"/>
    <w:rsid w:val="00240995"/>
    <w:rsid w:val="002447D4"/>
    <w:rsid w:val="002542D0"/>
    <w:rsid w:val="00255475"/>
    <w:rsid w:val="002601FF"/>
    <w:rsid w:val="00263265"/>
    <w:rsid w:val="002656BB"/>
    <w:rsid w:val="00267316"/>
    <w:rsid w:val="00270F2C"/>
    <w:rsid w:val="0027339B"/>
    <w:rsid w:val="0028655A"/>
    <w:rsid w:val="002951E7"/>
    <w:rsid w:val="002B06A4"/>
    <w:rsid w:val="002B5A3D"/>
    <w:rsid w:val="002C19EA"/>
    <w:rsid w:val="002C5A8C"/>
    <w:rsid w:val="002D006A"/>
    <w:rsid w:val="002D2D02"/>
    <w:rsid w:val="002E15D0"/>
    <w:rsid w:val="002E23AF"/>
    <w:rsid w:val="002E491E"/>
    <w:rsid w:val="002E57B4"/>
    <w:rsid w:val="002E5A1D"/>
    <w:rsid w:val="002F3B62"/>
    <w:rsid w:val="002F4AD8"/>
    <w:rsid w:val="002F7536"/>
    <w:rsid w:val="00301D95"/>
    <w:rsid w:val="003139AF"/>
    <w:rsid w:val="0032382F"/>
    <w:rsid w:val="00326209"/>
    <w:rsid w:val="003328D1"/>
    <w:rsid w:val="00332AFA"/>
    <w:rsid w:val="003332FE"/>
    <w:rsid w:val="003435EE"/>
    <w:rsid w:val="00343AD4"/>
    <w:rsid w:val="00343C30"/>
    <w:rsid w:val="00354E4E"/>
    <w:rsid w:val="00360B58"/>
    <w:rsid w:val="00362060"/>
    <w:rsid w:val="0036290E"/>
    <w:rsid w:val="00363564"/>
    <w:rsid w:val="0037220E"/>
    <w:rsid w:val="0037328C"/>
    <w:rsid w:val="0037799D"/>
    <w:rsid w:val="00384132"/>
    <w:rsid w:val="00395ACC"/>
    <w:rsid w:val="00397571"/>
    <w:rsid w:val="003B4C8E"/>
    <w:rsid w:val="003B5C16"/>
    <w:rsid w:val="003B7369"/>
    <w:rsid w:val="003C0BA8"/>
    <w:rsid w:val="003D0252"/>
    <w:rsid w:val="003D065B"/>
    <w:rsid w:val="003D29F8"/>
    <w:rsid w:val="003E401C"/>
    <w:rsid w:val="003E5770"/>
    <w:rsid w:val="003F2F30"/>
    <w:rsid w:val="003F684C"/>
    <w:rsid w:val="00403A22"/>
    <w:rsid w:val="00404B5B"/>
    <w:rsid w:val="0040643B"/>
    <w:rsid w:val="00406E2A"/>
    <w:rsid w:val="00410AF5"/>
    <w:rsid w:val="00420863"/>
    <w:rsid w:val="00422E2D"/>
    <w:rsid w:val="00432D10"/>
    <w:rsid w:val="00434F41"/>
    <w:rsid w:val="00436078"/>
    <w:rsid w:val="00445ACA"/>
    <w:rsid w:val="0044601D"/>
    <w:rsid w:val="0044685D"/>
    <w:rsid w:val="00452ACE"/>
    <w:rsid w:val="00455B38"/>
    <w:rsid w:val="0046209F"/>
    <w:rsid w:val="00462E48"/>
    <w:rsid w:val="004716D5"/>
    <w:rsid w:val="00476C62"/>
    <w:rsid w:val="0048038C"/>
    <w:rsid w:val="00487BE1"/>
    <w:rsid w:val="004915AE"/>
    <w:rsid w:val="004918C1"/>
    <w:rsid w:val="004A2CAA"/>
    <w:rsid w:val="004A5B61"/>
    <w:rsid w:val="004B6717"/>
    <w:rsid w:val="004C0754"/>
    <w:rsid w:val="004E0BFB"/>
    <w:rsid w:val="004E393C"/>
    <w:rsid w:val="004E3EBD"/>
    <w:rsid w:val="004E51E6"/>
    <w:rsid w:val="004E547B"/>
    <w:rsid w:val="00500214"/>
    <w:rsid w:val="005026BE"/>
    <w:rsid w:val="0050484D"/>
    <w:rsid w:val="00514EE0"/>
    <w:rsid w:val="00515060"/>
    <w:rsid w:val="00515E39"/>
    <w:rsid w:val="005224A6"/>
    <w:rsid w:val="00527FFE"/>
    <w:rsid w:val="00533763"/>
    <w:rsid w:val="00534195"/>
    <w:rsid w:val="005421A3"/>
    <w:rsid w:val="00542F9B"/>
    <w:rsid w:val="005476D8"/>
    <w:rsid w:val="0055534D"/>
    <w:rsid w:val="00572318"/>
    <w:rsid w:val="005834B3"/>
    <w:rsid w:val="00584C6D"/>
    <w:rsid w:val="00584E90"/>
    <w:rsid w:val="005900AC"/>
    <w:rsid w:val="005924B6"/>
    <w:rsid w:val="005969A2"/>
    <w:rsid w:val="00597A92"/>
    <w:rsid w:val="005A77DB"/>
    <w:rsid w:val="005B1CF5"/>
    <w:rsid w:val="005B1F8E"/>
    <w:rsid w:val="005B6F60"/>
    <w:rsid w:val="005C5D19"/>
    <w:rsid w:val="005D03A0"/>
    <w:rsid w:val="005D6201"/>
    <w:rsid w:val="005E19B7"/>
    <w:rsid w:val="005E38C7"/>
    <w:rsid w:val="005E4AD5"/>
    <w:rsid w:val="005E7313"/>
    <w:rsid w:val="005F1093"/>
    <w:rsid w:val="00604077"/>
    <w:rsid w:val="00613B31"/>
    <w:rsid w:val="00622B50"/>
    <w:rsid w:val="0064238A"/>
    <w:rsid w:val="006461E0"/>
    <w:rsid w:val="006478AE"/>
    <w:rsid w:val="006504CF"/>
    <w:rsid w:val="00652268"/>
    <w:rsid w:val="00660DB1"/>
    <w:rsid w:val="00664356"/>
    <w:rsid w:val="00673A12"/>
    <w:rsid w:val="0067732D"/>
    <w:rsid w:val="00680BDC"/>
    <w:rsid w:val="00684C26"/>
    <w:rsid w:val="00685903"/>
    <w:rsid w:val="006862B5"/>
    <w:rsid w:val="00693511"/>
    <w:rsid w:val="006940F0"/>
    <w:rsid w:val="006951EF"/>
    <w:rsid w:val="006A0D6B"/>
    <w:rsid w:val="006A665D"/>
    <w:rsid w:val="006A7A66"/>
    <w:rsid w:val="006B353F"/>
    <w:rsid w:val="006C1496"/>
    <w:rsid w:val="006D0767"/>
    <w:rsid w:val="006D47D5"/>
    <w:rsid w:val="006E1491"/>
    <w:rsid w:val="006F139D"/>
    <w:rsid w:val="006F3459"/>
    <w:rsid w:val="00700184"/>
    <w:rsid w:val="00703C8E"/>
    <w:rsid w:val="0070695B"/>
    <w:rsid w:val="00706B85"/>
    <w:rsid w:val="007219F1"/>
    <w:rsid w:val="00721F38"/>
    <w:rsid w:val="0072220E"/>
    <w:rsid w:val="00726062"/>
    <w:rsid w:val="00734FBD"/>
    <w:rsid w:val="00743613"/>
    <w:rsid w:val="00743A63"/>
    <w:rsid w:val="00746920"/>
    <w:rsid w:val="00747354"/>
    <w:rsid w:val="00747B62"/>
    <w:rsid w:val="00751035"/>
    <w:rsid w:val="007550F3"/>
    <w:rsid w:val="00756075"/>
    <w:rsid w:val="00761C7C"/>
    <w:rsid w:val="00762758"/>
    <w:rsid w:val="00772D5B"/>
    <w:rsid w:val="00776EAE"/>
    <w:rsid w:val="00777000"/>
    <w:rsid w:val="007807F7"/>
    <w:rsid w:val="00790D17"/>
    <w:rsid w:val="00793387"/>
    <w:rsid w:val="007964D5"/>
    <w:rsid w:val="007A0973"/>
    <w:rsid w:val="007B0397"/>
    <w:rsid w:val="007C4C69"/>
    <w:rsid w:val="007C4E6A"/>
    <w:rsid w:val="007D41CE"/>
    <w:rsid w:val="007E08B4"/>
    <w:rsid w:val="007E225B"/>
    <w:rsid w:val="007E508E"/>
    <w:rsid w:val="007F0016"/>
    <w:rsid w:val="007F1086"/>
    <w:rsid w:val="007F3B6B"/>
    <w:rsid w:val="007F3FED"/>
    <w:rsid w:val="007F77FC"/>
    <w:rsid w:val="00811C62"/>
    <w:rsid w:val="0081324C"/>
    <w:rsid w:val="00813470"/>
    <w:rsid w:val="0081635B"/>
    <w:rsid w:val="00816628"/>
    <w:rsid w:val="00820507"/>
    <w:rsid w:val="0082122A"/>
    <w:rsid w:val="00822C96"/>
    <w:rsid w:val="00840375"/>
    <w:rsid w:val="008410EE"/>
    <w:rsid w:val="008464CE"/>
    <w:rsid w:val="00847E0F"/>
    <w:rsid w:val="00852BD5"/>
    <w:rsid w:val="00860A86"/>
    <w:rsid w:val="00877726"/>
    <w:rsid w:val="0088074F"/>
    <w:rsid w:val="00892446"/>
    <w:rsid w:val="008A3ACA"/>
    <w:rsid w:val="008B5BE6"/>
    <w:rsid w:val="008C0489"/>
    <w:rsid w:val="008C2F20"/>
    <w:rsid w:val="008C7622"/>
    <w:rsid w:val="008D1170"/>
    <w:rsid w:val="008E03A5"/>
    <w:rsid w:val="009052A6"/>
    <w:rsid w:val="00916F6A"/>
    <w:rsid w:val="0092461A"/>
    <w:rsid w:val="00934DAA"/>
    <w:rsid w:val="0094397E"/>
    <w:rsid w:val="00943C3B"/>
    <w:rsid w:val="00957272"/>
    <w:rsid w:val="00972BD2"/>
    <w:rsid w:val="00973D9F"/>
    <w:rsid w:val="00982186"/>
    <w:rsid w:val="00982A21"/>
    <w:rsid w:val="009872DA"/>
    <w:rsid w:val="00987988"/>
    <w:rsid w:val="009A1192"/>
    <w:rsid w:val="009B0A6A"/>
    <w:rsid w:val="009C7BB1"/>
    <w:rsid w:val="009D3AD1"/>
    <w:rsid w:val="009D4BEE"/>
    <w:rsid w:val="009E1FD5"/>
    <w:rsid w:val="009E3B58"/>
    <w:rsid w:val="009F4BDC"/>
    <w:rsid w:val="00A02B7D"/>
    <w:rsid w:val="00A03836"/>
    <w:rsid w:val="00A049AD"/>
    <w:rsid w:val="00A0723F"/>
    <w:rsid w:val="00A115D4"/>
    <w:rsid w:val="00A26853"/>
    <w:rsid w:val="00A43A5A"/>
    <w:rsid w:val="00A440DF"/>
    <w:rsid w:val="00A51779"/>
    <w:rsid w:val="00A518BE"/>
    <w:rsid w:val="00A579D5"/>
    <w:rsid w:val="00A75EDE"/>
    <w:rsid w:val="00A8424F"/>
    <w:rsid w:val="00AA27A3"/>
    <w:rsid w:val="00AB3CF9"/>
    <w:rsid w:val="00AC2BF2"/>
    <w:rsid w:val="00AD2310"/>
    <w:rsid w:val="00AE292D"/>
    <w:rsid w:val="00AE4047"/>
    <w:rsid w:val="00AE588D"/>
    <w:rsid w:val="00AF0E21"/>
    <w:rsid w:val="00B01FAD"/>
    <w:rsid w:val="00B17052"/>
    <w:rsid w:val="00B205F1"/>
    <w:rsid w:val="00B21090"/>
    <w:rsid w:val="00B21CAC"/>
    <w:rsid w:val="00B225A9"/>
    <w:rsid w:val="00B231C0"/>
    <w:rsid w:val="00B24ED5"/>
    <w:rsid w:val="00B45DB5"/>
    <w:rsid w:val="00B45F64"/>
    <w:rsid w:val="00B67FA5"/>
    <w:rsid w:val="00B774DB"/>
    <w:rsid w:val="00B77F0C"/>
    <w:rsid w:val="00B8085F"/>
    <w:rsid w:val="00B91D62"/>
    <w:rsid w:val="00B92279"/>
    <w:rsid w:val="00BA1BCC"/>
    <w:rsid w:val="00BB0E5A"/>
    <w:rsid w:val="00BC1F82"/>
    <w:rsid w:val="00BC23B4"/>
    <w:rsid w:val="00BC2887"/>
    <w:rsid w:val="00BC2FA6"/>
    <w:rsid w:val="00BD0868"/>
    <w:rsid w:val="00BD6C1F"/>
    <w:rsid w:val="00BD789F"/>
    <w:rsid w:val="00BE767C"/>
    <w:rsid w:val="00BE7E4F"/>
    <w:rsid w:val="00BF3737"/>
    <w:rsid w:val="00C03E71"/>
    <w:rsid w:val="00C22FB5"/>
    <w:rsid w:val="00C24E2A"/>
    <w:rsid w:val="00C26524"/>
    <w:rsid w:val="00C2750A"/>
    <w:rsid w:val="00C35645"/>
    <w:rsid w:val="00C35C15"/>
    <w:rsid w:val="00C3622E"/>
    <w:rsid w:val="00C36EA4"/>
    <w:rsid w:val="00C44669"/>
    <w:rsid w:val="00C52143"/>
    <w:rsid w:val="00C54860"/>
    <w:rsid w:val="00C55BCD"/>
    <w:rsid w:val="00C62BC7"/>
    <w:rsid w:val="00C7267A"/>
    <w:rsid w:val="00C73A06"/>
    <w:rsid w:val="00C813D1"/>
    <w:rsid w:val="00C818B8"/>
    <w:rsid w:val="00C94F55"/>
    <w:rsid w:val="00CC273B"/>
    <w:rsid w:val="00CC40E7"/>
    <w:rsid w:val="00CC668E"/>
    <w:rsid w:val="00CD0C9F"/>
    <w:rsid w:val="00CD6D66"/>
    <w:rsid w:val="00CE068C"/>
    <w:rsid w:val="00CE4DD2"/>
    <w:rsid w:val="00D1413D"/>
    <w:rsid w:val="00D23D39"/>
    <w:rsid w:val="00D23FA8"/>
    <w:rsid w:val="00D352A5"/>
    <w:rsid w:val="00D52C29"/>
    <w:rsid w:val="00D53159"/>
    <w:rsid w:val="00D55B64"/>
    <w:rsid w:val="00D57887"/>
    <w:rsid w:val="00D62B7E"/>
    <w:rsid w:val="00D63B2A"/>
    <w:rsid w:val="00D70DFB"/>
    <w:rsid w:val="00D71DE4"/>
    <w:rsid w:val="00D76982"/>
    <w:rsid w:val="00D85509"/>
    <w:rsid w:val="00D8665F"/>
    <w:rsid w:val="00D8727A"/>
    <w:rsid w:val="00D9323F"/>
    <w:rsid w:val="00D933D1"/>
    <w:rsid w:val="00D94A2F"/>
    <w:rsid w:val="00D957D9"/>
    <w:rsid w:val="00DB343D"/>
    <w:rsid w:val="00DB42C5"/>
    <w:rsid w:val="00DD6CFA"/>
    <w:rsid w:val="00DE2D31"/>
    <w:rsid w:val="00DF7D01"/>
    <w:rsid w:val="00E0189A"/>
    <w:rsid w:val="00E03210"/>
    <w:rsid w:val="00E07DB2"/>
    <w:rsid w:val="00E1319F"/>
    <w:rsid w:val="00E14B36"/>
    <w:rsid w:val="00E15EC6"/>
    <w:rsid w:val="00E24A06"/>
    <w:rsid w:val="00E25B97"/>
    <w:rsid w:val="00E27363"/>
    <w:rsid w:val="00E3255B"/>
    <w:rsid w:val="00E331C8"/>
    <w:rsid w:val="00E34065"/>
    <w:rsid w:val="00E35CDF"/>
    <w:rsid w:val="00E4256D"/>
    <w:rsid w:val="00E448C1"/>
    <w:rsid w:val="00E56107"/>
    <w:rsid w:val="00E87F9B"/>
    <w:rsid w:val="00E90DB3"/>
    <w:rsid w:val="00E90F1F"/>
    <w:rsid w:val="00E92ED4"/>
    <w:rsid w:val="00EA4732"/>
    <w:rsid w:val="00EA4DA9"/>
    <w:rsid w:val="00EB07E4"/>
    <w:rsid w:val="00EB4E87"/>
    <w:rsid w:val="00EC1021"/>
    <w:rsid w:val="00EC5698"/>
    <w:rsid w:val="00ED15A7"/>
    <w:rsid w:val="00ED7380"/>
    <w:rsid w:val="00EE125F"/>
    <w:rsid w:val="00F00CA3"/>
    <w:rsid w:val="00F04E0E"/>
    <w:rsid w:val="00F078EB"/>
    <w:rsid w:val="00F21187"/>
    <w:rsid w:val="00F254AA"/>
    <w:rsid w:val="00F520FD"/>
    <w:rsid w:val="00F5349D"/>
    <w:rsid w:val="00F5687F"/>
    <w:rsid w:val="00F6026A"/>
    <w:rsid w:val="00F614AB"/>
    <w:rsid w:val="00F61900"/>
    <w:rsid w:val="00F70C4E"/>
    <w:rsid w:val="00F725BB"/>
    <w:rsid w:val="00F74B3F"/>
    <w:rsid w:val="00F76CDE"/>
    <w:rsid w:val="00F8030E"/>
    <w:rsid w:val="00F8348E"/>
    <w:rsid w:val="00F867B2"/>
    <w:rsid w:val="00F86ACD"/>
    <w:rsid w:val="00F91FC8"/>
    <w:rsid w:val="00F9442F"/>
    <w:rsid w:val="00F9624A"/>
    <w:rsid w:val="00F964E2"/>
    <w:rsid w:val="00FA7E7A"/>
    <w:rsid w:val="00FB10E1"/>
    <w:rsid w:val="00FB1EC6"/>
    <w:rsid w:val="00FB7A94"/>
    <w:rsid w:val="00FC4E7F"/>
    <w:rsid w:val="00FC5C47"/>
    <w:rsid w:val="00FC74D9"/>
    <w:rsid w:val="00FD02E4"/>
    <w:rsid w:val="00FD5B90"/>
    <w:rsid w:val="00FD79C3"/>
    <w:rsid w:val="00FE6957"/>
    <w:rsid w:val="00FE78EC"/>
    <w:rsid w:val="00FF4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FBC"/>
  <w15:chartTrackingRefBased/>
  <w15:docId w15:val="{7337B53D-AB9F-4762-B01F-B872A1E2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5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B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455B38"/>
  </w:style>
  <w:style w:type="paragraph" w:styleId="Footer">
    <w:name w:val="footer"/>
    <w:basedOn w:val="Normal"/>
    <w:link w:val="FooterChar"/>
    <w:uiPriority w:val="99"/>
    <w:unhideWhenUsed/>
    <w:rsid w:val="00455B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455B38"/>
  </w:style>
  <w:style w:type="paragraph" w:styleId="FootnoteText">
    <w:name w:val="footnote text"/>
    <w:basedOn w:val="Normal"/>
    <w:link w:val="FootnoteTextChar"/>
    <w:rsid w:val="005476D8"/>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5476D8"/>
    <w:rPr>
      <w:rFonts w:ascii="Times New Roman" w:eastAsia="Times New Roman" w:hAnsi="Times New Roman" w:cs="Times New Roman"/>
      <w:sz w:val="20"/>
      <w:szCs w:val="20"/>
      <w:lang w:val="en-US"/>
    </w:rPr>
  </w:style>
  <w:style w:type="character" w:styleId="FootnoteReference">
    <w:name w:val="footnote reference"/>
    <w:rsid w:val="005476D8"/>
    <w:rPr>
      <w:position w:val="0"/>
      <w:vertAlign w:val="superscript"/>
    </w:rPr>
  </w:style>
  <w:style w:type="character" w:styleId="CommentReference">
    <w:name w:val="annotation reference"/>
    <w:basedOn w:val="DefaultParagraphFont"/>
    <w:uiPriority w:val="99"/>
    <w:semiHidden/>
    <w:unhideWhenUsed/>
    <w:rsid w:val="005476D8"/>
    <w:rPr>
      <w:sz w:val="16"/>
      <w:szCs w:val="16"/>
    </w:rPr>
  </w:style>
  <w:style w:type="paragraph" w:styleId="CommentText">
    <w:name w:val="annotation text"/>
    <w:basedOn w:val="Normal"/>
    <w:link w:val="CommentTextChar"/>
    <w:uiPriority w:val="99"/>
    <w:unhideWhenUsed/>
    <w:rsid w:val="005476D8"/>
    <w:pPr>
      <w:widowControl w:val="0"/>
      <w:spacing w:after="200"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rsid w:val="005476D8"/>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547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6D8"/>
    <w:rPr>
      <w:rFonts w:ascii="Segoe UI" w:hAnsi="Segoe UI" w:cs="Segoe UI"/>
      <w:sz w:val="18"/>
      <w:szCs w:val="18"/>
    </w:rPr>
  </w:style>
  <w:style w:type="character" w:styleId="Hyperlink">
    <w:name w:val="Hyperlink"/>
    <w:basedOn w:val="DefaultParagraphFont"/>
    <w:uiPriority w:val="99"/>
    <w:unhideWhenUsed/>
    <w:rsid w:val="00957272"/>
    <w:rPr>
      <w:color w:val="0000FF"/>
      <w:u w:val="single"/>
    </w:rPr>
  </w:style>
  <w:style w:type="paragraph" w:styleId="ListParagraph">
    <w:name w:val="List Paragraph"/>
    <w:basedOn w:val="Normal"/>
    <w:uiPriority w:val="34"/>
    <w:qFormat/>
    <w:rsid w:val="005D6201"/>
    <w:pPr>
      <w:suppressAutoHyphens/>
      <w:autoSpaceDN w:val="0"/>
      <w:spacing w:after="0" w:line="240" w:lineRule="auto"/>
      <w:ind w:left="720"/>
      <w:contextualSpacing/>
      <w:textAlignment w:val="baseline"/>
    </w:pPr>
    <w:rPr>
      <w:rFonts w:ascii="Times New Roman" w:eastAsia="Times New Roman" w:hAnsi="Times New Roman" w:cs="Times New Roman"/>
      <w:sz w:val="24"/>
      <w:szCs w:val="24"/>
      <w:lang w:val="en-US"/>
    </w:rPr>
  </w:style>
  <w:style w:type="paragraph" w:customStyle="1" w:styleId="naiskr">
    <w:name w:val="naiskr"/>
    <w:basedOn w:val="Normal"/>
    <w:rsid w:val="00410AF5"/>
    <w:pPr>
      <w:spacing w:before="75" w:after="75"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E03A5"/>
    <w:pPr>
      <w:widowControl/>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E03A5"/>
    <w:rPr>
      <w:rFonts w:ascii="Calibri" w:eastAsia="Calibri" w:hAnsi="Calibri" w:cs="Times New Roman"/>
      <w:b/>
      <w:bCs/>
      <w:sz w:val="20"/>
      <w:szCs w:val="20"/>
      <w:lang w:val="en-US"/>
    </w:rPr>
  </w:style>
  <w:style w:type="paragraph" w:customStyle="1" w:styleId="tv213">
    <w:name w:val="tv213"/>
    <w:basedOn w:val="Normal"/>
    <w:rsid w:val="007F108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E3EC3"/>
    <w:rPr>
      <w:color w:val="605E5C"/>
      <w:shd w:val="clear" w:color="auto" w:fill="E1DFDD"/>
    </w:rPr>
  </w:style>
  <w:style w:type="paragraph" w:styleId="List">
    <w:name w:val="List"/>
    <w:basedOn w:val="Normal"/>
    <w:uiPriority w:val="99"/>
    <w:unhideWhenUsed/>
    <w:rsid w:val="001C15D2"/>
    <w:pPr>
      <w:ind w:left="283" w:hanging="283"/>
      <w:contextualSpacing/>
    </w:pPr>
  </w:style>
  <w:style w:type="paragraph" w:styleId="BodyText">
    <w:name w:val="Body Text"/>
    <w:basedOn w:val="Normal"/>
    <w:link w:val="BodyTextChar"/>
    <w:uiPriority w:val="99"/>
    <w:unhideWhenUsed/>
    <w:rsid w:val="001C15D2"/>
    <w:pPr>
      <w:spacing w:after="120"/>
    </w:pPr>
  </w:style>
  <w:style w:type="character" w:customStyle="1" w:styleId="BodyTextChar">
    <w:name w:val="Body Text Char"/>
    <w:basedOn w:val="DefaultParagraphFont"/>
    <w:link w:val="BodyText"/>
    <w:uiPriority w:val="99"/>
    <w:rsid w:val="001C1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0058">
      <w:bodyDiv w:val="1"/>
      <w:marLeft w:val="0"/>
      <w:marRight w:val="0"/>
      <w:marTop w:val="0"/>
      <w:marBottom w:val="0"/>
      <w:divBdr>
        <w:top w:val="none" w:sz="0" w:space="0" w:color="auto"/>
        <w:left w:val="none" w:sz="0" w:space="0" w:color="auto"/>
        <w:bottom w:val="none" w:sz="0" w:space="0" w:color="auto"/>
        <w:right w:val="none" w:sz="0" w:space="0" w:color="auto"/>
      </w:divBdr>
    </w:div>
    <w:div w:id="557210719">
      <w:bodyDiv w:val="1"/>
      <w:marLeft w:val="0"/>
      <w:marRight w:val="0"/>
      <w:marTop w:val="0"/>
      <w:marBottom w:val="0"/>
      <w:divBdr>
        <w:top w:val="none" w:sz="0" w:space="0" w:color="auto"/>
        <w:left w:val="none" w:sz="0" w:space="0" w:color="auto"/>
        <w:bottom w:val="none" w:sz="0" w:space="0" w:color="auto"/>
        <w:right w:val="none" w:sz="0" w:space="0" w:color="auto"/>
      </w:divBdr>
    </w:div>
    <w:div w:id="21348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Matevica@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B741A-F383-46C0-BECD-993680F2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13798</Words>
  <Characters>7866</Characters>
  <Application>Microsoft Office Word</Application>
  <DocSecurity>0</DocSecurity>
  <Lines>65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Matēviča</dc:creator>
  <cp:keywords/>
  <dc:description/>
  <cp:lastModifiedBy>Jekaterina Borovika</cp:lastModifiedBy>
  <cp:revision>2</cp:revision>
  <cp:lastPrinted>2020-03-20T10:45:00Z</cp:lastPrinted>
  <dcterms:created xsi:type="dcterms:W3CDTF">2020-06-30T11:08:00Z</dcterms:created>
  <dcterms:modified xsi:type="dcterms:W3CDTF">2020-06-30T11:08:00Z</dcterms:modified>
</cp:coreProperties>
</file>