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BCECC" w14:textId="3A55D5B4" w:rsidR="007116C7" w:rsidRPr="00C85A50" w:rsidRDefault="007116C7" w:rsidP="00D57AE8">
      <w:pPr>
        <w:pStyle w:val="naisnod"/>
        <w:spacing w:before="0" w:after="0"/>
        <w:ind w:firstLine="720"/>
      </w:pPr>
      <w:r w:rsidRPr="00C85A50">
        <w:t>Izziņa par atzinumos sniegtajiem iebildumiem</w:t>
      </w:r>
    </w:p>
    <w:tbl>
      <w:tblPr>
        <w:tblW w:w="0" w:type="auto"/>
        <w:jc w:val="center"/>
        <w:tblLook w:val="00A0" w:firstRow="1" w:lastRow="0" w:firstColumn="1" w:lastColumn="0" w:noHBand="0" w:noVBand="0"/>
      </w:tblPr>
      <w:tblGrid>
        <w:gridCol w:w="10188"/>
      </w:tblGrid>
      <w:tr w:rsidR="001D7AE5" w:rsidRPr="00C85A50" w14:paraId="203BD9F2" w14:textId="77777777">
        <w:trPr>
          <w:jc w:val="center"/>
        </w:trPr>
        <w:tc>
          <w:tcPr>
            <w:tcW w:w="10188" w:type="dxa"/>
            <w:tcBorders>
              <w:bottom w:val="single" w:sz="6" w:space="0" w:color="000000"/>
            </w:tcBorders>
          </w:tcPr>
          <w:p w14:paraId="5525A51B" w14:textId="10B6A1D6" w:rsidR="007116C7" w:rsidRPr="00C85A50" w:rsidRDefault="00D720AF" w:rsidP="00D57AE8">
            <w:pPr>
              <w:ind w:firstLine="720"/>
              <w:jc w:val="center"/>
              <w:rPr>
                <w:b/>
              </w:rPr>
            </w:pPr>
            <w:r w:rsidRPr="00C85A50">
              <w:rPr>
                <w:b/>
              </w:rPr>
              <w:t>p</w:t>
            </w:r>
            <w:r w:rsidR="0047127A" w:rsidRPr="00C85A50">
              <w:rPr>
                <w:b/>
              </w:rPr>
              <w:t xml:space="preserve">ar </w:t>
            </w:r>
            <w:r w:rsidR="00432018" w:rsidRPr="00C85A50">
              <w:rPr>
                <w:b/>
              </w:rPr>
              <w:t>likumprojektu</w:t>
            </w:r>
            <w:r w:rsidR="0047127A" w:rsidRPr="00C85A50">
              <w:rPr>
                <w:b/>
              </w:rPr>
              <w:t xml:space="preserve"> </w:t>
            </w:r>
            <w:r w:rsidR="00627EE7" w:rsidRPr="00C85A50">
              <w:rPr>
                <w:b/>
              </w:rPr>
              <w:t>“</w:t>
            </w:r>
            <w:r w:rsidR="0047127A" w:rsidRPr="00C85A50">
              <w:rPr>
                <w:b/>
              </w:rPr>
              <w:t xml:space="preserve">Grozījumi </w:t>
            </w:r>
            <w:r w:rsidR="00432018" w:rsidRPr="00C85A50">
              <w:rPr>
                <w:b/>
              </w:rPr>
              <w:t>Ener</w:t>
            </w:r>
            <w:r w:rsidR="00911A8D" w:rsidRPr="00C85A50">
              <w:rPr>
                <w:b/>
              </w:rPr>
              <w:t xml:space="preserve">ģētikas </w:t>
            </w:r>
            <w:r w:rsidR="00432018" w:rsidRPr="00C85A50">
              <w:rPr>
                <w:b/>
              </w:rPr>
              <w:t>likumā</w:t>
            </w:r>
            <w:r w:rsidR="00627EE7" w:rsidRPr="00C85A50">
              <w:rPr>
                <w:b/>
              </w:rPr>
              <w:t>”</w:t>
            </w:r>
            <w:r w:rsidR="0047127A" w:rsidRPr="00C85A50">
              <w:rPr>
                <w:b/>
              </w:rPr>
              <w:t xml:space="preserve"> (VSS-</w:t>
            </w:r>
            <w:r w:rsidR="00911A8D" w:rsidRPr="00C85A50">
              <w:rPr>
                <w:b/>
              </w:rPr>
              <w:t>1</w:t>
            </w:r>
            <w:r w:rsidR="00432018" w:rsidRPr="00C85A50">
              <w:rPr>
                <w:b/>
              </w:rPr>
              <w:t>5</w:t>
            </w:r>
            <w:r w:rsidR="00911A8D" w:rsidRPr="00C85A50">
              <w:rPr>
                <w:b/>
              </w:rPr>
              <w:t>4</w:t>
            </w:r>
            <w:r w:rsidR="0047127A" w:rsidRPr="00C85A50">
              <w:rPr>
                <w:b/>
              </w:rPr>
              <w:t>)</w:t>
            </w:r>
          </w:p>
        </w:tc>
      </w:tr>
    </w:tbl>
    <w:p w14:paraId="3324EA4A" w14:textId="77777777" w:rsidR="007116C7" w:rsidRPr="00C85A50" w:rsidRDefault="007116C7" w:rsidP="001F2BEC">
      <w:pPr>
        <w:pStyle w:val="naisc"/>
        <w:spacing w:before="0" w:after="0"/>
        <w:ind w:firstLine="1080"/>
        <w:contextualSpacing/>
      </w:pPr>
      <w:r w:rsidRPr="00C85A50">
        <w:t>(dokumenta veids un nosaukums)</w:t>
      </w:r>
    </w:p>
    <w:p w14:paraId="2A3CD667" w14:textId="77777777" w:rsidR="007B4C0F" w:rsidRPr="00C85A50" w:rsidRDefault="007B4C0F" w:rsidP="00627E0D">
      <w:pPr>
        <w:pStyle w:val="naisf"/>
        <w:spacing w:before="0" w:after="0"/>
        <w:ind w:firstLine="720"/>
        <w:contextualSpacing/>
        <w:rPr>
          <w:highlight w:val="yellow"/>
        </w:rPr>
      </w:pPr>
    </w:p>
    <w:p w14:paraId="548A7380" w14:textId="77777777" w:rsidR="00562AEB" w:rsidRPr="00C85A50" w:rsidRDefault="00562AEB" w:rsidP="00562AEB">
      <w:pPr>
        <w:pStyle w:val="naisf"/>
        <w:numPr>
          <w:ilvl w:val="0"/>
          <w:numId w:val="10"/>
        </w:numPr>
        <w:spacing w:before="0" w:after="0"/>
        <w:ind w:left="0" w:firstLine="426"/>
        <w:contextualSpacing/>
        <w:jc w:val="center"/>
        <w:rPr>
          <w:b/>
        </w:rPr>
      </w:pPr>
      <w:r w:rsidRPr="00C85A50">
        <w:rPr>
          <w:b/>
        </w:rPr>
        <w:t>Jautājumi, par kuriem saskaņošanā vienošanās nav panākta</w:t>
      </w:r>
    </w:p>
    <w:tbl>
      <w:tblPr>
        <w:tblpPr w:leftFromText="180" w:rightFromText="180" w:vertAnchor="text" w:tblpY="1"/>
        <w:tblOverlap w:val="never"/>
        <w:tblW w:w="519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1"/>
        <w:gridCol w:w="2276"/>
        <w:gridCol w:w="3938"/>
        <w:gridCol w:w="3176"/>
        <w:gridCol w:w="2206"/>
        <w:gridCol w:w="2043"/>
      </w:tblGrid>
      <w:tr w:rsidR="006E7886" w:rsidRPr="00C85A50" w14:paraId="43B0C304" w14:textId="77777777" w:rsidTr="00737D91">
        <w:tc>
          <w:tcPr>
            <w:tcW w:w="306" w:type="pct"/>
            <w:tcBorders>
              <w:top w:val="single" w:sz="6" w:space="0" w:color="000000"/>
              <w:left w:val="single" w:sz="6" w:space="0" w:color="000000"/>
              <w:bottom w:val="single" w:sz="6" w:space="0" w:color="000000"/>
              <w:right w:val="single" w:sz="6" w:space="0" w:color="000000"/>
            </w:tcBorders>
            <w:vAlign w:val="center"/>
          </w:tcPr>
          <w:p w14:paraId="5E7DD4CF" w14:textId="77777777" w:rsidR="00562AEB" w:rsidRPr="00C85A50" w:rsidRDefault="00562AEB" w:rsidP="00B83B9D">
            <w:pPr>
              <w:pStyle w:val="naisc"/>
              <w:spacing w:before="0" w:after="0"/>
              <w:contextualSpacing/>
            </w:pPr>
            <w:proofErr w:type="spellStart"/>
            <w:r w:rsidRPr="00C85A50">
              <w:t>Nr.p.k</w:t>
            </w:r>
            <w:proofErr w:type="spellEnd"/>
            <w:r w:rsidRPr="00C85A50">
              <w:t>.</w:t>
            </w:r>
          </w:p>
        </w:tc>
        <w:tc>
          <w:tcPr>
            <w:tcW w:w="783" w:type="pct"/>
            <w:tcBorders>
              <w:top w:val="single" w:sz="6" w:space="0" w:color="000000"/>
              <w:left w:val="single" w:sz="6" w:space="0" w:color="000000"/>
              <w:bottom w:val="single" w:sz="6" w:space="0" w:color="000000"/>
              <w:right w:val="single" w:sz="6" w:space="0" w:color="000000"/>
            </w:tcBorders>
            <w:vAlign w:val="center"/>
          </w:tcPr>
          <w:p w14:paraId="1C59E4D7" w14:textId="77777777" w:rsidR="00562AEB" w:rsidRPr="00C85A50" w:rsidRDefault="00562AEB" w:rsidP="00B83B9D">
            <w:pPr>
              <w:pStyle w:val="naisc"/>
              <w:spacing w:before="0" w:after="0"/>
              <w:ind w:firstLine="12"/>
              <w:contextualSpacing/>
            </w:pPr>
            <w:r w:rsidRPr="00C85A50">
              <w:t>Saskaņošanai nosūtītā projekta redakcija (konkrēta punkta (panta) redakcija)</w:t>
            </w:r>
          </w:p>
        </w:tc>
        <w:tc>
          <w:tcPr>
            <w:tcW w:w="1355" w:type="pct"/>
            <w:tcBorders>
              <w:top w:val="single" w:sz="6" w:space="0" w:color="000000"/>
              <w:left w:val="single" w:sz="6" w:space="0" w:color="000000"/>
              <w:bottom w:val="single" w:sz="6" w:space="0" w:color="000000"/>
              <w:right w:val="single" w:sz="6" w:space="0" w:color="000000"/>
            </w:tcBorders>
            <w:vAlign w:val="center"/>
          </w:tcPr>
          <w:p w14:paraId="3FACC534" w14:textId="77777777" w:rsidR="00562AEB" w:rsidRPr="00C85A50" w:rsidRDefault="00562AEB" w:rsidP="00B83B9D">
            <w:pPr>
              <w:pStyle w:val="naisc"/>
              <w:spacing w:before="0" w:after="0"/>
              <w:ind w:right="3"/>
              <w:contextualSpacing/>
            </w:pPr>
            <w:r w:rsidRPr="00C85A50">
              <w:t>Atzinumā norādītais ministrijas (citas institūcijas) iebildums, kā arī saskaņošanā papildus izteiktais iebildums par projekta konkrēto punktu (pantu)</w:t>
            </w:r>
          </w:p>
        </w:tc>
        <w:tc>
          <w:tcPr>
            <w:tcW w:w="1093" w:type="pct"/>
            <w:tcBorders>
              <w:top w:val="single" w:sz="6" w:space="0" w:color="000000"/>
              <w:left w:val="single" w:sz="6" w:space="0" w:color="000000"/>
              <w:bottom w:val="single" w:sz="6" w:space="0" w:color="000000"/>
              <w:right w:val="single" w:sz="6" w:space="0" w:color="000000"/>
            </w:tcBorders>
            <w:vAlign w:val="center"/>
          </w:tcPr>
          <w:p w14:paraId="62161F19" w14:textId="77777777" w:rsidR="00562AEB" w:rsidRPr="00C85A50" w:rsidRDefault="00562AEB" w:rsidP="00B83B9D">
            <w:pPr>
              <w:pStyle w:val="naisc"/>
              <w:spacing w:before="0" w:after="0"/>
              <w:contextualSpacing/>
            </w:pPr>
            <w:r w:rsidRPr="00C85A50">
              <w:t>Atbildīgās ministrijas pamatojums iebilduma noraidījumam</w:t>
            </w:r>
          </w:p>
        </w:tc>
        <w:tc>
          <w:tcPr>
            <w:tcW w:w="759" w:type="pct"/>
            <w:tcBorders>
              <w:top w:val="single" w:sz="4" w:space="0" w:color="auto"/>
              <w:left w:val="single" w:sz="4" w:space="0" w:color="auto"/>
              <w:bottom w:val="single" w:sz="4" w:space="0" w:color="auto"/>
              <w:right w:val="single" w:sz="4" w:space="0" w:color="auto"/>
            </w:tcBorders>
          </w:tcPr>
          <w:p w14:paraId="05B3FFAA" w14:textId="77777777" w:rsidR="00562AEB" w:rsidRPr="00C85A50" w:rsidRDefault="00562AEB" w:rsidP="00B83B9D">
            <w:pPr>
              <w:contextualSpacing/>
              <w:jc w:val="center"/>
            </w:pPr>
            <w:r w:rsidRPr="00C85A50">
              <w:t>Atzinuma sniedzēja uzturētais iebildums, ja tas atšķiras no atzinumā norādītā iebilduma pamatojuma</w:t>
            </w:r>
          </w:p>
        </w:tc>
        <w:tc>
          <w:tcPr>
            <w:tcW w:w="703" w:type="pct"/>
            <w:tcBorders>
              <w:top w:val="single" w:sz="4" w:space="0" w:color="auto"/>
              <w:left w:val="single" w:sz="4" w:space="0" w:color="auto"/>
              <w:bottom w:val="single" w:sz="4" w:space="0" w:color="auto"/>
            </w:tcBorders>
            <w:vAlign w:val="center"/>
          </w:tcPr>
          <w:p w14:paraId="6563E0B7" w14:textId="77777777" w:rsidR="00562AEB" w:rsidRPr="00C85A50" w:rsidRDefault="00562AEB" w:rsidP="00B83B9D">
            <w:pPr>
              <w:contextualSpacing/>
              <w:jc w:val="center"/>
            </w:pPr>
            <w:r w:rsidRPr="00C85A50">
              <w:t>Projekta attiecīgā punkta (panta) galīgā redakcija</w:t>
            </w:r>
          </w:p>
        </w:tc>
      </w:tr>
      <w:tr w:rsidR="00950A14" w:rsidRPr="00C85A50" w14:paraId="0234D5AF" w14:textId="77777777" w:rsidTr="00737D91">
        <w:tc>
          <w:tcPr>
            <w:tcW w:w="306" w:type="pct"/>
            <w:tcBorders>
              <w:top w:val="single" w:sz="6" w:space="0" w:color="000000"/>
              <w:left w:val="single" w:sz="6" w:space="0" w:color="000000"/>
              <w:bottom w:val="single" w:sz="4" w:space="0" w:color="auto"/>
              <w:right w:val="single" w:sz="6" w:space="0" w:color="000000"/>
            </w:tcBorders>
          </w:tcPr>
          <w:p w14:paraId="6F3657ED" w14:textId="77777777" w:rsidR="00562AEB" w:rsidRPr="00C85A50" w:rsidRDefault="00562AEB" w:rsidP="00B83B9D">
            <w:pPr>
              <w:pStyle w:val="naisc"/>
              <w:spacing w:before="0" w:after="0"/>
              <w:ind w:left="-84"/>
              <w:contextualSpacing/>
            </w:pPr>
            <w:r w:rsidRPr="00C85A50">
              <w:t>1</w:t>
            </w:r>
          </w:p>
        </w:tc>
        <w:tc>
          <w:tcPr>
            <w:tcW w:w="783" w:type="pct"/>
            <w:tcBorders>
              <w:top w:val="single" w:sz="6" w:space="0" w:color="000000"/>
              <w:left w:val="single" w:sz="6" w:space="0" w:color="000000"/>
              <w:bottom w:val="single" w:sz="4" w:space="0" w:color="auto"/>
              <w:right w:val="single" w:sz="6" w:space="0" w:color="000000"/>
            </w:tcBorders>
          </w:tcPr>
          <w:p w14:paraId="12D81962" w14:textId="77777777" w:rsidR="00562AEB" w:rsidRPr="00C85A50" w:rsidRDefault="00562AEB" w:rsidP="00B83B9D">
            <w:pPr>
              <w:pStyle w:val="naisc"/>
              <w:spacing w:before="0" w:after="0"/>
              <w:ind w:firstLine="12"/>
              <w:contextualSpacing/>
              <w:rPr>
                <w:b/>
              </w:rPr>
            </w:pPr>
            <w:r w:rsidRPr="00C85A50">
              <w:t>2</w:t>
            </w:r>
          </w:p>
        </w:tc>
        <w:tc>
          <w:tcPr>
            <w:tcW w:w="1355" w:type="pct"/>
            <w:tcBorders>
              <w:top w:val="single" w:sz="6" w:space="0" w:color="000000"/>
              <w:left w:val="single" w:sz="6" w:space="0" w:color="000000"/>
              <w:bottom w:val="single" w:sz="4" w:space="0" w:color="auto"/>
              <w:right w:val="single" w:sz="6" w:space="0" w:color="000000"/>
            </w:tcBorders>
          </w:tcPr>
          <w:p w14:paraId="075288DD" w14:textId="77777777" w:rsidR="00562AEB" w:rsidRPr="00C85A50" w:rsidRDefault="00562AEB" w:rsidP="00B83B9D">
            <w:pPr>
              <w:pStyle w:val="naisc"/>
              <w:spacing w:before="0" w:after="0"/>
              <w:contextualSpacing/>
              <w:rPr>
                <w:b/>
              </w:rPr>
            </w:pPr>
            <w:r w:rsidRPr="00C85A50">
              <w:t>3</w:t>
            </w:r>
          </w:p>
        </w:tc>
        <w:tc>
          <w:tcPr>
            <w:tcW w:w="1093" w:type="pct"/>
            <w:tcBorders>
              <w:top w:val="single" w:sz="6" w:space="0" w:color="000000"/>
              <w:left w:val="single" w:sz="6" w:space="0" w:color="000000"/>
              <w:bottom w:val="single" w:sz="4" w:space="0" w:color="auto"/>
              <w:right w:val="single" w:sz="6" w:space="0" w:color="000000"/>
            </w:tcBorders>
          </w:tcPr>
          <w:p w14:paraId="04594BF9" w14:textId="77777777" w:rsidR="00562AEB" w:rsidRPr="00C85A50" w:rsidRDefault="00562AEB" w:rsidP="00B83B9D">
            <w:pPr>
              <w:tabs>
                <w:tab w:val="left" w:pos="993"/>
              </w:tabs>
              <w:ind w:right="-2"/>
              <w:contextualSpacing/>
              <w:jc w:val="center"/>
              <w:rPr>
                <w:b/>
              </w:rPr>
            </w:pPr>
            <w:r w:rsidRPr="00C85A50">
              <w:t>4</w:t>
            </w:r>
          </w:p>
        </w:tc>
        <w:tc>
          <w:tcPr>
            <w:tcW w:w="759" w:type="pct"/>
            <w:tcBorders>
              <w:top w:val="single" w:sz="4" w:space="0" w:color="auto"/>
              <w:left w:val="single" w:sz="4" w:space="0" w:color="auto"/>
              <w:bottom w:val="single" w:sz="4" w:space="0" w:color="auto"/>
            </w:tcBorders>
          </w:tcPr>
          <w:p w14:paraId="70C44015" w14:textId="77777777" w:rsidR="00562AEB" w:rsidRPr="00C85A50" w:rsidRDefault="00562AEB" w:rsidP="00B83B9D">
            <w:pPr>
              <w:contextualSpacing/>
              <w:jc w:val="center"/>
            </w:pPr>
            <w:r w:rsidRPr="00C85A50">
              <w:t>5</w:t>
            </w:r>
          </w:p>
        </w:tc>
        <w:tc>
          <w:tcPr>
            <w:tcW w:w="703" w:type="pct"/>
            <w:tcBorders>
              <w:top w:val="single" w:sz="4" w:space="0" w:color="auto"/>
              <w:left w:val="single" w:sz="4" w:space="0" w:color="auto"/>
              <w:bottom w:val="single" w:sz="4" w:space="0" w:color="auto"/>
            </w:tcBorders>
          </w:tcPr>
          <w:p w14:paraId="33DB6169" w14:textId="77777777" w:rsidR="00562AEB" w:rsidRPr="00C85A50" w:rsidRDefault="00562AEB" w:rsidP="00B83B9D">
            <w:pPr>
              <w:pStyle w:val="naisc"/>
              <w:spacing w:before="0" w:after="0"/>
              <w:ind w:firstLine="12"/>
              <w:contextualSpacing/>
            </w:pPr>
            <w:r w:rsidRPr="00C85A50">
              <w:t>6</w:t>
            </w:r>
          </w:p>
        </w:tc>
      </w:tr>
      <w:tr w:rsidR="00737D91" w:rsidRPr="00C85A50" w14:paraId="3077D798" w14:textId="77777777" w:rsidTr="00737D91">
        <w:trPr>
          <w:trHeight w:val="227"/>
        </w:trPr>
        <w:tc>
          <w:tcPr>
            <w:tcW w:w="306" w:type="pct"/>
            <w:tcBorders>
              <w:top w:val="single" w:sz="4" w:space="0" w:color="auto"/>
              <w:left w:val="single" w:sz="4" w:space="0" w:color="auto"/>
              <w:bottom w:val="single" w:sz="4" w:space="0" w:color="auto"/>
              <w:right w:val="single" w:sz="4" w:space="0" w:color="auto"/>
            </w:tcBorders>
          </w:tcPr>
          <w:p w14:paraId="3FF65A90" w14:textId="1713A9E5" w:rsidR="00737D91" w:rsidRPr="00C85A50" w:rsidRDefault="00DD6C02" w:rsidP="00737D91">
            <w:pPr>
              <w:pStyle w:val="naisc"/>
              <w:spacing w:before="0" w:after="0"/>
              <w:contextualSpacing/>
            </w:pPr>
            <w:r>
              <w:t>1.</w:t>
            </w:r>
          </w:p>
        </w:tc>
        <w:tc>
          <w:tcPr>
            <w:tcW w:w="783" w:type="pct"/>
            <w:vMerge w:val="restart"/>
            <w:tcBorders>
              <w:top w:val="single" w:sz="4" w:space="0" w:color="auto"/>
              <w:left w:val="single" w:sz="4" w:space="0" w:color="auto"/>
              <w:right w:val="single" w:sz="4" w:space="0" w:color="auto"/>
            </w:tcBorders>
          </w:tcPr>
          <w:p w14:paraId="65D6A04A" w14:textId="77777777" w:rsidR="00737D91" w:rsidRPr="006319D3" w:rsidRDefault="00737D91" w:rsidP="00737D91">
            <w:pPr>
              <w:pStyle w:val="naisc"/>
              <w:spacing w:before="60" w:after="60"/>
              <w:ind w:firstLine="33"/>
              <w:jc w:val="both"/>
            </w:pPr>
            <w:r w:rsidRPr="006319D3">
              <w:t>1.pants</w:t>
            </w:r>
          </w:p>
          <w:p w14:paraId="75D01404" w14:textId="77777777" w:rsidR="00737D91" w:rsidRPr="006319D3" w:rsidRDefault="00737D91" w:rsidP="00737D91">
            <w:pPr>
              <w:pStyle w:val="naisc"/>
              <w:spacing w:before="60" w:after="60"/>
              <w:ind w:firstLine="33"/>
              <w:jc w:val="both"/>
            </w:pPr>
          </w:p>
          <w:p w14:paraId="735F1D51" w14:textId="77777777" w:rsidR="00737D91" w:rsidRPr="00C85A50" w:rsidRDefault="00737D91" w:rsidP="00737D91">
            <w:pPr>
              <w:contextualSpacing/>
              <w:rPr>
                <w:b/>
              </w:rPr>
            </w:pPr>
            <w:r w:rsidRPr="006319D3">
              <w:t>10</w:t>
            </w:r>
            <w:r w:rsidRPr="006319D3">
              <w:rPr>
                <w:vertAlign w:val="superscript"/>
              </w:rPr>
              <w:t>1</w:t>
            </w:r>
            <w:r w:rsidRPr="006319D3">
              <w:t>) </w:t>
            </w:r>
            <w:r w:rsidRPr="006319D3">
              <w:rPr>
                <w:b/>
                <w:bCs/>
              </w:rPr>
              <w:t xml:space="preserve">enerģētiskā nabadzība </w:t>
            </w:r>
            <w:r w:rsidRPr="006319D3">
              <w:t xml:space="preserve">– grūtības vai nespēja mājoklī uzturēt atbilstošu temperatūru vai izmantot energoapgādes </w:t>
            </w:r>
            <w:r w:rsidRPr="006319D3">
              <w:rPr>
                <w:u w:val="single"/>
              </w:rPr>
              <w:t>komersanta sniegtos</w:t>
            </w:r>
            <w:r w:rsidRPr="006319D3">
              <w:t xml:space="preserve"> pakalpojumus, vai norēķināties par tiem zemu ienākumu vai augstu energoapgādes pakalpojumu izmaksu, vai zemas energoefektivitātes dēļ;</w:t>
            </w:r>
          </w:p>
          <w:p w14:paraId="22F49B66" w14:textId="77777777" w:rsidR="00737D91" w:rsidRPr="006319D3" w:rsidRDefault="00737D91" w:rsidP="00737D91">
            <w:pPr>
              <w:pStyle w:val="ListParagraph"/>
              <w:spacing w:before="60" w:after="60" w:line="240" w:lineRule="auto"/>
              <w:ind w:left="0"/>
              <w:contextualSpacing w:val="0"/>
              <w:jc w:val="both"/>
              <w:rPr>
                <w:rFonts w:ascii="Times New Roman" w:hAnsi="Times New Roman"/>
                <w:b/>
                <w:bCs/>
                <w:sz w:val="24"/>
                <w:szCs w:val="24"/>
                <w:lang w:eastAsia="lv-LV"/>
              </w:rPr>
            </w:pPr>
            <w:r w:rsidRPr="006319D3">
              <w:rPr>
                <w:rFonts w:ascii="Times New Roman" w:hAnsi="Times New Roman"/>
                <w:b/>
                <w:bCs/>
                <w:sz w:val="24"/>
                <w:szCs w:val="24"/>
                <w:lang w:eastAsia="lv-LV"/>
              </w:rPr>
              <w:lastRenderedPageBreak/>
              <w:t xml:space="preserve">120. pants </w:t>
            </w:r>
          </w:p>
          <w:p w14:paraId="1CFA4BFC"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Enerģētiskās nabadzības skartā mājsaimniecība ir tāda,</w:t>
            </w:r>
            <w:r w:rsidRPr="006319D3">
              <w:rPr>
                <w:rFonts w:ascii="Times New Roman" w:hAnsi="Times New Roman"/>
                <w:sz w:val="24"/>
                <w:szCs w:val="24"/>
                <w:lang w:eastAsia="lv-LV"/>
              </w:rPr>
              <w:t xml:space="preserve"> kurā dzīvojoša ģimene vai persona atbilst vismaz vienam no šādiem kritērijiem:</w:t>
            </w:r>
          </w:p>
          <w:p w14:paraId="4941B14D" w14:textId="77777777" w:rsidR="00737D91" w:rsidRPr="006319D3" w:rsidRDefault="00737D91" w:rsidP="00737D91">
            <w:pPr>
              <w:pStyle w:val="ListParagraph"/>
              <w:spacing w:before="60" w:after="60" w:line="240" w:lineRule="auto"/>
              <w:ind w:left="207"/>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1) tai</w:t>
            </w:r>
            <w:r w:rsidRPr="006319D3">
              <w:rPr>
                <w:rFonts w:ascii="Times New Roman" w:hAnsi="Times New Roman"/>
                <w:sz w:val="24"/>
                <w:szCs w:val="24"/>
                <w:lang w:eastAsia="lv-LV"/>
              </w:rPr>
              <w:t xml:space="preserve"> atbilstoši normatīvajiem aktiem par ģimenes vai atsevišķi dzīvojošas personas atzīšanu par trūcīgu ir </w:t>
            </w:r>
            <w:r w:rsidRPr="006319D3">
              <w:rPr>
                <w:rFonts w:ascii="Times New Roman" w:hAnsi="Times New Roman"/>
                <w:sz w:val="24"/>
                <w:szCs w:val="24"/>
                <w:u w:val="single"/>
                <w:lang w:eastAsia="lv-LV"/>
              </w:rPr>
              <w:t>noteikta atbilstība</w:t>
            </w:r>
            <w:r w:rsidRPr="006319D3">
              <w:rPr>
                <w:rFonts w:ascii="Times New Roman" w:hAnsi="Times New Roman"/>
                <w:sz w:val="24"/>
                <w:szCs w:val="24"/>
                <w:lang w:eastAsia="lv-LV"/>
              </w:rPr>
              <w:t xml:space="preserve"> trūcīgas vai maznodrošinātas ģimenes (personas) statusam </w:t>
            </w:r>
            <w:r w:rsidRPr="006319D3">
              <w:rPr>
                <w:rFonts w:ascii="Times New Roman" w:hAnsi="Times New Roman"/>
                <w:sz w:val="24"/>
                <w:szCs w:val="24"/>
                <w:u w:val="single"/>
                <w:lang w:eastAsia="lv-LV"/>
              </w:rPr>
              <w:t>un vienlaikus tā atbilstoši normatīvajiem aktiem par sociālās palīdzības sniegšanu saņem dzīvokļa pabalstu</w:t>
            </w:r>
            <w:r w:rsidRPr="006319D3">
              <w:rPr>
                <w:rFonts w:ascii="Times New Roman" w:hAnsi="Times New Roman"/>
                <w:sz w:val="24"/>
                <w:szCs w:val="24"/>
                <w:lang w:eastAsia="lv-LV"/>
              </w:rPr>
              <w:t>;</w:t>
            </w:r>
          </w:p>
          <w:p w14:paraId="783BBDFF" w14:textId="77777777" w:rsidR="00737D91" w:rsidRPr="006319D3" w:rsidRDefault="00737D91" w:rsidP="00737D91">
            <w:pPr>
              <w:pStyle w:val="ListParagraph"/>
              <w:spacing w:before="60" w:after="60" w:line="240" w:lineRule="auto"/>
              <w:ind w:left="207"/>
              <w:contextualSpacing w:val="0"/>
              <w:jc w:val="both"/>
              <w:rPr>
                <w:rFonts w:ascii="Times New Roman" w:hAnsi="Times New Roman"/>
                <w:sz w:val="24"/>
                <w:szCs w:val="24"/>
                <w:lang w:eastAsia="lv-LV"/>
              </w:rPr>
            </w:pPr>
            <w:r w:rsidRPr="006319D3">
              <w:rPr>
                <w:rFonts w:ascii="Times New Roman" w:hAnsi="Times New Roman"/>
                <w:sz w:val="24"/>
                <w:szCs w:val="24"/>
                <w:lang w:eastAsia="lv-LV"/>
              </w:rPr>
              <w:t xml:space="preserve">2) tai </w:t>
            </w:r>
            <w:r w:rsidRPr="006319D3">
              <w:rPr>
                <w:rFonts w:ascii="Times New Roman" w:hAnsi="Times New Roman"/>
                <w:sz w:val="24"/>
                <w:szCs w:val="24"/>
                <w:u w:val="single"/>
                <w:lang w:eastAsia="lv-LV"/>
              </w:rPr>
              <w:t xml:space="preserve">atbilstoši normatīvajiem aktiem par personas atzīšanu </w:t>
            </w:r>
            <w:r w:rsidRPr="006319D3">
              <w:rPr>
                <w:rFonts w:ascii="Times New Roman" w:hAnsi="Times New Roman"/>
                <w:sz w:val="24"/>
                <w:szCs w:val="24"/>
                <w:u w:val="single"/>
                <w:lang w:eastAsia="lv-LV"/>
              </w:rPr>
              <w:lastRenderedPageBreak/>
              <w:t>par tiesīgu īrēt sociālo dzīvokli, ir nodrošināta dzīvesvieta</w:t>
            </w:r>
            <w:r w:rsidRPr="006319D3">
              <w:rPr>
                <w:rFonts w:ascii="Times New Roman" w:hAnsi="Times New Roman"/>
                <w:sz w:val="24"/>
                <w:szCs w:val="24"/>
                <w:lang w:eastAsia="lv-LV"/>
              </w:rPr>
              <w:t xml:space="preserve"> sociālajā dzīvoklī.</w:t>
            </w:r>
          </w:p>
          <w:p w14:paraId="68FD24CC" w14:textId="4A9CD530" w:rsidR="00737D91" w:rsidRPr="00C85A50" w:rsidRDefault="00737D91" w:rsidP="00737D91">
            <w:pPr>
              <w:contextualSpacing/>
              <w:rPr>
                <w:b/>
              </w:rPr>
            </w:pPr>
          </w:p>
        </w:tc>
        <w:tc>
          <w:tcPr>
            <w:tcW w:w="1355" w:type="pct"/>
            <w:tcBorders>
              <w:top w:val="single" w:sz="4" w:space="0" w:color="auto"/>
              <w:left w:val="single" w:sz="4" w:space="0" w:color="auto"/>
              <w:bottom w:val="single" w:sz="4" w:space="0" w:color="auto"/>
              <w:right w:val="single" w:sz="4" w:space="0" w:color="auto"/>
            </w:tcBorders>
          </w:tcPr>
          <w:p w14:paraId="3854267A" w14:textId="77777777" w:rsidR="00737D91" w:rsidRPr="006319D3" w:rsidRDefault="00737D91" w:rsidP="00737D91">
            <w:pPr>
              <w:pStyle w:val="naisc"/>
              <w:spacing w:before="60" w:after="60"/>
              <w:jc w:val="both"/>
              <w:rPr>
                <w:b/>
                <w:bCs/>
              </w:rPr>
            </w:pPr>
            <w:r w:rsidRPr="006319D3">
              <w:rPr>
                <w:b/>
                <w:bCs/>
              </w:rPr>
              <w:lastRenderedPageBreak/>
              <w:t>Sabiedrisko pakalpojumu regulēšanas komisija (</w:t>
            </w:r>
            <w:r>
              <w:rPr>
                <w:b/>
                <w:bCs/>
              </w:rPr>
              <w:t>29.04</w:t>
            </w:r>
            <w:r w:rsidRPr="006319D3">
              <w:rPr>
                <w:b/>
                <w:bCs/>
              </w:rPr>
              <w:t>.2020. atzinums)</w:t>
            </w:r>
          </w:p>
          <w:p w14:paraId="527998D3" w14:textId="56F446F3" w:rsidR="00737D91" w:rsidRPr="00C85A50" w:rsidRDefault="00737D91" w:rsidP="00737D91">
            <w:pPr>
              <w:pStyle w:val="naisc"/>
              <w:spacing w:before="0" w:after="0"/>
              <w:contextualSpacing/>
              <w:jc w:val="both"/>
            </w:pPr>
            <w:r w:rsidRPr="00717264">
              <w:rPr>
                <w:lang w:eastAsia="x-none"/>
              </w:rPr>
              <w:t xml:space="preserve">Regulators joprojām uztur savu viedokli par to, ka enerģētiskās nabadzības jautājumi ir jārisina, bet tie nav ietverami Enerģētikas likumā piedāvātajā formulējumā, kas sašaurina enerģētikās nabadzības definīciju, kā arī neatbilst Latvijas Nacionālajā enerģētikas un klimata plānā 2021.-2030.gadam noteiktajiem risinājumiem enerģētiskās nabadzības mazināšanai un neaptver visu attiecīgo enerģijas lietotāju loku. Regulators savā 2020.gada 8.aprīļa atzinumā Nr.1-2.43/921 jau norādīja, ka prasības attiecībā uz energoefektivitātes pasākumiem enerģētiskās nabadzības skartajām mājsaimniecībām būtu izslēdzamas no Likumprojekta, </w:t>
            </w:r>
            <w:r w:rsidRPr="00717264">
              <w:rPr>
                <w:lang w:eastAsia="x-none"/>
              </w:rPr>
              <w:lastRenderedPageBreak/>
              <w:t>precizējot anotāciju un veicot attiecīgus grozījumus Energoefektivitātes likumā. Vienlaikus, enerģētiskās nabadzības regulējumam un tā piemērošanai ir jābūt salāgotai ar Elektroenerģijas tirgus likumu, tostarp ar aizsargātā lietotāja tirdzniecības pakalpojuma regulējumu.</w:t>
            </w:r>
          </w:p>
        </w:tc>
        <w:tc>
          <w:tcPr>
            <w:tcW w:w="1093" w:type="pct"/>
            <w:vMerge w:val="restart"/>
            <w:tcBorders>
              <w:top w:val="single" w:sz="4" w:space="0" w:color="auto"/>
              <w:left w:val="single" w:sz="4" w:space="0" w:color="auto"/>
              <w:right w:val="single" w:sz="4" w:space="0" w:color="auto"/>
            </w:tcBorders>
          </w:tcPr>
          <w:p w14:paraId="79C4129B" w14:textId="77777777" w:rsidR="00737D91" w:rsidRDefault="00737D91" w:rsidP="00737D91">
            <w:pPr>
              <w:tabs>
                <w:tab w:val="left" w:pos="993"/>
              </w:tabs>
              <w:ind w:right="-2"/>
              <w:contextualSpacing/>
              <w:jc w:val="both"/>
            </w:pPr>
            <w:r>
              <w:lastRenderedPageBreak/>
              <w:t xml:space="preserve">Strādājot pie enerģētiskā nabadzības definīcijas izveides un tās integrēšanas tiesiskajā regulējumā, Ekonomikas ministrija ņēma vērā Valsts pētījumu programmas “Enerģētika” ietvaros  Rīgas Tehniskās universitātes veiktā  pētījuma rezultātus ziņojumā “Enerģētiskās nabadzības analīze”. Ziņojumā apkopotas dažādas metodes un Eiropas Savienības dalībvalstu pieejas enerģētiskās nabadzības identificēšanā. Pētījuma rezultāti rāda, ka katrā dalībvalstī pieeja enerģētiskās nabadzības noteikšanai atšķiras un nav iespējams visā Eiropas Savienībā piemērot vienu definīciju. Tomēr  </w:t>
            </w:r>
            <w:r w:rsidRPr="00C723C6">
              <w:lastRenderedPageBreak/>
              <w:t>Eiropas Ekonomikas un sociālo lietu komiteja</w:t>
            </w:r>
            <w:r>
              <w:t xml:space="preserve"> izstrādājusi vispārēju definīciju, ko rekomendē izmantot par pamatu, papildinot to ar kritērijiem un apstākļiem, kādi raksturīgi  katrai dalībvalstij, - “</w:t>
            </w:r>
            <w:r w:rsidRPr="00C723C6">
              <w:rPr>
                <w:i/>
                <w:iCs/>
              </w:rPr>
              <w:t>grūtības vai nespēja mājoklī uzturēt atbilstīgu temperatūru vai izmantot citus būtiskus energopakalpojumus par saprātīgu cenu</w:t>
            </w:r>
            <w:r>
              <w:t xml:space="preserve">”. </w:t>
            </w:r>
          </w:p>
          <w:p w14:paraId="4911036F" w14:textId="3EF4F697" w:rsidR="00737D91" w:rsidRDefault="00737D91" w:rsidP="00737D91">
            <w:pPr>
              <w:tabs>
                <w:tab w:val="left" w:pos="993"/>
              </w:tabs>
              <w:ind w:right="-2"/>
              <w:contextualSpacing/>
              <w:jc w:val="both"/>
            </w:pPr>
            <w:r>
              <w:t>Attiecībā uz Latvijas Nacionālo enerģētikas un klimata plānu  2020.-2030.gadam (turpmāk – NEKP), tajā noteikts mērķis</w:t>
            </w:r>
            <w:r w:rsidRPr="006E7886">
              <w:t>, ka periodā līdz 2030.gadam tiks samazināts rādītājs “</w:t>
            </w:r>
            <w:r w:rsidRPr="006E7886">
              <w:rPr>
                <w:i/>
                <w:iCs/>
              </w:rPr>
              <w:t>mājsaimniecību īpatsvars</w:t>
            </w:r>
            <w:r w:rsidRPr="006E7886">
              <w:t xml:space="preserve">, </w:t>
            </w:r>
            <w:r w:rsidRPr="006E7886">
              <w:rPr>
                <w:i/>
                <w:iCs/>
              </w:rPr>
              <w:t>kurām trūkuma dēļ bija liegta siltuma nodrošināšana mājoklī</w:t>
            </w:r>
            <w:r w:rsidRPr="006E7886">
              <w:t>”</w:t>
            </w:r>
            <w:r>
              <w:t xml:space="preserve">, kas šobrīd plānā izstrādāts kā vienīgais enerģētiskās nabadzības </w:t>
            </w:r>
            <w:r w:rsidR="00DD6C02">
              <w:t xml:space="preserve">rezultatīvais </w:t>
            </w:r>
            <w:r>
              <w:t>rādītājs, jo līdz šim ticis statistiski apzināts. Tāpat NEKP iekļauts nosacījums “</w:t>
            </w:r>
            <w:r w:rsidRPr="006E7886">
              <w:rPr>
                <w:i/>
                <w:iCs/>
              </w:rPr>
              <w:t xml:space="preserve">Vienlaikus enerģētiskās nabadzības nosacījumus un mērķus ir jānosaka un jāskata saistīti ar </w:t>
            </w:r>
            <w:proofErr w:type="spellStart"/>
            <w:r w:rsidRPr="006E7886">
              <w:rPr>
                <w:i/>
                <w:iCs/>
              </w:rPr>
              <w:lastRenderedPageBreak/>
              <w:t>energopatērētāju</w:t>
            </w:r>
            <w:proofErr w:type="spellEnd"/>
            <w:r w:rsidRPr="006E7886">
              <w:rPr>
                <w:i/>
                <w:iCs/>
              </w:rPr>
              <w:t xml:space="preserve"> aizsardzības nosacījumiem un mērķiem</w:t>
            </w:r>
            <w:r>
              <w:t xml:space="preserve">”. Augstāk minētais vēl vairāk akcentē nepieciešamību izstrādāt enerģētiskās nabadzības  definīciju un pie NEKP mērķu un rādītāju pārskatīšanas 2023.gadā, iekļaut precizētu informāciju gan par kritērijiem, gan pasākumiem un to rezultatīvajiem sasniedzamajiem rādītājiem enerģētiskās nabadzības mazināšanā. </w:t>
            </w:r>
          </w:p>
          <w:p w14:paraId="02A56D26" w14:textId="77777777" w:rsidR="00737D91" w:rsidRDefault="00737D91" w:rsidP="00737D91">
            <w:pPr>
              <w:tabs>
                <w:tab w:val="left" w:pos="993"/>
              </w:tabs>
              <w:ind w:right="-2"/>
              <w:contextualSpacing/>
              <w:jc w:val="both"/>
            </w:pPr>
            <w:r>
              <w:t xml:space="preserve">Ņemot vērā Direktīvā 2019/944 izvirzītās prasības noteikt kritērijus enerģētiskās nabadzības skartajām mājsaimniecības nolūkā tās uzskaitīt un Direktīvā 2018/2002 izvirzītās prasības sniegt prioritāru atbalstu šādām mājsaimniecībām, nacionālajos tiesību aktos nepieciešams noteikt administratīvi apzināmu enerģētiskās nabadzības subjektu. </w:t>
            </w:r>
          </w:p>
          <w:p w14:paraId="793AAED1" w14:textId="3BDEAF49" w:rsidR="00737D91" w:rsidRDefault="00737D91" w:rsidP="00737D91">
            <w:pPr>
              <w:tabs>
                <w:tab w:val="left" w:pos="993"/>
              </w:tabs>
              <w:ind w:right="-2"/>
              <w:contextualSpacing/>
              <w:jc w:val="both"/>
            </w:pPr>
            <w:r>
              <w:t xml:space="preserve">Likumprojekta 120.pantā noteiktie enerģētiskās nabadzības subjekti apzināti, </w:t>
            </w:r>
            <w:r>
              <w:lastRenderedPageBreak/>
              <w:t>konsultējoties un vienojoties ar Labklājības ministriju.</w:t>
            </w:r>
          </w:p>
          <w:p w14:paraId="68F755CA" w14:textId="4FA329ED" w:rsidR="00995FF7" w:rsidRDefault="00995FF7" w:rsidP="00737D91">
            <w:pPr>
              <w:tabs>
                <w:tab w:val="left" w:pos="993"/>
              </w:tabs>
              <w:ind w:right="-2"/>
              <w:contextualSpacing/>
              <w:jc w:val="both"/>
            </w:pPr>
            <w:r w:rsidRPr="00995FF7">
              <w:t>Kas attiecas uz subjekta minēšanu definīcijā, tad subjekta nosaukšana nav uzskatāma par vispārpieņemtu praksi un Enerģētikas likumā jau šobrīd ir vairākas definīcijas, kurās subjekts netiek nosaukts un tas neietekmē definīcijas piemērošanu un izpratni par to.</w:t>
            </w:r>
          </w:p>
          <w:p w14:paraId="1DEB3B66" w14:textId="0EBDA375" w:rsidR="00737D91" w:rsidRDefault="0038051C" w:rsidP="00737D91">
            <w:pPr>
              <w:tabs>
                <w:tab w:val="left" w:pos="993"/>
              </w:tabs>
              <w:ind w:right="-2"/>
              <w:contextualSpacing/>
              <w:jc w:val="both"/>
            </w:pPr>
            <w:r>
              <w:t>Papildus s</w:t>
            </w:r>
            <w:r w:rsidR="00737D91">
              <w:t>kaidrojam, ka jau ieviestais aizsargātā lietotāja tirdzniecības pakalpojuma regulējums atbilst Direktīvas 2019/944 prasībām attiecībā uz neaizsargāto lietotāju, bet enerģētiskās nabadzības skarto mājsaimniecību regulējuma nepieciešamība izriet gan no  Direktīvas</w:t>
            </w:r>
            <w:r w:rsidR="00DD6C02">
              <w:t xml:space="preserve"> </w:t>
            </w:r>
            <w:r w:rsidR="00737D91">
              <w:t>2019/944, gan no Direktīvas 2018/2002.</w:t>
            </w:r>
          </w:p>
          <w:p w14:paraId="1DE8B404" w14:textId="5BDF3B1A" w:rsidR="0091727C" w:rsidRPr="00C85A50" w:rsidRDefault="0091727C" w:rsidP="00737D91">
            <w:pPr>
              <w:tabs>
                <w:tab w:val="left" w:pos="993"/>
              </w:tabs>
              <w:ind w:right="-2"/>
              <w:contextualSpacing/>
              <w:jc w:val="both"/>
            </w:pPr>
          </w:p>
        </w:tc>
        <w:tc>
          <w:tcPr>
            <w:tcW w:w="759" w:type="pct"/>
            <w:tcBorders>
              <w:top w:val="single" w:sz="4" w:space="0" w:color="auto"/>
              <w:left w:val="single" w:sz="4" w:space="0" w:color="auto"/>
              <w:bottom w:val="single" w:sz="4" w:space="0" w:color="auto"/>
              <w:right w:val="single" w:sz="4" w:space="0" w:color="auto"/>
            </w:tcBorders>
          </w:tcPr>
          <w:p w14:paraId="034EBD5F" w14:textId="77777777" w:rsidR="00737D91" w:rsidRPr="00C85A50" w:rsidRDefault="00737D91" w:rsidP="00737D91">
            <w:pPr>
              <w:contextualSpacing/>
              <w:jc w:val="both"/>
            </w:pPr>
          </w:p>
        </w:tc>
        <w:tc>
          <w:tcPr>
            <w:tcW w:w="703" w:type="pct"/>
            <w:vMerge w:val="restart"/>
            <w:tcBorders>
              <w:top w:val="single" w:sz="4" w:space="0" w:color="auto"/>
              <w:left w:val="single" w:sz="4" w:space="0" w:color="auto"/>
            </w:tcBorders>
          </w:tcPr>
          <w:p w14:paraId="7AD2AF9A" w14:textId="77777777" w:rsidR="00737D91" w:rsidRPr="006319D3" w:rsidRDefault="00737D91" w:rsidP="00737D91">
            <w:pPr>
              <w:pStyle w:val="naisc"/>
              <w:spacing w:before="60" w:after="60"/>
              <w:ind w:firstLine="33"/>
              <w:jc w:val="both"/>
            </w:pPr>
            <w:r w:rsidRPr="006319D3">
              <w:t>1.pants</w:t>
            </w:r>
          </w:p>
          <w:p w14:paraId="7FA794A3" w14:textId="77777777" w:rsidR="00737D91" w:rsidRPr="006319D3" w:rsidRDefault="00737D91" w:rsidP="00737D91">
            <w:pPr>
              <w:pStyle w:val="naisc"/>
              <w:spacing w:before="60" w:after="60"/>
              <w:ind w:firstLine="33"/>
              <w:jc w:val="both"/>
            </w:pPr>
          </w:p>
          <w:p w14:paraId="5AFE2E6B" w14:textId="77777777" w:rsidR="00737D91" w:rsidRPr="00C85A50" w:rsidRDefault="00737D91" w:rsidP="00737D91">
            <w:pPr>
              <w:contextualSpacing/>
              <w:rPr>
                <w:b/>
              </w:rPr>
            </w:pPr>
            <w:r w:rsidRPr="006319D3">
              <w:t>10</w:t>
            </w:r>
            <w:r w:rsidRPr="006319D3">
              <w:rPr>
                <w:vertAlign w:val="superscript"/>
              </w:rPr>
              <w:t>1</w:t>
            </w:r>
            <w:r w:rsidRPr="006319D3">
              <w:t>) </w:t>
            </w:r>
            <w:r w:rsidRPr="006319D3">
              <w:rPr>
                <w:b/>
                <w:bCs/>
              </w:rPr>
              <w:t xml:space="preserve">enerģētiskā nabadzība </w:t>
            </w:r>
            <w:r w:rsidRPr="006319D3">
              <w:t xml:space="preserve">– grūtības vai nespēja mājoklī uzturēt atbilstošu temperatūru vai izmantot energoapgādes </w:t>
            </w:r>
            <w:r w:rsidRPr="006319D3">
              <w:rPr>
                <w:u w:val="single"/>
              </w:rPr>
              <w:t>komersanta sniegtos</w:t>
            </w:r>
            <w:r w:rsidRPr="006319D3">
              <w:t xml:space="preserve"> pakalpojumus, vai norēķināties par tiem zemu ienākumu vai augstu energoapgādes pakalpojumu izmaksu, vai </w:t>
            </w:r>
            <w:r w:rsidRPr="006319D3">
              <w:lastRenderedPageBreak/>
              <w:t>zemas energoefektivitātes dēļ;</w:t>
            </w:r>
          </w:p>
          <w:p w14:paraId="6447ACCA" w14:textId="77777777" w:rsidR="00737D91" w:rsidRPr="006319D3" w:rsidRDefault="00737D91" w:rsidP="00737D91">
            <w:pPr>
              <w:pStyle w:val="ListParagraph"/>
              <w:spacing w:before="60" w:after="60" w:line="240" w:lineRule="auto"/>
              <w:ind w:left="0"/>
              <w:contextualSpacing w:val="0"/>
              <w:jc w:val="both"/>
              <w:rPr>
                <w:rFonts w:ascii="Times New Roman" w:hAnsi="Times New Roman"/>
                <w:b/>
                <w:bCs/>
                <w:sz w:val="24"/>
                <w:szCs w:val="24"/>
                <w:lang w:eastAsia="lv-LV"/>
              </w:rPr>
            </w:pPr>
            <w:r w:rsidRPr="006319D3">
              <w:rPr>
                <w:rFonts w:ascii="Times New Roman" w:hAnsi="Times New Roman"/>
                <w:b/>
                <w:bCs/>
                <w:sz w:val="24"/>
                <w:szCs w:val="24"/>
                <w:lang w:eastAsia="lv-LV"/>
              </w:rPr>
              <w:t xml:space="preserve">120. pants </w:t>
            </w:r>
          </w:p>
          <w:p w14:paraId="2CBCAD22"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Enerģētiskās nabadzības skartā mājsaimniecība ir tāda,</w:t>
            </w:r>
            <w:r w:rsidRPr="006319D3">
              <w:rPr>
                <w:rFonts w:ascii="Times New Roman" w:hAnsi="Times New Roman"/>
                <w:sz w:val="24"/>
                <w:szCs w:val="24"/>
                <w:lang w:eastAsia="lv-LV"/>
              </w:rPr>
              <w:t xml:space="preserve"> kurā dzīvojoša ģimene vai persona atbilst vismaz vienam no šādiem kritērijiem:</w:t>
            </w:r>
          </w:p>
          <w:p w14:paraId="5D4AAC78" w14:textId="77777777" w:rsidR="00737D91" w:rsidRPr="006319D3" w:rsidRDefault="00737D91" w:rsidP="00737D91">
            <w:pPr>
              <w:pStyle w:val="ListParagraph"/>
              <w:spacing w:before="60" w:after="60" w:line="240" w:lineRule="auto"/>
              <w:ind w:left="207"/>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1) tai</w:t>
            </w:r>
            <w:r w:rsidRPr="006319D3">
              <w:rPr>
                <w:rFonts w:ascii="Times New Roman" w:hAnsi="Times New Roman"/>
                <w:sz w:val="24"/>
                <w:szCs w:val="24"/>
                <w:lang w:eastAsia="lv-LV"/>
              </w:rPr>
              <w:t xml:space="preserve"> atbilstoši normatīvajiem aktiem par ģimenes vai atsevišķi dzīvojošas personas atzīšanu par trūcīgu ir </w:t>
            </w:r>
            <w:r w:rsidRPr="006319D3">
              <w:rPr>
                <w:rFonts w:ascii="Times New Roman" w:hAnsi="Times New Roman"/>
                <w:sz w:val="24"/>
                <w:szCs w:val="24"/>
                <w:u w:val="single"/>
                <w:lang w:eastAsia="lv-LV"/>
              </w:rPr>
              <w:t>noteikta atbilstība</w:t>
            </w:r>
            <w:r w:rsidRPr="006319D3">
              <w:rPr>
                <w:rFonts w:ascii="Times New Roman" w:hAnsi="Times New Roman"/>
                <w:sz w:val="24"/>
                <w:szCs w:val="24"/>
                <w:lang w:eastAsia="lv-LV"/>
              </w:rPr>
              <w:t xml:space="preserve"> trūcīgas vai maznodrošinātas ģimenes (personas) statusam </w:t>
            </w:r>
            <w:r w:rsidRPr="006319D3">
              <w:rPr>
                <w:rFonts w:ascii="Times New Roman" w:hAnsi="Times New Roman"/>
                <w:sz w:val="24"/>
                <w:szCs w:val="24"/>
                <w:u w:val="single"/>
                <w:lang w:eastAsia="lv-LV"/>
              </w:rPr>
              <w:t xml:space="preserve">un vienlaikus tā atbilstoši normatīvajiem aktiem par sociālās </w:t>
            </w:r>
            <w:r w:rsidRPr="006319D3">
              <w:rPr>
                <w:rFonts w:ascii="Times New Roman" w:hAnsi="Times New Roman"/>
                <w:sz w:val="24"/>
                <w:szCs w:val="24"/>
                <w:u w:val="single"/>
                <w:lang w:eastAsia="lv-LV"/>
              </w:rPr>
              <w:lastRenderedPageBreak/>
              <w:t>palīdzības sniegšanu saņem dzīvokļa pabalstu</w:t>
            </w:r>
            <w:r w:rsidRPr="006319D3">
              <w:rPr>
                <w:rFonts w:ascii="Times New Roman" w:hAnsi="Times New Roman"/>
                <w:sz w:val="24"/>
                <w:szCs w:val="24"/>
                <w:lang w:eastAsia="lv-LV"/>
              </w:rPr>
              <w:t>;</w:t>
            </w:r>
          </w:p>
          <w:p w14:paraId="14C75D80" w14:textId="77777777" w:rsidR="00737D91" w:rsidRPr="006319D3" w:rsidRDefault="00737D91" w:rsidP="00737D91">
            <w:pPr>
              <w:pStyle w:val="ListParagraph"/>
              <w:spacing w:before="60" w:after="60" w:line="240" w:lineRule="auto"/>
              <w:ind w:left="207"/>
              <w:contextualSpacing w:val="0"/>
              <w:jc w:val="both"/>
              <w:rPr>
                <w:rFonts w:ascii="Times New Roman" w:hAnsi="Times New Roman"/>
                <w:sz w:val="24"/>
                <w:szCs w:val="24"/>
                <w:lang w:eastAsia="lv-LV"/>
              </w:rPr>
            </w:pPr>
            <w:r w:rsidRPr="006319D3">
              <w:rPr>
                <w:rFonts w:ascii="Times New Roman" w:hAnsi="Times New Roman"/>
                <w:sz w:val="24"/>
                <w:szCs w:val="24"/>
                <w:lang w:eastAsia="lv-LV"/>
              </w:rPr>
              <w:t xml:space="preserve">2) tai </w:t>
            </w:r>
            <w:r w:rsidRPr="006319D3">
              <w:rPr>
                <w:rFonts w:ascii="Times New Roman" w:hAnsi="Times New Roman"/>
                <w:sz w:val="24"/>
                <w:szCs w:val="24"/>
                <w:u w:val="single"/>
                <w:lang w:eastAsia="lv-LV"/>
              </w:rPr>
              <w:t>atbilstoši normatīvajiem aktiem par personas atzīšanu par tiesīgu īrēt sociālo dzīvokli, ir nodrošināta dzīvesvieta</w:t>
            </w:r>
            <w:r w:rsidRPr="006319D3">
              <w:rPr>
                <w:rFonts w:ascii="Times New Roman" w:hAnsi="Times New Roman"/>
                <w:sz w:val="24"/>
                <w:szCs w:val="24"/>
                <w:lang w:eastAsia="lv-LV"/>
              </w:rPr>
              <w:t xml:space="preserve"> sociālajā dzīvoklī.</w:t>
            </w:r>
          </w:p>
          <w:p w14:paraId="7EC396A9" w14:textId="77777777" w:rsidR="00737D91" w:rsidRPr="00C85A50" w:rsidRDefault="00737D91" w:rsidP="00737D91">
            <w:pPr>
              <w:pStyle w:val="naisc"/>
              <w:spacing w:before="0" w:after="0"/>
              <w:ind w:firstLine="12"/>
              <w:contextualSpacing/>
              <w:jc w:val="both"/>
            </w:pPr>
          </w:p>
        </w:tc>
      </w:tr>
      <w:tr w:rsidR="00737D91" w:rsidRPr="00C85A50" w14:paraId="4B410FCE" w14:textId="77777777" w:rsidTr="00737D91">
        <w:trPr>
          <w:trHeight w:val="227"/>
        </w:trPr>
        <w:tc>
          <w:tcPr>
            <w:tcW w:w="306" w:type="pct"/>
            <w:tcBorders>
              <w:top w:val="single" w:sz="4" w:space="0" w:color="auto"/>
              <w:left w:val="single" w:sz="4" w:space="0" w:color="auto"/>
              <w:bottom w:val="single" w:sz="4" w:space="0" w:color="auto"/>
              <w:right w:val="single" w:sz="4" w:space="0" w:color="auto"/>
            </w:tcBorders>
          </w:tcPr>
          <w:p w14:paraId="0E67FA16" w14:textId="304C682E" w:rsidR="00737D91" w:rsidRPr="00C85A50" w:rsidRDefault="00DD6C02" w:rsidP="00737D91">
            <w:pPr>
              <w:pStyle w:val="naisc"/>
              <w:spacing w:before="0" w:after="0"/>
              <w:contextualSpacing/>
            </w:pPr>
            <w:r>
              <w:lastRenderedPageBreak/>
              <w:t>2.</w:t>
            </w:r>
          </w:p>
        </w:tc>
        <w:tc>
          <w:tcPr>
            <w:tcW w:w="783" w:type="pct"/>
            <w:vMerge/>
            <w:tcBorders>
              <w:left w:val="single" w:sz="4" w:space="0" w:color="auto"/>
              <w:bottom w:val="single" w:sz="4" w:space="0" w:color="auto"/>
              <w:right w:val="single" w:sz="4" w:space="0" w:color="auto"/>
            </w:tcBorders>
          </w:tcPr>
          <w:p w14:paraId="45F1CCE6" w14:textId="77777777" w:rsidR="00737D91" w:rsidRPr="00C85A50" w:rsidRDefault="00737D91" w:rsidP="00737D91">
            <w:pPr>
              <w:contextualSpacing/>
              <w:rPr>
                <w:b/>
              </w:rPr>
            </w:pPr>
          </w:p>
        </w:tc>
        <w:tc>
          <w:tcPr>
            <w:tcW w:w="1355" w:type="pct"/>
            <w:tcBorders>
              <w:top w:val="single" w:sz="4" w:space="0" w:color="auto"/>
              <w:left w:val="single" w:sz="4" w:space="0" w:color="auto"/>
              <w:bottom w:val="single" w:sz="4" w:space="0" w:color="auto"/>
              <w:right w:val="single" w:sz="4" w:space="0" w:color="auto"/>
            </w:tcBorders>
          </w:tcPr>
          <w:p w14:paraId="478E5214" w14:textId="77777777" w:rsidR="00737D91" w:rsidRPr="006319D3" w:rsidRDefault="00737D91" w:rsidP="00737D91">
            <w:pPr>
              <w:pStyle w:val="naisc"/>
              <w:spacing w:before="60" w:after="60"/>
              <w:jc w:val="both"/>
              <w:rPr>
                <w:b/>
                <w:bCs/>
              </w:rPr>
            </w:pPr>
            <w:r w:rsidRPr="006319D3">
              <w:rPr>
                <w:b/>
                <w:bCs/>
              </w:rPr>
              <w:t>Sabiedrisko pakalpojumu regulēšanas komisija (</w:t>
            </w:r>
            <w:r>
              <w:rPr>
                <w:b/>
                <w:bCs/>
              </w:rPr>
              <w:t>29.04</w:t>
            </w:r>
            <w:r w:rsidRPr="006319D3">
              <w:rPr>
                <w:b/>
                <w:bCs/>
              </w:rPr>
              <w:t>.2020. atzinums)</w:t>
            </w:r>
          </w:p>
          <w:p w14:paraId="684E6227" w14:textId="181DAD93" w:rsidR="00737D91" w:rsidRPr="00C85A50" w:rsidRDefault="00737D91" w:rsidP="00737D91">
            <w:pPr>
              <w:pStyle w:val="naisc"/>
              <w:spacing w:before="0" w:after="0"/>
              <w:contextualSpacing/>
              <w:jc w:val="both"/>
            </w:pPr>
            <w:r>
              <w:rPr>
                <w:lang w:eastAsia="x-none"/>
              </w:rPr>
              <w:t xml:space="preserve">Regulators </w:t>
            </w:r>
            <w:r w:rsidRPr="00717264">
              <w:rPr>
                <w:lang w:eastAsia="x-none"/>
              </w:rPr>
              <w:t>vērš uzmanību uz papildu neatbilstībām saistībā ar enerģētiskās nabadzības definīciju, t.i., Likumprojekta 1.pantā paredzētā Enerģētikas likuma 1.panta 10.</w:t>
            </w:r>
            <w:r w:rsidRPr="00717264">
              <w:rPr>
                <w:vertAlign w:val="superscript"/>
                <w:lang w:eastAsia="x-none"/>
              </w:rPr>
              <w:t>1</w:t>
            </w:r>
            <w:r w:rsidRPr="00717264">
              <w:rPr>
                <w:lang w:eastAsia="x-none"/>
              </w:rPr>
              <w:t xml:space="preserve">punkta saturu. Grūtības vai nespēja mājoklī uzturēt atbilstošu temperatūru bieži ir saistītas ar tehniskiem aspektiem, kam nav sakara ar enerģētisko nabadzību, turklāt “grūtības” nav izmērāms lielums. Arī “augstas energoapgādes izmaksas” ir nepamatota pazīme normatīvajā aktā. Enerģētiskās nabadzības terminam ir nozīme tikai kontekstā ar subjektu, uz kuru tas attiecas. Savukārt, par subjektiem regulējums ir noteikts Likumprojektā paredzētajā Enerģētikas likuma 120.pantā. Piemēram, arī mājsaimniecība Enerģētikas likumā tiek lietota tikai kontekstā ar lietotāju – </w:t>
            </w:r>
            <w:r w:rsidRPr="00717264">
              <w:rPr>
                <w:lang w:eastAsia="x-none"/>
              </w:rPr>
              <w:lastRenderedPageBreak/>
              <w:t>ir termins “mājsaimniecības lietotājs” (Enerģētikas likuma 1.panta 29.punkts). Turklāt  mājsaimniecībām pakalpojumus var sniegt vairāki energoapgādes komersanti (mājsaimniecības var tikt apgādātas ar elektroenerģiju, siltumenerģiju un dabasgāzi). Regulatora ieskatā Likumprojektā paredzētais Enerģētikas likuma 120.pants ietver termina “</w:t>
            </w:r>
            <w:r w:rsidRPr="00717264">
              <w:t xml:space="preserve">enerģētiskās nabadzības skartā mājsaimniecība” skaidrojumu, kas nepieciešams kontekstā ar paredzēto Enerģētikas likuma 121.pantu. Tāpēc </w:t>
            </w:r>
            <w:r w:rsidRPr="00717264">
              <w:rPr>
                <w:lang w:eastAsia="x-none"/>
              </w:rPr>
              <w:t>Likumprojekta 1.pantā paredzētais Enerģētikas likuma 1.panta 10.</w:t>
            </w:r>
            <w:r w:rsidRPr="00717264">
              <w:rPr>
                <w:vertAlign w:val="superscript"/>
                <w:lang w:eastAsia="x-none"/>
              </w:rPr>
              <w:t>1</w:t>
            </w:r>
            <w:r w:rsidRPr="00717264">
              <w:rPr>
                <w:lang w:eastAsia="x-none"/>
              </w:rPr>
              <w:t>punkts ir izslēdzams.</w:t>
            </w:r>
          </w:p>
        </w:tc>
        <w:tc>
          <w:tcPr>
            <w:tcW w:w="1093" w:type="pct"/>
            <w:vMerge/>
            <w:tcBorders>
              <w:left w:val="single" w:sz="4" w:space="0" w:color="auto"/>
              <w:bottom w:val="single" w:sz="4" w:space="0" w:color="auto"/>
              <w:right w:val="single" w:sz="4" w:space="0" w:color="auto"/>
            </w:tcBorders>
          </w:tcPr>
          <w:p w14:paraId="221860C4" w14:textId="77777777" w:rsidR="00737D91" w:rsidRPr="00C85A50" w:rsidRDefault="00737D91" w:rsidP="00737D91">
            <w:pPr>
              <w:tabs>
                <w:tab w:val="left" w:pos="993"/>
              </w:tabs>
              <w:ind w:right="-2"/>
              <w:contextualSpacing/>
              <w:jc w:val="both"/>
            </w:pPr>
          </w:p>
        </w:tc>
        <w:tc>
          <w:tcPr>
            <w:tcW w:w="759" w:type="pct"/>
            <w:tcBorders>
              <w:top w:val="single" w:sz="4" w:space="0" w:color="auto"/>
              <w:left w:val="single" w:sz="4" w:space="0" w:color="auto"/>
              <w:bottom w:val="single" w:sz="4" w:space="0" w:color="auto"/>
              <w:right w:val="single" w:sz="4" w:space="0" w:color="auto"/>
            </w:tcBorders>
          </w:tcPr>
          <w:p w14:paraId="1C44F694" w14:textId="77777777" w:rsidR="00737D91" w:rsidRPr="00C85A50" w:rsidRDefault="00737D91" w:rsidP="00737D91">
            <w:pPr>
              <w:contextualSpacing/>
              <w:jc w:val="both"/>
            </w:pPr>
          </w:p>
        </w:tc>
        <w:tc>
          <w:tcPr>
            <w:tcW w:w="703" w:type="pct"/>
            <w:vMerge/>
            <w:tcBorders>
              <w:left w:val="single" w:sz="4" w:space="0" w:color="auto"/>
              <w:bottom w:val="single" w:sz="4" w:space="0" w:color="auto"/>
            </w:tcBorders>
          </w:tcPr>
          <w:p w14:paraId="1CB44829" w14:textId="77777777" w:rsidR="00737D91" w:rsidRPr="00C85A50" w:rsidRDefault="00737D91" w:rsidP="00737D91">
            <w:pPr>
              <w:pStyle w:val="naisc"/>
              <w:spacing w:before="0" w:after="0"/>
              <w:ind w:firstLine="12"/>
              <w:contextualSpacing/>
              <w:jc w:val="both"/>
            </w:pPr>
          </w:p>
        </w:tc>
      </w:tr>
      <w:tr w:rsidR="00737D91" w:rsidRPr="00C85A50" w14:paraId="0D49F048" w14:textId="77777777" w:rsidTr="00737D91">
        <w:trPr>
          <w:trHeight w:val="227"/>
        </w:trPr>
        <w:tc>
          <w:tcPr>
            <w:tcW w:w="306" w:type="pct"/>
            <w:tcBorders>
              <w:top w:val="single" w:sz="4" w:space="0" w:color="auto"/>
              <w:left w:val="single" w:sz="4" w:space="0" w:color="auto"/>
              <w:bottom w:val="single" w:sz="4" w:space="0" w:color="auto"/>
              <w:right w:val="single" w:sz="4" w:space="0" w:color="auto"/>
            </w:tcBorders>
          </w:tcPr>
          <w:p w14:paraId="40935CBD" w14:textId="4B6A4ADA" w:rsidR="00737D91" w:rsidRPr="00C85A50" w:rsidRDefault="00DD6C02" w:rsidP="00737D91">
            <w:pPr>
              <w:pStyle w:val="naisc"/>
              <w:spacing w:before="0" w:after="0"/>
              <w:contextualSpacing/>
            </w:pPr>
            <w:r>
              <w:lastRenderedPageBreak/>
              <w:t>3.</w:t>
            </w:r>
          </w:p>
        </w:tc>
        <w:tc>
          <w:tcPr>
            <w:tcW w:w="783" w:type="pct"/>
            <w:tcBorders>
              <w:top w:val="single" w:sz="4" w:space="0" w:color="auto"/>
              <w:left w:val="single" w:sz="4" w:space="0" w:color="auto"/>
              <w:bottom w:val="single" w:sz="4" w:space="0" w:color="auto"/>
              <w:right w:val="single" w:sz="4" w:space="0" w:color="auto"/>
            </w:tcBorders>
          </w:tcPr>
          <w:p w14:paraId="683783A0" w14:textId="77777777" w:rsidR="00737D91" w:rsidRPr="006319D3" w:rsidRDefault="00737D91" w:rsidP="00737D91">
            <w:pPr>
              <w:pStyle w:val="ListParagraph"/>
              <w:spacing w:before="60" w:after="60" w:line="240" w:lineRule="auto"/>
              <w:ind w:left="0"/>
              <w:contextualSpacing w:val="0"/>
              <w:jc w:val="both"/>
              <w:rPr>
                <w:rFonts w:ascii="Times New Roman" w:hAnsi="Times New Roman"/>
                <w:b/>
                <w:bCs/>
                <w:sz w:val="24"/>
                <w:szCs w:val="24"/>
                <w:lang w:eastAsia="lv-LV"/>
              </w:rPr>
            </w:pPr>
            <w:r w:rsidRPr="006319D3">
              <w:rPr>
                <w:rFonts w:ascii="Times New Roman" w:hAnsi="Times New Roman"/>
                <w:b/>
                <w:bCs/>
                <w:sz w:val="24"/>
                <w:szCs w:val="24"/>
                <w:lang w:eastAsia="lv-LV"/>
              </w:rPr>
              <w:t>121. pants</w:t>
            </w:r>
          </w:p>
          <w:p w14:paraId="34C1826B"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u w:val="single"/>
                <w:lang w:eastAsia="lv-LV"/>
              </w:rPr>
            </w:pPr>
            <w:r w:rsidRPr="006319D3">
              <w:rPr>
                <w:rFonts w:ascii="Times New Roman" w:hAnsi="Times New Roman"/>
                <w:sz w:val="24"/>
                <w:szCs w:val="24"/>
                <w:u w:val="single"/>
                <w:lang w:eastAsia="lv-LV"/>
              </w:rPr>
              <w:t xml:space="preserve">(1) Plānojot valsts vai pašvaldības enerģētikas politikas atbalsta pasākumus jāņem vērā enerģētiskās nabadzības skarto </w:t>
            </w:r>
            <w:r w:rsidRPr="006319D3">
              <w:rPr>
                <w:rFonts w:ascii="Times New Roman" w:hAnsi="Times New Roman"/>
                <w:sz w:val="24"/>
                <w:szCs w:val="24"/>
                <w:u w:val="single"/>
                <w:lang w:eastAsia="lv-LV"/>
              </w:rPr>
              <w:lastRenderedPageBreak/>
              <w:t>mājsaimniecību skaits.</w:t>
            </w:r>
          </w:p>
          <w:p w14:paraId="7EB50EEB"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lang w:eastAsia="lv-LV"/>
              </w:rPr>
            </w:pPr>
          </w:p>
          <w:p w14:paraId="030A5B97"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(2)</w:t>
            </w:r>
            <w:r w:rsidRPr="006319D3">
              <w:rPr>
                <w:rFonts w:ascii="Times New Roman" w:hAnsi="Times New Roman"/>
                <w:sz w:val="24"/>
                <w:szCs w:val="24"/>
                <w:lang w:eastAsia="lv-LV"/>
              </w:rPr>
              <w:t> Valsts vai pašvaldība plānotos energoefektivitātes politikas pasākumus prioritārā kārtā īsteno enerģētiskās nabadzības skartajās mājsaimniecībās.</w:t>
            </w:r>
          </w:p>
          <w:p w14:paraId="3F685A0A" w14:textId="77777777" w:rsidR="00737D91" w:rsidRPr="006319D3" w:rsidRDefault="00737D91" w:rsidP="00737D91">
            <w:pPr>
              <w:pStyle w:val="ListParagraph"/>
              <w:spacing w:before="60" w:after="60" w:line="240" w:lineRule="auto"/>
              <w:contextualSpacing w:val="0"/>
              <w:jc w:val="both"/>
              <w:rPr>
                <w:rFonts w:ascii="Times New Roman" w:hAnsi="Times New Roman"/>
                <w:sz w:val="24"/>
                <w:szCs w:val="24"/>
                <w:lang w:eastAsia="lv-LV"/>
              </w:rPr>
            </w:pPr>
          </w:p>
          <w:p w14:paraId="7059A742" w14:textId="21531597" w:rsidR="00737D91" w:rsidRPr="00C85A50" w:rsidRDefault="00737D91" w:rsidP="00737D91">
            <w:pPr>
              <w:contextualSpacing/>
              <w:rPr>
                <w:b/>
              </w:rPr>
            </w:pPr>
            <w:r w:rsidRPr="006319D3">
              <w:rPr>
                <w:u w:val="single"/>
              </w:rPr>
              <w:t>(3) Enerģētiskās nabadzības skarto mājsaimniecību skaita novērtēšanai izmanto 120. pantā noteiktos kritērijus</w:t>
            </w:r>
            <w:r w:rsidRPr="006319D3">
              <w:t>.</w:t>
            </w:r>
          </w:p>
        </w:tc>
        <w:tc>
          <w:tcPr>
            <w:tcW w:w="1355" w:type="pct"/>
            <w:tcBorders>
              <w:top w:val="single" w:sz="4" w:space="0" w:color="auto"/>
              <w:left w:val="single" w:sz="4" w:space="0" w:color="auto"/>
              <w:bottom w:val="single" w:sz="4" w:space="0" w:color="auto"/>
              <w:right w:val="single" w:sz="4" w:space="0" w:color="auto"/>
            </w:tcBorders>
          </w:tcPr>
          <w:p w14:paraId="39EF91CC" w14:textId="77777777" w:rsidR="00737D91" w:rsidRPr="006319D3" w:rsidRDefault="00737D91" w:rsidP="00737D91">
            <w:pPr>
              <w:pStyle w:val="naisc"/>
              <w:spacing w:before="60" w:after="60"/>
              <w:jc w:val="both"/>
              <w:rPr>
                <w:b/>
                <w:bCs/>
              </w:rPr>
            </w:pPr>
            <w:r w:rsidRPr="006319D3">
              <w:rPr>
                <w:b/>
                <w:bCs/>
              </w:rPr>
              <w:lastRenderedPageBreak/>
              <w:t>Sabiedrisko pakalpojumu regulēšanas komisija (</w:t>
            </w:r>
            <w:r>
              <w:rPr>
                <w:b/>
                <w:bCs/>
              </w:rPr>
              <w:t>29.04</w:t>
            </w:r>
            <w:r w:rsidRPr="006319D3">
              <w:rPr>
                <w:b/>
                <w:bCs/>
              </w:rPr>
              <w:t>.2020. atzinums)</w:t>
            </w:r>
          </w:p>
          <w:p w14:paraId="4C412C0E" w14:textId="77777777" w:rsidR="00737D91" w:rsidRDefault="00737D91" w:rsidP="00737D91">
            <w:pPr>
              <w:pStyle w:val="naisc"/>
              <w:spacing w:before="0" w:after="0"/>
              <w:contextualSpacing/>
              <w:jc w:val="both"/>
              <w:rPr>
                <w:lang w:eastAsia="x-none"/>
              </w:rPr>
            </w:pPr>
            <w:r w:rsidRPr="00717264">
              <w:rPr>
                <w:lang w:eastAsia="x-none"/>
              </w:rPr>
              <w:t xml:space="preserve">Regulators  norāda, ka Eiropas Savienības </w:t>
            </w:r>
            <w:r w:rsidRPr="00717264">
              <w:rPr>
                <w:u w:val="single"/>
                <w:lang w:eastAsia="x-none"/>
              </w:rPr>
              <w:t>dalībvalsts pienākumi</w:t>
            </w:r>
            <w:r w:rsidRPr="00717264">
              <w:rPr>
                <w:lang w:eastAsia="x-none"/>
              </w:rPr>
              <w:t xml:space="preserve"> attiecībā uz enerģētiskās nabadzības mazināšanu ir noteikti Eiropas Parlamenta un Padomes 2019.gada 5.jūnija Direktīvā (ES) 2019/944 par </w:t>
            </w:r>
            <w:r w:rsidRPr="00717264">
              <w:rPr>
                <w:lang w:eastAsia="x-none"/>
              </w:rPr>
              <w:lastRenderedPageBreak/>
              <w:t xml:space="preserve">kopīgiem noteikumiem attiecībā uz elektroenerģijas iekšējo tirgu un ar ko groza Direktīvu 2012/27/ES un Eiropas Parlamenta un Padomes 2018.gada 11.decembra Direktīvā (ES) 2018/2002, ar ko groza Direktīvu 2012/27/ES par energoefektivitāti. Pārņemot minēto direktīvu prasības nacionālajos tiesību aktos, tajos nepieciešams norādīt konkrētu subjektu, kuram tiek noteikti pienākumi attiecībā uz pasākumu īstenošanu, kuru mērķis ir mazināt vai novērst enerģētisko nabadzību. Atbilstoši Ministru kabineta 2010.gada 23.marta noteikumu Nr.271 “Ekonomikas ministrijas nolikums” (turpmāk – MK noteikumi Nr.271) 5.3.3. un 6.1.apakšpunktā noteiktajam Ekonomikas ministrija izstrādā un īsteno politiku enerģētikas nozarē un izstrādā nozari reglamentējošo tiesību aktu un attīstības plānošanas dokumentu projektus. Līdz ar to Ekonomikas ministrijai Likumprojekta 10.pantā paredzētajā Enerģētikas likuma 121.pantā nav pamats paredzēt </w:t>
            </w:r>
            <w:r w:rsidRPr="00717264">
              <w:rPr>
                <w:u w:val="single"/>
                <w:lang w:eastAsia="x-none"/>
              </w:rPr>
              <w:t>valsts pienākumu</w:t>
            </w:r>
            <w:r w:rsidRPr="00717264">
              <w:rPr>
                <w:lang w:eastAsia="x-none"/>
              </w:rPr>
              <w:t xml:space="preserve"> izstrādāt </w:t>
            </w:r>
            <w:r w:rsidRPr="00717264">
              <w:t xml:space="preserve">enerģētikas politikas pasākumus attiecībā uz </w:t>
            </w:r>
            <w:r w:rsidRPr="00717264">
              <w:rPr>
                <w:lang w:eastAsia="x-none"/>
              </w:rPr>
              <w:t xml:space="preserve">enerģētiskās nabadzības skartajām mājsaimniecībām, bet, pamatojoties uz MK noteikumiem Nr.271, būtu jānosaka Ekonomikas ministrijas </w:t>
            </w:r>
            <w:r w:rsidRPr="00717264">
              <w:rPr>
                <w:lang w:eastAsia="x-none"/>
              </w:rPr>
              <w:lastRenderedPageBreak/>
              <w:t xml:space="preserve">pienākums. Ievērojot minēto un to, ka enerģētiskās nabadzības regulējuma izstrāde ir Ekonomikas ministrijas kompetencē, būtu norādāmi konkrēti pasākumi, kurus būtu jāīsteno noteiktiem subjektiem, lai mazinātu vai novērstu enerģētisko nabadzību. </w:t>
            </w:r>
          </w:p>
          <w:p w14:paraId="3A727EB2" w14:textId="6452818F" w:rsidR="0091727C" w:rsidRPr="00C85A50" w:rsidRDefault="0091727C" w:rsidP="00737D91">
            <w:pPr>
              <w:pStyle w:val="naisc"/>
              <w:spacing w:before="0" w:after="0"/>
              <w:contextualSpacing/>
              <w:jc w:val="both"/>
            </w:pPr>
          </w:p>
        </w:tc>
        <w:tc>
          <w:tcPr>
            <w:tcW w:w="1093" w:type="pct"/>
            <w:tcBorders>
              <w:top w:val="single" w:sz="4" w:space="0" w:color="auto"/>
              <w:left w:val="single" w:sz="4" w:space="0" w:color="auto"/>
              <w:bottom w:val="single" w:sz="4" w:space="0" w:color="auto"/>
              <w:right w:val="single" w:sz="4" w:space="0" w:color="auto"/>
            </w:tcBorders>
          </w:tcPr>
          <w:p w14:paraId="557345E9" w14:textId="1C347EAC" w:rsidR="00737D91" w:rsidRPr="00C85A50" w:rsidRDefault="00737D91" w:rsidP="00737D91">
            <w:pPr>
              <w:tabs>
                <w:tab w:val="left" w:pos="993"/>
              </w:tabs>
              <w:ind w:right="-2"/>
              <w:contextualSpacing/>
              <w:jc w:val="both"/>
            </w:pPr>
            <w:r>
              <w:lastRenderedPageBreak/>
              <w:t>Likumprojekta 121.pantā noteiktais pienākums valstij norādīts</w:t>
            </w:r>
            <w:r w:rsidR="00DD6C02">
              <w:t>,</w:t>
            </w:r>
            <w:r>
              <w:t xml:space="preserve"> ņemot vērā to, ka par pasākumu īstenošanu energoefektivitātē, tai skaitā, lai mazinātu enerģētisko nabadzību, Ekonomikas ministrija var nebūt vienīgā atbildīgā institūcija. Skaidrs </w:t>
            </w:r>
            <w:r>
              <w:lastRenderedPageBreak/>
              <w:t>minēto pasākumu plāns tiks izstrādāts, tiklīdz tiks pārņemtas  Direktīvā 2018/2002 noteiktās prasības, īpaši attiecībā uz enerģētiskās nabadzības definīcijas ieviešanu.</w:t>
            </w:r>
          </w:p>
        </w:tc>
        <w:tc>
          <w:tcPr>
            <w:tcW w:w="759" w:type="pct"/>
            <w:tcBorders>
              <w:top w:val="single" w:sz="4" w:space="0" w:color="auto"/>
              <w:left w:val="single" w:sz="4" w:space="0" w:color="auto"/>
              <w:bottom w:val="single" w:sz="4" w:space="0" w:color="auto"/>
              <w:right w:val="single" w:sz="4" w:space="0" w:color="auto"/>
            </w:tcBorders>
          </w:tcPr>
          <w:p w14:paraId="424DCDEA" w14:textId="77777777" w:rsidR="00737D91" w:rsidRPr="00C85A50" w:rsidRDefault="00737D91" w:rsidP="00737D91">
            <w:pPr>
              <w:contextualSpacing/>
              <w:jc w:val="both"/>
            </w:pPr>
          </w:p>
        </w:tc>
        <w:tc>
          <w:tcPr>
            <w:tcW w:w="703" w:type="pct"/>
            <w:tcBorders>
              <w:top w:val="single" w:sz="4" w:space="0" w:color="auto"/>
              <w:left w:val="single" w:sz="4" w:space="0" w:color="auto"/>
              <w:bottom w:val="single" w:sz="4" w:space="0" w:color="auto"/>
            </w:tcBorders>
          </w:tcPr>
          <w:p w14:paraId="05F946C0" w14:textId="77777777" w:rsidR="00737D91" w:rsidRPr="006319D3" w:rsidRDefault="00737D91" w:rsidP="00737D91">
            <w:pPr>
              <w:pStyle w:val="ListParagraph"/>
              <w:spacing w:before="60" w:after="60" w:line="240" w:lineRule="auto"/>
              <w:ind w:left="0"/>
              <w:contextualSpacing w:val="0"/>
              <w:jc w:val="both"/>
              <w:rPr>
                <w:rFonts w:ascii="Times New Roman" w:hAnsi="Times New Roman"/>
                <w:b/>
                <w:bCs/>
                <w:sz w:val="24"/>
                <w:szCs w:val="24"/>
                <w:lang w:eastAsia="lv-LV"/>
              </w:rPr>
            </w:pPr>
            <w:r w:rsidRPr="006319D3">
              <w:rPr>
                <w:rFonts w:ascii="Times New Roman" w:hAnsi="Times New Roman"/>
                <w:b/>
                <w:bCs/>
                <w:sz w:val="24"/>
                <w:szCs w:val="24"/>
                <w:lang w:eastAsia="lv-LV"/>
              </w:rPr>
              <w:t>121. pants</w:t>
            </w:r>
          </w:p>
          <w:p w14:paraId="471BF3F7"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u w:val="single"/>
                <w:lang w:eastAsia="lv-LV"/>
              </w:rPr>
            </w:pPr>
            <w:r w:rsidRPr="006319D3">
              <w:rPr>
                <w:rFonts w:ascii="Times New Roman" w:hAnsi="Times New Roman"/>
                <w:sz w:val="24"/>
                <w:szCs w:val="24"/>
                <w:u w:val="single"/>
                <w:lang w:eastAsia="lv-LV"/>
              </w:rPr>
              <w:t xml:space="preserve">(1) Plānojot valsts vai pašvaldības enerģētikas politikas atbalsta pasākumus jāņem vērā enerģētiskās nabadzības skarto </w:t>
            </w:r>
            <w:r w:rsidRPr="006319D3">
              <w:rPr>
                <w:rFonts w:ascii="Times New Roman" w:hAnsi="Times New Roman"/>
                <w:sz w:val="24"/>
                <w:szCs w:val="24"/>
                <w:u w:val="single"/>
                <w:lang w:eastAsia="lv-LV"/>
              </w:rPr>
              <w:lastRenderedPageBreak/>
              <w:t>mājsaimniecību skaits.</w:t>
            </w:r>
          </w:p>
          <w:p w14:paraId="166B17C2"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lang w:eastAsia="lv-LV"/>
              </w:rPr>
            </w:pPr>
          </w:p>
          <w:p w14:paraId="257B3CD4" w14:textId="77777777" w:rsidR="00737D91" w:rsidRPr="006319D3" w:rsidRDefault="00737D91" w:rsidP="00737D91">
            <w:pPr>
              <w:pStyle w:val="ListParagraph"/>
              <w:spacing w:before="60" w:after="60" w:line="240" w:lineRule="auto"/>
              <w:ind w:left="0"/>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(2)</w:t>
            </w:r>
            <w:r w:rsidRPr="006319D3">
              <w:rPr>
                <w:rFonts w:ascii="Times New Roman" w:hAnsi="Times New Roman"/>
                <w:sz w:val="24"/>
                <w:szCs w:val="24"/>
                <w:lang w:eastAsia="lv-LV"/>
              </w:rPr>
              <w:t> Valsts vai pašvaldība plānotos energoefektivitātes politikas pasākumus prioritārā kārtā īsteno enerģētiskās nabadzības skartajās mājsaimniecībās.</w:t>
            </w:r>
          </w:p>
          <w:p w14:paraId="03D95235" w14:textId="77777777" w:rsidR="00737D91" w:rsidRPr="006319D3" w:rsidRDefault="00737D91" w:rsidP="00737D91">
            <w:pPr>
              <w:pStyle w:val="ListParagraph"/>
              <w:spacing w:before="60" w:after="60" w:line="240" w:lineRule="auto"/>
              <w:contextualSpacing w:val="0"/>
              <w:jc w:val="both"/>
              <w:rPr>
                <w:rFonts w:ascii="Times New Roman" w:hAnsi="Times New Roman"/>
                <w:sz w:val="24"/>
                <w:szCs w:val="24"/>
                <w:lang w:eastAsia="lv-LV"/>
              </w:rPr>
            </w:pPr>
          </w:p>
          <w:p w14:paraId="3DE174C8" w14:textId="43336FC7" w:rsidR="00737D91" w:rsidRPr="00C85A50" w:rsidRDefault="00737D91" w:rsidP="00737D91">
            <w:pPr>
              <w:pStyle w:val="naisc"/>
              <w:spacing w:before="0" w:after="0"/>
              <w:ind w:firstLine="12"/>
              <w:contextualSpacing/>
              <w:jc w:val="both"/>
            </w:pPr>
            <w:r w:rsidRPr="006319D3">
              <w:rPr>
                <w:u w:val="single"/>
              </w:rPr>
              <w:t>(3) Enerģētiskās nabadzības skarto mājsaimniecību skaita novērtēšanai izmanto 120. pantā noteiktos kritērijus</w:t>
            </w:r>
            <w:r w:rsidRPr="006319D3">
              <w:t>.</w:t>
            </w:r>
          </w:p>
        </w:tc>
      </w:tr>
    </w:tbl>
    <w:p w14:paraId="54A59025" w14:textId="6E97B248" w:rsidR="00562AEB" w:rsidRPr="00C85A50" w:rsidRDefault="00562AEB" w:rsidP="00627E0D">
      <w:pPr>
        <w:pStyle w:val="naisf"/>
        <w:spacing w:before="0" w:after="0"/>
        <w:ind w:firstLine="0"/>
        <w:contextualSpacing/>
        <w:rPr>
          <w:highlight w:val="yellow"/>
        </w:rPr>
      </w:pPr>
    </w:p>
    <w:p w14:paraId="05BC4C87" w14:textId="77777777" w:rsidR="005D67F7" w:rsidRPr="00C85A50" w:rsidRDefault="005D67F7" w:rsidP="008D431A">
      <w:pPr>
        <w:pStyle w:val="naisf"/>
        <w:spacing w:before="0" w:after="0"/>
        <w:ind w:firstLine="0"/>
        <w:contextualSpacing/>
        <w:rPr>
          <w:b/>
          <w:highlight w:val="yellow"/>
        </w:rPr>
      </w:pPr>
      <w:bookmarkStart w:id="0" w:name="_Hlk19616846"/>
      <w:r w:rsidRPr="00C85A50">
        <w:rPr>
          <w:b/>
        </w:rPr>
        <w:t xml:space="preserve">Informācija par </w:t>
      </w:r>
      <w:proofErr w:type="spellStart"/>
      <w:r w:rsidRPr="00C85A50">
        <w:rPr>
          <w:b/>
        </w:rPr>
        <w:t>starpministriju</w:t>
      </w:r>
      <w:proofErr w:type="spellEnd"/>
      <w:r w:rsidRPr="00C85A50">
        <w:rPr>
          <w:b/>
        </w:rPr>
        <w:t xml:space="preserve"> (starpinstitūciju) sanāksmi vai elektronisko saskaņošanu</w:t>
      </w:r>
    </w:p>
    <w:p w14:paraId="23D084D4" w14:textId="77777777" w:rsidR="005D67F7" w:rsidRPr="00C85A50" w:rsidRDefault="005D67F7" w:rsidP="00262494">
      <w:pPr>
        <w:pStyle w:val="naisf"/>
        <w:spacing w:before="0" w:after="0"/>
        <w:ind w:firstLine="0"/>
        <w:contextualSpacing/>
        <w:rPr>
          <w:b/>
          <w:highlight w:val="yellow"/>
        </w:rPr>
      </w:pPr>
    </w:p>
    <w:tbl>
      <w:tblPr>
        <w:tblW w:w="12582" w:type="dxa"/>
        <w:tblLook w:val="00A0" w:firstRow="1" w:lastRow="0" w:firstColumn="1" w:lastColumn="0" w:noHBand="0" w:noVBand="0"/>
      </w:tblPr>
      <w:tblGrid>
        <w:gridCol w:w="6096"/>
        <w:gridCol w:w="6486"/>
      </w:tblGrid>
      <w:tr w:rsidR="001D7AE5" w:rsidRPr="00C85A50" w14:paraId="626F08C9" w14:textId="77777777" w:rsidTr="008D5396">
        <w:tc>
          <w:tcPr>
            <w:tcW w:w="6096" w:type="dxa"/>
          </w:tcPr>
          <w:p w14:paraId="11846BD2" w14:textId="558FADEE" w:rsidR="007B4C0F" w:rsidRPr="00C85A50" w:rsidRDefault="005D67F7" w:rsidP="006A5633">
            <w:pPr>
              <w:pStyle w:val="naisf"/>
              <w:spacing w:before="0" w:after="0"/>
              <w:ind w:firstLine="0"/>
              <w:contextualSpacing/>
            </w:pPr>
            <w:r w:rsidRPr="00C85A50">
              <w:t>D</w:t>
            </w:r>
            <w:r w:rsidR="007B4C0F" w:rsidRPr="00C85A50">
              <w:t>atums</w:t>
            </w:r>
            <w:r w:rsidR="0047357B" w:rsidRPr="00C85A50">
              <w:t xml:space="preserve"> </w:t>
            </w:r>
          </w:p>
        </w:tc>
        <w:tc>
          <w:tcPr>
            <w:tcW w:w="6486" w:type="dxa"/>
          </w:tcPr>
          <w:p w14:paraId="2CC0DE50" w14:textId="77777777" w:rsidR="007B4C0F" w:rsidRDefault="00562AEB" w:rsidP="00D93CB3">
            <w:pPr>
              <w:pStyle w:val="NormalWeb"/>
              <w:spacing w:before="0" w:beforeAutospacing="0" w:after="0" w:afterAutospacing="0"/>
              <w:contextualSpacing/>
              <w:jc w:val="both"/>
            </w:pPr>
            <w:r w:rsidRPr="00C85A50">
              <w:rPr>
                <w:b/>
                <w:bCs/>
              </w:rPr>
              <w:t>20.02.2020.</w:t>
            </w:r>
            <w:r w:rsidRPr="00C85A50">
              <w:t xml:space="preserve"> Likumprojekts “Grozījumi Enerģētikas likumā” izsludināts Valsts sekretāru sanāksmē (VSS-154)</w:t>
            </w:r>
          </w:p>
          <w:p w14:paraId="1985197C" w14:textId="77777777" w:rsidR="00D57AE8" w:rsidRDefault="00D57AE8" w:rsidP="00D57AE8">
            <w:pPr>
              <w:pStyle w:val="NormalWeb"/>
              <w:contextualSpacing/>
              <w:jc w:val="both"/>
            </w:pPr>
            <w:r w:rsidRPr="00D57AE8">
              <w:rPr>
                <w:b/>
                <w:bCs/>
              </w:rPr>
              <w:t>09.03.2020.</w:t>
            </w:r>
            <w:r>
              <w:t xml:space="preserve"> tika saņemti gandrīz visu 2020.gada 20.februāra Valsts sekretāru sanāksmes protokola Nr.8 </w:t>
            </w:r>
            <w:r w:rsidRPr="00D57AE8">
              <w:t>14.§</w:t>
            </w:r>
            <w:r>
              <w:t xml:space="preserve"> noteikto institūciju atzinumi</w:t>
            </w:r>
            <w:r w:rsidR="00ED3DB8">
              <w:t xml:space="preserve">, izņemot Latvijas Darba devēju konfederācijas atzinums. </w:t>
            </w:r>
          </w:p>
          <w:p w14:paraId="7200F10B" w14:textId="77777777" w:rsidR="0053504D" w:rsidRDefault="0053504D" w:rsidP="00D57AE8">
            <w:pPr>
              <w:pStyle w:val="NormalWeb"/>
              <w:contextualSpacing/>
              <w:jc w:val="both"/>
            </w:pPr>
            <w:r w:rsidRPr="0053504D">
              <w:rPr>
                <w:b/>
                <w:bCs/>
              </w:rPr>
              <w:t>31.03.2020.</w:t>
            </w:r>
            <w:r>
              <w:t xml:space="preserve"> precizēts un papildināts likumprojekts </w:t>
            </w:r>
            <w:r w:rsidRPr="00C85A50">
              <w:t>“Grozījumi Enerģētikas likumā”</w:t>
            </w:r>
            <w:r>
              <w:t xml:space="preserve">, anotācija un izziņa par atzinumos sniegtajiem iebildumiem nosūtīta saskaņošanas dalībniekiem 5 darba dienu saskaņošanai. </w:t>
            </w:r>
          </w:p>
          <w:p w14:paraId="23E12C37" w14:textId="7A49C5E7" w:rsidR="00017DAA" w:rsidRDefault="003C2F77" w:rsidP="00D57AE8">
            <w:pPr>
              <w:pStyle w:val="NormalWeb"/>
              <w:contextualSpacing/>
              <w:jc w:val="both"/>
            </w:pPr>
            <w:r>
              <w:rPr>
                <w:b/>
                <w:bCs/>
              </w:rPr>
              <w:t>08</w:t>
            </w:r>
            <w:r w:rsidR="008D5396" w:rsidRPr="008D5396">
              <w:rPr>
                <w:b/>
                <w:bCs/>
              </w:rPr>
              <w:t>.04.2020.</w:t>
            </w:r>
            <w:r w:rsidR="008D5396">
              <w:t xml:space="preserve"> saņemti visi saskaņošanas procesa dalībnieku atzinumi</w:t>
            </w:r>
            <w:r w:rsidR="00017DAA">
              <w:t xml:space="preserve">, tostarp, ar iebildumiem </w:t>
            </w:r>
            <w:r w:rsidR="008D5396">
              <w:t>un atbilstoši papildināta izziņa, kā arī precizēts iepriekšminētais likumprojekts un tā anotācija.</w:t>
            </w:r>
          </w:p>
          <w:p w14:paraId="7B3A1AA9" w14:textId="323D062D" w:rsidR="0081097F" w:rsidRPr="0081097F" w:rsidRDefault="0081097F" w:rsidP="00D57AE8">
            <w:pPr>
              <w:pStyle w:val="NormalWeb"/>
              <w:contextualSpacing/>
              <w:jc w:val="both"/>
            </w:pPr>
            <w:r w:rsidRPr="0081097F">
              <w:rPr>
                <w:b/>
                <w:bCs/>
              </w:rPr>
              <w:t>14.04.2020.</w:t>
            </w:r>
            <w:r>
              <w:rPr>
                <w:b/>
                <w:bCs/>
              </w:rPr>
              <w:t xml:space="preserve"> </w:t>
            </w:r>
            <w:r>
              <w:t>vienošanās par iebildumu labojumiem, lai saskaņotu likumprojektu.</w:t>
            </w:r>
          </w:p>
          <w:p w14:paraId="3B2E9FD2" w14:textId="77777777" w:rsidR="008D5396" w:rsidRDefault="00017DAA" w:rsidP="00D57AE8">
            <w:pPr>
              <w:pStyle w:val="NormalWeb"/>
              <w:contextualSpacing/>
              <w:jc w:val="both"/>
            </w:pPr>
            <w:r w:rsidRPr="00017DAA">
              <w:rPr>
                <w:b/>
                <w:bCs/>
              </w:rPr>
              <w:t>22.04.2020.</w:t>
            </w:r>
            <w:r w:rsidR="008D5396" w:rsidRPr="00017DAA">
              <w:rPr>
                <w:b/>
                <w:bCs/>
              </w:rPr>
              <w:t xml:space="preserve"> </w:t>
            </w:r>
            <w:r w:rsidRPr="00017DAA">
              <w:t>precizēts un papildināts likumprojekts “Grozījumi Enerģētikas likumā”, anotācija un izziņa par atzinumos sniegtajiem iebildumiem nosūtīta saskaņošanas dalībniekiem 5 darba dienu saskaņošanai.</w:t>
            </w:r>
          </w:p>
          <w:p w14:paraId="2029109D" w14:textId="22ECC49D" w:rsidR="006319D3" w:rsidRPr="00017DAA" w:rsidRDefault="006319D3" w:rsidP="00D57AE8">
            <w:pPr>
              <w:pStyle w:val="NormalWeb"/>
              <w:contextualSpacing/>
              <w:jc w:val="both"/>
              <w:rPr>
                <w:b/>
                <w:bCs/>
              </w:rPr>
            </w:pPr>
            <w:r>
              <w:rPr>
                <w:b/>
                <w:bCs/>
              </w:rPr>
              <w:t>30.0</w:t>
            </w:r>
            <w:r w:rsidR="00DD6C02">
              <w:rPr>
                <w:b/>
                <w:bCs/>
              </w:rPr>
              <w:t>4</w:t>
            </w:r>
            <w:r>
              <w:rPr>
                <w:b/>
                <w:bCs/>
              </w:rPr>
              <w:t xml:space="preserve">.2020. </w:t>
            </w:r>
            <w:r w:rsidRPr="006319D3">
              <w:rPr>
                <w:bCs/>
              </w:rPr>
              <w:t>saņemti atzinumi.</w:t>
            </w:r>
            <w:r>
              <w:rPr>
                <w:b/>
                <w:bCs/>
              </w:rPr>
              <w:t xml:space="preserve"> </w:t>
            </w:r>
          </w:p>
        </w:tc>
      </w:tr>
      <w:tr w:rsidR="001D7AE5" w:rsidRPr="00C85A50" w14:paraId="04AC9380" w14:textId="77777777" w:rsidTr="008D5396">
        <w:tc>
          <w:tcPr>
            <w:tcW w:w="6096" w:type="dxa"/>
          </w:tcPr>
          <w:p w14:paraId="7D5E7553" w14:textId="77777777" w:rsidR="00D93CB3" w:rsidRPr="00C85A50" w:rsidRDefault="00D93CB3" w:rsidP="00627E0D">
            <w:pPr>
              <w:pStyle w:val="naisf"/>
              <w:spacing w:before="0" w:after="0"/>
              <w:ind w:firstLine="0"/>
              <w:contextualSpacing/>
            </w:pPr>
          </w:p>
          <w:p w14:paraId="28F09B1B" w14:textId="77777777" w:rsidR="008D5396" w:rsidRDefault="008D5396" w:rsidP="00627E0D">
            <w:pPr>
              <w:pStyle w:val="naisf"/>
              <w:spacing w:before="0" w:after="0"/>
              <w:ind w:firstLine="0"/>
              <w:contextualSpacing/>
            </w:pPr>
          </w:p>
          <w:p w14:paraId="58B0F83C" w14:textId="77777777" w:rsidR="003C27A2" w:rsidRPr="00C85A50" w:rsidRDefault="00D93CB3" w:rsidP="00627E0D">
            <w:pPr>
              <w:pStyle w:val="naisf"/>
              <w:spacing w:before="0" w:after="0"/>
              <w:ind w:firstLine="0"/>
              <w:contextualSpacing/>
            </w:pPr>
            <w:r w:rsidRPr="00C85A50">
              <w:lastRenderedPageBreak/>
              <w:t>Saskaņošanas dalībnieki</w:t>
            </w:r>
          </w:p>
        </w:tc>
        <w:tc>
          <w:tcPr>
            <w:tcW w:w="6486" w:type="dxa"/>
            <w:tcBorders>
              <w:bottom w:val="single" w:sz="4" w:space="0" w:color="auto"/>
            </w:tcBorders>
          </w:tcPr>
          <w:p w14:paraId="4F257AAD" w14:textId="317B25AA" w:rsidR="008D02F4" w:rsidRDefault="008D02F4" w:rsidP="006A5633">
            <w:pPr>
              <w:pStyle w:val="NormalWeb"/>
              <w:spacing w:before="0" w:beforeAutospacing="0" w:after="0" w:afterAutospacing="0"/>
              <w:ind w:firstLine="720"/>
              <w:contextualSpacing/>
              <w:jc w:val="both"/>
            </w:pPr>
          </w:p>
          <w:p w14:paraId="5C60AFD7" w14:textId="0446B715" w:rsidR="008D5396" w:rsidRDefault="008D5396" w:rsidP="006A5633">
            <w:pPr>
              <w:pStyle w:val="NormalWeb"/>
              <w:spacing w:before="0" w:beforeAutospacing="0" w:after="0" w:afterAutospacing="0"/>
              <w:ind w:firstLine="720"/>
              <w:contextualSpacing/>
              <w:jc w:val="both"/>
            </w:pPr>
          </w:p>
          <w:p w14:paraId="1830013F" w14:textId="3A0BE782" w:rsidR="003C27A2" w:rsidRPr="00C85A50" w:rsidRDefault="00911A8D" w:rsidP="00D93CB3">
            <w:pPr>
              <w:pStyle w:val="NormalWeb"/>
              <w:spacing w:before="0" w:beforeAutospacing="0" w:after="0" w:afterAutospacing="0"/>
              <w:contextualSpacing/>
              <w:jc w:val="both"/>
            </w:pPr>
            <w:r w:rsidRPr="00C85A50">
              <w:lastRenderedPageBreak/>
              <w:t>Tieslietu ministrija, Finanšu ministrija, Ārlietu ministrija, Vides aizsardzības un reģionālās attīstības ministrija, Latvijas Pašvaldību savienība, Sabiedrisko pakalpojumu regulēšanas komisija, Latvijas Brīvo arodbiedrību savienība, Latvijas Darba devēju konfederācija</w:t>
            </w:r>
            <w:r w:rsidR="00FE297E">
              <w:t>, AS “</w:t>
            </w:r>
            <w:proofErr w:type="spellStart"/>
            <w:r w:rsidR="00FE297E">
              <w:t>Conexus</w:t>
            </w:r>
            <w:proofErr w:type="spellEnd"/>
            <w:r w:rsidR="00FE297E">
              <w:t xml:space="preserve"> </w:t>
            </w:r>
            <w:proofErr w:type="spellStart"/>
            <w:r w:rsidR="00FE297E">
              <w:t>Baltic</w:t>
            </w:r>
            <w:proofErr w:type="spellEnd"/>
            <w:r w:rsidR="00FE297E">
              <w:t xml:space="preserve"> Grid”, AS “Sadales Tīkls”</w:t>
            </w:r>
            <w:r w:rsidR="00ED3DB8">
              <w:t>.</w:t>
            </w:r>
          </w:p>
        </w:tc>
      </w:tr>
    </w:tbl>
    <w:p w14:paraId="5F7D4E08" w14:textId="288272DA" w:rsidR="008A36C9" w:rsidRPr="00C85A50" w:rsidRDefault="008A36C9" w:rsidP="006A5633">
      <w:pPr>
        <w:contextualSpacing/>
        <w:jc w:val="both"/>
        <w:rPr>
          <w:highlight w:val="yellow"/>
        </w:rPr>
      </w:pPr>
    </w:p>
    <w:tbl>
      <w:tblPr>
        <w:tblW w:w="12582" w:type="dxa"/>
        <w:tblLook w:val="00A0" w:firstRow="1" w:lastRow="0" w:firstColumn="1" w:lastColumn="0" w:noHBand="0" w:noVBand="0"/>
      </w:tblPr>
      <w:tblGrid>
        <w:gridCol w:w="6090"/>
        <w:gridCol w:w="6492"/>
      </w:tblGrid>
      <w:tr w:rsidR="00D93CB3" w:rsidRPr="00C85A50" w14:paraId="6700F813" w14:textId="77777777" w:rsidTr="001F2BEC">
        <w:trPr>
          <w:trHeight w:val="285"/>
        </w:trPr>
        <w:tc>
          <w:tcPr>
            <w:tcW w:w="6090" w:type="dxa"/>
          </w:tcPr>
          <w:p w14:paraId="652776F9" w14:textId="6A3D0B53" w:rsidR="00D93CB3" w:rsidRPr="00C85A50" w:rsidRDefault="00D93CB3" w:rsidP="006A5633">
            <w:pPr>
              <w:pStyle w:val="naiskr"/>
              <w:spacing w:before="0" w:after="0"/>
              <w:contextualSpacing/>
              <w:jc w:val="both"/>
            </w:pPr>
            <w:r w:rsidRPr="00C85A50">
              <w:t>Saskaņošanas dalībnieki izskatīja šādu ministriju (citu institūciju) iebildumus</w:t>
            </w:r>
            <w:r w:rsidR="00BF1013">
              <w:t xml:space="preserve"> un priekšlikumus</w:t>
            </w:r>
          </w:p>
        </w:tc>
        <w:tc>
          <w:tcPr>
            <w:tcW w:w="6492" w:type="dxa"/>
            <w:tcBorders>
              <w:bottom w:val="single" w:sz="4" w:space="0" w:color="auto"/>
            </w:tcBorders>
          </w:tcPr>
          <w:p w14:paraId="0B6CC652" w14:textId="559F1C32" w:rsidR="00D93CB3" w:rsidRPr="00477E17" w:rsidRDefault="00477E17" w:rsidP="006A5633">
            <w:pPr>
              <w:pStyle w:val="naiskr"/>
              <w:spacing w:before="0" w:after="0"/>
              <w:ind w:firstLine="12"/>
              <w:contextualSpacing/>
              <w:jc w:val="both"/>
            </w:pPr>
            <w:r w:rsidRPr="00477E17">
              <w:t>Tieslietu ministrija, Sabiedrisko pakalpojumu regulēšanas komisija, AS “</w:t>
            </w:r>
            <w:proofErr w:type="spellStart"/>
            <w:r w:rsidRPr="00477E17">
              <w:t>Conexus</w:t>
            </w:r>
            <w:proofErr w:type="spellEnd"/>
            <w:r w:rsidRPr="00477E17">
              <w:t xml:space="preserve"> </w:t>
            </w:r>
            <w:proofErr w:type="spellStart"/>
            <w:r w:rsidRPr="00477E17">
              <w:t>Baltic</w:t>
            </w:r>
            <w:proofErr w:type="spellEnd"/>
            <w:r w:rsidRPr="00477E17">
              <w:t xml:space="preserve"> Grid”</w:t>
            </w:r>
            <w:r w:rsidR="00BF1013">
              <w:t>; AS “Sadales tīkls”</w:t>
            </w:r>
          </w:p>
        </w:tc>
      </w:tr>
      <w:tr w:rsidR="001D7AE5" w:rsidRPr="00C85A50" w14:paraId="6E8263F5" w14:textId="77777777">
        <w:trPr>
          <w:trHeight w:val="465"/>
        </w:trPr>
        <w:tc>
          <w:tcPr>
            <w:tcW w:w="12582" w:type="dxa"/>
            <w:gridSpan w:val="2"/>
          </w:tcPr>
          <w:p w14:paraId="6EAC994F" w14:textId="77777777" w:rsidR="007B4C0F" w:rsidRPr="00C85A50" w:rsidRDefault="007B4C0F" w:rsidP="006A5633">
            <w:pPr>
              <w:pStyle w:val="naisc"/>
              <w:spacing w:before="0" w:after="0"/>
              <w:ind w:left="4820" w:firstLine="720"/>
              <w:contextualSpacing/>
              <w:jc w:val="both"/>
            </w:pPr>
          </w:p>
        </w:tc>
      </w:tr>
      <w:tr w:rsidR="001D7AE5" w:rsidRPr="00C85A50" w14:paraId="371AE361" w14:textId="77777777" w:rsidTr="001F2BEC">
        <w:tc>
          <w:tcPr>
            <w:tcW w:w="6090" w:type="dxa"/>
          </w:tcPr>
          <w:p w14:paraId="1B419C60" w14:textId="77777777" w:rsidR="007B4C0F" w:rsidRPr="00C85A50" w:rsidRDefault="007B4C0F" w:rsidP="006A5633">
            <w:pPr>
              <w:pStyle w:val="naiskr"/>
              <w:spacing w:before="0" w:after="0"/>
              <w:contextualSpacing/>
              <w:jc w:val="both"/>
            </w:pPr>
            <w:r w:rsidRPr="00C85A50">
              <w:t>Ministrijas (citas institūcijas), kuras nav ieradušās uz sanāksmi vai kuras nav atbildējušas uz uzaicinājumu piedalīties elektroniskajā saskaņošanā</w:t>
            </w:r>
          </w:p>
        </w:tc>
        <w:tc>
          <w:tcPr>
            <w:tcW w:w="6492" w:type="dxa"/>
            <w:tcBorders>
              <w:bottom w:val="single" w:sz="4" w:space="0" w:color="auto"/>
            </w:tcBorders>
          </w:tcPr>
          <w:p w14:paraId="3F18D7C8" w14:textId="0E75F0ED" w:rsidR="007B4C0F" w:rsidRPr="00C85A50" w:rsidRDefault="00477E17" w:rsidP="00D93CB3">
            <w:pPr>
              <w:pStyle w:val="naiskr"/>
              <w:spacing w:before="0" w:after="0"/>
              <w:contextualSpacing/>
              <w:jc w:val="both"/>
              <w:rPr>
                <w:highlight w:val="yellow"/>
              </w:rPr>
            </w:pPr>
            <w:r w:rsidRPr="00477E17">
              <w:t>Latvijas Darba devēju konfederācija</w:t>
            </w:r>
          </w:p>
        </w:tc>
      </w:tr>
      <w:bookmarkEnd w:id="0"/>
      <w:tr w:rsidR="001F2BEC" w:rsidRPr="00C85A50" w14:paraId="69ADCBB4" w14:textId="77777777" w:rsidTr="00D93CB3">
        <w:trPr>
          <w:gridAfter w:val="1"/>
          <w:wAfter w:w="6492" w:type="dxa"/>
        </w:trPr>
        <w:tc>
          <w:tcPr>
            <w:tcW w:w="6090" w:type="dxa"/>
          </w:tcPr>
          <w:p w14:paraId="1D91E445" w14:textId="2FD502FE" w:rsidR="001F2BEC" w:rsidRPr="00C85A50" w:rsidRDefault="001F2BEC" w:rsidP="006A5633">
            <w:pPr>
              <w:pStyle w:val="naiskr"/>
              <w:spacing w:before="0" w:after="0"/>
              <w:ind w:firstLine="720"/>
              <w:contextualSpacing/>
              <w:jc w:val="both"/>
              <w:rPr>
                <w:highlight w:val="yellow"/>
              </w:rPr>
            </w:pPr>
            <w:r w:rsidRPr="00C85A50">
              <w:rPr>
                <w:highlight w:val="yellow"/>
              </w:rPr>
              <w:t xml:space="preserve"> </w:t>
            </w:r>
          </w:p>
        </w:tc>
      </w:tr>
      <w:tr w:rsidR="001F2BEC" w:rsidRPr="00C85A50" w14:paraId="1F2CE103" w14:textId="77777777" w:rsidTr="00D93CB3">
        <w:trPr>
          <w:gridAfter w:val="1"/>
          <w:wAfter w:w="6492" w:type="dxa"/>
        </w:trPr>
        <w:tc>
          <w:tcPr>
            <w:tcW w:w="6090" w:type="dxa"/>
          </w:tcPr>
          <w:p w14:paraId="4B6CB991" w14:textId="58EDEAC0" w:rsidR="001F2BEC" w:rsidRPr="00C85A50" w:rsidRDefault="001F2BEC" w:rsidP="006A5633">
            <w:pPr>
              <w:pStyle w:val="naiskr"/>
              <w:spacing w:before="0" w:after="0"/>
              <w:ind w:firstLine="720"/>
              <w:contextualSpacing/>
              <w:jc w:val="both"/>
              <w:rPr>
                <w:highlight w:val="yellow"/>
              </w:rPr>
            </w:pPr>
            <w:r w:rsidRPr="00C85A50">
              <w:rPr>
                <w:highlight w:val="yellow"/>
              </w:rPr>
              <w:t xml:space="preserve"> </w:t>
            </w:r>
          </w:p>
        </w:tc>
      </w:tr>
    </w:tbl>
    <w:p w14:paraId="6023099C" w14:textId="77777777" w:rsidR="007B4C0F" w:rsidRPr="00C85A50" w:rsidRDefault="007B4C0F" w:rsidP="00B02864">
      <w:pPr>
        <w:pStyle w:val="naisf"/>
        <w:spacing w:before="0" w:after="0"/>
        <w:ind w:firstLine="0"/>
        <w:contextualSpacing/>
        <w:jc w:val="center"/>
        <w:rPr>
          <w:b/>
        </w:rPr>
      </w:pPr>
      <w:r w:rsidRPr="00C85A50">
        <w:rPr>
          <w:b/>
        </w:rPr>
        <w:t>II. </w:t>
      </w:r>
      <w:r w:rsidR="00134188" w:rsidRPr="00C85A50">
        <w:rPr>
          <w:b/>
        </w:rPr>
        <w:t>Jautājumi, par kuriem saskaņošanā vienošan</w:t>
      </w:r>
      <w:r w:rsidR="00144622" w:rsidRPr="00C85A50">
        <w:rPr>
          <w:b/>
        </w:rPr>
        <w:t>ā</w:t>
      </w:r>
      <w:r w:rsidR="00134188" w:rsidRPr="00C85A50">
        <w:rPr>
          <w:b/>
        </w:rPr>
        <w:t>s ir panākta</w:t>
      </w:r>
    </w:p>
    <w:p w14:paraId="3B3496F7" w14:textId="77777777" w:rsidR="007B4C0F" w:rsidRPr="00C85A50" w:rsidRDefault="007B4C0F" w:rsidP="00627E0D">
      <w:pPr>
        <w:pStyle w:val="naisf"/>
        <w:spacing w:before="0" w:after="0"/>
        <w:ind w:firstLine="720"/>
        <w:contextualSpacing/>
        <w:rPr>
          <w:highlight w:val="yellow"/>
        </w:rPr>
      </w:pPr>
    </w:p>
    <w:tbl>
      <w:tblPr>
        <w:tblW w:w="14283"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A0" w:firstRow="1" w:lastRow="0" w:firstColumn="1" w:lastColumn="0" w:noHBand="0" w:noVBand="0"/>
      </w:tblPr>
      <w:tblGrid>
        <w:gridCol w:w="675"/>
        <w:gridCol w:w="2433"/>
        <w:gridCol w:w="686"/>
        <w:gridCol w:w="4562"/>
        <w:gridCol w:w="931"/>
        <w:gridCol w:w="2303"/>
        <w:gridCol w:w="26"/>
        <w:gridCol w:w="2667"/>
      </w:tblGrid>
      <w:tr w:rsidR="001D7AE5" w:rsidRPr="006319D3" w14:paraId="41947CCA" w14:textId="77777777" w:rsidTr="003D186C">
        <w:tc>
          <w:tcPr>
            <w:tcW w:w="675" w:type="dxa"/>
            <w:tcBorders>
              <w:top w:val="single" w:sz="6" w:space="0" w:color="000000"/>
              <w:left w:val="single" w:sz="6" w:space="0" w:color="000000"/>
              <w:bottom w:val="single" w:sz="6" w:space="0" w:color="000000"/>
              <w:right w:val="single" w:sz="6" w:space="0" w:color="000000"/>
            </w:tcBorders>
            <w:vAlign w:val="center"/>
          </w:tcPr>
          <w:p w14:paraId="6B904DC8" w14:textId="77777777" w:rsidR="00134188" w:rsidRPr="006319D3" w:rsidRDefault="00134188" w:rsidP="006319D3">
            <w:pPr>
              <w:pStyle w:val="naisc"/>
              <w:spacing w:before="60" w:after="60"/>
              <w:jc w:val="both"/>
            </w:pPr>
            <w:r w:rsidRPr="006319D3">
              <w:t>Nr. p.</w:t>
            </w:r>
            <w:r w:rsidR="00D64FB0" w:rsidRPr="006319D3">
              <w:t> </w:t>
            </w:r>
            <w:r w:rsidRPr="006319D3">
              <w:t>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A04D982" w14:textId="77777777" w:rsidR="00134188" w:rsidRPr="006319D3" w:rsidRDefault="00134188" w:rsidP="006319D3">
            <w:pPr>
              <w:pStyle w:val="naisc"/>
              <w:spacing w:before="60" w:after="60"/>
              <w:ind w:firstLine="33"/>
              <w:jc w:val="both"/>
            </w:pPr>
            <w:r w:rsidRPr="006319D3">
              <w:t>Saskaņošanai nosūtītā projekta redakcija (konkrēta punkta (panta) redakcija)</w:t>
            </w:r>
          </w:p>
        </w:tc>
        <w:tc>
          <w:tcPr>
            <w:tcW w:w="4562" w:type="dxa"/>
            <w:tcBorders>
              <w:top w:val="single" w:sz="6" w:space="0" w:color="000000"/>
              <w:left w:val="single" w:sz="6" w:space="0" w:color="000000"/>
              <w:bottom w:val="single" w:sz="6" w:space="0" w:color="000000"/>
              <w:right w:val="single" w:sz="6" w:space="0" w:color="000000"/>
            </w:tcBorders>
            <w:vAlign w:val="center"/>
          </w:tcPr>
          <w:p w14:paraId="471920C6" w14:textId="77777777" w:rsidR="00134188" w:rsidRPr="006319D3" w:rsidRDefault="00134188" w:rsidP="006319D3">
            <w:pPr>
              <w:pStyle w:val="naisc"/>
              <w:spacing w:before="60" w:after="60"/>
              <w:ind w:right="3"/>
              <w:jc w:val="both"/>
            </w:pPr>
            <w:r w:rsidRPr="006319D3">
              <w:t>Atzinumā norādītais ministrijas (citas institūcijas) iebildums, kā arī saskaņošanā papildus izteiktais iebildums par projekta konkrēto punktu (pantu)</w:t>
            </w:r>
          </w:p>
        </w:tc>
        <w:tc>
          <w:tcPr>
            <w:tcW w:w="3260" w:type="dxa"/>
            <w:gridSpan w:val="3"/>
            <w:tcBorders>
              <w:top w:val="single" w:sz="6" w:space="0" w:color="000000"/>
              <w:left w:val="single" w:sz="6" w:space="0" w:color="000000"/>
              <w:bottom w:val="single" w:sz="6" w:space="0" w:color="000000"/>
              <w:right w:val="single" w:sz="6" w:space="0" w:color="000000"/>
            </w:tcBorders>
            <w:vAlign w:val="center"/>
          </w:tcPr>
          <w:p w14:paraId="2A0B2FE3" w14:textId="77777777" w:rsidR="00134188" w:rsidRPr="006319D3" w:rsidRDefault="00134188" w:rsidP="006319D3">
            <w:pPr>
              <w:pStyle w:val="naisc"/>
              <w:spacing w:before="60" w:after="60"/>
              <w:ind w:firstLine="5"/>
              <w:jc w:val="both"/>
            </w:pPr>
            <w:r w:rsidRPr="006319D3">
              <w:t>Atbildīgās ministrijas norāde</w:t>
            </w:r>
            <w:r w:rsidR="006C1C48" w:rsidRPr="006319D3">
              <w:t xml:space="preserve"> par to, ka </w:t>
            </w:r>
            <w:r w:rsidRPr="006319D3">
              <w:t>iebildums ir ņemts vērā</w:t>
            </w:r>
            <w:r w:rsidR="006455E7" w:rsidRPr="006319D3">
              <w:t>,</w:t>
            </w:r>
            <w:r w:rsidRPr="006319D3">
              <w:t xml:space="preserve"> vai </w:t>
            </w:r>
            <w:r w:rsidR="006C1C48" w:rsidRPr="006319D3">
              <w:t xml:space="preserve">informācija par saskaņošanā </w:t>
            </w:r>
            <w:r w:rsidR="00022B0F" w:rsidRPr="006319D3">
              <w:t>panākto alternatīvo risinājumu</w:t>
            </w:r>
          </w:p>
        </w:tc>
        <w:tc>
          <w:tcPr>
            <w:tcW w:w="2667" w:type="dxa"/>
            <w:tcBorders>
              <w:top w:val="single" w:sz="4" w:space="0" w:color="auto"/>
              <w:left w:val="single" w:sz="4" w:space="0" w:color="auto"/>
              <w:bottom w:val="single" w:sz="4" w:space="0" w:color="auto"/>
            </w:tcBorders>
            <w:vAlign w:val="center"/>
          </w:tcPr>
          <w:p w14:paraId="0A38D6C8" w14:textId="77777777" w:rsidR="00134188" w:rsidRPr="006319D3" w:rsidRDefault="00134188" w:rsidP="006319D3">
            <w:pPr>
              <w:spacing w:before="60" w:after="60"/>
              <w:ind w:firstLine="5"/>
              <w:jc w:val="both"/>
            </w:pPr>
            <w:r w:rsidRPr="006319D3">
              <w:t>Projekta attiecīgā punkta (panta) galīgā redakcija</w:t>
            </w:r>
          </w:p>
        </w:tc>
      </w:tr>
      <w:tr w:rsidR="001D7AE5" w:rsidRPr="006319D3" w14:paraId="24B658A5" w14:textId="77777777" w:rsidTr="004758DB">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842BD1" w14:textId="77777777" w:rsidR="00134188" w:rsidRPr="006319D3" w:rsidRDefault="003B71E0" w:rsidP="006319D3">
            <w:pPr>
              <w:pStyle w:val="naisc"/>
              <w:spacing w:before="60" w:after="60"/>
              <w:jc w:val="both"/>
            </w:pPr>
            <w:r w:rsidRPr="006319D3">
              <w:t>1</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191FA59" w14:textId="77777777" w:rsidR="00134188" w:rsidRPr="006319D3" w:rsidRDefault="00F34AAB" w:rsidP="006319D3">
            <w:pPr>
              <w:pStyle w:val="naisc"/>
              <w:spacing w:before="60" w:after="60"/>
              <w:ind w:firstLine="33"/>
              <w:jc w:val="both"/>
            </w:pPr>
            <w:r w:rsidRPr="006319D3">
              <w:t>2</w:t>
            </w: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3DE0E7" w14:textId="77777777" w:rsidR="00134188" w:rsidRPr="006319D3" w:rsidRDefault="003B71E0" w:rsidP="006319D3">
            <w:pPr>
              <w:pStyle w:val="naisc"/>
              <w:spacing w:before="60" w:after="60"/>
              <w:ind w:firstLine="720"/>
              <w:jc w:val="both"/>
            </w:pPr>
            <w:r w:rsidRPr="006319D3">
              <w:t>3</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14:paraId="58E9DD14" w14:textId="77777777" w:rsidR="00134188" w:rsidRPr="006319D3" w:rsidRDefault="003B71E0" w:rsidP="006319D3">
            <w:pPr>
              <w:pStyle w:val="naisc"/>
              <w:spacing w:before="60" w:after="60"/>
              <w:ind w:firstLine="5"/>
              <w:jc w:val="both"/>
            </w:pPr>
            <w:r w:rsidRPr="006319D3">
              <w:t>4</w:t>
            </w:r>
          </w:p>
        </w:tc>
        <w:tc>
          <w:tcPr>
            <w:tcW w:w="2667" w:type="dxa"/>
            <w:tcBorders>
              <w:top w:val="single" w:sz="4" w:space="0" w:color="auto"/>
              <w:left w:val="single" w:sz="4" w:space="0" w:color="auto"/>
              <w:bottom w:val="single" w:sz="4" w:space="0" w:color="auto"/>
            </w:tcBorders>
            <w:shd w:val="clear" w:color="auto" w:fill="FFFFFF" w:themeFill="background1"/>
          </w:tcPr>
          <w:p w14:paraId="1ED3216F" w14:textId="77777777" w:rsidR="00134188" w:rsidRPr="006319D3" w:rsidRDefault="003B71E0" w:rsidP="006319D3">
            <w:pPr>
              <w:spacing w:before="60" w:after="60"/>
              <w:ind w:firstLine="5"/>
              <w:jc w:val="both"/>
            </w:pPr>
            <w:r w:rsidRPr="006319D3">
              <w:t>5</w:t>
            </w:r>
          </w:p>
        </w:tc>
      </w:tr>
      <w:tr w:rsidR="00D05C58" w:rsidRPr="006319D3" w14:paraId="50821682" w14:textId="77777777" w:rsidTr="004758DB">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20598B" w14:textId="79512607" w:rsidR="00D05C58" w:rsidRPr="006319D3" w:rsidRDefault="006A5633" w:rsidP="006319D3">
            <w:pPr>
              <w:pStyle w:val="naisc"/>
              <w:spacing w:before="60" w:after="60"/>
              <w:jc w:val="both"/>
              <w:rPr>
                <w:highlight w:val="yellow"/>
              </w:rPr>
            </w:pPr>
            <w:r w:rsidRPr="006319D3">
              <w:t>1.</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0A50E25" w14:textId="14DD1C6A" w:rsidR="00D05C58" w:rsidRPr="006319D3" w:rsidRDefault="00A62E1C" w:rsidP="006319D3">
            <w:pPr>
              <w:pStyle w:val="naisc"/>
              <w:spacing w:before="60" w:after="60"/>
              <w:ind w:firstLine="33"/>
              <w:jc w:val="both"/>
            </w:pPr>
            <w:r w:rsidRPr="006319D3">
              <w:t xml:space="preserve">1.pants </w:t>
            </w:r>
          </w:p>
          <w:p w14:paraId="0197C955" w14:textId="77777777" w:rsidR="00706E4F" w:rsidRPr="006319D3" w:rsidRDefault="00706E4F" w:rsidP="006319D3">
            <w:pPr>
              <w:pStyle w:val="naisc"/>
              <w:spacing w:before="60" w:after="60"/>
              <w:ind w:firstLine="33"/>
              <w:jc w:val="both"/>
            </w:pPr>
          </w:p>
          <w:p w14:paraId="471C6267" w14:textId="58979DF9" w:rsidR="00A62E1C" w:rsidRPr="006319D3" w:rsidRDefault="00A62E1C" w:rsidP="006319D3">
            <w:pPr>
              <w:tabs>
                <w:tab w:val="left" w:pos="4678"/>
              </w:tabs>
              <w:spacing w:before="60" w:after="60"/>
              <w:jc w:val="both"/>
            </w:pPr>
            <w:r w:rsidRPr="006319D3">
              <w:t xml:space="preserve">46) </w:t>
            </w:r>
            <w:proofErr w:type="spellStart"/>
            <w:r w:rsidRPr="006319D3">
              <w:rPr>
                <w:b/>
              </w:rPr>
              <w:t>starpsavienojums</w:t>
            </w:r>
            <w:proofErr w:type="spellEnd"/>
            <w:r w:rsidRPr="006319D3">
              <w:rPr>
                <w:b/>
              </w:rPr>
              <w:t xml:space="preserve"> –</w:t>
            </w:r>
            <w:r w:rsidRPr="006319D3">
              <w:t xml:space="preserve"> pārvades līnija, kas šķērso dalībvalstu robežu, lai savienotu šo Eiropas Savienības dalībvalstu pārvades sistēmas, vai </w:t>
            </w:r>
            <w:r w:rsidRPr="006319D3">
              <w:lastRenderedPageBreak/>
              <w:t>pārvades līnija starp dalībvalsti un trešo valsti līdz Eiropas Savienības dalībvalstu teritorijai vai attiecīgās dalībvalsts teritoriālajai jūrai;</w:t>
            </w:r>
          </w:p>
          <w:p w14:paraId="2E17E212" w14:textId="30D6847A" w:rsidR="00A62E1C" w:rsidRPr="006319D3" w:rsidRDefault="00A62E1C" w:rsidP="006319D3">
            <w:pPr>
              <w:pStyle w:val="naisc"/>
              <w:spacing w:before="60" w:after="60"/>
              <w:ind w:firstLine="33"/>
              <w:jc w:val="both"/>
              <w:rPr>
                <w:highlight w:val="yellow"/>
              </w:rPr>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797AA6" w14:textId="3713658C" w:rsidR="00866DBD" w:rsidRPr="006319D3" w:rsidRDefault="00A62E1C" w:rsidP="006319D3">
            <w:pPr>
              <w:pStyle w:val="naisc"/>
              <w:spacing w:before="60" w:after="60"/>
              <w:jc w:val="both"/>
              <w:rPr>
                <w:b/>
                <w:bCs/>
              </w:rPr>
            </w:pPr>
            <w:r w:rsidRPr="006319D3">
              <w:rPr>
                <w:b/>
                <w:bCs/>
              </w:rPr>
              <w:lastRenderedPageBreak/>
              <w:t>Sabiedrisko pakalpojumu regulēšanas komisija (06.03.2020. atzinums)</w:t>
            </w:r>
          </w:p>
          <w:p w14:paraId="7E2B7104" w14:textId="77777777" w:rsidR="00706E4F" w:rsidRPr="006319D3" w:rsidRDefault="00706E4F" w:rsidP="006319D3">
            <w:pPr>
              <w:pStyle w:val="naisc"/>
              <w:spacing w:before="60" w:after="60"/>
              <w:jc w:val="both"/>
              <w:rPr>
                <w:b/>
                <w:bCs/>
              </w:rPr>
            </w:pPr>
          </w:p>
          <w:p w14:paraId="5107A8C7" w14:textId="1DE5ED13" w:rsidR="00A409A2" w:rsidRPr="006319D3" w:rsidRDefault="00A409A2" w:rsidP="006319D3">
            <w:pPr>
              <w:pStyle w:val="naisc"/>
              <w:spacing w:before="60" w:after="60"/>
              <w:jc w:val="both"/>
            </w:pPr>
            <w:r w:rsidRPr="006319D3">
              <w:t xml:space="preserve">Sabiedrisko pakalpojumu regulēšanas komisijas (turpmāk – Regulators) 2020.gada 20.februāra Valsts sekretāru sanāksmē izsludinātā likumprojekta “Grozījumi </w:t>
            </w:r>
            <w:r w:rsidRPr="006319D3">
              <w:lastRenderedPageBreak/>
              <w:t>Enerģētikas likumā” (VSS-154) (turpmāk – Likumprojekts) atzinumā pausti iebildumi.</w:t>
            </w:r>
          </w:p>
          <w:p w14:paraId="296E182B" w14:textId="0604A3FA" w:rsidR="00A62E1C" w:rsidRPr="006319D3" w:rsidRDefault="00A62E1C" w:rsidP="006319D3">
            <w:pPr>
              <w:pStyle w:val="naisc"/>
              <w:spacing w:before="60" w:after="60"/>
              <w:jc w:val="both"/>
              <w:rPr>
                <w:highlight w:val="yellow"/>
              </w:rPr>
            </w:pPr>
            <w:r w:rsidRPr="006319D3">
              <w:t>Enerģētikas likums attiecas uz Latvijas Republikas teritoriju un ar Likumprojektu paredzēts regulēt tieši Latvijas, nevis jebkuras Eiropas Savienības dalībvalsts, attiecības ar citām Eiropas Savienības dalībvalstīm un trešajām valstīm. Turklāt pēc Likumprojektā paredzētajiem grozījumiem Enerģētikas likuma 1.panta 46.punktā termins “</w:t>
            </w:r>
            <w:proofErr w:type="spellStart"/>
            <w:r w:rsidRPr="006319D3">
              <w:t>starpsavienojums</w:t>
            </w:r>
            <w:proofErr w:type="spellEnd"/>
            <w:r w:rsidRPr="006319D3">
              <w:t>” attieksies tikai uz dabasgāzes apgādi. Ņemot vērā minēto, Likumprojekta 1.pantā paredzēto terminu “</w:t>
            </w:r>
            <w:proofErr w:type="spellStart"/>
            <w:r w:rsidRPr="006319D3">
              <w:t>starpsavienojums</w:t>
            </w:r>
            <w:proofErr w:type="spellEnd"/>
            <w:r w:rsidRPr="006319D3">
              <w:t>” nepieciešams izteikt Regulatora ierosinātajā redakcijā.</w:t>
            </w:r>
          </w:p>
          <w:p w14:paraId="65488556" w14:textId="0562EDE0" w:rsidR="00A62E1C" w:rsidRPr="006319D3" w:rsidRDefault="00A62E1C" w:rsidP="006319D3">
            <w:pPr>
              <w:pStyle w:val="naisc"/>
              <w:spacing w:before="60" w:after="60"/>
              <w:jc w:val="both"/>
              <w:rPr>
                <w:highlight w:val="yellow"/>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14:paraId="2A3018F3" w14:textId="3C2CBAF4" w:rsidR="00D05C58" w:rsidRPr="006319D3" w:rsidRDefault="00A62E1C" w:rsidP="006319D3">
            <w:pPr>
              <w:pStyle w:val="naisc"/>
              <w:spacing w:before="60" w:after="60"/>
              <w:ind w:firstLine="5"/>
              <w:jc w:val="both"/>
              <w:rPr>
                <w:b/>
                <w:highlight w:val="yellow"/>
              </w:rPr>
            </w:pPr>
            <w:r w:rsidRPr="006319D3">
              <w:rPr>
                <w:b/>
              </w:rPr>
              <w:lastRenderedPageBreak/>
              <w:t>Ņemts vērā</w:t>
            </w:r>
          </w:p>
        </w:tc>
        <w:tc>
          <w:tcPr>
            <w:tcW w:w="2667" w:type="dxa"/>
            <w:tcBorders>
              <w:top w:val="single" w:sz="4" w:space="0" w:color="auto"/>
              <w:left w:val="single" w:sz="4" w:space="0" w:color="auto"/>
              <w:bottom w:val="single" w:sz="4" w:space="0" w:color="auto"/>
            </w:tcBorders>
            <w:shd w:val="clear" w:color="auto" w:fill="FFFFFF" w:themeFill="background1"/>
          </w:tcPr>
          <w:p w14:paraId="65104FE1" w14:textId="79779211" w:rsidR="00706E4F" w:rsidRPr="006319D3" w:rsidRDefault="00706E4F" w:rsidP="006319D3">
            <w:pPr>
              <w:spacing w:before="60" w:after="60"/>
              <w:ind w:firstLine="5"/>
              <w:jc w:val="both"/>
            </w:pPr>
            <w:r w:rsidRPr="006319D3">
              <w:t>1.pants</w:t>
            </w:r>
          </w:p>
          <w:p w14:paraId="3E01A1E8" w14:textId="77777777" w:rsidR="00706E4F" w:rsidRPr="006319D3" w:rsidRDefault="00706E4F" w:rsidP="006319D3">
            <w:pPr>
              <w:spacing w:before="60" w:after="60"/>
              <w:ind w:firstLine="5"/>
              <w:jc w:val="both"/>
            </w:pPr>
          </w:p>
          <w:p w14:paraId="1239DA8D" w14:textId="3DD56146" w:rsidR="00D05C58" w:rsidRPr="006319D3" w:rsidRDefault="00A62E1C" w:rsidP="006319D3">
            <w:pPr>
              <w:spacing w:before="60" w:after="60"/>
              <w:ind w:firstLine="5"/>
              <w:jc w:val="both"/>
              <w:rPr>
                <w:highlight w:val="yellow"/>
              </w:rPr>
            </w:pPr>
            <w:r w:rsidRPr="006319D3">
              <w:t xml:space="preserve">46) </w:t>
            </w:r>
            <w:proofErr w:type="spellStart"/>
            <w:r w:rsidRPr="006319D3">
              <w:t>starpsavienojums</w:t>
            </w:r>
            <w:proofErr w:type="spellEnd"/>
            <w:r w:rsidRPr="006319D3">
              <w:t xml:space="preserve"> – </w:t>
            </w:r>
            <w:r w:rsidRPr="006319D3">
              <w:rPr>
                <w:u w:val="single"/>
              </w:rPr>
              <w:t>dabasgāzes</w:t>
            </w:r>
            <w:r w:rsidRPr="006319D3">
              <w:t xml:space="preserve"> pārvades līnija, kas šķērso </w:t>
            </w:r>
            <w:r w:rsidRPr="006319D3">
              <w:rPr>
                <w:u w:val="single"/>
              </w:rPr>
              <w:t>Latvijas Republikas</w:t>
            </w:r>
            <w:r w:rsidRPr="006319D3">
              <w:t xml:space="preserve"> robežu, lai savienotu </w:t>
            </w:r>
            <w:r w:rsidRPr="006319D3">
              <w:rPr>
                <w:u w:val="single"/>
              </w:rPr>
              <w:t>Latvijas dabasgāzes</w:t>
            </w:r>
            <w:r w:rsidRPr="006319D3">
              <w:t xml:space="preserve"> pārvades </w:t>
            </w:r>
            <w:r w:rsidRPr="006319D3">
              <w:lastRenderedPageBreak/>
              <w:t xml:space="preserve">sistēmu ar citas Eiropas Savienības dalībvalsts dabasgāzes pārvades sistēmu, vai dabasgāzes pārvades līnija starp </w:t>
            </w:r>
            <w:r w:rsidRPr="006319D3">
              <w:rPr>
                <w:u w:val="single"/>
              </w:rPr>
              <w:t>Latvijas Republiku</w:t>
            </w:r>
            <w:r w:rsidRPr="006319D3">
              <w:t xml:space="preserve"> un trešo valsti līdz </w:t>
            </w:r>
            <w:r w:rsidRPr="006319D3">
              <w:rPr>
                <w:u w:val="single"/>
              </w:rPr>
              <w:t>Latvijas Republikas</w:t>
            </w:r>
            <w:r w:rsidRPr="006319D3">
              <w:t xml:space="preserve"> teritorijai vai </w:t>
            </w:r>
            <w:r w:rsidRPr="006319D3">
              <w:rPr>
                <w:u w:val="single"/>
              </w:rPr>
              <w:t>tās</w:t>
            </w:r>
            <w:r w:rsidRPr="006319D3">
              <w:t xml:space="preserve"> teritoriālajai jūrai;</w:t>
            </w:r>
          </w:p>
        </w:tc>
      </w:tr>
      <w:tr w:rsidR="00A760CE" w:rsidRPr="006319D3" w14:paraId="2C30DBFA" w14:textId="77777777" w:rsidTr="006319D3">
        <w:trPr>
          <w:trHeight w:val="1403"/>
        </w:trPr>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53D518" w14:textId="54932C91" w:rsidR="00A760CE" w:rsidRPr="006319D3" w:rsidRDefault="002B73EE" w:rsidP="006319D3">
            <w:pPr>
              <w:pStyle w:val="naisc"/>
              <w:spacing w:before="60" w:after="60"/>
              <w:jc w:val="both"/>
            </w:pPr>
            <w:r w:rsidRPr="006319D3">
              <w:lastRenderedPageBreak/>
              <w:t>2.</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2BBA8C" w14:textId="3473A4C8" w:rsidR="00A760CE" w:rsidRPr="006319D3" w:rsidRDefault="00A760CE" w:rsidP="006319D3">
            <w:pPr>
              <w:pStyle w:val="naisc"/>
              <w:spacing w:before="60" w:after="60"/>
              <w:ind w:firstLine="33"/>
              <w:jc w:val="both"/>
            </w:pPr>
            <w:r w:rsidRPr="006319D3">
              <w:t>1.pants</w:t>
            </w:r>
          </w:p>
          <w:p w14:paraId="538568AB" w14:textId="77777777" w:rsidR="00A760CE" w:rsidRPr="006319D3" w:rsidRDefault="00A760CE" w:rsidP="006319D3">
            <w:pPr>
              <w:pStyle w:val="naisc"/>
              <w:spacing w:before="60" w:after="60"/>
              <w:ind w:firstLine="33"/>
              <w:jc w:val="both"/>
            </w:pPr>
          </w:p>
          <w:p w14:paraId="0F22C6AC" w14:textId="01FF2679" w:rsidR="00A760CE" w:rsidRPr="006319D3" w:rsidRDefault="00A760CE" w:rsidP="006319D3">
            <w:pPr>
              <w:pStyle w:val="naisc"/>
              <w:spacing w:before="60" w:after="60"/>
              <w:ind w:firstLine="33"/>
              <w:jc w:val="both"/>
            </w:pPr>
            <w:r w:rsidRPr="006319D3">
              <w:t>10</w:t>
            </w:r>
            <w:r w:rsidRPr="006319D3">
              <w:rPr>
                <w:vertAlign w:val="superscript"/>
              </w:rPr>
              <w:t>1</w:t>
            </w:r>
            <w:r w:rsidRPr="006319D3">
              <w:t>) </w:t>
            </w:r>
            <w:r w:rsidRPr="006319D3">
              <w:rPr>
                <w:b/>
                <w:bCs/>
              </w:rPr>
              <w:t xml:space="preserve">enerģētiskā nabadzība </w:t>
            </w:r>
            <w:r w:rsidRPr="006319D3">
              <w:t>– grūtības vai nespēja mājoklī uzturēt atbilstošu temperatūru vai izmantot būtiskus energoapgādes pakalpojumus, vai norēķināties par tiem zemu ienākumu vai augstu energoapgādes pakalpojumu izmaksu, vai zemas energoefektivitātes dēļ;</w:t>
            </w:r>
          </w:p>
        </w:tc>
        <w:tc>
          <w:tcPr>
            <w:tcW w:w="4562" w:type="dxa"/>
            <w:vMerge w:val="restart"/>
            <w:tcBorders>
              <w:top w:val="single" w:sz="6" w:space="0" w:color="000000"/>
              <w:left w:val="single" w:sz="6" w:space="0" w:color="000000"/>
              <w:right w:val="single" w:sz="6" w:space="0" w:color="000000"/>
            </w:tcBorders>
            <w:shd w:val="clear" w:color="auto" w:fill="FFFFFF" w:themeFill="background1"/>
          </w:tcPr>
          <w:p w14:paraId="2B6E399B" w14:textId="77777777" w:rsidR="00A760CE" w:rsidRPr="006319D3" w:rsidRDefault="00A760CE" w:rsidP="006319D3">
            <w:pPr>
              <w:pStyle w:val="naisc"/>
              <w:spacing w:before="60" w:after="60"/>
              <w:jc w:val="both"/>
              <w:rPr>
                <w:b/>
                <w:bCs/>
              </w:rPr>
            </w:pPr>
            <w:r w:rsidRPr="006319D3">
              <w:rPr>
                <w:b/>
                <w:bCs/>
              </w:rPr>
              <w:t>Sabiedrisko pakalpojumu regulēšanas komisija (08.04.2020. atzinums)</w:t>
            </w:r>
          </w:p>
          <w:p w14:paraId="4F58CFEC" w14:textId="77777777" w:rsidR="00A760CE" w:rsidRPr="006319D3" w:rsidRDefault="00A760CE" w:rsidP="006319D3">
            <w:pPr>
              <w:pStyle w:val="naisc"/>
              <w:spacing w:before="60" w:after="60"/>
              <w:jc w:val="both"/>
              <w:rPr>
                <w:b/>
                <w:bCs/>
              </w:rPr>
            </w:pPr>
          </w:p>
          <w:p w14:paraId="1C2C1A33" w14:textId="7A33A4E0" w:rsidR="00A760CE" w:rsidRPr="006319D3" w:rsidRDefault="00A760CE" w:rsidP="006319D3">
            <w:pPr>
              <w:pStyle w:val="naisc"/>
              <w:spacing w:before="60" w:after="60"/>
              <w:jc w:val="both"/>
              <w:rPr>
                <w:bCs/>
              </w:rPr>
            </w:pPr>
            <w:r w:rsidRPr="006319D3">
              <w:rPr>
                <w:bCs/>
              </w:rPr>
              <w:t xml:space="preserve">1Likumprojekta anotācijā minēts, ka Likumprojekta prasības attiecībā uz enerģētisko nabadzību ir iekļautas ar mērķi noteikt enerģētikas nabadzības skartās mājsaimniecības un to prioritāti, valstij vai pašvaldībai īstenojot energoefektivitātes atbalsta programmas, atbilstoši Eiropas Parlamenta un Padomes 2019.gada 5.jūnija Direktīvas (ES) 2019/944 par kopīgiem noteikumiem attiecībā uz elektroenerģijas iekšējo tirgu un ar ko groza Direktīvu 2012/27/ES (turpmāk arī – Direktīva </w:t>
            </w:r>
            <w:r w:rsidRPr="006319D3">
              <w:rPr>
                <w:bCs/>
              </w:rPr>
              <w:lastRenderedPageBreak/>
              <w:t>2019/944), 28.un 29.pantam un Eiropas Parlamenta un Padomes 2018.gada 11.decembra Direktīvas (ES) 2018/2002, ar ko groza Direktīvu 2012/27/ES par energoefektivitāti (turpmāk arī – Direktīva 2018/2002), 7.panta 11.punktam.</w:t>
            </w:r>
          </w:p>
          <w:p w14:paraId="62F5D2FE" w14:textId="77777777" w:rsidR="00A760CE" w:rsidRPr="006319D3" w:rsidRDefault="00A760CE" w:rsidP="006319D3">
            <w:pPr>
              <w:pStyle w:val="naisc"/>
              <w:spacing w:before="60" w:after="60"/>
              <w:jc w:val="both"/>
              <w:rPr>
                <w:bCs/>
              </w:rPr>
            </w:pPr>
            <w:r w:rsidRPr="006319D3">
              <w:rPr>
                <w:bCs/>
              </w:rPr>
              <w:t xml:space="preserve">Direktīvas 2019/944 28.pants noteic dalībvalsts pienākumu veikt atbilstīgus pasākumus, piemēram, paredzot sociālā nodrošinājuma pabalstus, lai aizsargātu lietotājus, jo īpaši nodrošinātu pietiekamu aizsardzību neaizsargātiem lietotājiem, vai paredzot atbalstu energoefektivitātes uzlabošanai. Regulators norāda, ka Direktīvas 2019/944 regulējums attiecas uz elektroenerģijas iekšējo tirgu, kura darbību Latvijā regulē Elektroenerģijas tirgus likums. Šajā likumā jau ir definēts aizsargātā lietotāja termins, kā arī noteikts aizsargātā lietotāja tirdzniecības pakalpojuma regulējums. Ievērojot minēto, no Likumprojekta ir izslēdzams 1.pants, 10.pantā paredzētais Enerģētikas likuma 120.pants, kas regulē enerģētiskās nabadzības jautājumus, kā arī Likumprojekta 11.pantā ietvertā atsauce uz Direktīvu 2019/944, precizējot anotāciju. Attiecīgi ir izvērtējama nepieciešamība veikt grozījumus Elektroenerģijas tirgus likumā. </w:t>
            </w:r>
          </w:p>
          <w:p w14:paraId="0BAC4A85" w14:textId="77777777" w:rsidR="00A760CE" w:rsidRPr="006319D3" w:rsidRDefault="00A760CE" w:rsidP="006319D3">
            <w:pPr>
              <w:pStyle w:val="naisc"/>
              <w:spacing w:before="60" w:after="60"/>
              <w:jc w:val="both"/>
              <w:rPr>
                <w:bCs/>
              </w:rPr>
            </w:pPr>
            <w:r w:rsidRPr="006319D3">
              <w:rPr>
                <w:bCs/>
              </w:rPr>
              <w:t xml:space="preserve">Direktīvas 2019/944 28.pants noteic, ka, novēršot enerģētisko nabadzību, dalībvalsts var paredzēt atbalstu energoefektivitātes uzlabošanai neaizsargātajiem lietotājiem. Direktīvas 2018/2002 7.panta 11.punkts </w:t>
            </w:r>
            <w:r w:rsidRPr="006319D3">
              <w:rPr>
                <w:bCs/>
              </w:rPr>
              <w:lastRenderedPageBreak/>
              <w:t>noteic, ka, izstrādājot politikas pasākumus, kas paredzēti, lai izpildītu savus pienākumus panākt enerģijas ietaupījumus, dalībvalstis ņem vērā nepieciešamību mazināt enerģētisko nabadzību saskaņā ar to noteiktajiem kritērijiem, ņemot vērā savu pieejamo praksi šajā jomā, atbilstīgā apmērā nosakot, ka daļu no energoefektivitātes pasākumiem saskaņā ar viņu valsts energoefektivitātes pienākuma shēmām. Regulators norāda, ka Eiropas Parlamenta un Padomes 2012. gada 25. oktobra Direktīvas 2012/27/ES par energoefektivitāti, ar ko groza Direktīvas 2009/125/EK un 2010/30/ES un atceļ Direktīvas 2004/8/EK un 2006/32/EK prasības ir pārņemtas ar Energoefektivitātes likumu, kurā ir noteiktas prasības attiecībā uz energoefektivitātes pasākumu shēmu. Ievērojot minēto, Likumprojekta 10.pantā paredzētais Enerģētikas likuma 121.pants, kas nosaka prasības attiecībā uz energoefektivitātes pasākumiem enerģētiskās nabadzības skartajām mājsaimniecībām, kā arī Likumprojekta 11.pantā noteiktā atsauce Direktīvu 2018/2002, ir izslēdzama no Likumprojekta, precizējot anotāciju un veicot attiecīgus grozījumus Energoefektivitātes likumā.</w:t>
            </w:r>
          </w:p>
          <w:p w14:paraId="434994CB" w14:textId="77777777" w:rsidR="00A760CE" w:rsidRPr="006319D3" w:rsidRDefault="00A760CE" w:rsidP="006319D3">
            <w:pPr>
              <w:pStyle w:val="naisc"/>
              <w:spacing w:before="60" w:after="60"/>
              <w:jc w:val="both"/>
              <w:rPr>
                <w:bCs/>
              </w:rPr>
            </w:pPr>
            <w:r w:rsidRPr="006319D3">
              <w:rPr>
                <w:bCs/>
              </w:rPr>
              <w:t xml:space="preserve">Ja Ekonomikas ministrijas ieskatā Enerģētikas likumā tomēr ir iekļaujams regulējums enerģētiskās nabadzības mazināšanai, tam ir jābūt saskaņotam ar </w:t>
            </w:r>
            <w:r w:rsidRPr="006319D3">
              <w:rPr>
                <w:bCs/>
              </w:rPr>
              <w:lastRenderedPageBreak/>
              <w:t>Elektroenerģijas tirgus likumā noteikto aizsargātā lietotāja regulējumu.</w:t>
            </w:r>
          </w:p>
          <w:p w14:paraId="442C7CDD" w14:textId="61638DF3" w:rsidR="00A760CE" w:rsidRPr="006319D3" w:rsidRDefault="00A760CE" w:rsidP="006319D3">
            <w:pPr>
              <w:pStyle w:val="naisc"/>
              <w:spacing w:before="60" w:after="60"/>
              <w:jc w:val="both"/>
              <w:rPr>
                <w:b/>
                <w:bCs/>
              </w:rPr>
            </w:pPr>
          </w:p>
        </w:tc>
        <w:tc>
          <w:tcPr>
            <w:tcW w:w="3260" w:type="dxa"/>
            <w:gridSpan w:val="3"/>
            <w:vMerge w:val="restart"/>
            <w:tcBorders>
              <w:top w:val="single" w:sz="6" w:space="0" w:color="000000"/>
              <w:left w:val="single" w:sz="6" w:space="0" w:color="000000"/>
              <w:right w:val="single" w:sz="6" w:space="0" w:color="000000"/>
            </w:tcBorders>
            <w:shd w:val="clear" w:color="auto" w:fill="FFFFFF" w:themeFill="background1"/>
          </w:tcPr>
          <w:p w14:paraId="230410BB" w14:textId="77777777" w:rsidR="00A760CE" w:rsidRPr="006319D3" w:rsidRDefault="005007B3" w:rsidP="006319D3">
            <w:pPr>
              <w:pStyle w:val="naisc"/>
              <w:spacing w:before="60" w:after="60"/>
              <w:ind w:firstLine="5"/>
              <w:jc w:val="both"/>
              <w:rPr>
                <w:b/>
              </w:rPr>
            </w:pPr>
            <w:r w:rsidRPr="006319D3">
              <w:rPr>
                <w:b/>
              </w:rPr>
              <w:lastRenderedPageBreak/>
              <w:t>Ņemts vērā</w:t>
            </w:r>
          </w:p>
          <w:p w14:paraId="79BF15F4" w14:textId="2076E547" w:rsidR="005007B3" w:rsidRPr="006319D3" w:rsidRDefault="005007B3" w:rsidP="006319D3">
            <w:pPr>
              <w:pStyle w:val="naisc"/>
              <w:spacing w:before="60" w:after="60"/>
              <w:ind w:firstLine="5"/>
              <w:jc w:val="both"/>
              <w:rPr>
                <w:bCs/>
              </w:rPr>
            </w:pPr>
            <w:r w:rsidRPr="006319D3">
              <w:rPr>
                <w:bCs/>
              </w:rPr>
              <w:t xml:space="preserve">Ekonomikas ministrija izvērtēja Sabiedrisko pakalpojumu regulēšanas komisijas, kā arī Labklājības ministrijas sniegtos atzinumus un viedokļus, un attiecīgi precizēja gan likumprojektu, gan anotāciju, lai </w:t>
            </w:r>
            <w:r w:rsidR="00593F08" w:rsidRPr="006319D3">
              <w:rPr>
                <w:bCs/>
              </w:rPr>
              <w:t xml:space="preserve">sabalansēti ņemtu vērā visu pušu viedokļus.  </w:t>
            </w:r>
          </w:p>
        </w:tc>
        <w:tc>
          <w:tcPr>
            <w:tcW w:w="2667" w:type="dxa"/>
            <w:tcBorders>
              <w:top w:val="single" w:sz="4" w:space="0" w:color="auto"/>
              <w:left w:val="single" w:sz="4" w:space="0" w:color="auto"/>
              <w:bottom w:val="single" w:sz="4" w:space="0" w:color="auto"/>
            </w:tcBorders>
            <w:shd w:val="clear" w:color="auto" w:fill="FFFFFF" w:themeFill="background1"/>
          </w:tcPr>
          <w:p w14:paraId="32E70A35" w14:textId="77777777" w:rsidR="004D5625" w:rsidRPr="006319D3" w:rsidRDefault="004D5625" w:rsidP="006319D3">
            <w:pPr>
              <w:pStyle w:val="naisc"/>
              <w:spacing w:before="60" w:after="60"/>
              <w:ind w:firstLine="33"/>
              <w:jc w:val="both"/>
            </w:pPr>
            <w:r w:rsidRPr="006319D3">
              <w:t>1.pants</w:t>
            </w:r>
          </w:p>
          <w:p w14:paraId="647F5484" w14:textId="77777777" w:rsidR="004D5625" w:rsidRPr="006319D3" w:rsidRDefault="004D5625" w:rsidP="006319D3">
            <w:pPr>
              <w:pStyle w:val="naisc"/>
              <w:spacing w:before="60" w:after="60"/>
              <w:ind w:firstLine="33"/>
              <w:jc w:val="both"/>
            </w:pPr>
          </w:p>
          <w:p w14:paraId="32BA3285" w14:textId="250D772F" w:rsidR="00A760CE" w:rsidRPr="006319D3" w:rsidRDefault="004D5625" w:rsidP="006319D3">
            <w:pPr>
              <w:spacing w:before="60" w:after="60"/>
              <w:ind w:firstLine="5"/>
              <w:jc w:val="both"/>
            </w:pPr>
            <w:r w:rsidRPr="006319D3">
              <w:t>10</w:t>
            </w:r>
            <w:r w:rsidRPr="006319D3">
              <w:rPr>
                <w:vertAlign w:val="superscript"/>
              </w:rPr>
              <w:t>1</w:t>
            </w:r>
            <w:r w:rsidRPr="006319D3">
              <w:t>) </w:t>
            </w:r>
            <w:r w:rsidRPr="006319D3">
              <w:rPr>
                <w:b/>
                <w:bCs/>
              </w:rPr>
              <w:t xml:space="preserve">enerģētiskā nabadzība </w:t>
            </w:r>
            <w:r w:rsidRPr="006319D3">
              <w:t xml:space="preserve">– grūtības vai nespēja mājoklī uzturēt atbilstošu temperatūru vai izmantot energoapgādes </w:t>
            </w:r>
            <w:r w:rsidRPr="006319D3">
              <w:rPr>
                <w:u w:val="single"/>
              </w:rPr>
              <w:t>komersanta sniegtos</w:t>
            </w:r>
            <w:r w:rsidRPr="006319D3">
              <w:t xml:space="preserve"> pakalpojumus, vai norēķināties par tiem zemu ienākumu vai augstu energoapgādes pakalpojumu izmaksu, vai zemas energoefektivitātes dēļ;</w:t>
            </w:r>
          </w:p>
        </w:tc>
      </w:tr>
      <w:tr w:rsidR="00A760CE" w:rsidRPr="006319D3" w14:paraId="3C9F0847" w14:textId="77777777" w:rsidTr="00B83B9D">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20E62F" w14:textId="7BAF09C0" w:rsidR="00A760CE" w:rsidRPr="006319D3" w:rsidRDefault="002B73EE" w:rsidP="006319D3">
            <w:pPr>
              <w:pStyle w:val="naisc"/>
              <w:spacing w:before="60" w:after="60"/>
              <w:jc w:val="both"/>
            </w:pPr>
            <w:r w:rsidRPr="006319D3">
              <w:lastRenderedPageBreak/>
              <w:t>3.</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C24143E" w14:textId="77777777" w:rsidR="00A760CE" w:rsidRPr="006319D3" w:rsidRDefault="00A760CE" w:rsidP="006319D3">
            <w:pPr>
              <w:spacing w:before="60" w:after="60"/>
              <w:jc w:val="both"/>
              <w:rPr>
                <w:b/>
                <w:bCs/>
              </w:rPr>
            </w:pPr>
            <w:r w:rsidRPr="006319D3">
              <w:rPr>
                <w:b/>
                <w:bCs/>
              </w:rPr>
              <w:t xml:space="preserve">120. pants </w:t>
            </w:r>
          </w:p>
          <w:p w14:paraId="1F2977A6" w14:textId="77777777" w:rsidR="00A760CE" w:rsidRPr="006319D3" w:rsidRDefault="00A760CE" w:rsidP="006319D3">
            <w:pPr>
              <w:spacing w:before="60" w:after="60"/>
              <w:jc w:val="both"/>
            </w:pPr>
            <w:r w:rsidRPr="006319D3">
              <w:t>Enerģētiskā nabadzība skar tādu mājsaimniecību, kurā dzīvojoša ģimene vai persona atbilst vismaz vienam no šādiem kritērijiem:</w:t>
            </w:r>
          </w:p>
          <w:p w14:paraId="14DFEF14" w14:textId="77777777" w:rsidR="00A760CE" w:rsidRPr="006319D3" w:rsidRDefault="00A760CE" w:rsidP="006319D3">
            <w:pPr>
              <w:spacing w:before="60" w:after="60"/>
              <w:ind w:left="233"/>
              <w:jc w:val="both"/>
            </w:pPr>
            <w:r w:rsidRPr="006319D3">
              <w:t>1) pašvaldības sociālais dienests atbilstoši normatīvajiem aktiem par ģimenes vai atsevišķi dzīvojošas personas atzīšanu par trūcīgu ir noteicis tai atbilstību trūcīgas vai maznodrošinātas ģimenes (personas) statusam;</w:t>
            </w:r>
          </w:p>
          <w:p w14:paraId="162B9203" w14:textId="3E88251B" w:rsidR="00A760CE" w:rsidRPr="006319D3" w:rsidRDefault="00A760CE" w:rsidP="006319D3">
            <w:pPr>
              <w:spacing w:before="60" w:after="60"/>
              <w:ind w:left="233"/>
              <w:jc w:val="both"/>
            </w:pPr>
            <w:r w:rsidRPr="006319D3">
              <w:t>2) pašvaldība tai nodrošina dzīvesvietu sociālajā dzīvoklī vai sociālajā dzīvojamā mājā.</w:t>
            </w:r>
          </w:p>
        </w:tc>
        <w:tc>
          <w:tcPr>
            <w:tcW w:w="4562" w:type="dxa"/>
            <w:vMerge/>
            <w:tcBorders>
              <w:left w:val="single" w:sz="6" w:space="0" w:color="000000"/>
              <w:right w:val="single" w:sz="6" w:space="0" w:color="000000"/>
            </w:tcBorders>
            <w:shd w:val="clear" w:color="auto" w:fill="FFFFFF" w:themeFill="background1"/>
          </w:tcPr>
          <w:p w14:paraId="208D3729" w14:textId="77777777" w:rsidR="00A760CE" w:rsidRPr="006319D3" w:rsidRDefault="00A760CE" w:rsidP="006319D3">
            <w:pPr>
              <w:pStyle w:val="naisc"/>
              <w:spacing w:before="60" w:after="60"/>
              <w:jc w:val="both"/>
              <w:rPr>
                <w:b/>
                <w:bCs/>
              </w:rPr>
            </w:pPr>
          </w:p>
        </w:tc>
        <w:tc>
          <w:tcPr>
            <w:tcW w:w="3260" w:type="dxa"/>
            <w:gridSpan w:val="3"/>
            <w:vMerge/>
            <w:tcBorders>
              <w:left w:val="single" w:sz="6" w:space="0" w:color="000000"/>
              <w:right w:val="single" w:sz="6" w:space="0" w:color="000000"/>
            </w:tcBorders>
            <w:shd w:val="clear" w:color="auto" w:fill="FFFFFF" w:themeFill="background1"/>
          </w:tcPr>
          <w:p w14:paraId="6489F0F7" w14:textId="77777777" w:rsidR="00A760CE" w:rsidRPr="006319D3" w:rsidRDefault="00A760CE" w:rsidP="006319D3">
            <w:pPr>
              <w:pStyle w:val="naisc"/>
              <w:spacing w:before="60" w:after="60"/>
              <w:ind w:firstLine="5"/>
              <w:jc w:val="both"/>
              <w:rPr>
                <w:b/>
              </w:rPr>
            </w:pPr>
          </w:p>
        </w:tc>
        <w:tc>
          <w:tcPr>
            <w:tcW w:w="2667" w:type="dxa"/>
            <w:tcBorders>
              <w:top w:val="single" w:sz="4" w:space="0" w:color="auto"/>
              <w:left w:val="single" w:sz="4" w:space="0" w:color="auto"/>
              <w:bottom w:val="single" w:sz="4" w:space="0" w:color="auto"/>
            </w:tcBorders>
            <w:shd w:val="clear" w:color="auto" w:fill="FFFFFF" w:themeFill="background1"/>
          </w:tcPr>
          <w:p w14:paraId="374D2D1A" w14:textId="77777777" w:rsidR="00CA7D9A" w:rsidRPr="006319D3" w:rsidRDefault="00CA7D9A" w:rsidP="006319D3">
            <w:pPr>
              <w:pStyle w:val="ListParagraph"/>
              <w:spacing w:before="60" w:after="60" w:line="240" w:lineRule="auto"/>
              <w:ind w:left="0"/>
              <w:contextualSpacing w:val="0"/>
              <w:jc w:val="both"/>
              <w:rPr>
                <w:rFonts w:ascii="Times New Roman" w:hAnsi="Times New Roman"/>
                <w:b/>
                <w:bCs/>
                <w:sz w:val="24"/>
                <w:szCs w:val="24"/>
                <w:lang w:eastAsia="lv-LV"/>
              </w:rPr>
            </w:pPr>
            <w:r w:rsidRPr="006319D3">
              <w:rPr>
                <w:rFonts w:ascii="Times New Roman" w:hAnsi="Times New Roman"/>
                <w:b/>
                <w:bCs/>
                <w:sz w:val="24"/>
                <w:szCs w:val="24"/>
                <w:lang w:eastAsia="lv-LV"/>
              </w:rPr>
              <w:t xml:space="preserve">120. pants </w:t>
            </w:r>
          </w:p>
          <w:p w14:paraId="26C81C8F" w14:textId="77777777" w:rsidR="00CA7D9A" w:rsidRPr="006319D3" w:rsidRDefault="00CA7D9A" w:rsidP="006319D3">
            <w:pPr>
              <w:pStyle w:val="ListParagraph"/>
              <w:spacing w:before="60" w:after="60" w:line="240" w:lineRule="auto"/>
              <w:ind w:left="0"/>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Enerģētiskās nabadzības skartā mājsaimniecība ir tāda,</w:t>
            </w:r>
            <w:r w:rsidRPr="006319D3">
              <w:rPr>
                <w:rFonts w:ascii="Times New Roman" w:hAnsi="Times New Roman"/>
                <w:sz w:val="24"/>
                <w:szCs w:val="24"/>
                <w:lang w:eastAsia="lv-LV"/>
              </w:rPr>
              <w:t xml:space="preserve"> kurā dzīvojoša ģimene vai persona atbilst vismaz vienam no šādiem kritērijiem:</w:t>
            </w:r>
          </w:p>
          <w:p w14:paraId="65FC52D1" w14:textId="77777777" w:rsidR="00CA7D9A" w:rsidRPr="006319D3" w:rsidRDefault="00CA7D9A" w:rsidP="006319D3">
            <w:pPr>
              <w:pStyle w:val="ListParagraph"/>
              <w:spacing w:before="60" w:after="60" w:line="240" w:lineRule="auto"/>
              <w:ind w:left="207"/>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1) tai</w:t>
            </w:r>
            <w:r w:rsidRPr="006319D3">
              <w:rPr>
                <w:rFonts w:ascii="Times New Roman" w:hAnsi="Times New Roman"/>
                <w:sz w:val="24"/>
                <w:szCs w:val="24"/>
                <w:lang w:eastAsia="lv-LV"/>
              </w:rPr>
              <w:t xml:space="preserve"> atbilstoši normatīvajiem aktiem par ģimenes vai atsevišķi dzīvojošas personas atzīšanu par trūcīgu ir </w:t>
            </w:r>
            <w:r w:rsidRPr="006319D3">
              <w:rPr>
                <w:rFonts w:ascii="Times New Roman" w:hAnsi="Times New Roman"/>
                <w:sz w:val="24"/>
                <w:szCs w:val="24"/>
                <w:u w:val="single"/>
                <w:lang w:eastAsia="lv-LV"/>
              </w:rPr>
              <w:t>noteikta atbilstība</w:t>
            </w:r>
            <w:r w:rsidRPr="006319D3">
              <w:rPr>
                <w:rFonts w:ascii="Times New Roman" w:hAnsi="Times New Roman"/>
                <w:sz w:val="24"/>
                <w:szCs w:val="24"/>
                <w:lang w:eastAsia="lv-LV"/>
              </w:rPr>
              <w:t xml:space="preserve"> trūcīgas vai maznodrošinātas ģimenes (personas) statusam </w:t>
            </w:r>
            <w:r w:rsidRPr="006319D3">
              <w:rPr>
                <w:rFonts w:ascii="Times New Roman" w:hAnsi="Times New Roman"/>
                <w:sz w:val="24"/>
                <w:szCs w:val="24"/>
                <w:u w:val="single"/>
                <w:lang w:eastAsia="lv-LV"/>
              </w:rPr>
              <w:t>un vienlaikus tā atbilstoši normatīvajiem aktiem par sociālās palīdzības sniegšanu saņem dzīvokļa pabalstu</w:t>
            </w:r>
            <w:r w:rsidRPr="006319D3">
              <w:rPr>
                <w:rFonts w:ascii="Times New Roman" w:hAnsi="Times New Roman"/>
                <w:sz w:val="24"/>
                <w:szCs w:val="24"/>
                <w:lang w:eastAsia="lv-LV"/>
              </w:rPr>
              <w:t>;</w:t>
            </w:r>
          </w:p>
          <w:p w14:paraId="1C0216F6" w14:textId="77777777" w:rsidR="00CA7D9A" w:rsidRPr="006319D3" w:rsidRDefault="00CA7D9A" w:rsidP="006319D3">
            <w:pPr>
              <w:pStyle w:val="ListParagraph"/>
              <w:spacing w:before="60" w:after="60" w:line="240" w:lineRule="auto"/>
              <w:ind w:left="207"/>
              <w:contextualSpacing w:val="0"/>
              <w:jc w:val="both"/>
              <w:rPr>
                <w:rFonts w:ascii="Times New Roman" w:hAnsi="Times New Roman"/>
                <w:sz w:val="24"/>
                <w:szCs w:val="24"/>
                <w:lang w:eastAsia="lv-LV"/>
              </w:rPr>
            </w:pPr>
            <w:r w:rsidRPr="006319D3">
              <w:rPr>
                <w:rFonts w:ascii="Times New Roman" w:hAnsi="Times New Roman"/>
                <w:sz w:val="24"/>
                <w:szCs w:val="24"/>
                <w:lang w:eastAsia="lv-LV"/>
              </w:rPr>
              <w:t xml:space="preserve">2) tai </w:t>
            </w:r>
            <w:r w:rsidRPr="006319D3">
              <w:rPr>
                <w:rFonts w:ascii="Times New Roman" w:hAnsi="Times New Roman"/>
                <w:sz w:val="24"/>
                <w:szCs w:val="24"/>
                <w:u w:val="single"/>
                <w:lang w:eastAsia="lv-LV"/>
              </w:rPr>
              <w:t>atbilstoši normatīvajiem aktiem par personas atzīšanu par tiesīgu īrēt sociālo dzīvokli, ir nodrošināta dzīvesvieta</w:t>
            </w:r>
            <w:r w:rsidRPr="006319D3">
              <w:rPr>
                <w:rFonts w:ascii="Times New Roman" w:hAnsi="Times New Roman"/>
                <w:sz w:val="24"/>
                <w:szCs w:val="24"/>
                <w:lang w:eastAsia="lv-LV"/>
              </w:rPr>
              <w:t xml:space="preserve"> sociālajā dzīvoklī.</w:t>
            </w:r>
          </w:p>
          <w:p w14:paraId="1AEE221A" w14:textId="77777777" w:rsidR="00A760CE" w:rsidRPr="006319D3" w:rsidRDefault="00A760CE" w:rsidP="006319D3">
            <w:pPr>
              <w:spacing w:before="60" w:after="60"/>
              <w:ind w:firstLine="5"/>
              <w:jc w:val="both"/>
            </w:pPr>
          </w:p>
        </w:tc>
      </w:tr>
      <w:tr w:rsidR="00A760CE" w:rsidRPr="006319D3" w14:paraId="724A1B42" w14:textId="77777777" w:rsidTr="00B83B9D">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FBE1E2" w14:textId="3A3BDDFA" w:rsidR="00A760CE" w:rsidRPr="006319D3" w:rsidRDefault="002B73EE" w:rsidP="006319D3">
            <w:pPr>
              <w:pStyle w:val="naisc"/>
              <w:spacing w:before="60" w:after="60"/>
              <w:jc w:val="both"/>
            </w:pPr>
            <w:r w:rsidRPr="006319D3">
              <w:t>4.</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422210" w14:textId="77777777" w:rsidR="00A760CE" w:rsidRPr="006319D3" w:rsidRDefault="00A760CE" w:rsidP="006319D3">
            <w:pPr>
              <w:spacing w:before="60" w:after="60"/>
              <w:jc w:val="both"/>
              <w:rPr>
                <w:b/>
                <w:bCs/>
              </w:rPr>
            </w:pPr>
            <w:r w:rsidRPr="006319D3">
              <w:rPr>
                <w:b/>
                <w:bCs/>
              </w:rPr>
              <w:t>121.pants</w:t>
            </w:r>
          </w:p>
          <w:p w14:paraId="1A156715" w14:textId="53F02354" w:rsidR="00A760CE" w:rsidRPr="006319D3" w:rsidRDefault="00A760CE" w:rsidP="006319D3">
            <w:pPr>
              <w:spacing w:before="60" w:after="60"/>
              <w:jc w:val="both"/>
            </w:pPr>
            <w:r w:rsidRPr="006319D3">
              <w:lastRenderedPageBreak/>
              <w:t>Valsts vai pašvaldība plānotos energoefektivitātes politikas pasākumus prioritārā kārtā īsteno enerģētiskās nabadzības skartajās mājsaimniecībās.</w:t>
            </w:r>
          </w:p>
        </w:tc>
        <w:tc>
          <w:tcPr>
            <w:tcW w:w="4562" w:type="dxa"/>
            <w:vMerge/>
            <w:tcBorders>
              <w:left w:val="single" w:sz="6" w:space="0" w:color="000000"/>
              <w:bottom w:val="single" w:sz="6" w:space="0" w:color="000000"/>
              <w:right w:val="single" w:sz="6" w:space="0" w:color="000000"/>
            </w:tcBorders>
            <w:shd w:val="clear" w:color="auto" w:fill="FFFFFF" w:themeFill="background1"/>
          </w:tcPr>
          <w:p w14:paraId="42204B26" w14:textId="77777777" w:rsidR="00A760CE" w:rsidRPr="006319D3" w:rsidRDefault="00A760CE" w:rsidP="006319D3">
            <w:pPr>
              <w:pStyle w:val="naisc"/>
              <w:spacing w:before="60" w:after="60"/>
              <w:jc w:val="both"/>
              <w:rPr>
                <w:b/>
                <w:bCs/>
              </w:rPr>
            </w:pPr>
          </w:p>
        </w:tc>
        <w:tc>
          <w:tcPr>
            <w:tcW w:w="3260" w:type="dxa"/>
            <w:gridSpan w:val="3"/>
            <w:vMerge/>
            <w:tcBorders>
              <w:left w:val="single" w:sz="6" w:space="0" w:color="000000"/>
              <w:bottom w:val="single" w:sz="6" w:space="0" w:color="000000"/>
              <w:right w:val="single" w:sz="6" w:space="0" w:color="000000"/>
            </w:tcBorders>
            <w:shd w:val="clear" w:color="auto" w:fill="FFFFFF" w:themeFill="background1"/>
          </w:tcPr>
          <w:p w14:paraId="6BEFC552" w14:textId="77777777" w:rsidR="00A760CE" w:rsidRPr="006319D3" w:rsidRDefault="00A760CE" w:rsidP="006319D3">
            <w:pPr>
              <w:pStyle w:val="naisc"/>
              <w:spacing w:before="60" w:after="60"/>
              <w:ind w:firstLine="5"/>
              <w:jc w:val="both"/>
              <w:rPr>
                <w:b/>
              </w:rPr>
            </w:pPr>
          </w:p>
        </w:tc>
        <w:tc>
          <w:tcPr>
            <w:tcW w:w="2667" w:type="dxa"/>
            <w:tcBorders>
              <w:top w:val="single" w:sz="4" w:space="0" w:color="auto"/>
              <w:left w:val="single" w:sz="4" w:space="0" w:color="auto"/>
              <w:bottom w:val="single" w:sz="4" w:space="0" w:color="auto"/>
            </w:tcBorders>
            <w:shd w:val="clear" w:color="auto" w:fill="FFFFFF" w:themeFill="background1"/>
          </w:tcPr>
          <w:p w14:paraId="08364CA6" w14:textId="77777777" w:rsidR="00CA7D9A" w:rsidRPr="006319D3" w:rsidRDefault="00CA7D9A" w:rsidP="006319D3">
            <w:pPr>
              <w:pStyle w:val="ListParagraph"/>
              <w:spacing w:before="60" w:after="60" w:line="240" w:lineRule="auto"/>
              <w:ind w:left="0"/>
              <w:contextualSpacing w:val="0"/>
              <w:jc w:val="both"/>
              <w:rPr>
                <w:rFonts w:ascii="Times New Roman" w:hAnsi="Times New Roman"/>
                <w:b/>
                <w:bCs/>
                <w:sz w:val="24"/>
                <w:szCs w:val="24"/>
                <w:lang w:eastAsia="lv-LV"/>
              </w:rPr>
            </w:pPr>
            <w:r w:rsidRPr="006319D3">
              <w:rPr>
                <w:rFonts w:ascii="Times New Roman" w:hAnsi="Times New Roman"/>
                <w:b/>
                <w:bCs/>
                <w:sz w:val="24"/>
                <w:szCs w:val="24"/>
                <w:lang w:eastAsia="lv-LV"/>
              </w:rPr>
              <w:t>121. pants</w:t>
            </w:r>
          </w:p>
          <w:p w14:paraId="26272298" w14:textId="77777777" w:rsidR="00CA7D9A" w:rsidRPr="006319D3" w:rsidRDefault="00CA7D9A" w:rsidP="006319D3">
            <w:pPr>
              <w:pStyle w:val="ListParagraph"/>
              <w:spacing w:before="60" w:after="60" w:line="240" w:lineRule="auto"/>
              <w:ind w:left="0"/>
              <w:contextualSpacing w:val="0"/>
              <w:jc w:val="both"/>
              <w:rPr>
                <w:rFonts w:ascii="Times New Roman" w:hAnsi="Times New Roman"/>
                <w:sz w:val="24"/>
                <w:szCs w:val="24"/>
                <w:u w:val="single"/>
                <w:lang w:eastAsia="lv-LV"/>
              </w:rPr>
            </w:pPr>
            <w:r w:rsidRPr="006319D3">
              <w:rPr>
                <w:rFonts w:ascii="Times New Roman" w:hAnsi="Times New Roman"/>
                <w:sz w:val="24"/>
                <w:szCs w:val="24"/>
                <w:u w:val="single"/>
                <w:lang w:eastAsia="lv-LV"/>
              </w:rPr>
              <w:lastRenderedPageBreak/>
              <w:t>(1) Plānojot valsts vai pašvaldības enerģētikas politikas atbalsta pasākumus jāņem vērā enerģētiskās nabadzības skarto mājsaimniecību skaits.</w:t>
            </w:r>
          </w:p>
          <w:p w14:paraId="4666F417" w14:textId="77777777" w:rsidR="00CA7D9A" w:rsidRPr="006319D3" w:rsidRDefault="00CA7D9A" w:rsidP="006319D3">
            <w:pPr>
              <w:pStyle w:val="ListParagraph"/>
              <w:spacing w:before="60" w:after="60" w:line="240" w:lineRule="auto"/>
              <w:ind w:left="0"/>
              <w:contextualSpacing w:val="0"/>
              <w:jc w:val="both"/>
              <w:rPr>
                <w:rFonts w:ascii="Times New Roman" w:hAnsi="Times New Roman"/>
                <w:sz w:val="24"/>
                <w:szCs w:val="24"/>
                <w:lang w:eastAsia="lv-LV"/>
              </w:rPr>
            </w:pPr>
          </w:p>
          <w:p w14:paraId="76AEEC25" w14:textId="77777777" w:rsidR="00CA7D9A" w:rsidRPr="006319D3" w:rsidRDefault="00CA7D9A" w:rsidP="006319D3">
            <w:pPr>
              <w:pStyle w:val="ListParagraph"/>
              <w:spacing w:before="60" w:after="60" w:line="240" w:lineRule="auto"/>
              <w:ind w:left="0"/>
              <w:contextualSpacing w:val="0"/>
              <w:jc w:val="both"/>
              <w:rPr>
                <w:rFonts w:ascii="Times New Roman" w:hAnsi="Times New Roman"/>
                <w:sz w:val="24"/>
                <w:szCs w:val="24"/>
                <w:lang w:eastAsia="lv-LV"/>
              </w:rPr>
            </w:pPr>
            <w:r w:rsidRPr="006319D3">
              <w:rPr>
                <w:rFonts w:ascii="Times New Roman" w:hAnsi="Times New Roman"/>
                <w:sz w:val="24"/>
                <w:szCs w:val="24"/>
                <w:u w:val="single"/>
                <w:lang w:eastAsia="lv-LV"/>
              </w:rPr>
              <w:t>(2)</w:t>
            </w:r>
            <w:r w:rsidRPr="006319D3">
              <w:rPr>
                <w:rFonts w:ascii="Times New Roman" w:hAnsi="Times New Roman"/>
                <w:sz w:val="24"/>
                <w:szCs w:val="24"/>
                <w:lang w:eastAsia="lv-LV"/>
              </w:rPr>
              <w:t> Valsts vai pašvaldība plānotos energoefektivitātes politikas pasākumus prioritārā kārtā īsteno enerģētiskās nabadzības skartajās mājsaimniecībās.</w:t>
            </w:r>
          </w:p>
          <w:p w14:paraId="2FA646D2" w14:textId="77777777" w:rsidR="00CA7D9A" w:rsidRPr="006319D3" w:rsidRDefault="00CA7D9A" w:rsidP="006319D3">
            <w:pPr>
              <w:pStyle w:val="ListParagraph"/>
              <w:spacing w:before="60" w:after="60" w:line="240" w:lineRule="auto"/>
              <w:contextualSpacing w:val="0"/>
              <w:jc w:val="both"/>
              <w:rPr>
                <w:rFonts w:ascii="Times New Roman" w:hAnsi="Times New Roman"/>
                <w:sz w:val="24"/>
                <w:szCs w:val="24"/>
                <w:lang w:eastAsia="lv-LV"/>
              </w:rPr>
            </w:pPr>
          </w:p>
          <w:p w14:paraId="6871D6CB" w14:textId="18F7B80A" w:rsidR="00A760CE" w:rsidRPr="006319D3" w:rsidRDefault="00CA7D9A" w:rsidP="006319D3">
            <w:pPr>
              <w:spacing w:before="60" w:after="60"/>
              <w:ind w:firstLine="5"/>
              <w:jc w:val="both"/>
            </w:pPr>
            <w:r w:rsidRPr="006319D3">
              <w:rPr>
                <w:u w:val="single"/>
              </w:rPr>
              <w:t>(3) Enerģētiskās nabadzības skarto mājsaimniecību skaita novērtēšanai izmanto 120. pantā noteiktos kritērijus</w:t>
            </w:r>
            <w:r w:rsidRPr="006319D3">
              <w:t>.</w:t>
            </w:r>
          </w:p>
        </w:tc>
      </w:tr>
      <w:tr w:rsidR="00BF1013" w:rsidRPr="006319D3" w14:paraId="4B06D06F" w14:textId="77777777" w:rsidTr="00B83B9D">
        <w:tc>
          <w:tcPr>
            <w:tcW w:w="675" w:type="dxa"/>
            <w:tcBorders>
              <w:top w:val="single" w:sz="6" w:space="0" w:color="000000"/>
              <w:left w:val="single" w:sz="6" w:space="0" w:color="000000"/>
              <w:right w:val="single" w:sz="6" w:space="0" w:color="000000"/>
            </w:tcBorders>
            <w:shd w:val="clear" w:color="auto" w:fill="FFFFFF" w:themeFill="background1"/>
          </w:tcPr>
          <w:p w14:paraId="0568AADF" w14:textId="7802F76E" w:rsidR="00BF1013" w:rsidRPr="006319D3" w:rsidRDefault="00BF1013" w:rsidP="006319D3">
            <w:pPr>
              <w:pStyle w:val="naisc"/>
              <w:spacing w:before="60" w:after="60"/>
              <w:jc w:val="both"/>
            </w:pPr>
            <w:r w:rsidRPr="006319D3">
              <w:lastRenderedPageBreak/>
              <w:t>5.</w:t>
            </w:r>
          </w:p>
        </w:tc>
        <w:tc>
          <w:tcPr>
            <w:tcW w:w="3119" w:type="dxa"/>
            <w:gridSpan w:val="2"/>
            <w:tcBorders>
              <w:top w:val="single" w:sz="6" w:space="0" w:color="000000"/>
              <w:left w:val="single" w:sz="6" w:space="0" w:color="000000"/>
              <w:right w:val="single" w:sz="6" w:space="0" w:color="000000"/>
            </w:tcBorders>
            <w:shd w:val="clear" w:color="auto" w:fill="FFFFFF" w:themeFill="background1"/>
          </w:tcPr>
          <w:p w14:paraId="1B48B2BF" w14:textId="4ADB3D93" w:rsidR="00BF1013" w:rsidRPr="006319D3" w:rsidRDefault="00BF1013" w:rsidP="006319D3">
            <w:pPr>
              <w:pStyle w:val="naisc"/>
              <w:spacing w:before="60" w:after="60"/>
              <w:ind w:firstLine="33"/>
              <w:jc w:val="both"/>
              <w:rPr>
                <w:i/>
                <w:iCs/>
              </w:rPr>
            </w:pPr>
            <w:r w:rsidRPr="006319D3">
              <w:rPr>
                <w:i/>
                <w:iCs/>
              </w:rPr>
              <w:t>Likumprojekta redakcija</w:t>
            </w:r>
          </w:p>
          <w:p w14:paraId="38434E31" w14:textId="0FCBDF78" w:rsidR="00BF1013" w:rsidRPr="006319D3" w:rsidRDefault="00BF1013" w:rsidP="006319D3">
            <w:pPr>
              <w:pStyle w:val="naisc"/>
              <w:spacing w:before="60" w:after="60"/>
              <w:ind w:firstLine="33"/>
              <w:jc w:val="both"/>
            </w:pPr>
            <w:r w:rsidRPr="006319D3">
              <w:t>19.panta trešā daļa</w:t>
            </w:r>
          </w:p>
          <w:p w14:paraId="071FF359" w14:textId="77777777" w:rsidR="00BF1013" w:rsidRPr="006319D3" w:rsidRDefault="00BF1013" w:rsidP="006319D3">
            <w:pPr>
              <w:pStyle w:val="naisc"/>
              <w:spacing w:before="60" w:after="60"/>
              <w:ind w:firstLine="33"/>
              <w:jc w:val="both"/>
            </w:pPr>
          </w:p>
          <w:p w14:paraId="7DE50AA1" w14:textId="247D3BC4" w:rsidR="00BF1013" w:rsidRPr="006319D3" w:rsidRDefault="00BF1013" w:rsidP="006319D3">
            <w:pPr>
              <w:pStyle w:val="naisc"/>
              <w:spacing w:before="60" w:after="60"/>
              <w:ind w:firstLine="33"/>
              <w:jc w:val="both"/>
            </w:pPr>
            <w:r w:rsidRPr="006319D3">
              <w:t>(3)Energoapgādes komersants par jauna objekta ierīkošanu vai esošā objekta paplašināšanu brīdina nekustamā īpašuma īpašnieku vismaz 15 dienas pirms darbu uzsākšanas.</w:t>
            </w:r>
          </w:p>
          <w:p w14:paraId="1B6FEFA0" w14:textId="091B785C" w:rsidR="00BF1013" w:rsidRPr="006319D3" w:rsidRDefault="00BF1013" w:rsidP="006319D3">
            <w:pPr>
              <w:pStyle w:val="naisc"/>
              <w:spacing w:before="60" w:after="60"/>
              <w:ind w:firstLine="33"/>
              <w:jc w:val="both"/>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C9DC43" w14:textId="77777777" w:rsidR="00BF1013" w:rsidRPr="006319D3" w:rsidRDefault="00BF1013" w:rsidP="006319D3">
            <w:pPr>
              <w:pStyle w:val="naisc"/>
              <w:spacing w:before="60" w:after="60"/>
              <w:jc w:val="both"/>
              <w:rPr>
                <w:b/>
                <w:bCs/>
              </w:rPr>
            </w:pPr>
            <w:r w:rsidRPr="006319D3">
              <w:rPr>
                <w:b/>
                <w:bCs/>
              </w:rPr>
              <w:t xml:space="preserve">AS “Sadales tīkls” (24.04.2020 atzinums) </w:t>
            </w:r>
          </w:p>
          <w:p w14:paraId="1493ACFB" w14:textId="77777777" w:rsidR="00BF1013" w:rsidRPr="006319D3" w:rsidRDefault="00BF1013" w:rsidP="006319D3">
            <w:pPr>
              <w:pStyle w:val="naisc"/>
              <w:spacing w:before="60" w:after="60"/>
              <w:jc w:val="both"/>
              <w:rPr>
                <w:b/>
                <w:bCs/>
              </w:rPr>
            </w:pPr>
          </w:p>
          <w:p w14:paraId="24EC5315" w14:textId="77777777" w:rsidR="00BF1013" w:rsidRPr="006319D3" w:rsidRDefault="00BF1013" w:rsidP="006319D3">
            <w:pPr>
              <w:pStyle w:val="naisc"/>
              <w:spacing w:before="60" w:after="60"/>
              <w:jc w:val="both"/>
              <w:rPr>
                <w:bCs/>
              </w:rPr>
            </w:pPr>
            <w:r w:rsidRPr="006319D3">
              <w:rPr>
                <w:bCs/>
              </w:rPr>
              <w:t xml:space="preserve">AS “Sadales tīkls” sniedz priekšlikumu šobrīd likumprojektā paredzētās 19.panta trešās daļas 15 saskaņošanas dienas izteikt ar vārdiem “divas nedēļas”, lai nodrošinātu vienotu normu piemērošanu, un attiecīgā Enerģētikas likuma norma būtu saskaņota un atbilstoša Aizsargjoslu likuma 35.panta otrajai daļai. </w:t>
            </w:r>
          </w:p>
          <w:p w14:paraId="35598AB3" w14:textId="77777777" w:rsidR="00BF1013" w:rsidRPr="006319D3" w:rsidRDefault="00BF1013" w:rsidP="006319D3">
            <w:pPr>
              <w:pStyle w:val="naisc"/>
              <w:spacing w:before="60" w:after="60"/>
              <w:jc w:val="both"/>
              <w:rPr>
                <w:bCs/>
              </w:rPr>
            </w:pPr>
            <w:r w:rsidRPr="006319D3">
              <w:rPr>
                <w:bCs/>
              </w:rPr>
              <w:t xml:space="preserve">Aizsargjoslu likuma 35.panta (2) daļa: </w:t>
            </w:r>
          </w:p>
          <w:p w14:paraId="2DF3DC72" w14:textId="472ACE0B" w:rsidR="00BF1013" w:rsidRPr="006319D3" w:rsidRDefault="00BF1013" w:rsidP="006319D3">
            <w:pPr>
              <w:pStyle w:val="naisc"/>
              <w:spacing w:before="60" w:after="60"/>
              <w:jc w:val="both"/>
              <w:rPr>
                <w:bCs/>
              </w:rPr>
            </w:pPr>
            <w:r w:rsidRPr="006319D3">
              <w:rPr>
                <w:bCs/>
              </w:rPr>
              <w:t xml:space="preserve">(2) Ja objektam ir noteikta aizsargjosla, tā īpašniekam vai valdītājam ir atļauts aizsargjoslā veikt attiecīgā objekta ekspluatācijai, remontam, atjaunošanai, pārbūvei nepieciešamos darbus. Par to </w:t>
            </w:r>
            <w:proofErr w:type="spellStart"/>
            <w:r w:rsidRPr="006319D3">
              <w:rPr>
                <w:bCs/>
              </w:rPr>
              <w:t>rakstveidā</w:t>
            </w:r>
            <w:proofErr w:type="spellEnd"/>
            <w:r w:rsidRPr="006319D3">
              <w:rPr>
                <w:bCs/>
              </w:rPr>
              <w:t xml:space="preserve"> brīdināms zemes īpašnieks vai tiesiskais valdītājs vismaz </w:t>
            </w:r>
            <w:r w:rsidRPr="006319D3">
              <w:rPr>
                <w:bCs/>
                <w:u w:val="single"/>
              </w:rPr>
              <w:t>divas nedēļas</w:t>
            </w:r>
            <w:r w:rsidRPr="006319D3">
              <w:rPr>
                <w:bCs/>
              </w:rPr>
              <w:t xml:space="preserve"> pirms darbu uzsākšanas, izņemot avāriju novēršanas vai to seku likvidēšanas darbus, kurus var veikt jebkurā laikā bez brīdinājuma.</w:t>
            </w:r>
          </w:p>
          <w:p w14:paraId="304892F6" w14:textId="193C00B5" w:rsidR="00BF1013" w:rsidRPr="006319D3" w:rsidRDefault="00BF1013" w:rsidP="006319D3">
            <w:pPr>
              <w:pStyle w:val="naisc"/>
              <w:spacing w:before="60" w:after="60"/>
              <w:jc w:val="both"/>
              <w:rPr>
                <w:bCs/>
              </w:rPr>
            </w:pPr>
          </w:p>
        </w:tc>
        <w:tc>
          <w:tcPr>
            <w:tcW w:w="3260" w:type="dxa"/>
            <w:gridSpan w:val="3"/>
            <w:tcBorders>
              <w:top w:val="single" w:sz="6" w:space="0" w:color="000000"/>
              <w:left w:val="single" w:sz="6" w:space="0" w:color="000000"/>
              <w:right w:val="single" w:sz="6" w:space="0" w:color="000000"/>
            </w:tcBorders>
            <w:shd w:val="clear" w:color="auto" w:fill="FFFFFF" w:themeFill="background1"/>
          </w:tcPr>
          <w:p w14:paraId="3C9BDC78" w14:textId="77777777" w:rsidR="00BF1013" w:rsidRPr="006319D3" w:rsidRDefault="00BF1013" w:rsidP="006319D3">
            <w:pPr>
              <w:pStyle w:val="naisc"/>
              <w:spacing w:before="60" w:after="60"/>
              <w:ind w:firstLine="5"/>
              <w:jc w:val="both"/>
              <w:rPr>
                <w:b/>
              </w:rPr>
            </w:pPr>
            <w:r w:rsidRPr="006319D3">
              <w:rPr>
                <w:b/>
              </w:rPr>
              <w:t>Ņemts vērā</w:t>
            </w:r>
          </w:p>
          <w:p w14:paraId="6B3AA5EE" w14:textId="0D0B1DAA" w:rsidR="00BF1013" w:rsidRPr="006319D3" w:rsidRDefault="00EE59F3" w:rsidP="006319D3">
            <w:pPr>
              <w:pStyle w:val="naisc"/>
              <w:spacing w:before="60" w:after="60"/>
              <w:ind w:firstLine="5"/>
              <w:jc w:val="both"/>
            </w:pPr>
            <w:r w:rsidRPr="006319D3">
              <w:t>Veikts tehnisks precizējums atbilstoši priekšlikumam</w:t>
            </w:r>
            <w:r w:rsidR="0091727C">
              <w:t>, lai nodrošinātu normu saskanību ar Aizsargjoslu likumā teikto.</w:t>
            </w:r>
          </w:p>
        </w:tc>
        <w:tc>
          <w:tcPr>
            <w:tcW w:w="2667" w:type="dxa"/>
            <w:tcBorders>
              <w:top w:val="single" w:sz="4" w:space="0" w:color="auto"/>
              <w:left w:val="single" w:sz="4" w:space="0" w:color="auto"/>
            </w:tcBorders>
            <w:shd w:val="clear" w:color="auto" w:fill="FFFFFF" w:themeFill="background1"/>
          </w:tcPr>
          <w:p w14:paraId="1F00D9E3" w14:textId="77777777" w:rsidR="00EE59F3" w:rsidRPr="006319D3" w:rsidRDefault="00EE59F3" w:rsidP="006319D3">
            <w:pPr>
              <w:pStyle w:val="naisc"/>
              <w:spacing w:before="60" w:after="60"/>
              <w:ind w:firstLine="33"/>
              <w:jc w:val="both"/>
              <w:rPr>
                <w:color w:val="000000" w:themeColor="text1"/>
              </w:rPr>
            </w:pPr>
            <w:r w:rsidRPr="006319D3">
              <w:rPr>
                <w:color w:val="000000" w:themeColor="text1"/>
              </w:rPr>
              <w:t>19.panta trešā daļa</w:t>
            </w:r>
          </w:p>
          <w:p w14:paraId="7EB38DB0" w14:textId="77777777" w:rsidR="00EE59F3" w:rsidRPr="006319D3" w:rsidRDefault="00EE59F3" w:rsidP="006319D3">
            <w:pPr>
              <w:pStyle w:val="naisc"/>
              <w:spacing w:before="60" w:after="60"/>
              <w:ind w:firstLine="33"/>
              <w:jc w:val="both"/>
              <w:rPr>
                <w:color w:val="000000" w:themeColor="text1"/>
              </w:rPr>
            </w:pPr>
          </w:p>
          <w:p w14:paraId="43FC8F00" w14:textId="08DDAA3A" w:rsidR="00BF1013" w:rsidRPr="006319D3" w:rsidRDefault="00EE59F3" w:rsidP="006319D3">
            <w:pPr>
              <w:pStyle w:val="naisc"/>
              <w:spacing w:before="60" w:after="60"/>
              <w:ind w:firstLine="33"/>
              <w:jc w:val="both"/>
              <w:rPr>
                <w:color w:val="000000" w:themeColor="text1"/>
              </w:rPr>
            </w:pPr>
            <w:r w:rsidRPr="006319D3">
              <w:rPr>
                <w:color w:val="000000" w:themeColor="text1"/>
              </w:rPr>
              <w:t xml:space="preserve">(3)Energoapgādes komersants par jauna objekta ierīkošanu vai esošā objekta paplašināšanu brīdina nekustamā īpašuma īpašnieku vismaz </w:t>
            </w:r>
            <w:r w:rsidRPr="006319D3">
              <w:rPr>
                <w:color w:val="000000" w:themeColor="text1"/>
                <w:u w:val="single"/>
              </w:rPr>
              <w:t>divas nedēļas</w:t>
            </w:r>
            <w:r w:rsidRPr="006319D3">
              <w:rPr>
                <w:color w:val="000000" w:themeColor="text1"/>
              </w:rPr>
              <w:t xml:space="preserve"> pirms darbu uzsākšanas.</w:t>
            </w:r>
          </w:p>
        </w:tc>
      </w:tr>
      <w:tr w:rsidR="000011D6" w:rsidRPr="006319D3" w14:paraId="66C4C0FA" w14:textId="77777777" w:rsidTr="00B83B9D">
        <w:tc>
          <w:tcPr>
            <w:tcW w:w="675" w:type="dxa"/>
            <w:vMerge w:val="restart"/>
            <w:tcBorders>
              <w:top w:val="single" w:sz="6" w:space="0" w:color="000000"/>
              <w:left w:val="single" w:sz="6" w:space="0" w:color="000000"/>
              <w:right w:val="single" w:sz="6" w:space="0" w:color="000000"/>
            </w:tcBorders>
            <w:shd w:val="clear" w:color="auto" w:fill="FFFFFF" w:themeFill="background1"/>
          </w:tcPr>
          <w:p w14:paraId="2D56EA35" w14:textId="57970FD5" w:rsidR="000011D6" w:rsidRPr="006319D3" w:rsidRDefault="00F95739" w:rsidP="006319D3">
            <w:pPr>
              <w:pStyle w:val="naisc"/>
              <w:spacing w:before="60" w:after="60"/>
              <w:jc w:val="both"/>
            </w:pPr>
            <w:r w:rsidRPr="006319D3">
              <w:t>6.</w:t>
            </w:r>
          </w:p>
        </w:tc>
        <w:tc>
          <w:tcPr>
            <w:tcW w:w="3119" w:type="dxa"/>
            <w:gridSpan w:val="2"/>
            <w:vMerge w:val="restart"/>
            <w:tcBorders>
              <w:top w:val="single" w:sz="6" w:space="0" w:color="000000"/>
              <w:left w:val="single" w:sz="6" w:space="0" w:color="000000"/>
              <w:right w:val="single" w:sz="6" w:space="0" w:color="000000"/>
            </w:tcBorders>
            <w:shd w:val="clear" w:color="auto" w:fill="FFFFFF" w:themeFill="background1"/>
          </w:tcPr>
          <w:p w14:paraId="0E9CD510" w14:textId="5269B2B7" w:rsidR="000011D6" w:rsidRPr="006319D3" w:rsidRDefault="000011D6" w:rsidP="006319D3">
            <w:pPr>
              <w:pStyle w:val="naisc"/>
              <w:spacing w:before="60" w:after="60"/>
              <w:ind w:firstLine="33"/>
              <w:jc w:val="both"/>
            </w:pPr>
            <w:r w:rsidRPr="006319D3">
              <w:t>82.panta  pirmā daļa</w:t>
            </w:r>
          </w:p>
          <w:p w14:paraId="52E710F7" w14:textId="77777777" w:rsidR="000011D6" w:rsidRPr="006319D3" w:rsidRDefault="000011D6" w:rsidP="006319D3">
            <w:pPr>
              <w:pStyle w:val="naisc"/>
              <w:spacing w:before="60" w:after="60"/>
              <w:ind w:firstLine="33"/>
              <w:jc w:val="both"/>
            </w:pPr>
          </w:p>
          <w:p w14:paraId="31A68B60" w14:textId="3BFA0154" w:rsidR="000011D6" w:rsidRPr="006319D3" w:rsidRDefault="000011D6" w:rsidP="006319D3">
            <w:pPr>
              <w:pStyle w:val="naisc"/>
              <w:spacing w:before="60" w:after="60"/>
              <w:ind w:firstLine="33"/>
              <w:jc w:val="both"/>
            </w:pPr>
            <w:r w:rsidRPr="006319D3">
              <w:t xml:space="preserve">4) saistībā ar pārrobežu jautājumiem sadarboties ar </w:t>
            </w:r>
            <w:proofErr w:type="spellStart"/>
            <w:r w:rsidRPr="006319D3">
              <w:t>Energoregulatoru</w:t>
            </w:r>
            <w:proofErr w:type="spellEnd"/>
            <w:r w:rsidRPr="006319D3">
              <w:t xml:space="preserve"> sadarbības aģentūru un attiecīgo valstu </w:t>
            </w:r>
            <w:r w:rsidRPr="006319D3">
              <w:lastRenderedPageBreak/>
              <w:t>regulatīvo iestādi, tostarp, trešās valsts regulatīvo iestādi, ja jautājums skar dabasgāzes infrastruktūru uz vai no trešās valsts;</w:t>
            </w:r>
          </w:p>
          <w:p w14:paraId="7A63CE10" w14:textId="797452EE" w:rsidR="000011D6" w:rsidRPr="006319D3" w:rsidRDefault="000011D6" w:rsidP="006319D3">
            <w:pPr>
              <w:pStyle w:val="naisc"/>
              <w:spacing w:before="60" w:after="60"/>
              <w:ind w:firstLine="33"/>
              <w:jc w:val="both"/>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8C1FE9" w14:textId="0582C134" w:rsidR="000011D6" w:rsidRPr="006319D3" w:rsidRDefault="000011D6" w:rsidP="006319D3">
            <w:pPr>
              <w:pStyle w:val="naisc"/>
              <w:spacing w:before="60" w:after="60"/>
              <w:jc w:val="both"/>
              <w:rPr>
                <w:b/>
                <w:bCs/>
              </w:rPr>
            </w:pPr>
            <w:r w:rsidRPr="006319D3">
              <w:rPr>
                <w:b/>
                <w:bCs/>
              </w:rPr>
              <w:lastRenderedPageBreak/>
              <w:t>Sabiedrisko pakalpojumu regulēšanas komisija (06.03.2020. atzinums)</w:t>
            </w:r>
          </w:p>
          <w:p w14:paraId="043AA9D5" w14:textId="77777777" w:rsidR="000011D6" w:rsidRPr="006319D3" w:rsidRDefault="000011D6" w:rsidP="006319D3">
            <w:pPr>
              <w:pStyle w:val="naisc"/>
              <w:spacing w:before="60" w:after="60"/>
              <w:jc w:val="both"/>
              <w:rPr>
                <w:b/>
                <w:bCs/>
              </w:rPr>
            </w:pPr>
          </w:p>
          <w:p w14:paraId="49C52775" w14:textId="3269C20E" w:rsidR="000011D6" w:rsidRPr="006319D3" w:rsidRDefault="000011D6" w:rsidP="006319D3">
            <w:pPr>
              <w:pStyle w:val="naisc"/>
              <w:spacing w:before="60" w:after="60"/>
              <w:jc w:val="both"/>
            </w:pPr>
            <w:r w:rsidRPr="006319D3">
              <w:t xml:space="preserve">Saskaņā ar Likumprojekta anotāciju ar grozījumiem Enerģētikas likuma 82.pantā tiek pārņemtas Eiropas Parlamenta un Padomes </w:t>
            </w:r>
            <w:r w:rsidRPr="006319D3">
              <w:lastRenderedPageBreak/>
              <w:t xml:space="preserve">2009.gada 13.jūlija Direktīvas 2009/73/EK par kopīgiem noteikumiem attiecībā uz dabasgāzes iekšējo tirgu (turpmāk – Direktīva 2009/73/EK)  41.panta 1.punkta c) apakšpunkta, 42.panta 6.punkta un 49.a panta prasības, kas nosaka regulatīvās iestādes pienākumus un pilnvaras attiecībā uz dabasgāzes pārvades līnijām uz trešajām valstīm un no tām. Regulators norāda, ka Enerģētikas likuma 82.pants nosaka Regulatora pienākumus attiecībā uz energoapgādes komersantu objektu ekspluatācijas kontroli, tāpēc tajā nav pamata iekļaut normas, kas nav saistītas ar šo Regulatora pienākumu. </w:t>
            </w:r>
          </w:p>
          <w:p w14:paraId="4EA80B87" w14:textId="77777777" w:rsidR="000011D6" w:rsidRPr="006319D3" w:rsidRDefault="000011D6" w:rsidP="006319D3">
            <w:pPr>
              <w:pStyle w:val="naisc"/>
              <w:spacing w:before="60" w:after="60"/>
              <w:jc w:val="both"/>
            </w:pPr>
            <w:r w:rsidRPr="006319D3">
              <w:t xml:space="preserve">Attiecībā uz Regulatora pienākumu pārrobežu jautājumos sadarboties ar citu dalībvalstu regulatīvajām iestādēm un </w:t>
            </w:r>
            <w:proofErr w:type="spellStart"/>
            <w:r w:rsidRPr="006319D3">
              <w:t>Energoregulatoru</w:t>
            </w:r>
            <w:proofErr w:type="spellEnd"/>
            <w:r w:rsidRPr="006319D3">
              <w:t xml:space="preserve"> sadarbības aģentūru Direktīvas 2009/73/EK 41.panta 1.punkta c) apakšpunkta redakcija nav mainījusies (šāds pats pienākums regulatīvajām iestādēm ir noteikts arī elektroenerģijas apgādē). Ja Enerģētikas likumā ietver šādu Regulatora pienākumu, tas būtu attiecināms ne tikai uz dabasgāzes apgādi, bet arī elektroapgādi un attiecīgi ietverams Enerģētikas likuma 84.panta pirmajā daļā. Turklāt Regulators norāda, ka Direktīvas 2009/73/EK 41.panta 1.punkta c) apakšpunktā nav noteikta obligāta prasība Regulatoram sadarboties ar trešo valstu iestādēm, bet paredzēts, ka šāda sadarbība var notikt. Līdz ar to nepieciešams precizēt </w:t>
            </w:r>
            <w:r w:rsidRPr="006319D3">
              <w:lastRenderedPageBreak/>
              <w:t>Likumprojekta 4.pantā noteikto, kā arī Likumprojekta anotāciju.</w:t>
            </w:r>
          </w:p>
          <w:p w14:paraId="61E541B5" w14:textId="445010F9" w:rsidR="000011D6" w:rsidRPr="006319D3" w:rsidRDefault="000011D6" w:rsidP="006319D3">
            <w:pPr>
              <w:pStyle w:val="naisc"/>
              <w:spacing w:before="60" w:after="60"/>
              <w:jc w:val="both"/>
            </w:pPr>
          </w:p>
        </w:tc>
        <w:tc>
          <w:tcPr>
            <w:tcW w:w="3260" w:type="dxa"/>
            <w:gridSpan w:val="3"/>
            <w:vMerge w:val="restart"/>
            <w:tcBorders>
              <w:top w:val="single" w:sz="6" w:space="0" w:color="000000"/>
              <w:left w:val="single" w:sz="6" w:space="0" w:color="000000"/>
              <w:right w:val="single" w:sz="6" w:space="0" w:color="000000"/>
            </w:tcBorders>
            <w:shd w:val="clear" w:color="auto" w:fill="FFFFFF" w:themeFill="background1"/>
          </w:tcPr>
          <w:p w14:paraId="6BE4324B" w14:textId="5D689E6C" w:rsidR="000011D6" w:rsidRPr="006319D3" w:rsidRDefault="000011D6" w:rsidP="006319D3">
            <w:pPr>
              <w:pStyle w:val="naisc"/>
              <w:spacing w:before="60" w:after="60"/>
              <w:ind w:firstLine="5"/>
              <w:jc w:val="both"/>
              <w:rPr>
                <w:b/>
              </w:rPr>
            </w:pPr>
            <w:r w:rsidRPr="006319D3">
              <w:rPr>
                <w:b/>
              </w:rPr>
              <w:lastRenderedPageBreak/>
              <w:t>Ņemts vērā</w:t>
            </w:r>
          </w:p>
          <w:p w14:paraId="3316AD5F" w14:textId="71BE7AC2" w:rsidR="000011D6" w:rsidRPr="006319D3" w:rsidRDefault="0019757F" w:rsidP="006319D3">
            <w:pPr>
              <w:pStyle w:val="naisc"/>
              <w:spacing w:before="60" w:after="60"/>
              <w:ind w:firstLine="5"/>
              <w:jc w:val="both"/>
              <w:rPr>
                <w:bCs/>
              </w:rPr>
            </w:pPr>
            <w:r w:rsidRPr="006319D3">
              <w:rPr>
                <w:bCs/>
              </w:rPr>
              <w:t xml:space="preserve">Ekonomikas ministrija pēc atkārtotās saskaņošanas atbilstoši precizējusi likumprojektu un saskaņā ar Regulatora norādi konkrēto </w:t>
            </w:r>
            <w:r w:rsidRPr="006319D3">
              <w:rPr>
                <w:bCs/>
              </w:rPr>
              <w:lastRenderedPageBreak/>
              <w:t xml:space="preserve">normu ietvers Enerģētikas likuma 84.panta pirmajā daļā, atbilstoši precizējot anotāciju. </w:t>
            </w:r>
          </w:p>
        </w:tc>
        <w:tc>
          <w:tcPr>
            <w:tcW w:w="2667" w:type="dxa"/>
            <w:vMerge w:val="restart"/>
            <w:tcBorders>
              <w:top w:val="single" w:sz="4" w:space="0" w:color="auto"/>
              <w:left w:val="single" w:sz="4" w:space="0" w:color="auto"/>
            </w:tcBorders>
            <w:shd w:val="clear" w:color="auto" w:fill="FFFFFF" w:themeFill="background1"/>
          </w:tcPr>
          <w:p w14:paraId="039A7912" w14:textId="42137C72" w:rsidR="000011D6" w:rsidRPr="006319D3" w:rsidRDefault="000011D6" w:rsidP="006319D3">
            <w:pPr>
              <w:pStyle w:val="naisc"/>
              <w:spacing w:before="60" w:after="60"/>
              <w:ind w:firstLine="33"/>
              <w:jc w:val="both"/>
            </w:pPr>
            <w:bookmarkStart w:id="1" w:name="_Hlk37769912"/>
            <w:r w:rsidRPr="006319D3">
              <w:rPr>
                <w:color w:val="000000" w:themeColor="text1"/>
              </w:rPr>
              <w:lastRenderedPageBreak/>
              <w:t>8</w:t>
            </w:r>
            <w:r w:rsidR="002E52FA" w:rsidRPr="006319D3">
              <w:rPr>
                <w:color w:val="000000" w:themeColor="text1"/>
              </w:rPr>
              <w:t>4</w:t>
            </w:r>
            <w:r w:rsidRPr="006319D3">
              <w:rPr>
                <w:color w:val="000000" w:themeColor="text1"/>
              </w:rPr>
              <w:t>.panta  pirmā daļa</w:t>
            </w:r>
          </w:p>
          <w:p w14:paraId="58234DFA" w14:textId="0FFDD6C3" w:rsidR="000011D6" w:rsidRPr="006319D3" w:rsidRDefault="000011D6" w:rsidP="006319D3">
            <w:pPr>
              <w:pStyle w:val="naisc"/>
              <w:spacing w:before="60" w:after="60"/>
              <w:ind w:firstLine="33"/>
              <w:jc w:val="both"/>
            </w:pPr>
          </w:p>
          <w:p w14:paraId="0805EF94" w14:textId="144BFD13" w:rsidR="000011D6" w:rsidRPr="006319D3" w:rsidRDefault="004C5F63" w:rsidP="006319D3">
            <w:pPr>
              <w:spacing w:before="60" w:after="60"/>
              <w:jc w:val="both"/>
              <w:rPr>
                <w:highlight w:val="yellow"/>
                <w:u w:val="single"/>
              </w:rPr>
            </w:pPr>
            <w:r w:rsidRPr="006319D3">
              <w:rPr>
                <w:u w:val="single"/>
              </w:rPr>
              <w:t xml:space="preserve">4) pārrobežu jautājumos sadarbojas ar </w:t>
            </w:r>
            <w:proofErr w:type="spellStart"/>
            <w:r w:rsidRPr="006319D3">
              <w:rPr>
                <w:u w:val="single"/>
              </w:rPr>
              <w:t>Energoregulatoru</w:t>
            </w:r>
            <w:proofErr w:type="spellEnd"/>
            <w:r w:rsidRPr="006319D3">
              <w:rPr>
                <w:u w:val="single"/>
              </w:rPr>
              <w:t xml:space="preserve"> sadarbības aģentūru un </w:t>
            </w:r>
            <w:r w:rsidRPr="006319D3">
              <w:rPr>
                <w:u w:val="single"/>
              </w:rPr>
              <w:lastRenderedPageBreak/>
              <w:t>citu valstu regulatīvajām iestādēm, kā arī trešo valstu attiecīgajām iestādēm, ja jautājums skar Latvijas  Republikas dabasgāzes vai elektroenerģijas infrastruktūru uz vai no trešās valsts;</w:t>
            </w:r>
            <w:bookmarkEnd w:id="1"/>
          </w:p>
        </w:tc>
      </w:tr>
      <w:tr w:rsidR="000011D6" w:rsidRPr="006319D3" w14:paraId="07050B8A" w14:textId="77777777" w:rsidTr="00B83B9D">
        <w:tc>
          <w:tcPr>
            <w:tcW w:w="675" w:type="dxa"/>
            <w:vMerge/>
            <w:tcBorders>
              <w:left w:val="single" w:sz="6" w:space="0" w:color="000000"/>
              <w:bottom w:val="single" w:sz="6" w:space="0" w:color="000000"/>
              <w:right w:val="single" w:sz="6" w:space="0" w:color="000000"/>
            </w:tcBorders>
            <w:shd w:val="clear" w:color="auto" w:fill="FFFFFF" w:themeFill="background1"/>
          </w:tcPr>
          <w:p w14:paraId="34A869AF" w14:textId="77777777" w:rsidR="000011D6" w:rsidRPr="006319D3" w:rsidRDefault="000011D6" w:rsidP="006319D3">
            <w:pPr>
              <w:pStyle w:val="naisc"/>
              <w:spacing w:before="60" w:after="60"/>
              <w:jc w:val="both"/>
            </w:pPr>
          </w:p>
        </w:tc>
        <w:tc>
          <w:tcPr>
            <w:tcW w:w="3119" w:type="dxa"/>
            <w:gridSpan w:val="2"/>
            <w:vMerge/>
            <w:tcBorders>
              <w:left w:val="single" w:sz="6" w:space="0" w:color="000000"/>
              <w:bottom w:val="single" w:sz="6" w:space="0" w:color="000000"/>
              <w:right w:val="single" w:sz="6" w:space="0" w:color="000000"/>
            </w:tcBorders>
            <w:shd w:val="clear" w:color="auto" w:fill="FFFFFF" w:themeFill="background1"/>
          </w:tcPr>
          <w:p w14:paraId="3BEB3A49" w14:textId="77777777" w:rsidR="000011D6" w:rsidRPr="006319D3" w:rsidRDefault="000011D6" w:rsidP="006319D3">
            <w:pPr>
              <w:pStyle w:val="naisc"/>
              <w:spacing w:before="60" w:after="60"/>
              <w:ind w:firstLine="33"/>
              <w:jc w:val="both"/>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795165" w14:textId="62DD1D0A" w:rsidR="000011D6" w:rsidRPr="006319D3" w:rsidRDefault="000011D6" w:rsidP="006319D3">
            <w:pPr>
              <w:pStyle w:val="naisc"/>
              <w:spacing w:before="60" w:after="60"/>
              <w:jc w:val="both"/>
              <w:rPr>
                <w:b/>
                <w:bCs/>
              </w:rPr>
            </w:pPr>
            <w:r w:rsidRPr="006319D3">
              <w:rPr>
                <w:b/>
                <w:bCs/>
              </w:rPr>
              <w:t>Sabiedrisko pakalpojumu regulēšanas komisija (08.04.2020. atzinums)</w:t>
            </w:r>
          </w:p>
          <w:p w14:paraId="712DB99C" w14:textId="77777777" w:rsidR="000011D6" w:rsidRPr="006319D3" w:rsidRDefault="000011D6" w:rsidP="006319D3">
            <w:pPr>
              <w:pStyle w:val="naisc"/>
              <w:spacing w:before="60" w:after="60"/>
              <w:jc w:val="both"/>
              <w:rPr>
                <w:b/>
                <w:bCs/>
              </w:rPr>
            </w:pPr>
          </w:p>
          <w:p w14:paraId="5E0C1BF2" w14:textId="4ACAAB4E" w:rsidR="000011D6" w:rsidRPr="006319D3" w:rsidRDefault="000011D6" w:rsidP="006319D3">
            <w:pPr>
              <w:pStyle w:val="naisc"/>
              <w:spacing w:before="60" w:after="60"/>
              <w:jc w:val="both"/>
            </w:pPr>
            <w:r w:rsidRPr="006319D3">
              <w:t xml:space="preserve">Saskaņā ar Likumprojekta anotāciju ar grozījumiem Enerģētikas likuma 82.pantā (papildinot tā pirmo daļu ar ceturto un piekto punktu) tiek pārņemtas Direktīvas 2009/73/EK 41.panta 1.punkta c) apakšpunkta, 42.panta 6.punkta un 49.a panta prasības, kas nosaka regulatīvās iestādes pienākumus un pilnvaras attiecībā uz dabasgāzes pārvades līnijām uz trešajām valstīm un no tām. Regulators atkārtoti norāda, ka Enerģētikas likuma 82.panta pirmā daļa nosaka Regulatora pienākumus attiecībā uz energoapgādes komersantu objektu ekspluatācijas kontroli, tāpēc tajā nav pamata iekļaut normas, kas nav saistītas ar šo Regulatora pienākumu. Minētās normas ir ietveramas Enerģētikas likuma 84.panta pirmajā daļā, kas nosaka Regulatora vispārējās funkcijas, un jāveic attiecīgas izmaiņas anotācijā. Ievērojot, ka Likumprojektā nav ņemts vērā Regulatora iebildums par minētā regulējuma iekļaušanu Enerģētikas likuma 84.pantā, izziņas par izteiktajiem iebildumiem </w:t>
            </w:r>
            <w:proofErr w:type="spellStart"/>
            <w:r w:rsidRPr="006319D3">
              <w:t>II.nodaļas</w:t>
            </w:r>
            <w:proofErr w:type="spellEnd"/>
            <w:r w:rsidRPr="006319D3">
              <w:t xml:space="preserve"> 2.punktā norādāms, ka Regulatora iebildums nav ņemts </w:t>
            </w:r>
            <w:r w:rsidRPr="006319D3">
              <w:lastRenderedPageBreak/>
              <w:t xml:space="preserve">vērā, un šis iebildums norādāms izziņas </w:t>
            </w:r>
            <w:proofErr w:type="spellStart"/>
            <w:r w:rsidRPr="006319D3">
              <w:t>I.nodaļā</w:t>
            </w:r>
            <w:proofErr w:type="spellEnd"/>
            <w:r w:rsidRPr="006319D3">
              <w:t>.</w:t>
            </w:r>
          </w:p>
          <w:p w14:paraId="5C1AB576" w14:textId="07B05FD0" w:rsidR="002E52FA" w:rsidRPr="006319D3" w:rsidRDefault="002E52FA" w:rsidP="006319D3">
            <w:pPr>
              <w:pStyle w:val="naisc"/>
              <w:spacing w:before="60" w:after="60"/>
              <w:jc w:val="both"/>
            </w:pPr>
          </w:p>
          <w:p w14:paraId="14587047" w14:textId="56817778" w:rsidR="002E52FA" w:rsidRPr="006319D3" w:rsidRDefault="002E52FA" w:rsidP="006319D3">
            <w:pPr>
              <w:pStyle w:val="naisc"/>
              <w:spacing w:before="60" w:after="60"/>
              <w:jc w:val="both"/>
            </w:pPr>
            <w:r w:rsidRPr="006319D3">
              <w:t xml:space="preserve">Papildus minētajam ir nepieciešams precizēt Likumprojekta 6.pantā ietverto normu redakcijas, ņemot vērā to, ka </w:t>
            </w:r>
            <w:bookmarkStart w:id="2" w:name="_Hlk37769837"/>
            <w:r w:rsidRPr="006319D3">
              <w:t xml:space="preserve">likumā uzliktais pienākums nevar būt nekonkrēts (šobrīd Likumprojekta redakcijā ietverts pienākums “iespējams sadarboties”). Turklāt pienākumam sniegt viedokli par atkāpes piemērošanu būtu jābūt atkarīgam nevis no citas Eiropas Savienības dalībvalsts lūguma, bet gan no tā, vai attiecīgais </w:t>
            </w:r>
            <w:proofErr w:type="spellStart"/>
            <w:r w:rsidRPr="006319D3">
              <w:t>starpsavienojums</w:t>
            </w:r>
            <w:proofErr w:type="spellEnd"/>
            <w:r w:rsidRPr="006319D3">
              <w:t xml:space="preserve"> skar Latvijas intereses.</w:t>
            </w:r>
          </w:p>
          <w:bookmarkEnd w:id="2"/>
          <w:p w14:paraId="4A27E8F2" w14:textId="73E973CB" w:rsidR="000011D6" w:rsidRPr="006319D3" w:rsidRDefault="000011D6" w:rsidP="006319D3">
            <w:pPr>
              <w:pStyle w:val="naisc"/>
              <w:spacing w:before="60" w:after="60"/>
              <w:jc w:val="both"/>
              <w:rPr>
                <w:b/>
                <w:bCs/>
              </w:rPr>
            </w:pPr>
          </w:p>
        </w:tc>
        <w:tc>
          <w:tcPr>
            <w:tcW w:w="3260" w:type="dxa"/>
            <w:gridSpan w:val="3"/>
            <w:vMerge/>
            <w:tcBorders>
              <w:left w:val="single" w:sz="6" w:space="0" w:color="000000"/>
              <w:bottom w:val="single" w:sz="6" w:space="0" w:color="000000"/>
              <w:right w:val="single" w:sz="6" w:space="0" w:color="000000"/>
            </w:tcBorders>
            <w:shd w:val="clear" w:color="auto" w:fill="FFFFFF" w:themeFill="background1"/>
          </w:tcPr>
          <w:p w14:paraId="7820715D" w14:textId="77777777" w:rsidR="000011D6" w:rsidRPr="006319D3" w:rsidRDefault="000011D6" w:rsidP="006319D3">
            <w:pPr>
              <w:pStyle w:val="naisc"/>
              <w:spacing w:before="60" w:after="60"/>
              <w:ind w:firstLine="5"/>
              <w:jc w:val="both"/>
              <w:rPr>
                <w:b/>
              </w:rPr>
            </w:pPr>
          </w:p>
        </w:tc>
        <w:tc>
          <w:tcPr>
            <w:tcW w:w="2667" w:type="dxa"/>
            <w:vMerge/>
            <w:tcBorders>
              <w:left w:val="single" w:sz="4" w:space="0" w:color="auto"/>
              <w:bottom w:val="single" w:sz="4" w:space="0" w:color="auto"/>
            </w:tcBorders>
            <w:shd w:val="clear" w:color="auto" w:fill="FFFFFF" w:themeFill="background1"/>
          </w:tcPr>
          <w:p w14:paraId="0FA9FABE" w14:textId="77777777" w:rsidR="000011D6" w:rsidRPr="006319D3" w:rsidRDefault="000011D6" w:rsidP="006319D3">
            <w:pPr>
              <w:pStyle w:val="naisc"/>
              <w:spacing w:before="60" w:after="60"/>
              <w:ind w:firstLine="33"/>
              <w:jc w:val="both"/>
            </w:pPr>
          </w:p>
        </w:tc>
      </w:tr>
      <w:tr w:rsidR="00D30EF8" w:rsidRPr="006319D3" w14:paraId="49F29A1A" w14:textId="77777777" w:rsidTr="00B83B9D">
        <w:tc>
          <w:tcPr>
            <w:tcW w:w="675" w:type="dxa"/>
            <w:vMerge w:val="restart"/>
            <w:tcBorders>
              <w:top w:val="single" w:sz="6" w:space="0" w:color="000000"/>
              <w:left w:val="single" w:sz="6" w:space="0" w:color="000000"/>
              <w:right w:val="single" w:sz="6" w:space="0" w:color="000000"/>
            </w:tcBorders>
            <w:shd w:val="clear" w:color="auto" w:fill="FFFFFF" w:themeFill="background1"/>
          </w:tcPr>
          <w:p w14:paraId="15099B9F" w14:textId="6F5AE8EE" w:rsidR="00D30EF8" w:rsidRPr="006319D3" w:rsidRDefault="00F95739" w:rsidP="006319D3">
            <w:pPr>
              <w:pStyle w:val="naisc"/>
              <w:spacing w:before="60" w:after="60"/>
              <w:jc w:val="both"/>
            </w:pPr>
            <w:r w:rsidRPr="006319D3">
              <w:t>7.</w:t>
            </w:r>
          </w:p>
        </w:tc>
        <w:tc>
          <w:tcPr>
            <w:tcW w:w="3119" w:type="dxa"/>
            <w:gridSpan w:val="2"/>
            <w:vMerge w:val="restart"/>
            <w:tcBorders>
              <w:top w:val="single" w:sz="6" w:space="0" w:color="000000"/>
              <w:left w:val="single" w:sz="6" w:space="0" w:color="000000"/>
              <w:right w:val="single" w:sz="6" w:space="0" w:color="000000"/>
            </w:tcBorders>
            <w:shd w:val="clear" w:color="auto" w:fill="FFFFFF" w:themeFill="background1"/>
          </w:tcPr>
          <w:p w14:paraId="5D0639E1" w14:textId="5991FDDC" w:rsidR="00D30EF8" w:rsidRPr="006319D3" w:rsidRDefault="00D30EF8" w:rsidP="006319D3">
            <w:pPr>
              <w:pStyle w:val="naisc"/>
              <w:spacing w:before="60" w:after="60"/>
              <w:ind w:firstLine="33"/>
              <w:jc w:val="both"/>
            </w:pPr>
            <w:r w:rsidRPr="006319D3">
              <w:t>82.panta  pirmās daļas</w:t>
            </w:r>
          </w:p>
          <w:p w14:paraId="50C4C493" w14:textId="77777777" w:rsidR="00D30EF8" w:rsidRPr="006319D3" w:rsidRDefault="00D30EF8" w:rsidP="006319D3">
            <w:pPr>
              <w:pStyle w:val="naisc"/>
              <w:spacing w:before="60" w:after="60"/>
              <w:ind w:firstLine="33"/>
              <w:jc w:val="both"/>
            </w:pPr>
          </w:p>
          <w:p w14:paraId="2CA3EDEB" w14:textId="52E7672C" w:rsidR="00D30EF8" w:rsidRPr="006319D3" w:rsidRDefault="00D30EF8" w:rsidP="006319D3">
            <w:pPr>
              <w:pStyle w:val="naisc"/>
              <w:spacing w:before="60" w:after="60"/>
              <w:ind w:firstLine="33"/>
              <w:jc w:val="both"/>
            </w:pPr>
            <w:r w:rsidRPr="006319D3">
              <w:t>5) sniegt viedokli, ja kāda no Eiropas Savienības dalībvalstīm lūdz piedalīties konsultācijā par atkāpes piemērošanu dabasgāzes pārvades līnijām starp Eiropas Savienības dalībvalsti un trešo valsti.</w:t>
            </w: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9FF421" w14:textId="27B62B92" w:rsidR="00D30EF8" w:rsidRPr="006319D3" w:rsidRDefault="00D30EF8" w:rsidP="006319D3">
            <w:pPr>
              <w:pStyle w:val="naisc"/>
              <w:spacing w:before="60" w:after="60"/>
              <w:jc w:val="both"/>
              <w:rPr>
                <w:b/>
                <w:bCs/>
              </w:rPr>
            </w:pPr>
            <w:r w:rsidRPr="006319D3">
              <w:rPr>
                <w:b/>
                <w:bCs/>
              </w:rPr>
              <w:t>Sabiedrisko pakalpojumu regulēšanas komisija (06.03.2020. atzinums)</w:t>
            </w:r>
          </w:p>
          <w:p w14:paraId="12B256A9" w14:textId="77777777" w:rsidR="00D30EF8" w:rsidRPr="006319D3" w:rsidRDefault="00D30EF8" w:rsidP="006319D3">
            <w:pPr>
              <w:pStyle w:val="naisc"/>
              <w:spacing w:before="60" w:after="60"/>
              <w:jc w:val="both"/>
              <w:rPr>
                <w:b/>
                <w:bCs/>
              </w:rPr>
            </w:pPr>
          </w:p>
          <w:p w14:paraId="2C65797F" w14:textId="77777777" w:rsidR="00D30EF8" w:rsidRPr="006319D3" w:rsidRDefault="00D30EF8" w:rsidP="006319D3">
            <w:pPr>
              <w:pStyle w:val="CommentText"/>
              <w:spacing w:before="60" w:after="60"/>
              <w:jc w:val="both"/>
              <w:rPr>
                <w:sz w:val="24"/>
                <w:szCs w:val="24"/>
              </w:rPr>
            </w:pPr>
            <w:r w:rsidRPr="006319D3">
              <w:rPr>
                <w:sz w:val="24"/>
                <w:szCs w:val="24"/>
                <w:lang w:eastAsia="x-none"/>
              </w:rPr>
              <w:t xml:space="preserve">Likumprojekta anotācijā noteikts, ka Direktīvas 2009/73/EK 49.a pants “Atkāpes attiecībā uz pārvades līnijām uz </w:t>
            </w:r>
            <w:proofErr w:type="spellStart"/>
            <w:r w:rsidRPr="006319D3">
              <w:rPr>
                <w:sz w:val="24"/>
                <w:szCs w:val="24"/>
                <w:lang w:eastAsia="x-none"/>
              </w:rPr>
              <w:t>trešām</w:t>
            </w:r>
            <w:proofErr w:type="spellEnd"/>
            <w:r w:rsidRPr="006319D3">
              <w:rPr>
                <w:sz w:val="24"/>
                <w:szCs w:val="24"/>
                <w:lang w:eastAsia="x-none"/>
              </w:rPr>
              <w:t xml:space="preserve"> valstīm un no tām” tiek pārņemts ar Enerģētikas likuma 82.panta piekto daļu (Likumprojektā tas ir 82.panta pirmās daļas 5.punkts), nosakot Regulatora pienākumu sniegt viedokli, ja kāda no Eiropas Savienības dalībvalstīm lūdz piedalīties konsultācijā par atkāpes piemērošanu dabasgāzes pārvades līnijām starp Eiropas Savienības dalībvalsti un trešo valsti. Regulators norāda:</w:t>
            </w:r>
          </w:p>
          <w:p w14:paraId="4BF2B901" w14:textId="77777777" w:rsidR="00D30EF8" w:rsidRPr="006319D3" w:rsidRDefault="00D30EF8" w:rsidP="006319D3">
            <w:pPr>
              <w:pStyle w:val="CommentText"/>
              <w:numPr>
                <w:ilvl w:val="0"/>
                <w:numId w:val="13"/>
              </w:numPr>
              <w:spacing w:before="60" w:after="60"/>
              <w:ind w:left="511"/>
              <w:jc w:val="both"/>
              <w:rPr>
                <w:sz w:val="24"/>
                <w:szCs w:val="24"/>
              </w:rPr>
            </w:pPr>
            <w:r w:rsidRPr="006319D3">
              <w:rPr>
                <w:sz w:val="24"/>
                <w:szCs w:val="24"/>
                <w:lang w:eastAsia="x-none"/>
              </w:rPr>
              <w:lastRenderedPageBreak/>
              <w:t>Direktīvas Nr.2009/73/EK 49.a pants neparedz vispārīgu regulatīvās iestādes pienākumu sniegt viedokli par atkāpes piemērošanu dabasgāzes pārvades līnijām starp jebkuru Eiropas Savienības dalībvalsti un trešo valsti. Minētais Direktīvas Nr.2009/73/EK pants atļauj dalībvalstīm noteiktos apstākļos atkāpties no atsevišķām Direktīvas Nr.2009/73/EK prasībām attiecībā uz dabasgāzes pārvades līnijām starp šo konkrēto valsti un trešo valsti. Ja attiecīgā pārvades līnija atrodas vairāk nekā vienas dalībvalsts teritorijā, iesaistītās dalībvalstis savstarpēji apspriežas;</w:t>
            </w:r>
          </w:p>
          <w:p w14:paraId="5565E976" w14:textId="77777777" w:rsidR="00D30EF8" w:rsidRPr="006319D3" w:rsidRDefault="00D30EF8" w:rsidP="006319D3">
            <w:pPr>
              <w:pStyle w:val="CommentText"/>
              <w:numPr>
                <w:ilvl w:val="0"/>
                <w:numId w:val="13"/>
              </w:numPr>
              <w:spacing w:before="60" w:after="60"/>
              <w:ind w:left="511"/>
              <w:jc w:val="both"/>
              <w:rPr>
                <w:sz w:val="24"/>
                <w:szCs w:val="24"/>
                <w:lang w:eastAsia="x-none"/>
              </w:rPr>
            </w:pPr>
            <w:r w:rsidRPr="006319D3">
              <w:rPr>
                <w:sz w:val="24"/>
                <w:szCs w:val="24"/>
                <w:lang w:eastAsia="x-none"/>
              </w:rPr>
              <w:t xml:space="preserve">Direktīvas Nr.2009/73/EK 49.a pants paredz atkāpes piešķiršanu tādai dabasgāzes pārvades līnijai, kas pabeigta pirms 2019.gada 23.maija. Lēmums par atkāpes piešķiršanu jāpieņem līdz 2020.gada 24.maijam. Likumprojekta anotācijā ir teikts, ka Latvijai nav tieša </w:t>
            </w:r>
            <w:proofErr w:type="spellStart"/>
            <w:r w:rsidRPr="006319D3">
              <w:rPr>
                <w:sz w:val="24"/>
                <w:szCs w:val="24"/>
                <w:lang w:eastAsia="x-none"/>
              </w:rPr>
              <w:t>starpsavienojuma</w:t>
            </w:r>
            <w:proofErr w:type="spellEnd"/>
            <w:r w:rsidRPr="006319D3">
              <w:rPr>
                <w:sz w:val="24"/>
                <w:szCs w:val="24"/>
                <w:lang w:eastAsia="x-none"/>
              </w:rPr>
              <w:t xml:space="preserve"> ar trešo valsti un Ekonomikas ministrijas rīcībā nav informācijas, ka šādus </w:t>
            </w:r>
            <w:proofErr w:type="spellStart"/>
            <w:r w:rsidRPr="006319D3">
              <w:rPr>
                <w:sz w:val="24"/>
                <w:szCs w:val="24"/>
                <w:lang w:eastAsia="x-none"/>
              </w:rPr>
              <w:t>starpsavienojumus</w:t>
            </w:r>
            <w:proofErr w:type="spellEnd"/>
            <w:r w:rsidRPr="006319D3">
              <w:rPr>
                <w:sz w:val="24"/>
                <w:szCs w:val="24"/>
                <w:lang w:eastAsia="x-none"/>
              </w:rPr>
              <w:t xml:space="preserve"> būtu iecerēts būvēt. Ņemot vērā minēto, var secināt ka Latvijai nebūs pamata piemērot minēto direktīvas pantu;</w:t>
            </w:r>
          </w:p>
          <w:p w14:paraId="4703E333" w14:textId="2F1A0189" w:rsidR="00D30EF8" w:rsidRPr="006319D3" w:rsidRDefault="00D30EF8" w:rsidP="006319D3">
            <w:pPr>
              <w:pStyle w:val="CommentText"/>
              <w:numPr>
                <w:ilvl w:val="0"/>
                <w:numId w:val="13"/>
              </w:numPr>
              <w:spacing w:before="60" w:after="60"/>
              <w:ind w:left="511"/>
              <w:jc w:val="both"/>
              <w:rPr>
                <w:sz w:val="24"/>
                <w:szCs w:val="24"/>
                <w:lang w:eastAsia="x-none"/>
              </w:rPr>
            </w:pPr>
            <w:r w:rsidRPr="006319D3">
              <w:rPr>
                <w:sz w:val="24"/>
                <w:szCs w:val="24"/>
                <w:lang w:eastAsia="x-none"/>
              </w:rPr>
              <w:t xml:space="preserve">ievērojot, ka atkāpes no atsevišķām Direktīvas Nr.2009/73/EK prasībām piešķiršana dabasgāzes pārvades līnijai </w:t>
            </w:r>
            <w:r w:rsidRPr="006319D3">
              <w:rPr>
                <w:sz w:val="24"/>
                <w:szCs w:val="24"/>
                <w:lang w:eastAsia="x-none"/>
              </w:rPr>
              <w:lastRenderedPageBreak/>
              <w:t>nav tikai dabasgāzes apgādes regulēšanas jautājums, bet arī nozares politikas jautājums, kas ir Ekonomikas ministrijas kompetence, nepieciešams veikt izmaiņas Likumprojektā un tā anotācijā, paredzot papildināt Enerģētikas likuma 106.pantu ar jaunu daļu un Ekonomikas ministrijas pienākumu sniegt viedokli par atkāpes piemērošanu dabasgāzes pārvades līnijām starp dalībvalsti un trešo valsti, kas pabeigtas pirms 2019.gada 23.maija.</w:t>
            </w:r>
          </w:p>
          <w:p w14:paraId="27EB0AF8" w14:textId="4AAF6D60" w:rsidR="00D30EF8" w:rsidRPr="006319D3" w:rsidRDefault="00D30EF8" w:rsidP="006319D3">
            <w:pPr>
              <w:pStyle w:val="naisc"/>
              <w:spacing w:before="60" w:after="60"/>
              <w:jc w:val="both"/>
              <w:rPr>
                <w:b/>
                <w:bCs/>
              </w:rPr>
            </w:pPr>
          </w:p>
        </w:tc>
        <w:tc>
          <w:tcPr>
            <w:tcW w:w="3260" w:type="dxa"/>
            <w:gridSpan w:val="3"/>
            <w:vMerge w:val="restart"/>
            <w:tcBorders>
              <w:top w:val="single" w:sz="6" w:space="0" w:color="000000"/>
              <w:left w:val="single" w:sz="6" w:space="0" w:color="000000"/>
              <w:right w:val="single" w:sz="6" w:space="0" w:color="000000"/>
            </w:tcBorders>
            <w:shd w:val="clear" w:color="auto" w:fill="FFFFFF" w:themeFill="background1"/>
          </w:tcPr>
          <w:p w14:paraId="03012656" w14:textId="0934D4B4" w:rsidR="00D30EF8" w:rsidRPr="006319D3" w:rsidRDefault="00D30EF8" w:rsidP="006319D3">
            <w:pPr>
              <w:pStyle w:val="naisc"/>
              <w:spacing w:before="60" w:after="60"/>
              <w:ind w:firstLine="5"/>
              <w:jc w:val="both"/>
              <w:rPr>
                <w:b/>
              </w:rPr>
            </w:pPr>
            <w:r w:rsidRPr="006319D3">
              <w:rPr>
                <w:b/>
              </w:rPr>
              <w:lastRenderedPageBreak/>
              <w:t>Daļēji ņemts vērā</w:t>
            </w:r>
          </w:p>
          <w:p w14:paraId="41F033E6" w14:textId="240878D4" w:rsidR="00D30EF8" w:rsidRPr="006319D3" w:rsidRDefault="00D30EF8" w:rsidP="006319D3">
            <w:pPr>
              <w:pStyle w:val="naisc"/>
              <w:spacing w:before="60" w:after="60"/>
              <w:ind w:firstLine="5"/>
              <w:jc w:val="both"/>
            </w:pPr>
            <w:r w:rsidRPr="006319D3">
              <w:t xml:space="preserve">Saskaņā ar Regulatora 08.04.2020. atzinumu ņemta vērā norāde, ka norma iekļaujam 84.panta pirmajā daļā, nevis kā sākotnēji piedāvāts – 82.panta pirmajā daļā. </w:t>
            </w:r>
          </w:p>
          <w:p w14:paraId="6B6EC4BA" w14:textId="74102F95" w:rsidR="00D30EF8" w:rsidRPr="006319D3" w:rsidRDefault="00D30EF8" w:rsidP="006319D3">
            <w:pPr>
              <w:pStyle w:val="naisc"/>
              <w:spacing w:before="60" w:after="60"/>
              <w:ind w:firstLine="5"/>
              <w:jc w:val="both"/>
            </w:pPr>
          </w:p>
          <w:p w14:paraId="0CD1412A" w14:textId="7357E92C" w:rsidR="00D30EF8" w:rsidRPr="006319D3" w:rsidRDefault="00D30EF8" w:rsidP="006319D3">
            <w:pPr>
              <w:pStyle w:val="naisc"/>
              <w:spacing w:before="60" w:after="60"/>
              <w:ind w:firstLine="5"/>
              <w:jc w:val="both"/>
            </w:pPr>
            <w:r w:rsidRPr="006319D3">
              <w:t xml:space="preserve">Savukārt par Regulatora 06.03.2020. atzinumu Ekonomikas ministrija norāda, ka minēto atkāpju piemērošana notiek izvērtējot praktiskus apsvērumus, kas skar </w:t>
            </w:r>
            <w:r w:rsidRPr="006319D3">
              <w:lastRenderedPageBreak/>
              <w:t xml:space="preserve">regulatīvās iestādes pienākumus, nevis balstoties uz politikas plānošanas apsvērumiem. Tieši Regulators ir tas, kas var vērtēt atkāpju piemērošanu, jo jau šobrīd Enerģētikas likumā tam ietverta šāda kompetence Latvijas Republikā, tostarp, noteikti daudz būtisku kritēriju, kurus Regulators ņem vērā vērtējot katru konkrēto atkāpes piemērošanu esošam energoapgādes komersantam, kas to lūdz. Līdz ar to būtu likumsakarīgi, ka Regulators, kā šajā jautājumā kompetenta un pieredzējusi institūcija, sniegtu savu viedokli, ja to lūgtu cita Eiropas Savienības dalībvalsts. Tostarp, būtiski norādīt, ka šāda viedokļa lūgšana ir ne tikai rets gadījums, bet jāizceļ, ka šīs konsultācijas (piemēram, nesen skatot jautājumu par atkāpes piemērošanu </w:t>
            </w:r>
            <w:r w:rsidRPr="006319D3">
              <w:rPr>
                <w:i/>
                <w:iCs/>
              </w:rPr>
              <w:t xml:space="preserve">Nord </w:t>
            </w:r>
            <w:proofErr w:type="spellStart"/>
            <w:r w:rsidRPr="006319D3">
              <w:rPr>
                <w:i/>
                <w:iCs/>
              </w:rPr>
              <w:t>Stream</w:t>
            </w:r>
            <w:proofErr w:type="spellEnd"/>
            <w:r w:rsidRPr="006319D3">
              <w:rPr>
                <w:i/>
                <w:iCs/>
              </w:rPr>
              <w:t xml:space="preserve"> 2</w:t>
            </w:r>
            <w:r w:rsidRPr="006319D3">
              <w:t xml:space="preserve"> gāzesvadam) organizē, vada un viedokli lūdz citas valsts regulatīvā iestāde (nevis ministrija). </w:t>
            </w:r>
          </w:p>
          <w:p w14:paraId="5A7F52A7" w14:textId="03EAD7BC" w:rsidR="00D30EF8" w:rsidRPr="006319D3" w:rsidRDefault="00D30EF8" w:rsidP="006319D3">
            <w:pPr>
              <w:pStyle w:val="naisc"/>
              <w:spacing w:before="60" w:after="60"/>
              <w:ind w:firstLine="5"/>
              <w:jc w:val="both"/>
            </w:pPr>
            <w:r w:rsidRPr="006319D3">
              <w:t xml:space="preserve">Saskaņā ar jau šobrīd Enerģētikas likumā nostiprinātajām normām </w:t>
            </w:r>
            <w:r w:rsidRPr="006319D3">
              <w:lastRenderedPageBreak/>
              <w:t>Regulators pieņem lēmumus par dažādām atkāpēm un tas noteikts, piemēram, Enerģētikas likuma 45.</w:t>
            </w:r>
            <w:r w:rsidRPr="006319D3">
              <w:rPr>
                <w:vertAlign w:val="superscript"/>
              </w:rPr>
              <w:t>3</w:t>
            </w:r>
            <w:r w:rsidRPr="006319D3">
              <w:t xml:space="preserve"> pantā un 110.pantā. </w:t>
            </w:r>
          </w:p>
          <w:p w14:paraId="7566C520" w14:textId="02A56539" w:rsidR="00D30EF8" w:rsidRPr="006319D3" w:rsidRDefault="00D30EF8" w:rsidP="006319D3">
            <w:pPr>
              <w:pStyle w:val="naisc"/>
              <w:spacing w:before="60" w:after="60"/>
              <w:ind w:firstLine="5"/>
              <w:jc w:val="both"/>
            </w:pPr>
          </w:p>
          <w:p w14:paraId="1E28F448" w14:textId="77777777" w:rsidR="00D30EF8" w:rsidRPr="006319D3" w:rsidRDefault="00D30EF8" w:rsidP="006319D3">
            <w:pPr>
              <w:pStyle w:val="naisc"/>
              <w:spacing w:before="60" w:after="60"/>
              <w:ind w:firstLine="5"/>
              <w:jc w:val="both"/>
            </w:pPr>
          </w:p>
          <w:p w14:paraId="7F108137" w14:textId="46D3998F" w:rsidR="00D30EF8" w:rsidRPr="006319D3" w:rsidRDefault="00D30EF8" w:rsidP="006319D3">
            <w:pPr>
              <w:pStyle w:val="naisc"/>
              <w:spacing w:before="60" w:after="60"/>
              <w:ind w:firstLine="5"/>
              <w:jc w:val="both"/>
            </w:pPr>
          </w:p>
        </w:tc>
        <w:tc>
          <w:tcPr>
            <w:tcW w:w="2667" w:type="dxa"/>
            <w:vMerge w:val="restart"/>
            <w:tcBorders>
              <w:top w:val="single" w:sz="4" w:space="0" w:color="auto"/>
              <w:left w:val="single" w:sz="4" w:space="0" w:color="auto"/>
            </w:tcBorders>
            <w:shd w:val="clear" w:color="auto" w:fill="FFFFFF" w:themeFill="background1"/>
          </w:tcPr>
          <w:p w14:paraId="16EB6185" w14:textId="68F6EA5A" w:rsidR="00D30EF8" w:rsidRPr="006319D3" w:rsidRDefault="00D30EF8" w:rsidP="006319D3">
            <w:pPr>
              <w:spacing w:before="60" w:after="60"/>
              <w:jc w:val="both"/>
            </w:pPr>
            <w:r w:rsidRPr="006319D3">
              <w:lastRenderedPageBreak/>
              <w:t>84.panta  pirmā daļa</w:t>
            </w:r>
          </w:p>
          <w:p w14:paraId="5F08DA98" w14:textId="77777777" w:rsidR="00D30EF8" w:rsidRPr="006319D3" w:rsidRDefault="00D30EF8" w:rsidP="006319D3">
            <w:pPr>
              <w:spacing w:before="60" w:after="60"/>
              <w:jc w:val="both"/>
            </w:pPr>
          </w:p>
          <w:p w14:paraId="373A12DE" w14:textId="3EC0BCFC" w:rsidR="00D30EF8" w:rsidRPr="006319D3" w:rsidRDefault="004C5F63" w:rsidP="006319D3">
            <w:pPr>
              <w:spacing w:before="60" w:after="60"/>
              <w:jc w:val="both"/>
              <w:rPr>
                <w:highlight w:val="yellow"/>
                <w:u w:val="single"/>
              </w:rPr>
            </w:pPr>
            <w:r w:rsidRPr="006319D3">
              <w:rPr>
                <w:u w:val="single"/>
              </w:rPr>
              <w:t>5) savas kompetences ietvaros sniedz viedokli citas valsts regulatīvajai iestādei par atkāpes piemērošanu dabasgāzes pārvades līnijai starp citu Eiropas Savienības dalībvalsti un trešo valsti, ja tas skar Latvijas Republikas intereses.</w:t>
            </w:r>
          </w:p>
        </w:tc>
      </w:tr>
      <w:tr w:rsidR="00D30EF8" w:rsidRPr="006319D3" w14:paraId="2B861218" w14:textId="77777777" w:rsidTr="00B83B9D">
        <w:tc>
          <w:tcPr>
            <w:tcW w:w="675" w:type="dxa"/>
            <w:vMerge/>
            <w:tcBorders>
              <w:left w:val="single" w:sz="6" w:space="0" w:color="000000"/>
              <w:bottom w:val="single" w:sz="6" w:space="0" w:color="000000"/>
              <w:right w:val="single" w:sz="6" w:space="0" w:color="000000"/>
            </w:tcBorders>
            <w:shd w:val="clear" w:color="auto" w:fill="FFFFFF" w:themeFill="background1"/>
          </w:tcPr>
          <w:p w14:paraId="110F44E8" w14:textId="77777777" w:rsidR="00D30EF8" w:rsidRPr="006319D3" w:rsidRDefault="00D30EF8" w:rsidP="006319D3">
            <w:pPr>
              <w:pStyle w:val="naisc"/>
              <w:spacing w:before="60" w:after="60"/>
              <w:jc w:val="both"/>
            </w:pPr>
          </w:p>
        </w:tc>
        <w:tc>
          <w:tcPr>
            <w:tcW w:w="3119" w:type="dxa"/>
            <w:gridSpan w:val="2"/>
            <w:vMerge/>
            <w:tcBorders>
              <w:left w:val="single" w:sz="6" w:space="0" w:color="000000"/>
              <w:bottom w:val="single" w:sz="6" w:space="0" w:color="000000"/>
              <w:right w:val="single" w:sz="6" w:space="0" w:color="000000"/>
            </w:tcBorders>
            <w:shd w:val="clear" w:color="auto" w:fill="FFFFFF" w:themeFill="background1"/>
          </w:tcPr>
          <w:p w14:paraId="11D32D2F" w14:textId="77777777" w:rsidR="00D30EF8" w:rsidRPr="006319D3" w:rsidRDefault="00D30EF8" w:rsidP="006319D3">
            <w:pPr>
              <w:pStyle w:val="naisc"/>
              <w:spacing w:before="60" w:after="60"/>
              <w:ind w:firstLine="33"/>
              <w:jc w:val="both"/>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FED77DB" w14:textId="77777777" w:rsidR="00D30EF8" w:rsidRPr="006319D3" w:rsidRDefault="00D30EF8" w:rsidP="006319D3">
            <w:pPr>
              <w:pStyle w:val="naisc"/>
              <w:spacing w:before="60" w:after="60"/>
              <w:jc w:val="both"/>
              <w:rPr>
                <w:b/>
                <w:bCs/>
              </w:rPr>
            </w:pPr>
            <w:r w:rsidRPr="006319D3">
              <w:rPr>
                <w:b/>
                <w:bCs/>
              </w:rPr>
              <w:t>Sabiedrisko pakalpojumu regulēšanas komisija (08.04.2020. atzinums)</w:t>
            </w:r>
          </w:p>
          <w:p w14:paraId="541C07AA" w14:textId="77777777" w:rsidR="00D30EF8" w:rsidRPr="006319D3" w:rsidRDefault="00D30EF8" w:rsidP="006319D3">
            <w:pPr>
              <w:pStyle w:val="naisc"/>
              <w:spacing w:before="60" w:after="60"/>
              <w:jc w:val="both"/>
              <w:rPr>
                <w:b/>
                <w:bCs/>
              </w:rPr>
            </w:pPr>
          </w:p>
          <w:p w14:paraId="7354311F" w14:textId="1F12484A" w:rsidR="00D30EF8" w:rsidRPr="006319D3" w:rsidRDefault="00D30EF8" w:rsidP="006319D3">
            <w:pPr>
              <w:pStyle w:val="naisc"/>
              <w:spacing w:before="60" w:after="60"/>
              <w:jc w:val="both"/>
              <w:rPr>
                <w:b/>
                <w:bCs/>
              </w:rPr>
            </w:pPr>
            <w:r w:rsidRPr="006319D3">
              <w:t xml:space="preserve">Saskaņā ar Likumprojekta anotāciju ar grozījumiem Enerģētikas likuma 82.pantā (papildinot tā pirmo daļu ar ceturto un piekto punktu) tiek pārņemtas Direktīvas 2009/73/EK 41.panta 1.punkta c) apakšpunkta, 42.panta 6.punkta un 49.a panta prasības, kas nosaka regulatīvās iestādes pienākumus un pilnvaras attiecībā uz dabasgāzes pārvades līnijām uz trešajām valstīm un no tām. Regulators atkārtoti norāda, ka Enerģētikas likuma 82.panta pirmā daļa nosaka Regulatora pienākumus attiecībā uz energoapgādes komersantu objektu ekspluatācijas kontroli, tāpēc tajā nav pamata iekļaut normas, kas nav saistītas ar šo Regulatora pienākumu. Minētās normas ir </w:t>
            </w:r>
            <w:r w:rsidRPr="006319D3">
              <w:lastRenderedPageBreak/>
              <w:t xml:space="preserve">ietveramas Enerģētikas likuma 84.panta pirmajā daļā, kas nosaka Regulatora vispārējās funkcijas, un jāveic attiecīgas izmaiņas anotācijā. Ievērojot, ka Likumprojektā nav ņemts vērā Regulatora iebildums par minētā regulējuma iekļaušanu Enerģētikas likuma 84.pantā, izziņas par izteiktajiem iebildumiem </w:t>
            </w:r>
            <w:proofErr w:type="spellStart"/>
            <w:r w:rsidRPr="006319D3">
              <w:t>II.nodaļas</w:t>
            </w:r>
            <w:proofErr w:type="spellEnd"/>
            <w:r w:rsidRPr="006319D3">
              <w:t xml:space="preserve"> 2.punktā norādāms, ka Regulatora iebildums nav ņemts vērā, un šis iebildums norādāms izziņas </w:t>
            </w:r>
            <w:proofErr w:type="spellStart"/>
            <w:r w:rsidRPr="006319D3">
              <w:t>I.nodaļā</w:t>
            </w:r>
            <w:proofErr w:type="spellEnd"/>
            <w:r w:rsidRPr="006319D3">
              <w:t>.</w:t>
            </w:r>
          </w:p>
          <w:p w14:paraId="6D7920B0" w14:textId="5170E6D4" w:rsidR="00D30EF8" w:rsidRPr="006319D3" w:rsidRDefault="00D30EF8" w:rsidP="006319D3">
            <w:pPr>
              <w:pStyle w:val="naisc"/>
              <w:spacing w:before="60" w:after="60"/>
              <w:jc w:val="both"/>
              <w:rPr>
                <w:b/>
                <w:bCs/>
              </w:rPr>
            </w:pPr>
          </w:p>
        </w:tc>
        <w:tc>
          <w:tcPr>
            <w:tcW w:w="3260" w:type="dxa"/>
            <w:gridSpan w:val="3"/>
            <w:vMerge/>
            <w:tcBorders>
              <w:left w:val="single" w:sz="6" w:space="0" w:color="000000"/>
              <w:bottom w:val="single" w:sz="6" w:space="0" w:color="000000"/>
              <w:right w:val="single" w:sz="6" w:space="0" w:color="000000"/>
            </w:tcBorders>
            <w:shd w:val="clear" w:color="auto" w:fill="FFFFFF" w:themeFill="background1"/>
          </w:tcPr>
          <w:p w14:paraId="5AE7FE1E" w14:textId="77777777" w:rsidR="00D30EF8" w:rsidRPr="006319D3" w:rsidRDefault="00D30EF8" w:rsidP="006319D3">
            <w:pPr>
              <w:pStyle w:val="naisc"/>
              <w:spacing w:before="60" w:after="60"/>
              <w:ind w:firstLine="5"/>
              <w:jc w:val="both"/>
              <w:rPr>
                <w:b/>
              </w:rPr>
            </w:pPr>
          </w:p>
        </w:tc>
        <w:tc>
          <w:tcPr>
            <w:tcW w:w="2667" w:type="dxa"/>
            <w:vMerge/>
            <w:tcBorders>
              <w:left w:val="single" w:sz="4" w:space="0" w:color="auto"/>
              <w:bottom w:val="single" w:sz="4" w:space="0" w:color="auto"/>
            </w:tcBorders>
            <w:shd w:val="clear" w:color="auto" w:fill="FFFFFF" w:themeFill="background1"/>
          </w:tcPr>
          <w:p w14:paraId="110C9A3F" w14:textId="77777777" w:rsidR="00D30EF8" w:rsidRPr="006319D3" w:rsidRDefault="00D30EF8" w:rsidP="006319D3">
            <w:pPr>
              <w:spacing w:before="60" w:after="60"/>
              <w:jc w:val="both"/>
            </w:pPr>
          </w:p>
        </w:tc>
      </w:tr>
      <w:tr w:rsidR="001F0766" w:rsidRPr="006319D3" w14:paraId="4F789C8F" w14:textId="77777777" w:rsidTr="004758DB">
        <w:tc>
          <w:tcPr>
            <w:tcW w:w="675" w:type="dxa"/>
            <w:vMerge w:val="restart"/>
            <w:tcBorders>
              <w:top w:val="single" w:sz="6" w:space="0" w:color="000000"/>
              <w:left w:val="single" w:sz="6" w:space="0" w:color="000000"/>
              <w:right w:val="single" w:sz="6" w:space="0" w:color="000000"/>
            </w:tcBorders>
            <w:shd w:val="clear" w:color="auto" w:fill="FFFFFF" w:themeFill="background1"/>
          </w:tcPr>
          <w:p w14:paraId="252C2A36" w14:textId="27DA4E5A" w:rsidR="001F0766" w:rsidRPr="006319D3" w:rsidRDefault="00F95739" w:rsidP="006319D3">
            <w:pPr>
              <w:pStyle w:val="naisc"/>
              <w:spacing w:before="60" w:after="60"/>
              <w:jc w:val="both"/>
            </w:pPr>
            <w:r w:rsidRPr="006319D3">
              <w:t>8.</w:t>
            </w:r>
          </w:p>
        </w:tc>
        <w:tc>
          <w:tcPr>
            <w:tcW w:w="3119" w:type="dxa"/>
            <w:gridSpan w:val="2"/>
            <w:vMerge w:val="restart"/>
            <w:tcBorders>
              <w:top w:val="single" w:sz="6" w:space="0" w:color="000000"/>
              <w:left w:val="single" w:sz="6" w:space="0" w:color="000000"/>
              <w:right w:val="single" w:sz="6" w:space="0" w:color="000000"/>
            </w:tcBorders>
            <w:shd w:val="clear" w:color="auto" w:fill="FFFFFF" w:themeFill="background1"/>
          </w:tcPr>
          <w:p w14:paraId="000A0756" w14:textId="5EB343F8" w:rsidR="001F0766" w:rsidRPr="006319D3" w:rsidRDefault="001F0766" w:rsidP="006319D3">
            <w:pPr>
              <w:pStyle w:val="naisc"/>
              <w:spacing w:before="60" w:after="60"/>
              <w:ind w:firstLine="33"/>
              <w:jc w:val="both"/>
            </w:pPr>
            <w:r w:rsidRPr="006319D3">
              <w:t xml:space="preserve">106. pants  </w:t>
            </w:r>
          </w:p>
          <w:p w14:paraId="1E43723D" w14:textId="77777777" w:rsidR="001F0766" w:rsidRPr="006319D3" w:rsidRDefault="001F0766" w:rsidP="006319D3">
            <w:pPr>
              <w:pStyle w:val="naisc"/>
              <w:spacing w:before="60" w:after="60"/>
              <w:ind w:firstLine="33"/>
              <w:jc w:val="both"/>
            </w:pPr>
          </w:p>
          <w:p w14:paraId="2A5C28F8" w14:textId="0A6DD83A" w:rsidR="001F0766" w:rsidRPr="006319D3" w:rsidRDefault="001F0766" w:rsidP="006319D3">
            <w:pPr>
              <w:pStyle w:val="naisc"/>
              <w:spacing w:before="60" w:after="60"/>
              <w:ind w:firstLine="33"/>
              <w:jc w:val="both"/>
            </w:pPr>
            <w:r w:rsidRPr="006319D3">
              <w:t xml:space="preserve">(4) Pārvades sistēmas operators vai cits tirgus dalībnieks var saglabāt spēkā vai slēgt tehniskus nolīgumus par jautājumiem, kas attiecas uz pārvades līniju, kas šķērso valsts robežu uz trešo valsti, ciktāl šie nolīgumi atbilst Eiropas Savienības tiesību aktiem, Latvijas Republikas tiesību aktiem, regulatora lēmumiem un par tiem paziņojot regulatoram. Ja tiek plānots noslēgt starpvaldību nolīgumu ar trešo valsti, Ekonomikas ministrijai ir </w:t>
            </w:r>
            <w:r w:rsidRPr="006319D3">
              <w:lastRenderedPageBreak/>
              <w:t>pienākums par to informēt Eiropas Komisiju.</w:t>
            </w: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0B678F" w14:textId="1C824C47" w:rsidR="001F0766" w:rsidRPr="006319D3" w:rsidRDefault="001F0766" w:rsidP="006319D3">
            <w:pPr>
              <w:pStyle w:val="naisc"/>
              <w:spacing w:before="60" w:after="60"/>
              <w:jc w:val="both"/>
              <w:rPr>
                <w:b/>
                <w:bCs/>
              </w:rPr>
            </w:pPr>
            <w:r w:rsidRPr="006319D3">
              <w:rPr>
                <w:b/>
                <w:bCs/>
              </w:rPr>
              <w:lastRenderedPageBreak/>
              <w:t>AS “</w:t>
            </w:r>
            <w:proofErr w:type="spellStart"/>
            <w:r w:rsidRPr="006319D3">
              <w:rPr>
                <w:b/>
                <w:bCs/>
              </w:rPr>
              <w:t>Conexus</w:t>
            </w:r>
            <w:proofErr w:type="spellEnd"/>
            <w:r w:rsidRPr="006319D3">
              <w:rPr>
                <w:b/>
                <w:bCs/>
              </w:rPr>
              <w:t xml:space="preserve"> </w:t>
            </w:r>
            <w:proofErr w:type="spellStart"/>
            <w:r w:rsidRPr="006319D3">
              <w:rPr>
                <w:b/>
                <w:bCs/>
              </w:rPr>
              <w:t>Baltic</w:t>
            </w:r>
            <w:proofErr w:type="spellEnd"/>
            <w:r w:rsidRPr="006319D3">
              <w:rPr>
                <w:b/>
                <w:bCs/>
              </w:rPr>
              <w:t xml:space="preserve"> Grid” (06.03.2020. atzinums)</w:t>
            </w:r>
          </w:p>
          <w:p w14:paraId="4DB50986" w14:textId="77777777" w:rsidR="001F0766" w:rsidRPr="006319D3" w:rsidRDefault="001F0766" w:rsidP="006319D3">
            <w:pPr>
              <w:pStyle w:val="naisc"/>
              <w:spacing w:before="60" w:after="60"/>
              <w:jc w:val="both"/>
              <w:rPr>
                <w:b/>
                <w:bCs/>
              </w:rPr>
            </w:pPr>
          </w:p>
          <w:p w14:paraId="1599C753" w14:textId="2EDFA688" w:rsidR="001F0766" w:rsidRPr="006319D3" w:rsidRDefault="001F0766" w:rsidP="006319D3">
            <w:pPr>
              <w:spacing w:before="60" w:after="60"/>
              <w:jc w:val="both"/>
            </w:pPr>
            <w:r w:rsidRPr="006319D3">
              <w:t>Likumprojektā piedāvāts papildināt Enerģētikas likuma 106. pantu ar ceturto daļu, nosakot, ka pārvades sistēmas operators var saglabāt spēkā vai slēgt tehniskus nolīgumus, kas attiecas uz pārvades līniju, kas šķērso valsts robežu uz trešo valsti, ciktāl šie nolīgumi atbilst Eiropas Savienības tiesību aktiem, Latvijas Republikas tiesību aktiem, regulatora lēmumiem un par tiem paziņojot regulatoram. Ja tiek plānots noslēgt starpvaldību nolīgumu ar trešo valsti, Ekonomikas ministrijai ir pienākums par to informēt Eiropas Komisiju. AS “</w:t>
            </w:r>
            <w:proofErr w:type="spellStart"/>
            <w:r w:rsidRPr="006319D3">
              <w:t>Conexus</w:t>
            </w:r>
            <w:proofErr w:type="spellEnd"/>
            <w:r w:rsidRPr="006319D3">
              <w:t xml:space="preserve"> </w:t>
            </w:r>
            <w:proofErr w:type="spellStart"/>
            <w:r w:rsidRPr="006319D3">
              <w:t>Baltic</w:t>
            </w:r>
            <w:proofErr w:type="spellEnd"/>
            <w:r w:rsidRPr="006319D3">
              <w:t xml:space="preserve"> Grid” vērš uzmanību, ka ne 2019.gada 17.aprīļa Eiropas Parlamenta un Padomes Direktīvā (ES) 2019/692, ar ko groza Direktīvu 2009/73/EK par kopīgiem </w:t>
            </w:r>
            <w:r w:rsidRPr="006319D3">
              <w:lastRenderedPageBreak/>
              <w:t>noteikumiem attiecībā uz dabasgāzes iekšējo tirgu (turpmāk – Direktīva 2019/692), ne Likumprojektā vai tā anotācijā nav sniegts skaidrojums, kas ir "tehniski nolīgumi par pārvades līniju darbību".</w:t>
            </w:r>
          </w:p>
          <w:p w14:paraId="47807140" w14:textId="6D1EFDD0" w:rsidR="001F0766" w:rsidRPr="006319D3" w:rsidRDefault="001F0766" w:rsidP="006319D3">
            <w:pPr>
              <w:spacing w:before="60" w:after="60"/>
              <w:jc w:val="both"/>
            </w:pPr>
            <w:r w:rsidRPr="006319D3">
              <w:t xml:space="preserve">Piedāvātā Enerģētikas likuma 106. panta ceturtās daļas redakcija pēc būtības neparedz papildu tiesības dabasgāzes pārvades sistēmas operatoram attiecībā uz spēkā esošiem vai, noslēdzot jaunus līgumus, tai skaitā par tehnisko sadarbību ieejas punktos no trešajām valstīm un izejas punktos uz trešajām valstīm. Šādi līgumi jebkurā gadījumā būtu uzskatāmi par privāto tiesību līgumiem. Turklāt neraugoties uz piedāvātajiem papildinājumiem Enerģētikas likumā, dabasgāzes pārvades sistēmas operatoram jau ir saistošas prasības, kas Regulatora lēmumos, kā arī Eiropas Savienības normatīvo aktu prasības, kas ir tieši piemērojamas un izriet no augstāka juridiskā spēka normatīvajiem aktiem – Eiropas Parlamenta un Padomes Regulas (EK) Nr. 715/2009 (2009. gada 13. jūlijs) par nosacījumiem attiecībā uz piekļuvi dabasgāzes pārvades tīkliem un par Regulas (EK) Nr. 1775/2005 atcelšanu, tīkla kodeksiem, jo sevišķi Komisijas Regulas (ES) 2015/703 (2015. gada 30. aprīlis), ar ko izveido tīkla kodeksu par </w:t>
            </w:r>
            <w:proofErr w:type="spellStart"/>
            <w:r w:rsidRPr="006319D3">
              <w:t>sadarbspējas</w:t>
            </w:r>
            <w:proofErr w:type="spellEnd"/>
            <w:r w:rsidRPr="006319D3">
              <w:t xml:space="preserve"> un datu apmaiņas noteikumiem (turpmāk – INT NC).</w:t>
            </w:r>
          </w:p>
          <w:p w14:paraId="1390D312" w14:textId="06DF4145" w:rsidR="001F0766" w:rsidRPr="006319D3" w:rsidRDefault="001F0766" w:rsidP="006319D3">
            <w:pPr>
              <w:spacing w:before="60" w:after="60"/>
              <w:jc w:val="both"/>
            </w:pPr>
            <w:r w:rsidRPr="006319D3">
              <w:t xml:space="preserve">No minētā secināms, ka, konstatējot neatbilstību nacionāla un Eiropas Savienības līmeņa tiesību aktiem noslēgtā tehniskajā </w:t>
            </w:r>
            <w:r w:rsidRPr="006319D3">
              <w:lastRenderedPageBreak/>
              <w:t xml:space="preserve">nolīgumā ar blakusesošu citas valsts pārvades sistēmas operatoru, tajā jebkurā gadījumā ir pienākums veikt izmaiņas, lai novērstu neatbilstības, tai skaitā jautājumos, kas attiecināmi uz dabasgāzes piegādēm un savstarpēji savienotu pārvades sistēmu darbību. Dabasgāzes pārvades sistēmas operatora rīcības brīvību apliecina arī Direktīvas 2019/692 apsvērums, paredzot, ka tehniski nolīgumi var tikt slēgti par jautājumiem, kas attiecas uz pārvades sistēmu darbību un </w:t>
            </w:r>
            <w:proofErr w:type="spellStart"/>
            <w:r w:rsidRPr="006319D3">
              <w:t>starpsavienojumiem</w:t>
            </w:r>
            <w:proofErr w:type="spellEnd"/>
            <w:r w:rsidRPr="006319D3">
              <w:t>, bet ar nosacījumu, ka tiek ievērots ES tiesību aktos noteiktais ietvars.</w:t>
            </w:r>
          </w:p>
          <w:p w14:paraId="0E17C076" w14:textId="09F53C18" w:rsidR="001F0766" w:rsidRPr="006319D3" w:rsidRDefault="001F0766" w:rsidP="006319D3">
            <w:pPr>
              <w:spacing w:before="60" w:after="60"/>
              <w:jc w:val="both"/>
            </w:pPr>
            <w:r w:rsidRPr="006319D3">
              <w:t xml:space="preserve">Vienlaikus Likumprojektā piedāvātā 106. panta ceturtās daļas redakcija nekonkretizē līguma izstrādes stadiju un laika periodu, kādā Regulators par tehniskajiem nolīgumiem, kas skar pārvades līniju darbību, būtu informējams. Turpretī INT NC 4. panta 3. punkts konkrētos gadījumos paredz pārvades sistēmas operatora pienākumu iesniegt </w:t>
            </w:r>
            <w:proofErr w:type="spellStart"/>
            <w:r w:rsidRPr="006319D3">
              <w:t>starpsavienojuma</w:t>
            </w:r>
            <w:proofErr w:type="spellEnd"/>
            <w:r w:rsidRPr="006319D3">
              <w:t xml:space="preserve"> līgumu regulatīvajai iestādei un Eiropas Gāzes pārvades sistēmas operatoru tīklam (ENTSO-G) desmit dienu laikā pēc </w:t>
            </w:r>
            <w:proofErr w:type="spellStart"/>
            <w:r w:rsidRPr="006319D3">
              <w:t>starpsavienojuma</w:t>
            </w:r>
            <w:proofErr w:type="spellEnd"/>
            <w:r w:rsidRPr="006319D3">
              <w:t xml:space="preserve"> līguma noslēgšanas vai tā grozījumiem. </w:t>
            </w:r>
            <w:proofErr w:type="spellStart"/>
            <w:r w:rsidRPr="006319D3">
              <w:t>Starpsavienojuma</w:t>
            </w:r>
            <w:proofErr w:type="spellEnd"/>
            <w:r w:rsidRPr="006319D3">
              <w:t xml:space="preserve"> līguma paziņošanas pienākums desmit dienu laikā ir attiecināms uz pārvades sistēmas operatoru arī situācijā, ja šādu pieprasījumu veikusi kompetentā iestāde. Līdz ar to, AS “</w:t>
            </w:r>
            <w:proofErr w:type="spellStart"/>
            <w:r w:rsidRPr="006319D3">
              <w:t>Conexus</w:t>
            </w:r>
            <w:proofErr w:type="spellEnd"/>
            <w:r w:rsidRPr="006319D3">
              <w:t xml:space="preserve"> </w:t>
            </w:r>
            <w:proofErr w:type="spellStart"/>
            <w:r w:rsidRPr="006319D3">
              <w:t>Baltic</w:t>
            </w:r>
            <w:proofErr w:type="spellEnd"/>
            <w:r w:rsidRPr="006319D3">
              <w:t xml:space="preserve"> Grid” iebilst pret piedāvāto 106. panta ceturtās daļas </w:t>
            </w:r>
            <w:r w:rsidRPr="006319D3">
              <w:lastRenderedPageBreak/>
              <w:t>redakciju un lūdz Direktīvas 2019/692 48.a. pantā paredzēto nosacījumu ieviešanas regulējumu Enerģētikas likumā salāgot ar prasībām, kas pārvades sistēmas operatoram noteiktas jau citos Eiropas Savienības normatīvajos aktos, t. i. pienākumu pārvades sistēmas operatoram paziņot par šādiem līgumiem saprātīgā termiņā pēc to noslēgšanas vai pēc atbilstoša kompetentās iestādes pieprasījuma.</w:t>
            </w:r>
          </w:p>
          <w:p w14:paraId="403F23D8" w14:textId="4916A3BE" w:rsidR="001F0766" w:rsidRPr="006319D3" w:rsidRDefault="001F0766" w:rsidP="006319D3">
            <w:pPr>
              <w:spacing w:before="60" w:after="60"/>
              <w:jc w:val="both"/>
            </w:pPr>
            <w:r w:rsidRPr="006319D3">
              <w:t>Likumprojekts arī 106. panta ceturtajā daļā paredz regulējumu situācijai, ja dalībvalsts plāno noslēgt starpvaldību nolīgumu ar trešo valsti, Ekonomikas ministrijai šādā gadījumā uzliekot par pienākumu informēt Eiropas Komisiju. AS “</w:t>
            </w:r>
            <w:proofErr w:type="spellStart"/>
            <w:r w:rsidRPr="006319D3">
              <w:t>Conexus</w:t>
            </w:r>
            <w:proofErr w:type="spellEnd"/>
            <w:r w:rsidRPr="006319D3">
              <w:t xml:space="preserve"> </w:t>
            </w:r>
            <w:proofErr w:type="spellStart"/>
            <w:r w:rsidRPr="006319D3">
              <w:t>Baltic</w:t>
            </w:r>
            <w:proofErr w:type="spellEnd"/>
            <w:r w:rsidRPr="006319D3">
              <w:t xml:space="preserve"> Grid” nepiekrīt privāto tiesību līgumu un starpvaldību nolīgumu regulējumu ietvert vienā tiesību normā un lūdz to izdalīt atsevišķi, jo atrunāti tiek divi atšķirīgi regulējumi – Direktīvas 2019/692 49.b pants paredz jaunus esošo vai nākotnes starpvaldību nolīgumu pilnīgas kontroles, kas uzticēta Eiropas Komisijai, principus, bet Direktīvas 2019/692 48.a pants nosaka aizsardzības apmēru starp pārvades sistēmas operatoriem noslēgtiem privāto tiesību tehniskajiem nolīgumiem.</w:t>
            </w:r>
          </w:p>
          <w:p w14:paraId="2C9C7348" w14:textId="34C2D252" w:rsidR="001F0766" w:rsidRPr="006319D3" w:rsidRDefault="001F0766" w:rsidP="006319D3">
            <w:pPr>
              <w:pStyle w:val="naisc"/>
              <w:spacing w:before="60" w:after="60"/>
              <w:jc w:val="both"/>
            </w:pPr>
          </w:p>
        </w:tc>
        <w:tc>
          <w:tcPr>
            <w:tcW w:w="3260" w:type="dxa"/>
            <w:gridSpan w:val="3"/>
            <w:vMerge w:val="restart"/>
            <w:tcBorders>
              <w:top w:val="single" w:sz="6" w:space="0" w:color="000000"/>
              <w:left w:val="single" w:sz="6" w:space="0" w:color="000000"/>
              <w:right w:val="single" w:sz="6" w:space="0" w:color="000000"/>
            </w:tcBorders>
            <w:shd w:val="clear" w:color="auto" w:fill="FFFFFF" w:themeFill="background1"/>
          </w:tcPr>
          <w:p w14:paraId="0B1345D8" w14:textId="3202B1E4" w:rsidR="001F0766" w:rsidRPr="006319D3" w:rsidRDefault="001F0766" w:rsidP="006319D3">
            <w:pPr>
              <w:pStyle w:val="naisc"/>
              <w:spacing w:before="60" w:after="60"/>
              <w:ind w:firstLine="5"/>
              <w:jc w:val="both"/>
              <w:rPr>
                <w:bCs/>
              </w:rPr>
            </w:pPr>
            <w:r w:rsidRPr="006319D3">
              <w:rPr>
                <w:b/>
              </w:rPr>
              <w:lastRenderedPageBreak/>
              <w:t>Ņemts vērā</w:t>
            </w:r>
            <w:r w:rsidRPr="006319D3">
              <w:rPr>
                <w:bCs/>
              </w:rPr>
              <w:t xml:space="preserve">, tostarp, ievērojot arī Sabiedrisko pakalpojumu regulēšanas komisijas un Tieslietu ministrijas paustos iebildumus.  </w:t>
            </w:r>
          </w:p>
          <w:p w14:paraId="77358728" w14:textId="77777777" w:rsidR="003D186C" w:rsidRPr="006319D3" w:rsidRDefault="0018274D" w:rsidP="006319D3">
            <w:pPr>
              <w:pStyle w:val="naisc"/>
              <w:spacing w:before="60" w:after="60"/>
              <w:ind w:firstLine="5"/>
              <w:jc w:val="both"/>
              <w:rPr>
                <w:bCs/>
              </w:rPr>
            </w:pPr>
            <w:r w:rsidRPr="006319D3">
              <w:rPr>
                <w:bCs/>
              </w:rPr>
              <w:t>Tā kā sākotnējā Likumprojektā</w:t>
            </w:r>
            <w:r w:rsidR="001F0766" w:rsidRPr="006319D3">
              <w:rPr>
                <w:bCs/>
              </w:rPr>
              <w:t xml:space="preserve"> iecerētā norma neparedz papildu tiesības dabasgāzes pārvades sistēmas operatoram un </w:t>
            </w:r>
            <w:r w:rsidRPr="006319D3">
              <w:rPr>
                <w:bCs/>
              </w:rPr>
              <w:t>tehniskie</w:t>
            </w:r>
            <w:r w:rsidR="001F0766" w:rsidRPr="006319D3">
              <w:rPr>
                <w:bCs/>
              </w:rPr>
              <w:t xml:space="preserve"> </w:t>
            </w:r>
            <w:r w:rsidRPr="006319D3">
              <w:rPr>
                <w:bCs/>
              </w:rPr>
              <w:t>no</w:t>
            </w:r>
            <w:r w:rsidR="001F0766" w:rsidRPr="006319D3">
              <w:rPr>
                <w:bCs/>
              </w:rPr>
              <w:t xml:space="preserve">līgumi ir uzskatāmi par privāto tiesību līgumiem, Ekonomikas ministrija </w:t>
            </w:r>
            <w:r w:rsidRPr="006319D3">
              <w:rPr>
                <w:bCs/>
              </w:rPr>
              <w:t>neuzstāj uz šādas</w:t>
            </w:r>
            <w:r w:rsidR="001F0766" w:rsidRPr="006319D3">
              <w:rPr>
                <w:bCs/>
              </w:rPr>
              <w:t xml:space="preserve"> normas iekļaušanu likumā</w:t>
            </w:r>
            <w:r w:rsidRPr="006319D3">
              <w:rPr>
                <w:bCs/>
              </w:rPr>
              <w:t xml:space="preserve">. </w:t>
            </w:r>
          </w:p>
          <w:p w14:paraId="2C6F51AB" w14:textId="6828E7D8" w:rsidR="001F0766" w:rsidRPr="006319D3" w:rsidRDefault="0018274D" w:rsidP="006319D3">
            <w:pPr>
              <w:pStyle w:val="naisc"/>
              <w:spacing w:before="60" w:after="60"/>
              <w:ind w:firstLine="5"/>
              <w:jc w:val="both"/>
              <w:rPr>
                <w:bCs/>
              </w:rPr>
            </w:pPr>
            <w:r w:rsidRPr="006319D3">
              <w:rPr>
                <w:bCs/>
              </w:rPr>
              <w:t>Vienlaikus,</w:t>
            </w:r>
            <w:r w:rsidR="001F0766" w:rsidRPr="006319D3">
              <w:rPr>
                <w:bCs/>
              </w:rPr>
              <w:t xml:space="preserve"> </w:t>
            </w:r>
            <w:r w:rsidRPr="006319D3">
              <w:rPr>
                <w:bCs/>
              </w:rPr>
              <w:t xml:space="preserve">sagatavota jauna norma, kas </w:t>
            </w:r>
            <w:r w:rsidR="002A0DBB" w:rsidRPr="006319D3">
              <w:rPr>
                <w:bCs/>
              </w:rPr>
              <w:t xml:space="preserve">skaidri nosaka un </w:t>
            </w:r>
            <w:r w:rsidRPr="006319D3">
              <w:rPr>
                <w:bCs/>
              </w:rPr>
              <w:t xml:space="preserve">uzliek Ekonomikas ministrijai pienākumu paziņot Eiropas Komisijai, ja tiek plānot noslēgt starpvaldību līgumu par </w:t>
            </w:r>
            <w:r w:rsidRPr="006319D3">
              <w:rPr>
                <w:bCs/>
              </w:rPr>
              <w:lastRenderedPageBreak/>
              <w:t xml:space="preserve">dabasgāzes pārvades </w:t>
            </w:r>
            <w:r w:rsidR="003D186C" w:rsidRPr="006319D3">
              <w:rPr>
                <w:bCs/>
              </w:rPr>
              <w:t xml:space="preserve">līnijas darbības jautājumiem saskaņā ar Direktīvas 2019/692 49.b panta 2.punktu. </w:t>
            </w:r>
          </w:p>
          <w:p w14:paraId="762B6EC0" w14:textId="77777777" w:rsidR="001F0766" w:rsidRPr="006319D3" w:rsidRDefault="001F0766" w:rsidP="006319D3">
            <w:pPr>
              <w:pStyle w:val="naisc"/>
              <w:spacing w:before="60" w:after="60"/>
              <w:ind w:firstLine="5"/>
              <w:jc w:val="both"/>
              <w:rPr>
                <w:bCs/>
              </w:rPr>
            </w:pPr>
          </w:p>
          <w:p w14:paraId="08FF6C0C" w14:textId="30743BEB" w:rsidR="0018274D" w:rsidRPr="006319D3" w:rsidRDefault="0018274D" w:rsidP="006319D3">
            <w:pPr>
              <w:pStyle w:val="naisc"/>
              <w:spacing w:before="60" w:after="60"/>
              <w:ind w:firstLine="5"/>
              <w:jc w:val="both"/>
            </w:pPr>
          </w:p>
        </w:tc>
        <w:tc>
          <w:tcPr>
            <w:tcW w:w="2667" w:type="dxa"/>
            <w:vMerge w:val="restart"/>
            <w:tcBorders>
              <w:top w:val="single" w:sz="4" w:space="0" w:color="auto"/>
              <w:left w:val="single" w:sz="4" w:space="0" w:color="auto"/>
            </w:tcBorders>
            <w:shd w:val="clear" w:color="auto" w:fill="FFFFFF" w:themeFill="background1"/>
          </w:tcPr>
          <w:p w14:paraId="6B6AB788" w14:textId="65902BB5" w:rsidR="001D4B78" w:rsidRPr="006319D3" w:rsidRDefault="001D4B78" w:rsidP="006319D3">
            <w:pPr>
              <w:spacing w:before="60" w:after="60"/>
              <w:jc w:val="both"/>
            </w:pPr>
            <w:bookmarkStart w:id="3" w:name="_Hlk35948509"/>
            <w:r w:rsidRPr="006319D3">
              <w:lastRenderedPageBreak/>
              <w:t>106.</w:t>
            </w:r>
            <w:r w:rsidRPr="006319D3">
              <w:rPr>
                <w:vertAlign w:val="superscript"/>
              </w:rPr>
              <w:t>1</w:t>
            </w:r>
            <w:r w:rsidRPr="006319D3">
              <w:t xml:space="preserve">pants </w:t>
            </w:r>
          </w:p>
          <w:p w14:paraId="66E9B7B0" w14:textId="77777777" w:rsidR="0018274D" w:rsidRPr="006319D3" w:rsidRDefault="0018274D" w:rsidP="006319D3">
            <w:pPr>
              <w:spacing w:before="60" w:after="60"/>
              <w:jc w:val="both"/>
            </w:pPr>
          </w:p>
          <w:p w14:paraId="25AB1094" w14:textId="77777777" w:rsidR="003D186C" w:rsidRPr="006319D3" w:rsidRDefault="001D4B78" w:rsidP="006319D3">
            <w:pPr>
              <w:spacing w:before="60" w:after="60"/>
              <w:jc w:val="both"/>
              <w:rPr>
                <w:u w:val="single"/>
              </w:rPr>
            </w:pPr>
            <w:bookmarkStart w:id="4" w:name="_Hlk36404384"/>
            <w:r w:rsidRPr="006319D3">
              <w:rPr>
                <w:u w:val="single"/>
              </w:rPr>
              <w:t xml:space="preserve">Ja starp Latvijas Republiku un trešo valsti tiek plānots noslēgt starpvaldību līgumu par dabasgāzes pārvades </w:t>
            </w:r>
            <w:r w:rsidR="003D186C" w:rsidRPr="006319D3">
              <w:rPr>
                <w:u w:val="single"/>
              </w:rPr>
              <w:t>līnijas darbību</w:t>
            </w:r>
            <w:r w:rsidRPr="006319D3">
              <w:rPr>
                <w:u w:val="single"/>
              </w:rPr>
              <w:t>, Ekonomikas ministrijai</w:t>
            </w:r>
            <w:r w:rsidR="003D186C" w:rsidRPr="006319D3">
              <w:rPr>
                <w:u w:val="single"/>
              </w:rPr>
              <w:t xml:space="preserve"> par to</w:t>
            </w:r>
            <w:r w:rsidRPr="006319D3">
              <w:rPr>
                <w:u w:val="single"/>
              </w:rPr>
              <w:t xml:space="preserve"> ir pienākums </w:t>
            </w:r>
            <w:r w:rsidR="003D186C" w:rsidRPr="006319D3">
              <w:rPr>
                <w:u w:val="single"/>
              </w:rPr>
              <w:t xml:space="preserve">rakstiski informēt Eiropas Komisiju pirms lēmuma pieņemšanas. </w:t>
            </w:r>
          </w:p>
          <w:bookmarkEnd w:id="3"/>
          <w:bookmarkEnd w:id="4"/>
          <w:p w14:paraId="49E0C87F" w14:textId="09428387" w:rsidR="003D186C" w:rsidRPr="006319D3" w:rsidRDefault="003D186C" w:rsidP="006319D3">
            <w:pPr>
              <w:spacing w:before="60" w:after="60"/>
              <w:jc w:val="both"/>
              <w:rPr>
                <w:u w:val="single"/>
              </w:rPr>
            </w:pPr>
          </w:p>
        </w:tc>
      </w:tr>
      <w:tr w:rsidR="001F0766" w:rsidRPr="006319D3" w14:paraId="4EF83C85" w14:textId="77777777" w:rsidTr="004758DB">
        <w:tc>
          <w:tcPr>
            <w:tcW w:w="675" w:type="dxa"/>
            <w:vMerge/>
            <w:tcBorders>
              <w:left w:val="single" w:sz="6" w:space="0" w:color="000000"/>
              <w:right w:val="single" w:sz="6" w:space="0" w:color="000000"/>
            </w:tcBorders>
            <w:shd w:val="clear" w:color="auto" w:fill="FFFFFF" w:themeFill="background1"/>
          </w:tcPr>
          <w:p w14:paraId="5D5ED18B" w14:textId="77777777" w:rsidR="001F0766" w:rsidRPr="006319D3" w:rsidRDefault="001F0766" w:rsidP="006319D3">
            <w:pPr>
              <w:pStyle w:val="naisc"/>
              <w:spacing w:before="60" w:after="60"/>
              <w:jc w:val="both"/>
            </w:pPr>
          </w:p>
        </w:tc>
        <w:tc>
          <w:tcPr>
            <w:tcW w:w="3119" w:type="dxa"/>
            <w:gridSpan w:val="2"/>
            <w:vMerge/>
            <w:tcBorders>
              <w:left w:val="single" w:sz="6" w:space="0" w:color="000000"/>
              <w:right w:val="single" w:sz="6" w:space="0" w:color="000000"/>
            </w:tcBorders>
            <w:shd w:val="clear" w:color="auto" w:fill="FFFFFF" w:themeFill="background1"/>
          </w:tcPr>
          <w:p w14:paraId="1999A66D" w14:textId="2EED32AB" w:rsidR="001F0766" w:rsidRPr="006319D3" w:rsidRDefault="001F0766" w:rsidP="006319D3">
            <w:pPr>
              <w:pStyle w:val="naisc"/>
              <w:spacing w:before="60" w:after="60"/>
              <w:ind w:firstLine="33"/>
              <w:jc w:val="both"/>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254FB8" w14:textId="4A2BF02B" w:rsidR="001F0766" w:rsidRPr="006319D3" w:rsidRDefault="001F0766" w:rsidP="006319D3">
            <w:pPr>
              <w:pStyle w:val="naisc"/>
              <w:spacing w:before="60" w:after="60"/>
              <w:jc w:val="both"/>
              <w:rPr>
                <w:b/>
                <w:bCs/>
              </w:rPr>
            </w:pPr>
            <w:r w:rsidRPr="006319D3">
              <w:rPr>
                <w:b/>
                <w:bCs/>
              </w:rPr>
              <w:t>Sabiedrisko pakalpojumu regulēšanas komisija (06.03.2020. atzinums)</w:t>
            </w:r>
          </w:p>
          <w:p w14:paraId="12A989A0" w14:textId="77777777" w:rsidR="001F0766" w:rsidRPr="006319D3" w:rsidRDefault="001F0766" w:rsidP="006319D3">
            <w:pPr>
              <w:pStyle w:val="naisc"/>
              <w:spacing w:before="60" w:after="60"/>
              <w:jc w:val="both"/>
              <w:rPr>
                <w:b/>
                <w:bCs/>
              </w:rPr>
            </w:pPr>
          </w:p>
          <w:p w14:paraId="187D94D5" w14:textId="3E38EA0A" w:rsidR="001F0766" w:rsidRPr="006319D3" w:rsidRDefault="001F0766" w:rsidP="006319D3">
            <w:pPr>
              <w:pStyle w:val="CommentText"/>
              <w:spacing w:before="60" w:after="60"/>
              <w:jc w:val="both"/>
              <w:rPr>
                <w:sz w:val="24"/>
                <w:szCs w:val="24"/>
                <w:lang w:eastAsia="x-none"/>
              </w:rPr>
            </w:pPr>
            <w:r w:rsidRPr="006319D3">
              <w:rPr>
                <w:sz w:val="24"/>
                <w:szCs w:val="24"/>
                <w:lang w:eastAsia="x-none"/>
              </w:rPr>
              <w:lastRenderedPageBreak/>
              <w:t xml:space="preserve">No Likumprojekta anotācijas izriet, ka ar Enerģētikas likuma 106.panta ceturto daļu tiks ieviests Direktīvas Nr.2009/73/EK 48.a pants. Regulators norāda, ka Eiropas Parlamenta un Padomes Direktīvas (ES) 2019/692, ar ko groza Direktīvu 2009/73/EK par kopīgiem noteikumiem attiecībā uz dabasgāzes iekšējo tirgu un attiecīgi papildina Direktīvu 2009/73/EK ar 48.a pantu mērķis ir novērst šķēršļus dabasgāzes iekšējā tirgus izveides pabeigšanai, kurus rada tas, ka gāzes pārvades līnijām uz </w:t>
            </w:r>
            <w:proofErr w:type="spellStart"/>
            <w:r w:rsidRPr="006319D3">
              <w:rPr>
                <w:sz w:val="24"/>
                <w:szCs w:val="24"/>
                <w:lang w:eastAsia="x-none"/>
              </w:rPr>
              <w:t>trešām</w:t>
            </w:r>
            <w:proofErr w:type="spellEnd"/>
            <w:r w:rsidRPr="006319D3">
              <w:rPr>
                <w:sz w:val="24"/>
                <w:szCs w:val="24"/>
                <w:lang w:eastAsia="x-none"/>
              </w:rPr>
              <w:t xml:space="preserve"> valstīm un no tām netiek piemēroti Eiropas Savienības tirgus noteikumi, proti, Direktīva 2019/692 regulē jautājumus, kas attiecas uz dabasgāzes pārvades līnijām uz </w:t>
            </w:r>
            <w:proofErr w:type="spellStart"/>
            <w:r w:rsidRPr="006319D3">
              <w:rPr>
                <w:sz w:val="24"/>
                <w:szCs w:val="24"/>
                <w:lang w:eastAsia="x-none"/>
              </w:rPr>
              <w:t>trešām</w:t>
            </w:r>
            <w:proofErr w:type="spellEnd"/>
            <w:r w:rsidRPr="006319D3">
              <w:rPr>
                <w:sz w:val="24"/>
                <w:szCs w:val="24"/>
                <w:lang w:eastAsia="x-none"/>
              </w:rPr>
              <w:t xml:space="preserve"> valstīm un no tām. Ņemot vērā minēto, ir nepieciešams precizēt Likumprojekta 5.pant</w:t>
            </w:r>
            <w:r w:rsidRPr="006319D3">
              <w:rPr>
                <w:sz w:val="24"/>
                <w:szCs w:val="24"/>
              </w:rPr>
              <w:t xml:space="preserve">ā </w:t>
            </w:r>
            <w:r w:rsidRPr="006319D3">
              <w:rPr>
                <w:sz w:val="24"/>
                <w:szCs w:val="24"/>
                <w:lang w:eastAsia="x-none"/>
              </w:rPr>
              <w:t xml:space="preserve">ietverto normu, no tās izslēdzot vārdus “vai cits tirgus dalībnieks” un norādot, ka tiesības slēgt tehniskos nolīgumus ir dabasgāzes pārvades sistēmas operatoram, jo tikai minētajam sistēmas operatoram vai valstij ir kompetence attiecībā uz dabasgāzes pārvades sistēmu. Turklāt nepieciešams precizēt, par kādiem starpvaldību nolīgumiem ar trešo valsti Ekonomikas ministrija informē Eiropas Komisiju. </w:t>
            </w:r>
          </w:p>
          <w:p w14:paraId="1DBFE2F1" w14:textId="77777777" w:rsidR="001F0766" w:rsidRPr="006319D3" w:rsidRDefault="001F0766" w:rsidP="006319D3">
            <w:pPr>
              <w:pStyle w:val="CommentText"/>
              <w:spacing w:before="60" w:after="60"/>
              <w:jc w:val="both"/>
              <w:rPr>
                <w:sz w:val="24"/>
                <w:szCs w:val="24"/>
                <w:lang w:eastAsia="x-none"/>
              </w:rPr>
            </w:pPr>
            <w:r w:rsidRPr="006319D3">
              <w:rPr>
                <w:sz w:val="24"/>
                <w:szCs w:val="24"/>
                <w:lang w:eastAsia="x-none"/>
              </w:rPr>
              <w:t>Papildus, ievērojot Likumprojekta 1.pantā ietverto termina “</w:t>
            </w:r>
            <w:proofErr w:type="spellStart"/>
            <w:r w:rsidRPr="006319D3">
              <w:rPr>
                <w:sz w:val="24"/>
                <w:szCs w:val="24"/>
                <w:lang w:eastAsia="x-none"/>
              </w:rPr>
              <w:t>starpsavienojums</w:t>
            </w:r>
            <w:proofErr w:type="spellEnd"/>
            <w:r w:rsidRPr="006319D3">
              <w:rPr>
                <w:sz w:val="24"/>
                <w:szCs w:val="24"/>
                <w:lang w:eastAsia="x-none"/>
              </w:rPr>
              <w:t>” definīciju, Regulatora ieskatā, Likumprojekta 5.pantā būtu pamats lietot vārdus “</w:t>
            </w:r>
            <w:proofErr w:type="spellStart"/>
            <w:r w:rsidRPr="006319D3">
              <w:rPr>
                <w:sz w:val="24"/>
                <w:szCs w:val="24"/>
                <w:lang w:eastAsia="x-none"/>
              </w:rPr>
              <w:t>starpsavienojums</w:t>
            </w:r>
            <w:proofErr w:type="spellEnd"/>
            <w:r w:rsidRPr="006319D3">
              <w:rPr>
                <w:sz w:val="24"/>
                <w:szCs w:val="24"/>
                <w:lang w:eastAsia="x-none"/>
              </w:rPr>
              <w:t xml:space="preserve"> ar trešo valsti” vārdu </w:t>
            </w:r>
            <w:r w:rsidRPr="006319D3">
              <w:rPr>
                <w:sz w:val="24"/>
                <w:szCs w:val="24"/>
                <w:lang w:eastAsia="x-none"/>
              </w:rPr>
              <w:lastRenderedPageBreak/>
              <w:t xml:space="preserve">“pārvades līnija, kas šķērso valstu robežu uz trešo valsti” vietā. </w:t>
            </w:r>
          </w:p>
          <w:p w14:paraId="369270C6" w14:textId="516B559A" w:rsidR="001F0766" w:rsidRPr="006319D3" w:rsidRDefault="001F0766" w:rsidP="006319D3">
            <w:pPr>
              <w:pStyle w:val="CommentText"/>
              <w:spacing w:before="60" w:after="60"/>
              <w:jc w:val="both"/>
              <w:rPr>
                <w:b/>
                <w:bCs/>
                <w:sz w:val="24"/>
                <w:szCs w:val="24"/>
              </w:rPr>
            </w:pPr>
          </w:p>
        </w:tc>
        <w:tc>
          <w:tcPr>
            <w:tcW w:w="3260" w:type="dxa"/>
            <w:gridSpan w:val="3"/>
            <w:vMerge/>
            <w:tcBorders>
              <w:left w:val="single" w:sz="6" w:space="0" w:color="000000"/>
              <w:right w:val="single" w:sz="6" w:space="0" w:color="000000"/>
            </w:tcBorders>
            <w:shd w:val="clear" w:color="auto" w:fill="FFFFFF" w:themeFill="background1"/>
          </w:tcPr>
          <w:p w14:paraId="2AFD3938" w14:textId="77777777" w:rsidR="001F0766" w:rsidRPr="006319D3" w:rsidRDefault="001F0766" w:rsidP="006319D3">
            <w:pPr>
              <w:pStyle w:val="naisc"/>
              <w:spacing w:before="60" w:after="60"/>
              <w:ind w:firstLine="5"/>
              <w:jc w:val="both"/>
            </w:pPr>
          </w:p>
        </w:tc>
        <w:tc>
          <w:tcPr>
            <w:tcW w:w="2667" w:type="dxa"/>
            <w:vMerge/>
            <w:tcBorders>
              <w:left w:val="single" w:sz="4" w:space="0" w:color="auto"/>
            </w:tcBorders>
            <w:shd w:val="clear" w:color="auto" w:fill="FFFFFF" w:themeFill="background1"/>
          </w:tcPr>
          <w:p w14:paraId="4F88D24A" w14:textId="4A1F542E" w:rsidR="001F0766" w:rsidRPr="006319D3" w:rsidRDefault="001F0766" w:rsidP="006319D3">
            <w:pPr>
              <w:spacing w:before="60" w:after="60"/>
              <w:ind w:firstLine="5"/>
              <w:jc w:val="both"/>
            </w:pPr>
          </w:p>
        </w:tc>
      </w:tr>
      <w:tr w:rsidR="001F0766" w:rsidRPr="006319D3" w14:paraId="59561158" w14:textId="77777777" w:rsidTr="004758DB">
        <w:tc>
          <w:tcPr>
            <w:tcW w:w="675" w:type="dxa"/>
            <w:vMerge/>
            <w:tcBorders>
              <w:left w:val="single" w:sz="6" w:space="0" w:color="000000"/>
              <w:bottom w:val="single" w:sz="6" w:space="0" w:color="000000"/>
              <w:right w:val="single" w:sz="6" w:space="0" w:color="000000"/>
            </w:tcBorders>
            <w:shd w:val="clear" w:color="auto" w:fill="FFFFFF" w:themeFill="background1"/>
          </w:tcPr>
          <w:p w14:paraId="7A477C74" w14:textId="77777777" w:rsidR="001F0766" w:rsidRPr="006319D3" w:rsidRDefault="001F0766" w:rsidP="006319D3">
            <w:pPr>
              <w:pStyle w:val="naisc"/>
              <w:spacing w:before="60" w:after="60"/>
              <w:jc w:val="both"/>
            </w:pPr>
          </w:p>
        </w:tc>
        <w:tc>
          <w:tcPr>
            <w:tcW w:w="3119" w:type="dxa"/>
            <w:gridSpan w:val="2"/>
            <w:vMerge/>
            <w:tcBorders>
              <w:left w:val="single" w:sz="6" w:space="0" w:color="000000"/>
              <w:bottom w:val="single" w:sz="6" w:space="0" w:color="000000"/>
              <w:right w:val="single" w:sz="6" w:space="0" w:color="000000"/>
            </w:tcBorders>
            <w:shd w:val="clear" w:color="auto" w:fill="FFFFFF" w:themeFill="background1"/>
          </w:tcPr>
          <w:p w14:paraId="237E6906" w14:textId="1C40B6AD" w:rsidR="001F0766" w:rsidRPr="006319D3" w:rsidRDefault="001F0766" w:rsidP="006319D3">
            <w:pPr>
              <w:pStyle w:val="naisc"/>
              <w:spacing w:before="60" w:after="60"/>
              <w:ind w:firstLine="33"/>
              <w:jc w:val="both"/>
            </w:pPr>
          </w:p>
        </w:tc>
        <w:tc>
          <w:tcPr>
            <w:tcW w:w="4562" w:type="dxa"/>
            <w:tcBorders>
              <w:top w:val="single" w:sz="6" w:space="0" w:color="000000"/>
              <w:left w:val="single" w:sz="6" w:space="0" w:color="000000"/>
              <w:bottom w:val="single" w:sz="6" w:space="0" w:color="000000"/>
              <w:right w:val="single" w:sz="6" w:space="0" w:color="000000"/>
            </w:tcBorders>
            <w:shd w:val="clear" w:color="auto" w:fill="auto"/>
          </w:tcPr>
          <w:p w14:paraId="156F9747" w14:textId="558A0B3A" w:rsidR="001F0766" w:rsidRPr="006319D3" w:rsidRDefault="001F0766" w:rsidP="006319D3">
            <w:pPr>
              <w:pStyle w:val="naisc"/>
              <w:spacing w:before="60" w:after="60"/>
              <w:jc w:val="both"/>
              <w:rPr>
                <w:b/>
                <w:bCs/>
              </w:rPr>
            </w:pPr>
            <w:r w:rsidRPr="006319D3">
              <w:rPr>
                <w:b/>
                <w:bCs/>
              </w:rPr>
              <w:t>Tieslietu ministrija (06.03.2020.atzinums)</w:t>
            </w:r>
          </w:p>
          <w:p w14:paraId="2BDD94DA" w14:textId="77777777" w:rsidR="001F0766" w:rsidRPr="006319D3" w:rsidRDefault="001F0766" w:rsidP="006319D3">
            <w:pPr>
              <w:pStyle w:val="naisc"/>
              <w:spacing w:before="60" w:after="60"/>
              <w:jc w:val="both"/>
              <w:rPr>
                <w:b/>
                <w:bCs/>
              </w:rPr>
            </w:pPr>
          </w:p>
          <w:p w14:paraId="29262172" w14:textId="4B634640" w:rsidR="001F0766" w:rsidRPr="006319D3" w:rsidRDefault="001F0766" w:rsidP="006319D3">
            <w:pPr>
              <w:tabs>
                <w:tab w:val="left" w:pos="993"/>
              </w:tabs>
              <w:spacing w:before="60" w:after="60"/>
              <w:jc w:val="both"/>
              <w:rPr>
                <w:iCs/>
                <w:color w:val="000000"/>
              </w:rPr>
            </w:pPr>
            <w:r w:rsidRPr="006319D3">
              <w:rPr>
                <w:rFonts w:eastAsia="Calibri"/>
                <w:iCs/>
                <w:color w:val="000000"/>
                <w:lang w:eastAsia="en-US"/>
              </w:rPr>
              <w:t xml:space="preserve">Likumprojekta 5.pants paredz papildināt Enerģētikas likuma 106.pantu ar ceturto daļu, nosakot, ka “pārvades sistēmas operators vai cits tirgus dalībnieks var saglabāt spēkā vai slēgt tehniskus nolīgumus par jautājumiem, kas attiecas uz pārvades līniju, kas šķērso valsts robežu uz trešo valsti, ciktāl šie nolīgumi atbilst Eiropas Savienības tiesību aktiem, Latvijas Republikas tiesību aktiem, regulatora lēmumiem un par tiem paziņojot regulatoram. Ja tiek plānots noslēgt starpvaldību nolīgumu ar trešo valsti, Ekonomikas ministrijai ir pienākums par to informēt Eiropas Komisiju.” </w:t>
            </w:r>
          </w:p>
          <w:p w14:paraId="36DDE06A" w14:textId="77777777" w:rsidR="001F0766" w:rsidRPr="006319D3" w:rsidRDefault="001F0766" w:rsidP="006319D3">
            <w:pPr>
              <w:tabs>
                <w:tab w:val="left" w:pos="993"/>
              </w:tabs>
              <w:spacing w:before="60" w:after="60"/>
              <w:jc w:val="both"/>
              <w:rPr>
                <w:iCs/>
                <w:color w:val="000000"/>
              </w:rPr>
            </w:pPr>
            <w:r w:rsidRPr="006319D3">
              <w:rPr>
                <w:rFonts w:eastAsia="Calibri"/>
                <w:iCs/>
                <w:color w:val="000000"/>
                <w:lang w:eastAsia="en-US"/>
              </w:rPr>
              <w:t>Lūdzam skaidrot, kā jāsaprot nosacījums “var saglabāt spēkā [nolīgumus]” un kādi ir šajā normā minēto tiesību subjektu pienākumi, ja minētie nolīgumi neatbilst Eiropas Savienības tiesību aktiem, Latvijas Republikas tiesību aktiem vai regulatora lēmumiem. Nepieciešamības gadījumā lūdzam precizēt projektu, piemēram, nosakot, kādā termiņā tirgus dalībniekiem ir pienākums šādus nesaderīgus līgumus pārtraukt, vai tamlīdzīgi.</w:t>
            </w:r>
          </w:p>
          <w:p w14:paraId="78F71FB7" w14:textId="0E83DE97" w:rsidR="001F0766" w:rsidRPr="006319D3" w:rsidRDefault="001F0766" w:rsidP="006319D3">
            <w:pPr>
              <w:tabs>
                <w:tab w:val="left" w:pos="993"/>
              </w:tabs>
              <w:spacing w:before="60" w:after="60"/>
              <w:jc w:val="both"/>
              <w:rPr>
                <w:iCs/>
                <w:color w:val="000000"/>
              </w:rPr>
            </w:pPr>
            <w:r w:rsidRPr="006319D3">
              <w:rPr>
                <w:iCs/>
                <w:color w:val="000000"/>
              </w:rPr>
              <w:t xml:space="preserve">Likumprojekta 5.pantā izteiktais Enerģētikas likuma 106.pants ceturtās daļas otrais teikums paredz, ka, “ja tiek plānots noslēgt </w:t>
            </w:r>
            <w:r w:rsidRPr="006319D3">
              <w:rPr>
                <w:iCs/>
                <w:color w:val="000000"/>
              </w:rPr>
              <w:lastRenderedPageBreak/>
              <w:t>starpvaldību nolīgumu ar trešo valsti, Ekonomikas ministrijai ir pienākums par to informēt Eiropas Komisiju”.</w:t>
            </w:r>
            <w:r w:rsidRPr="006319D3">
              <w:rPr>
                <w:rFonts w:eastAsia="Calibri"/>
                <w:iCs/>
                <w:color w:val="000000"/>
                <w:lang w:eastAsia="en-US"/>
              </w:rPr>
              <w:t xml:space="preserve"> </w:t>
            </w:r>
          </w:p>
          <w:p w14:paraId="3B88AE2F" w14:textId="77777777" w:rsidR="001F0766" w:rsidRPr="006319D3" w:rsidRDefault="001F0766" w:rsidP="006319D3">
            <w:pPr>
              <w:tabs>
                <w:tab w:val="left" w:pos="993"/>
              </w:tabs>
              <w:spacing w:before="60" w:after="60"/>
              <w:jc w:val="both"/>
              <w:rPr>
                <w:iCs/>
                <w:color w:val="000000"/>
              </w:rPr>
            </w:pPr>
            <w:r w:rsidRPr="006319D3">
              <w:rPr>
                <w:iCs/>
                <w:color w:val="000000"/>
              </w:rPr>
              <w:t>Vēršam uzmanību, ka normas pašreizējā redakcija rada maldīgu priekšstatu, ka minētos starpvaldību nolīgumus ar trešajām valstīm plāno un slēdz pārvades sistēmas operators vai cits tirgus dalībnieks. Norādām, ka atbilstoši Latvijas normatīvajiem aktiem, tai skaitā likumam “Par Latvijas Republikas starptautiskajiem līgumiem”, pārvades sistēmas operatoram vai citam tirgus dalībniekam nav tiesību noslēgt starpvaldību vai starpvalstu līgumus ar trešajām valstīm vai Eiropas Savienības dalībvalstīm.</w:t>
            </w:r>
          </w:p>
          <w:p w14:paraId="058F20E9" w14:textId="61DC9A1E" w:rsidR="001F0766" w:rsidRPr="006319D3" w:rsidRDefault="001F0766" w:rsidP="006319D3">
            <w:pPr>
              <w:tabs>
                <w:tab w:val="left" w:pos="993"/>
              </w:tabs>
              <w:spacing w:before="60" w:after="60"/>
              <w:jc w:val="both"/>
              <w:rPr>
                <w:iCs/>
                <w:color w:val="000000"/>
              </w:rPr>
            </w:pPr>
            <w:r w:rsidRPr="006319D3">
              <w:rPr>
                <w:iCs/>
                <w:color w:val="000000"/>
              </w:rPr>
              <w:t>Līdz ar to, ja Enerģētikas likumā plānots ietvert 106.panta ceturtās daļas otrajā teikumā minēto regulējumu, attiecīgā norma Tieslietu ministrijas ieskatā jāprecizē atbilstoši Latvijas normatīvo aktu prasībām, kā arī, iespējams, jāizdala kā atsevišķa Enerģētikas likuma vienība (piemēram, 106.prim pants). Šajā sakarā norādām, ka Enerģētikas likuma 106.pants attiecas tikai uz dabasgāzes tirgus dalībnieku savstarpējo līgumu slēgšanu.</w:t>
            </w:r>
          </w:p>
          <w:p w14:paraId="5EEE4A55" w14:textId="5EEF589B" w:rsidR="001F0766" w:rsidRPr="006319D3" w:rsidRDefault="001F0766" w:rsidP="006319D3">
            <w:pPr>
              <w:widowControl w:val="0"/>
              <w:tabs>
                <w:tab w:val="left" w:pos="993"/>
              </w:tabs>
              <w:spacing w:before="60" w:after="60"/>
              <w:jc w:val="both"/>
              <w:rPr>
                <w:iCs/>
                <w:color w:val="000000"/>
              </w:rPr>
            </w:pPr>
            <w:r w:rsidRPr="006319D3">
              <w:rPr>
                <w:iCs/>
                <w:color w:val="000000"/>
              </w:rPr>
              <w:t xml:space="preserve">Vienlaikus lūdzam izvērtēt, vai Likumprojekta 5.pantā izteiktais Enerģētikas likuma 106.panta ceturtās daļas otrais teikums vispār ir nepieciešams. Vēršam uzmanību, ka saskaņā ar Likumprojekta anotācijas V sadaļas 1. tabulā sniegto informāciju šajā Likumprojekta normā pilnībā pārņemts </w:t>
            </w:r>
            <w:r w:rsidRPr="006319D3">
              <w:rPr>
                <w:i/>
                <w:color w:val="000000"/>
              </w:rPr>
              <w:t xml:space="preserve">Eiropas Parlamenta un Padomes 2019. gada </w:t>
            </w:r>
            <w:r w:rsidRPr="006319D3">
              <w:rPr>
                <w:i/>
                <w:color w:val="000000"/>
              </w:rPr>
              <w:lastRenderedPageBreak/>
              <w:t>17. aprīļa Direktīvas 2019/692/ES, ar ko groza Direktīvu 2009/73/EK par kopīgiem noteikumiem attiecībā uz dabasgāzes iekšējo tirgu,</w:t>
            </w:r>
            <w:r w:rsidRPr="006319D3">
              <w:rPr>
                <w:iCs/>
                <w:color w:val="000000"/>
              </w:rPr>
              <w:t xml:space="preserve"> (turpmāk – Direktīva 2019/692) 1. panta 8. punkts, kas papildina Direktīvu 2009/73 ar 48.a pantu “Tehniski nolīgumi par pārvades līniju darbību”, paredzot, ka “</w:t>
            </w:r>
            <w:r w:rsidRPr="006319D3">
              <w:rPr>
                <w:i/>
                <w:color w:val="000000"/>
              </w:rPr>
              <w:t xml:space="preserve">šī direktīva neietekmē pārvades sistēmu operatoru vai citu ekonomikas dalībnieku brīvību saglabāt spēkā vai slēgt </w:t>
            </w:r>
            <w:r w:rsidRPr="006319D3">
              <w:rPr>
                <w:b/>
                <w:bCs/>
                <w:i/>
                <w:color w:val="000000"/>
                <w:u w:val="single"/>
              </w:rPr>
              <w:t>tehniskus</w:t>
            </w:r>
            <w:r w:rsidRPr="006319D3">
              <w:rPr>
                <w:i/>
                <w:color w:val="000000"/>
                <w:u w:val="single"/>
              </w:rPr>
              <w:t xml:space="preserve"> nolīgumus par jautājumiem, kas attiecas uz pārvades līniju darbību starp dalībvalsti un trešo valsti</w:t>
            </w:r>
            <w:r w:rsidRPr="006319D3">
              <w:rPr>
                <w:i/>
                <w:color w:val="000000"/>
              </w:rPr>
              <w:t>, ciktāl minētie nolīgumi ir saderīgi ar Savienības tiesību aktiem un attiecīgo dalībvalstu valsts regulatīvo iestāžu attiecīgiem lēmumiem. Par šādiem nolīgumiem paziņo attiecīgo dalībvalstu regulatīvajām iestādēm.”</w:t>
            </w:r>
            <w:r w:rsidRPr="006319D3">
              <w:rPr>
                <w:iCs/>
                <w:color w:val="000000"/>
              </w:rPr>
              <w:t xml:space="preserve"> Proti, minētā direktīvas norma attiecas uz </w:t>
            </w:r>
            <w:r w:rsidRPr="006319D3">
              <w:rPr>
                <w:iCs/>
                <w:color w:val="000000"/>
                <w:u w:val="single"/>
              </w:rPr>
              <w:t>tehniskiem līgumiem</w:t>
            </w:r>
            <w:r w:rsidRPr="006319D3">
              <w:rPr>
                <w:iCs/>
                <w:color w:val="000000"/>
              </w:rPr>
              <w:t>, bet ne uz starpvalstu vai starpvaldību līgumiem dabasgāzes piegādes jomā.</w:t>
            </w:r>
          </w:p>
          <w:p w14:paraId="76A687DA" w14:textId="01C50FF3" w:rsidR="001F0766" w:rsidRPr="006319D3" w:rsidRDefault="001F0766" w:rsidP="006319D3">
            <w:pPr>
              <w:widowControl w:val="0"/>
              <w:tabs>
                <w:tab w:val="left" w:pos="993"/>
              </w:tabs>
              <w:spacing w:before="60" w:after="60"/>
              <w:jc w:val="both"/>
              <w:rPr>
                <w:iCs/>
                <w:color w:val="000000"/>
              </w:rPr>
            </w:pPr>
            <w:r w:rsidRPr="006319D3">
              <w:rPr>
                <w:iCs/>
                <w:color w:val="000000"/>
              </w:rPr>
              <w:t xml:space="preserve">Pienākums saskaņot plānotos starpvaldību vai starpvalstu nolīgumus ar Eiropas Komisiju izriet no Direktīvas 2019/692 1. panta 9. punktā ietvertā 49.b panta. Tomēr minētais pants nekādā veidā neparedz pārvades sistēmas operatoru vai citu privātpersonu tiesības noslēgt starpvaldību nolīgumus ar trešajām valstīm. Turklāt, ņemot vērā, ka minētais nosacījums attiecas tikai uz dalībvalstu un Eiropas Komisijas sadarbību (informēšanas pienākums) un neparedz saistības privātpersonām, ir apsverams, vai </w:t>
            </w:r>
            <w:r w:rsidRPr="006319D3">
              <w:rPr>
                <w:iCs/>
                <w:color w:val="000000"/>
              </w:rPr>
              <w:lastRenderedPageBreak/>
              <w:t xml:space="preserve">attiecīgo direktīvas normu vispār nepieciešams pārņemt Enerģētikas likumā. </w:t>
            </w:r>
          </w:p>
          <w:p w14:paraId="6DB6A264" w14:textId="0C10A99A" w:rsidR="001F0766" w:rsidRPr="006319D3" w:rsidRDefault="001F0766" w:rsidP="006319D3">
            <w:pPr>
              <w:widowControl w:val="0"/>
              <w:tabs>
                <w:tab w:val="left" w:pos="993"/>
              </w:tabs>
              <w:spacing w:before="60" w:after="60"/>
              <w:jc w:val="both"/>
              <w:rPr>
                <w:iCs/>
                <w:color w:val="000000"/>
              </w:rPr>
            </w:pPr>
            <w:r w:rsidRPr="006319D3">
              <w:rPr>
                <w:iCs/>
                <w:color w:val="000000"/>
              </w:rPr>
              <w:t>Ievērojot minēto, lūdzam precizēt Likumprojektu, kā arī anotācijas I un V sadaļā ietverto informāciju par direktīvas normu pārņemšanu.</w:t>
            </w:r>
          </w:p>
          <w:p w14:paraId="438FE0D3" w14:textId="750B3869" w:rsidR="001F0766" w:rsidRPr="006319D3" w:rsidRDefault="001F0766" w:rsidP="006319D3">
            <w:pPr>
              <w:pStyle w:val="naisc"/>
              <w:spacing w:before="60" w:after="60"/>
              <w:jc w:val="both"/>
            </w:pPr>
          </w:p>
        </w:tc>
        <w:tc>
          <w:tcPr>
            <w:tcW w:w="3260" w:type="dxa"/>
            <w:gridSpan w:val="3"/>
            <w:vMerge/>
            <w:tcBorders>
              <w:left w:val="single" w:sz="6" w:space="0" w:color="000000"/>
              <w:bottom w:val="single" w:sz="6" w:space="0" w:color="000000"/>
              <w:right w:val="single" w:sz="6" w:space="0" w:color="000000"/>
            </w:tcBorders>
            <w:shd w:val="clear" w:color="auto" w:fill="FFFFFF" w:themeFill="background1"/>
          </w:tcPr>
          <w:p w14:paraId="01B0C9BC" w14:textId="77777777" w:rsidR="001F0766" w:rsidRPr="006319D3" w:rsidRDefault="001F0766" w:rsidP="006319D3">
            <w:pPr>
              <w:pStyle w:val="naisc"/>
              <w:spacing w:before="60" w:after="60"/>
              <w:ind w:firstLine="5"/>
              <w:jc w:val="both"/>
            </w:pPr>
          </w:p>
        </w:tc>
        <w:tc>
          <w:tcPr>
            <w:tcW w:w="2667" w:type="dxa"/>
            <w:vMerge/>
            <w:tcBorders>
              <w:left w:val="single" w:sz="4" w:space="0" w:color="auto"/>
              <w:bottom w:val="single" w:sz="4" w:space="0" w:color="auto"/>
            </w:tcBorders>
            <w:shd w:val="clear" w:color="auto" w:fill="FFFFFF" w:themeFill="background1"/>
          </w:tcPr>
          <w:p w14:paraId="7637E4EB" w14:textId="77777777" w:rsidR="001F0766" w:rsidRPr="006319D3" w:rsidRDefault="001F0766" w:rsidP="006319D3">
            <w:pPr>
              <w:spacing w:before="60" w:after="60"/>
              <w:ind w:firstLine="5"/>
              <w:jc w:val="both"/>
            </w:pPr>
          </w:p>
        </w:tc>
      </w:tr>
      <w:tr w:rsidR="00E078C4" w:rsidRPr="006319D3" w14:paraId="077F665A" w14:textId="77777777" w:rsidTr="004758DB">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FA4425" w14:textId="14434F13" w:rsidR="00E078C4" w:rsidRPr="006319D3" w:rsidRDefault="00F95739" w:rsidP="006319D3">
            <w:pPr>
              <w:pStyle w:val="naisc"/>
              <w:spacing w:before="60" w:after="60"/>
              <w:jc w:val="both"/>
            </w:pPr>
            <w:r w:rsidRPr="006319D3">
              <w:lastRenderedPageBreak/>
              <w:t>9.</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9028900" w14:textId="48703285" w:rsidR="00EE5222" w:rsidRPr="006319D3" w:rsidRDefault="00EE5222" w:rsidP="006319D3">
            <w:pPr>
              <w:pStyle w:val="naisc"/>
              <w:spacing w:before="60" w:after="60"/>
              <w:ind w:firstLine="33"/>
              <w:jc w:val="both"/>
            </w:pPr>
            <w:r w:rsidRPr="006319D3">
              <w:t>110.panta trešās daļa</w:t>
            </w:r>
          </w:p>
          <w:p w14:paraId="038D3EB2" w14:textId="77777777" w:rsidR="00706E4F" w:rsidRPr="006319D3" w:rsidRDefault="00706E4F" w:rsidP="006319D3">
            <w:pPr>
              <w:pStyle w:val="naisc"/>
              <w:spacing w:before="60" w:after="60"/>
              <w:ind w:firstLine="33"/>
              <w:jc w:val="both"/>
            </w:pPr>
          </w:p>
          <w:p w14:paraId="63153ED1" w14:textId="314EA476" w:rsidR="00E078C4" w:rsidRPr="006319D3" w:rsidRDefault="00EE5222" w:rsidP="006319D3">
            <w:pPr>
              <w:pStyle w:val="naisc"/>
              <w:spacing w:before="60" w:after="60"/>
              <w:ind w:firstLine="33"/>
              <w:jc w:val="both"/>
            </w:pPr>
            <w:r w:rsidRPr="006319D3">
              <w:t>5) atkāpes piešķiršana nedrīkst kaitēt attiecīgo dabasgāzes tirgu konkurencei vai efektīvai iekšējā dabasgāzes tirgus funkcionēšanai, attiecīgo regulēto sistēmu efektīvai funkcionēšanai, kurai infrastruktūra ir pieslēgta, vai Eiropas Savienības dalībvalstu piegādes drošumam.</w:t>
            </w:r>
          </w:p>
        </w:tc>
        <w:tc>
          <w:tcPr>
            <w:tcW w:w="4562" w:type="dxa"/>
            <w:tcBorders>
              <w:top w:val="single" w:sz="6" w:space="0" w:color="000000"/>
              <w:left w:val="single" w:sz="6" w:space="0" w:color="000000"/>
              <w:bottom w:val="single" w:sz="6" w:space="0" w:color="000000"/>
              <w:right w:val="single" w:sz="6" w:space="0" w:color="000000"/>
            </w:tcBorders>
            <w:shd w:val="clear" w:color="auto" w:fill="auto"/>
          </w:tcPr>
          <w:p w14:paraId="2F5ECD02" w14:textId="5CAAF19A" w:rsidR="00EE5222" w:rsidRPr="006319D3" w:rsidRDefault="00EE5222" w:rsidP="006319D3">
            <w:pPr>
              <w:pStyle w:val="naisc"/>
              <w:spacing w:before="60" w:after="60"/>
              <w:jc w:val="both"/>
              <w:rPr>
                <w:b/>
                <w:bCs/>
              </w:rPr>
            </w:pPr>
            <w:r w:rsidRPr="006319D3">
              <w:rPr>
                <w:b/>
                <w:bCs/>
              </w:rPr>
              <w:t>Sabiedrisko pakalpojumu regulēšanas komisija (06.03.2020. atzinums)</w:t>
            </w:r>
          </w:p>
          <w:p w14:paraId="250390F7" w14:textId="77777777" w:rsidR="00706E4F" w:rsidRPr="006319D3" w:rsidRDefault="00706E4F" w:rsidP="006319D3">
            <w:pPr>
              <w:pStyle w:val="naisc"/>
              <w:spacing w:before="60" w:after="60"/>
              <w:jc w:val="both"/>
              <w:rPr>
                <w:b/>
                <w:bCs/>
              </w:rPr>
            </w:pPr>
          </w:p>
          <w:p w14:paraId="4117D009" w14:textId="74F3A740" w:rsidR="00EE5222" w:rsidRPr="006319D3" w:rsidRDefault="00EE5222" w:rsidP="006319D3">
            <w:pPr>
              <w:pStyle w:val="naisc"/>
              <w:spacing w:before="60" w:after="60"/>
              <w:jc w:val="both"/>
            </w:pPr>
            <w:r w:rsidRPr="006319D3">
              <w:t>Nepieciešams precizēt Likumprojekta 6.pantā paredzēto Enerģētikas likuma 110.panta trešās daļas 5.punktu, lai nodrošinātu normas nepārprotamu piemērošanu, to izsakot Regulatora piedāvātā redakcijā.</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14:paraId="4994C9A1" w14:textId="1CE2B0E4" w:rsidR="00E078C4" w:rsidRPr="006319D3" w:rsidRDefault="00EE5222" w:rsidP="006319D3">
            <w:pPr>
              <w:pStyle w:val="naisc"/>
              <w:spacing w:before="60" w:after="60"/>
              <w:ind w:firstLine="5"/>
              <w:jc w:val="both"/>
              <w:rPr>
                <w:b/>
              </w:rPr>
            </w:pPr>
            <w:r w:rsidRPr="006319D3">
              <w:rPr>
                <w:b/>
              </w:rPr>
              <w:t>Ņemts vērā</w:t>
            </w:r>
          </w:p>
        </w:tc>
        <w:tc>
          <w:tcPr>
            <w:tcW w:w="2667" w:type="dxa"/>
            <w:tcBorders>
              <w:top w:val="single" w:sz="4" w:space="0" w:color="auto"/>
              <w:left w:val="single" w:sz="4" w:space="0" w:color="auto"/>
              <w:bottom w:val="single" w:sz="4" w:space="0" w:color="auto"/>
            </w:tcBorders>
            <w:shd w:val="clear" w:color="auto" w:fill="FFFFFF" w:themeFill="background1"/>
          </w:tcPr>
          <w:p w14:paraId="45E363E0" w14:textId="6C55BE67" w:rsidR="00EE5222" w:rsidRPr="006319D3" w:rsidRDefault="00EE5222" w:rsidP="006319D3">
            <w:pPr>
              <w:pStyle w:val="naisc"/>
              <w:spacing w:before="60" w:after="60"/>
              <w:ind w:firstLine="33"/>
              <w:jc w:val="both"/>
            </w:pPr>
            <w:r w:rsidRPr="006319D3">
              <w:t>110.panta trešās daļa</w:t>
            </w:r>
            <w:r w:rsidR="007B18C0" w:rsidRPr="006319D3">
              <w:t xml:space="preserve"> </w:t>
            </w:r>
          </w:p>
          <w:p w14:paraId="60FA80E4" w14:textId="052F91C9" w:rsidR="00EE5222" w:rsidRPr="006319D3" w:rsidRDefault="00EE5222" w:rsidP="006319D3">
            <w:pPr>
              <w:pStyle w:val="naisc"/>
              <w:spacing w:before="60" w:after="60"/>
              <w:ind w:firstLine="33"/>
              <w:jc w:val="both"/>
            </w:pPr>
          </w:p>
          <w:p w14:paraId="0CF86F2A" w14:textId="7D887352" w:rsidR="00EE5222" w:rsidRPr="006319D3" w:rsidRDefault="004453D9" w:rsidP="006319D3">
            <w:pPr>
              <w:pStyle w:val="naisc"/>
              <w:spacing w:before="60" w:after="60"/>
              <w:ind w:firstLine="33"/>
              <w:jc w:val="both"/>
            </w:pPr>
            <w:r w:rsidRPr="006319D3">
              <w:t xml:space="preserve">5) atkāpes piešķiršana nedrīkst kaitēt konkurencei </w:t>
            </w:r>
            <w:r w:rsidRPr="006319D3">
              <w:rPr>
                <w:u w:val="single"/>
              </w:rPr>
              <w:t>attiecīgajos dabasgāzes tirgos, kurus varētu ietekmēt minētie ieguldījumi</w:t>
            </w:r>
            <w:r w:rsidRPr="006319D3">
              <w:t>, dabasgāzes iekšējā tirgus efektīvai funkcionēšanai, attiecīgo regulēto sistēmu efektīvai funkcionēšanai, kurai infrastruktūra ir pieslēgta, vai Eiropas Savienības dalībvalstu piegādes drošumam</w:t>
            </w:r>
            <w:r w:rsidR="00EE5222" w:rsidRPr="006319D3">
              <w:t>.</w:t>
            </w:r>
          </w:p>
          <w:p w14:paraId="6C07EF97" w14:textId="227E1E8B" w:rsidR="00E078C4" w:rsidRPr="006319D3" w:rsidRDefault="00E078C4" w:rsidP="006319D3">
            <w:pPr>
              <w:spacing w:before="60" w:after="60"/>
              <w:ind w:firstLine="5"/>
              <w:jc w:val="both"/>
            </w:pPr>
          </w:p>
        </w:tc>
      </w:tr>
      <w:tr w:rsidR="00E078C4" w:rsidRPr="006319D3" w14:paraId="11EDDA9D" w14:textId="77777777" w:rsidTr="004758DB">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8414A2" w14:textId="329E03E3" w:rsidR="00E078C4" w:rsidRPr="006319D3" w:rsidRDefault="00F95739" w:rsidP="006319D3">
            <w:pPr>
              <w:pStyle w:val="naisc"/>
              <w:spacing w:before="60" w:after="60"/>
              <w:jc w:val="both"/>
            </w:pPr>
            <w:r w:rsidRPr="006319D3">
              <w:t>10.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470604" w14:textId="42A1EEF5" w:rsidR="00C75EC2" w:rsidRPr="006319D3" w:rsidRDefault="00C75EC2" w:rsidP="006319D3">
            <w:pPr>
              <w:tabs>
                <w:tab w:val="left" w:pos="4678"/>
              </w:tabs>
              <w:spacing w:before="60" w:after="60"/>
              <w:jc w:val="both"/>
              <w:rPr>
                <w:rFonts w:eastAsia="Calibri"/>
                <w:color w:val="000000" w:themeColor="text1"/>
                <w:lang w:eastAsia="en-US"/>
              </w:rPr>
            </w:pPr>
            <w:r w:rsidRPr="006319D3">
              <w:rPr>
                <w:rFonts w:eastAsia="Calibri"/>
                <w:color w:val="000000" w:themeColor="text1"/>
                <w:lang w:eastAsia="en-US"/>
              </w:rPr>
              <w:t>110. pant</w:t>
            </w:r>
            <w:r w:rsidR="00706E4F" w:rsidRPr="006319D3">
              <w:rPr>
                <w:rFonts w:eastAsia="Calibri"/>
                <w:color w:val="000000" w:themeColor="text1"/>
                <w:lang w:eastAsia="en-US"/>
              </w:rPr>
              <w:t>s</w:t>
            </w:r>
          </w:p>
          <w:p w14:paraId="3DCFB2D5" w14:textId="77777777" w:rsidR="00706E4F" w:rsidRPr="006319D3" w:rsidRDefault="00706E4F" w:rsidP="006319D3">
            <w:pPr>
              <w:tabs>
                <w:tab w:val="left" w:pos="4678"/>
              </w:tabs>
              <w:spacing w:before="60" w:after="60"/>
              <w:jc w:val="both"/>
              <w:rPr>
                <w:rFonts w:eastAsia="Calibri"/>
                <w:color w:val="000000" w:themeColor="text1"/>
                <w:lang w:eastAsia="en-US"/>
              </w:rPr>
            </w:pPr>
          </w:p>
          <w:p w14:paraId="4FBEB2C0" w14:textId="70B6F1A2" w:rsidR="00C75EC2" w:rsidRPr="006319D3" w:rsidRDefault="00C75EC2" w:rsidP="006319D3">
            <w:pPr>
              <w:tabs>
                <w:tab w:val="left" w:pos="4678"/>
              </w:tabs>
              <w:spacing w:before="60" w:after="60"/>
              <w:jc w:val="both"/>
            </w:pPr>
            <w:r w:rsidRPr="006319D3">
              <w:t>(3</w:t>
            </w:r>
            <w:r w:rsidRPr="006319D3">
              <w:rPr>
                <w:vertAlign w:val="superscript"/>
              </w:rPr>
              <w:t>1</w:t>
            </w:r>
            <w:r w:rsidRPr="006319D3">
              <w:t>) Pirms regulators pieņem lēmumu par atkāpes piešķiršanu, tas apspriežas ar:</w:t>
            </w:r>
          </w:p>
          <w:p w14:paraId="61DC4DC9" w14:textId="77777777" w:rsidR="00C75EC2" w:rsidRPr="006319D3" w:rsidRDefault="00C75EC2" w:rsidP="006319D3">
            <w:pPr>
              <w:numPr>
                <w:ilvl w:val="0"/>
                <w:numId w:val="15"/>
              </w:numPr>
              <w:tabs>
                <w:tab w:val="left" w:pos="4678"/>
              </w:tabs>
              <w:spacing w:before="60" w:after="60"/>
              <w:jc w:val="both"/>
            </w:pPr>
            <w:r w:rsidRPr="006319D3">
              <w:t xml:space="preserve">Eiropas Savienības dalībvalstu </w:t>
            </w:r>
            <w:r w:rsidRPr="006319D3">
              <w:lastRenderedPageBreak/>
              <w:t xml:space="preserve">regulatīvajām iestādēm, kuru tirgu var ietekmēt jaunie dabasgāzes apgādes sistēmas </w:t>
            </w:r>
            <w:proofErr w:type="spellStart"/>
            <w:r w:rsidRPr="006319D3">
              <w:t>pieslēgumi</w:t>
            </w:r>
            <w:proofErr w:type="spellEnd"/>
            <w:r w:rsidRPr="006319D3">
              <w:t>; un</w:t>
            </w:r>
          </w:p>
          <w:p w14:paraId="5BA0F049" w14:textId="3560D15C" w:rsidR="00C75EC2" w:rsidRPr="006319D3" w:rsidRDefault="00C75EC2" w:rsidP="006319D3">
            <w:pPr>
              <w:numPr>
                <w:ilvl w:val="0"/>
                <w:numId w:val="15"/>
              </w:numPr>
              <w:tabs>
                <w:tab w:val="left" w:pos="4678"/>
              </w:tabs>
              <w:spacing w:before="60" w:after="60"/>
              <w:ind w:left="709"/>
              <w:jc w:val="both"/>
            </w:pPr>
            <w:r w:rsidRPr="006319D3">
              <w:t>trešo valstu iestādēm, kuru infrastruktūra ir savienota ar Eiropas Savienības dabasgāzes sistēmu tās jurisdikcijā un sākas vai beidzas trešā valstī.</w:t>
            </w:r>
          </w:p>
          <w:p w14:paraId="5C1875C6" w14:textId="2FFFAF34" w:rsidR="00E078C4" w:rsidRPr="006319D3" w:rsidRDefault="00E078C4" w:rsidP="006319D3">
            <w:pPr>
              <w:pStyle w:val="naisc"/>
              <w:spacing w:before="60" w:after="60"/>
              <w:ind w:firstLine="33"/>
              <w:jc w:val="both"/>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F75DAC" w14:textId="77777777" w:rsidR="00C75EC2" w:rsidRPr="006319D3" w:rsidRDefault="00C75EC2" w:rsidP="006319D3">
            <w:pPr>
              <w:pStyle w:val="naisc"/>
              <w:spacing w:before="60" w:after="60"/>
              <w:jc w:val="both"/>
              <w:rPr>
                <w:b/>
                <w:bCs/>
              </w:rPr>
            </w:pPr>
            <w:r w:rsidRPr="006319D3">
              <w:rPr>
                <w:b/>
                <w:bCs/>
              </w:rPr>
              <w:lastRenderedPageBreak/>
              <w:t>Sabiedrisko pakalpojumu regulēšanas komisija (06.03.2020. atzinums)</w:t>
            </w:r>
          </w:p>
          <w:p w14:paraId="1721170D" w14:textId="77777777" w:rsidR="00E078C4" w:rsidRPr="006319D3" w:rsidRDefault="00E078C4" w:rsidP="006319D3">
            <w:pPr>
              <w:pStyle w:val="naisc"/>
              <w:spacing w:before="60" w:after="60"/>
              <w:jc w:val="both"/>
            </w:pPr>
          </w:p>
          <w:p w14:paraId="316B0E90" w14:textId="2C5E0FBC" w:rsidR="00C75EC2" w:rsidRPr="006319D3" w:rsidRDefault="00C75EC2" w:rsidP="006319D3">
            <w:pPr>
              <w:pStyle w:val="naisc"/>
              <w:spacing w:before="60" w:after="60"/>
              <w:jc w:val="both"/>
            </w:pPr>
            <w:r w:rsidRPr="006319D3">
              <w:rPr>
                <w:lang w:eastAsia="x-none"/>
              </w:rPr>
              <w:t xml:space="preserve">Nepieciešams precizēt Likumprojekta 7.pantā noteikto Enerģētikas likuma 110.panta trešās </w:t>
            </w:r>
            <w:proofErr w:type="spellStart"/>
            <w:r w:rsidRPr="006319D3">
              <w:rPr>
                <w:lang w:eastAsia="x-none"/>
              </w:rPr>
              <w:t>prim</w:t>
            </w:r>
            <w:proofErr w:type="spellEnd"/>
            <w:r w:rsidRPr="006319D3">
              <w:rPr>
                <w:lang w:eastAsia="x-none"/>
              </w:rPr>
              <w:t xml:space="preserve"> daļas 1.punkta redakciju, tajā ietverot atsauci uz Enerģētikas likuma 110.panta trešo </w:t>
            </w:r>
            <w:r w:rsidRPr="006319D3">
              <w:rPr>
                <w:lang w:eastAsia="x-none"/>
              </w:rPr>
              <w:lastRenderedPageBreak/>
              <w:t xml:space="preserve">daļu un ņemot vērā, ka minētā norma attiecas uz jauniem dabasgāzes apgādes sistēmas objektiem, nevis uz jauniem dabasgāzes apgādes sistēmas </w:t>
            </w:r>
            <w:proofErr w:type="spellStart"/>
            <w:r w:rsidRPr="006319D3">
              <w:rPr>
                <w:lang w:eastAsia="x-none"/>
              </w:rPr>
              <w:t>pieslēgumiem</w:t>
            </w:r>
            <w:proofErr w:type="spellEnd"/>
            <w:r w:rsidRPr="006319D3">
              <w:rPr>
                <w:lang w:eastAsia="x-none"/>
              </w:rPr>
              <w:t xml:space="preserve">. Savukārt Enerģētikas likuma 110.panta trešās </w:t>
            </w:r>
            <w:proofErr w:type="spellStart"/>
            <w:r w:rsidRPr="006319D3">
              <w:rPr>
                <w:lang w:eastAsia="x-none"/>
              </w:rPr>
              <w:t>prim</w:t>
            </w:r>
            <w:proofErr w:type="spellEnd"/>
            <w:r w:rsidRPr="006319D3">
              <w:rPr>
                <w:lang w:eastAsia="x-none"/>
              </w:rPr>
              <w:t xml:space="preserve"> daļas 2.punkta redakcija jāprecizē atbilstoši Direktīvas Nr.2009/73 36.panta 3.punkta b) apakšpunktā noteiktajam. Ņemot vērā minēto, Enerģētikas likuma 110.panta 3.</w:t>
            </w:r>
            <w:r w:rsidRPr="006319D3">
              <w:rPr>
                <w:vertAlign w:val="superscript"/>
                <w:lang w:eastAsia="x-none"/>
              </w:rPr>
              <w:t>1</w:t>
            </w:r>
            <w:r w:rsidRPr="006319D3">
              <w:rPr>
                <w:lang w:eastAsia="x-none"/>
              </w:rPr>
              <w:t xml:space="preserve">daļa ir izsakāma Regulatora piedāvātajā redakcijā. </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14:paraId="731A77C9" w14:textId="2F60925E" w:rsidR="00E078C4" w:rsidRPr="006319D3" w:rsidRDefault="00C75EC2" w:rsidP="006319D3">
            <w:pPr>
              <w:pStyle w:val="naisc"/>
              <w:spacing w:before="60" w:after="60"/>
              <w:ind w:firstLine="5"/>
              <w:jc w:val="both"/>
              <w:rPr>
                <w:b/>
              </w:rPr>
            </w:pPr>
            <w:r w:rsidRPr="006319D3">
              <w:rPr>
                <w:b/>
              </w:rPr>
              <w:lastRenderedPageBreak/>
              <w:t>Ņemts vērā</w:t>
            </w:r>
          </w:p>
        </w:tc>
        <w:tc>
          <w:tcPr>
            <w:tcW w:w="2667" w:type="dxa"/>
            <w:tcBorders>
              <w:top w:val="single" w:sz="4" w:space="0" w:color="auto"/>
              <w:left w:val="single" w:sz="4" w:space="0" w:color="auto"/>
              <w:bottom w:val="single" w:sz="4" w:space="0" w:color="auto"/>
            </w:tcBorders>
            <w:shd w:val="clear" w:color="auto" w:fill="FFFFFF" w:themeFill="background1"/>
          </w:tcPr>
          <w:p w14:paraId="48B24FF1" w14:textId="279CCA54" w:rsidR="00706E4F" w:rsidRPr="006319D3" w:rsidRDefault="00706E4F" w:rsidP="006319D3">
            <w:pPr>
              <w:pStyle w:val="CommentText"/>
              <w:spacing w:before="60" w:after="60"/>
              <w:jc w:val="both"/>
              <w:rPr>
                <w:sz w:val="24"/>
                <w:szCs w:val="24"/>
              </w:rPr>
            </w:pPr>
            <w:r w:rsidRPr="006319D3">
              <w:rPr>
                <w:sz w:val="24"/>
                <w:szCs w:val="24"/>
              </w:rPr>
              <w:t xml:space="preserve">110.pants </w:t>
            </w:r>
          </w:p>
          <w:p w14:paraId="0006A684" w14:textId="77777777" w:rsidR="00706E4F" w:rsidRPr="006319D3" w:rsidRDefault="00706E4F" w:rsidP="006319D3">
            <w:pPr>
              <w:pStyle w:val="CommentText"/>
              <w:spacing w:before="60" w:after="60"/>
              <w:jc w:val="both"/>
              <w:rPr>
                <w:sz w:val="24"/>
                <w:szCs w:val="24"/>
              </w:rPr>
            </w:pPr>
          </w:p>
          <w:p w14:paraId="11F476E5" w14:textId="640C58AA" w:rsidR="00C75EC2" w:rsidRPr="006319D3" w:rsidRDefault="00C75EC2" w:rsidP="006319D3">
            <w:pPr>
              <w:pStyle w:val="CommentText"/>
              <w:spacing w:before="60" w:after="60"/>
              <w:jc w:val="both"/>
              <w:rPr>
                <w:sz w:val="24"/>
                <w:szCs w:val="24"/>
              </w:rPr>
            </w:pPr>
            <w:r w:rsidRPr="006319D3">
              <w:rPr>
                <w:sz w:val="24"/>
                <w:szCs w:val="24"/>
              </w:rPr>
              <w:t>(3</w:t>
            </w:r>
            <w:r w:rsidRPr="006319D3">
              <w:rPr>
                <w:sz w:val="24"/>
                <w:szCs w:val="24"/>
                <w:vertAlign w:val="superscript"/>
              </w:rPr>
              <w:t>1</w:t>
            </w:r>
            <w:r w:rsidRPr="006319D3">
              <w:rPr>
                <w:sz w:val="24"/>
                <w:szCs w:val="24"/>
              </w:rPr>
              <w:t xml:space="preserve">) Pirms regulators pieņem lēmumu par atkāpes piešķiršanu </w:t>
            </w:r>
            <w:r w:rsidRPr="006319D3">
              <w:rPr>
                <w:sz w:val="24"/>
                <w:szCs w:val="24"/>
                <w:u w:val="single"/>
              </w:rPr>
              <w:t>saskaņā ar šā panta trešo daļu</w:t>
            </w:r>
            <w:r w:rsidRPr="006319D3">
              <w:rPr>
                <w:sz w:val="24"/>
                <w:szCs w:val="24"/>
              </w:rPr>
              <w:t>, tas apspriežas ar:</w:t>
            </w:r>
          </w:p>
          <w:p w14:paraId="71FD16C7" w14:textId="77777777" w:rsidR="00C75EC2" w:rsidRPr="006319D3" w:rsidRDefault="00C75EC2" w:rsidP="006319D3">
            <w:pPr>
              <w:pStyle w:val="CommentText"/>
              <w:numPr>
                <w:ilvl w:val="0"/>
                <w:numId w:val="16"/>
              </w:numPr>
              <w:spacing w:before="60" w:after="60"/>
              <w:ind w:left="504"/>
              <w:jc w:val="both"/>
              <w:rPr>
                <w:sz w:val="24"/>
                <w:szCs w:val="24"/>
              </w:rPr>
            </w:pPr>
            <w:r w:rsidRPr="006319D3">
              <w:rPr>
                <w:sz w:val="24"/>
                <w:szCs w:val="24"/>
              </w:rPr>
              <w:lastRenderedPageBreak/>
              <w:t>Eiropas Savienības dalībvalst</w:t>
            </w:r>
            <w:r w:rsidRPr="006319D3">
              <w:rPr>
                <w:sz w:val="24"/>
                <w:szCs w:val="24"/>
                <w:u w:val="single"/>
              </w:rPr>
              <w:t>s</w:t>
            </w:r>
            <w:r w:rsidRPr="006319D3">
              <w:rPr>
                <w:sz w:val="24"/>
                <w:szCs w:val="24"/>
              </w:rPr>
              <w:t xml:space="preserve"> regulatīv</w:t>
            </w:r>
            <w:r w:rsidRPr="006319D3">
              <w:rPr>
                <w:sz w:val="24"/>
                <w:szCs w:val="24"/>
                <w:u w:val="single"/>
              </w:rPr>
              <w:t>o</w:t>
            </w:r>
            <w:r w:rsidRPr="006319D3">
              <w:rPr>
                <w:sz w:val="24"/>
                <w:szCs w:val="24"/>
              </w:rPr>
              <w:t xml:space="preserve"> iestād</w:t>
            </w:r>
            <w:r w:rsidRPr="006319D3">
              <w:rPr>
                <w:sz w:val="24"/>
                <w:szCs w:val="24"/>
                <w:u w:val="single"/>
              </w:rPr>
              <w:t>i</w:t>
            </w:r>
            <w:r w:rsidRPr="006319D3">
              <w:rPr>
                <w:sz w:val="24"/>
                <w:szCs w:val="24"/>
              </w:rPr>
              <w:t>, kur</w:t>
            </w:r>
            <w:r w:rsidRPr="006319D3">
              <w:rPr>
                <w:sz w:val="24"/>
                <w:szCs w:val="24"/>
                <w:u w:val="single"/>
              </w:rPr>
              <w:t>as</w:t>
            </w:r>
            <w:r w:rsidRPr="006319D3">
              <w:rPr>
                <w:sz w:val="24"/>
                <w:szCs w:val="24"/>
              </w:rPr>
              <w:t xml:space="preserve"> </w:t>
            </w:r>
            <w:r w:rsidRPr="006319D3">
              <w:rPr>
                <w:sz w:val="24"/>
                <w:szCs w:val="24"/>
                <w:u w:val="single"/>
              </w:rPr>
              <w:t xml:space="preserve">dabasgāzes </w:t>
            </w:r>
            <w:r w:rsidRPr="006319D3">
              <w:rPr>
                <w:sz w:val="24"/>
                <w:szCs w:val="24"/>
              </w:rPr>
              <w:t>tirgu var ietekmēt jaun</w:t>
            </w:r>
            <w:r w:rsidRPr="006319D3">
              <w:rPr>
                <w:sz w:val="24"/>
                <w:szCs w:val="24"/>
                <w:u w:val="single"/>
              </w:rPr>
              <w:t>ais</w:t>
            </w:r>
            <w:r w:rsidRPr="006319D3">
              <w:rPr>
                <w:sz w:val="24"/>
                <w:szCs w:val="24"/>
              </w:rPr>
              <w:t xml:space="preserve"> dabasgāzes apgādes sistēmas </w:t>
            </w:r>
            <w:r w:rsidRPr="006319D3">
              <w:rPr>
                <w:sz w:val="24"/>
                <w:szCs w:val="24"/>
                <w:u w:val="single"/>
              </w:rPr>
              <w:t>objekts</w:t>
            </w:r>
            <w:r w:rsidRPr="006319D3">
              <w:rPr>
                <w:sz w:val="24"/>
                <w:szCs w:val="24"/>
              </w:rPr>
              <w:t>;</w:t>
            </w:r>
          </w:p>
          <w:p w14:paraId="65EBB05E" w14:textId="35B769CC" w:rsidR="00E078C4" w:rsidRPr="006319D3" w:rsidRDefault="00C75EC2" w:rsidP="006319D3">
            <w:pPr>
              <w:pStyle w:val="CommentText"/>
              <w:numPr>
                <w:ilvl w:val="0"/>
                <w:numId w:val="16"/>
              </w:numPr>
              <w:spacing w:before="60" w:after="60"/>
              <w:ind w:left="504"/>
              <w:jc w:val="both"/>
              <w:rPr>
                <w:sz w:val="24"/>
                <w:szCs w:val="24"/>
              </w:rPr>
            </w:pPr>
            <w:r w:rsidRPr="006319D3">
              <w:rPr>
                <w:sz w:val="24"/>
                <w:szCs w:val="24"/>
              </w:rPr>
              <w:t xml:space="preserve"> </w:t>
            </w:r>
            <w:bookmarkStart w:id="5" w:name="_Hlk35949619"/>
            <w:r w:rsidRPr="006319D3">
              <w:rPr>
                <w:sz w:val="24"/>
                <w:szCs w:val="24"/>
              </w:rPr>
              <w:t>treš</w:t>
            </w:r>
            <w:r w:rsidRPr="006319D3">
              <w:rPr>
                <w:sz w:val="24"/>
                <w:szCs w:val="24"/>
                <w:u w:val="single"/>
              </w:rPr>
              <w:t>ās</w:t>
            </w:r>
            <w:r w:rsidRPr="006319D3">
              <w:rPr>
                <w:sz w:val="24"/>
                <w:szCs w:val="24"/>
              </w:rPr>
              <w:t xml:space="preserve"> valst</w:t>
            </w:r>
            <w:r w:rsidRPr="006319D3">
              <w:rPr>
                <w:sz w:val="24"/>
                <w:szCs w:val="24"/>
                <w:u w:val="single"/>
              </w:rPr>
              <w:t>s</w:t>
            </w:r>
            <w:r w:rsidRPr="006319D3">
              <w:rPr>
                <w:sz w:val="24"/>
                <w:szCs w:val="24"/>
              </w:rPr>
              <w:t xml:space="preserve"> </w:t>
            </w:r>
            <w:r w:rsidRPr="006319D3">
              <w:rPr>
                <w:sz w:val="24"/>
                <w:szCs w:val="24"/>
                <w:u w:val="single"/>
              </w:rPr>
              <w:t xml:space="preserve">attiecīgo iestādi, ar kuru Latvijas Republikai ir attiecīgais </w:t>
            </w:r>
            <w:proofErr w:type="spellStart"/>
            <w:r w:rsidRPr="006319D3">
              <w:rPr>
                <w:sz w:val="24"/>
                <w:szCs w:val="24"/>
                <w:u w:val="single"/>
              </w:rPr>
              <w:t>starpsavienojums</w:t>
            </w:r>
            <w:proofErr w:type="spellEnd"/>
            <w:r w:rsidRPr="006319D3">
              <w:rPr>
                <w:sz w:val="24"/>
                <w:szCs w:val="24"/>
              </w:rPr>
              <w:t xml:space="preserve">. </w:t>
            </w:r>
            <w:r w:rsidRPr="006319D3">
              <w:rPr>
                <w:sz w:val="24"/>
                <w:szCs w:val="24"/>
                <w:u w:val="single"/>
              </w:rPr>
              <w:t>Regulators var pieņemt lēmumu par atkāpes piešķiršanu, ja trešās valsts attiecīgā iestāde nav sniegusi atbildi trīs mēnešu laikā pēc regulatora pieprasījuma</w:t>
            </w:r>
            <w:bookmarkEnd w:id="5"/>
            <w:r w:rsidR="0081097F" w:rsidRPr="006319D3">
              <w:rPr>
                <w:sz w:val="24"/>
                <w:szCs w:val="24"/>
                <w:u w:val="single"/>
              </w:rPr>
              <w:t xml:space="preserve"> nosūtīšanas dienas</w:t>
            </w:r>
            <w:r w:rsidRPr="006319D3">
              <w:rPr>
                <w:sz w:val="24"/>
                <w:szCs w:val="24"/>
                <w:u w:val="single"/>
              </w:rPr>
              <w:t>.</w:t>
            </w:r>
          </w:p>
          <w:p w14:paraId="5972532D" w14:textId="3BB9E750" w:rsidR="000E04B6" w:rsidRPr="006319D3" w:rsidRDefault="000E04B6" w:rsidP="006319D3">
            <w:pPr>
              <w:pStyle w:val="CommentText"/>
              <w:spacing w:before="60" w:after="60"/>
              <w:ind w:left="504"/>
              <w:jc w:val="both"/>
              <w:rPr>
                <w:sz w:val="24"/>
                <w:szCs w:val="24"/>
              </w:rPr>
            </w:pPr>
          </w:p>
        </w:tc>
      </w:tr>
      <w:tr w:rsidR="00E078C4" w:rsidRPr="006319D3" w14:paraId="264E7C69" w14:textId="77777777" w:rsidTr="004758DB">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E876C6" w14:textId="1391208E" w:rsidR="00E078C4" w:rsidRPr="006319D3" w:rsidRDefault="002B73EE" w:rsidP="006319D3">
            <w:pPr>
              <w:pStyle w:val="naisc"/>
              <w:spacing w:before="60" w:after="60"/>
              <w:jc w:val="both"/>
              <w:rPr>
                <w:highlight w:val="yellow"/>
              </w:rPr>
            </w:pPr>
            <w:r w:rsidRPr="006319D3">
              <w:lastRenderedPageBreak/>
              <w:t>1</w:t>
            </w:r>
            <w:r w:rsidR="00F95739" w:rsidRPr="006319D3">
              <w:t>1</w:t>
            </w:r>
            <w:r w:rsidR="000F4AA5" w:rsidRPr="006319D3">
              <w: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652AA25" w14:textId="31420605" w:rsidR="009B5890" w:rsidRPr="006319D3" w:rsidRDefault="009B5890" w:rsidP="006319D3">
            <w:pPr>
              <w:tabs>
                <w:tab w:val="left" w:pos="4678"/>
              </w:tabs>
              <w:spacing w:before="60" w:after="60"/>
              <w:jc w:val="both"/>
              <w:rPr>
                <w:color w:val="000000" w:themeColor="text1"/>
              </w:rPr>
            </w:pPr>
            <w:bookmarkStart w:id="6" w:name="_Hlk35949832"/>
            <w:r w:rsidRPr="006319D3">
              <w:rPr>
                <w:color w:val="000000" w:themeColor="text1"/>
              </w:rPr>
              <w:t>117.pant</w:t>
            </w:r>
            <w:r w:rsidR="000E04B6" w:rsidRPr="006319D3">
              <w:rPr>
                <w:color w:val="000000" w:themeColor="text1"/>
              </w:rPr>
              <w:t>a astotā daļa</w:t>
            </w:r>
          </w:p>
          <w:bookmarkEnd w:id="6"/>
          <w:p w14:paraId="2A3A8A9B" w14:textId="77777777" w:rsidR="00706E4F" w:rsidRPr="006319D3" w:rsidRDefault="00706E4F" w:rsidP="006319D3">
            <w:pPr>
              <w:tabs>
                <w:tab w:val="left" w:pos="4678"/>
              </w:tabs>
              <w:spacing w:before="60" w:after="60"/>
              <w:jc w:val="both"/>
              <w:rPr>
                <w:color w:val="000000" w:themeColor="text1"/>
              </w:rPr>
            </w:pPr>
          </w:p>
          <w:p w14:paraId="0C564182" w14:textId="3DA803F9" w:rsidR="009B5890" w:rsidRPr="006319D3" w:rsidRDefault="009B5890" w:rsidP="006319D3">
            <w:pPr>
              <w:pStyle w:val="ListParagraph"/>
              <w:tabs>
                <w:tab w:val="left" w:pos="4678"/>
              </w:tabs>
              <w:spacing w:before="60" w:after="60" w:line="240" w:lineRule="auto"/>
              <w:ind w:left="0"/>
              <w:contextualSpacing w:val="0"/>
              <w:jc w:val="both"/>
              <w:rPr>
                <w:rFonts w:ascii="Times New Roman" w:hAnsi="Times New Roman"/>
                <w:sz w:val="24"/>
                <w:szCs w:val="24"/>
                <w:lang w:eastAsia="lv-LV"/>
              </w:rPr>
            </w:pPr>
            <w:r w:rsidRPr="006319D3">
              <w:rPr>
                <w:rFonts w:ascii="Times New Roman" w:hAnsi="Times New Roman"/>
                <w:sz w:val="24"/>
                <w:szCs w:val="24"/>
                <w:lang w:eastAsia="lv-LV"/>
              </w:rPr>
              <w:t xml:space="preserve">(8) Ievērojot 110.panta pirmajā daļā noteikto pārvades sistēmas operatora pienākumu nodrošināt piekļuvi dabasgāzes pārvades sistēmai, </w:t>
            </w:r>
            <w:r w:rsidRPr="006319D3">
              <w:rPr>
                <w:rFonts w:ascii="Times New Roman" w:hAnsi="Times New Roman"/>
                <w:sz w:val="24"/>
                <w:szCs w:val="24"/>
                <w:lang w:eastAsia="lv-LV"/>
              </w:rPr>
              <w:lastRenderedPageBreak/>
              <w:t>gadījumā, ja šī piekļuve tiek atteikta sākumposma cauruļvada sistēmai, kas atrodas Latvijas teritorijā, pārrobežu domstarpību izšķiršanai piemēro Latvijas Republikas normatīvos aktus.</w:t>
            </w:r>
          </w:p>
          <w:p w14:paraId="2D217D8C" w14:textId="4A3057DB" w:rsidR="00E078C4" w:rsidRPr="006319D3" w:rsidRDefault="00E078C4" w:rsidP="006319D3">
            <w:pPr>
              <w:pStyle w:val="naisc"/>
              <w:spacing w:before="60" w:after="60"/>
              <w:ind w:firstLine="33"/>
              <w:jc w:val="both"/>
              <w:rPr>
                <w:highlight w:val="yellow"/>
              </w:rPr>
            </w:pPr>
          </w:p>
        </w:tc>
        <w:tc>
          <w:tcPr>
            <w:tcW w:w="4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F56851" w14:textId="77777777" w:rsidR="009B5890" w:rsidRPr="006319D3" w:rsidRDefault="009B5890" w:rsidP="006319D3">
            <w:pPr>
              <w:pStyle w:val="naisc"/>
              <w:spacing w:before="60" w:after="60"/>
              <w:jc w:val="both"/>
              <w:rPr>
                <w:b/>
                <w:bCs/>
              </w:rPr>
            </w:pPr>
            <w:r w:rsidRPr="006319D3">
              <w:rPr>
                <w:b/>
                <w:bCs/>
              </w:rPr>
              <w:lastRenderedPageBreak/>
              <w:t>Sabiedrisko pakalpojumu regulēšanas komisija (06.03.2020. atzinums)</w:t>
            </w:r>
          </w:p>
          <w:p w14:paraId="65B30C77" w14:textId="77777777" w:rsidR="009B5890" w:rsidRPr="006319D3" w:rsidRDefault="009B5890" w:rsidP="006319D3">
            <w:pPr>
              <w:pStyle w:val="CommentText"/>
              <w:spacing w:before="60" w:after="60"/>
              <w:jc w:val="both"/>
              <w:rPr>
                <w:sz w:val="24"/>
                <w:szCs w:val="24"/>
              </w:rPr>
            </w:pPr>
          </w:p>
          <w:p w14:paraId="01E7F28F" w14:textId="22895330" w:rsidR="009B5890" w:rsidRPr="006319D3" w:rsidRDefault="009B5890" w:rsidP="006319D3">
            <w:pPr>
              <w:pStyle w:val="CommentText"/>
              <w:spacing w:before="60" w:after="60"/>
              <w:jc w:val="both"/>
              <w:rPr>
                <w:sz w:val="24"/>
                <w:szCs w:val="24"/>
              </w:rPr>
            </w:pPr>
            <w:r w:rsidRPr="006319D3">
              <w:rPr>
                <w:sz w:val="24"/>
                <w:szCs w:val="24"/>
              </w:rPr>
              <w:t>Regulators norāda, ka regulējums attiecībā uz piekļuvi sākumposma cauruļvadu tīkliem ir noteikts Enerģētikas likuma 44.</w:t>
            </w:r>
            <w:r w:rsidRPr="006319D3">
              <w:rPr>
                <w:sz w:val="24"/>
                <w:szCs w:val="24"/>
                <w:vertAlign w:val="superscript"/>
              </w:rPr>
              <w:t>1</w:t>
            </w:r>
            <w:r w:rsidRPr="006319D3">
              <w:rPr>
                <w:sz w:val="24"/>
                <w:szCs w:val="24"/>
              </w:rPr>
              <w:t xml:space="preserve">pantā, kurš atbilstoši Enerģētikas likuma pārejas </w:t>
            </w:r>
            <w:r w:rsidRPr="006319D3">
              <w:rPr>
                <w:sz w:val="24"/>
                <w:szCs w:val="24"/>
              </w:rPr>
              <w:lastRenderedPageBreak/>
              <w:t>noteikumu 33.punktam stājas spēkā tad, kad Latvijā tiek uzsākta dabasgāzes ieguve, un šā panta spēkā stāšanos nosaka ar īpašu likumu. Ņemot vērā minēto, un to, ka Enerģētikas likuma 117.pants noteic vienotās dabasgāzes pārvades ieejas-izejas sistēmas darbības regulējumu, nepieciešams attiecīgi precizēt Likumprojekta 8.pantu, nosakot izmaiņas Enerģētikas likuma 44.</w:t>
            </w:r>
            <w:r w:rsidRPr="006319D3">
              <w:rPr>
                <w:sz w:val="24"/>
                <w:szCs w:val="24"/>
                <w:vertAlign w:val="superscript"/>
              </w:rPr>
              <w:t>1</w:t>
            </w:r>
            <w:r w:rsidRPr="006319D3">
              <w:rPr>
                <w:sz w:val="24"/>
                <w:szCs w:val="24"/>
              </w:rPr>
              <w:t>pantā, nevis 117.pantā.</w:t>
            </w:r>
          </w:p>
          <w:p w14:paraId="78DA21D2" w14:textId="06677641" w:rsidR="00E078C4" w:rsidRPr="006319D3" w:rsidRDefault="00E078C4" w:rsidP="006319D3">
            <w:pPr>
              <w:pStyle w:val="naisc"/>
              <w:spacing w:before="60" w:after="60"/>
              <w:jc w:val="both"/>
              <w:rPr>
                <w:highlight w:val="yellow"/>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14:paraId="5E064750" w14:textId="77777777" w:rsidR="00E078C4" w:rsidRPr="006319D3" w:rsidRDefault="00B415F6" w:rsidP="006319D3">
            <w:pPr>
              <w:pStyle w:val="naisc"/>
              <w:spacing w:before="60" w:after="60"/>
              <w:ind w:firstLine="5"/>
              <w:jc w:val="both"/>
              <w:rPr>
                <w:b/>
              </w:rPr>
            </w:pPr>
            <w:r w:rsidRPr="006319D3">
              <w:rPr>
                <w:b/>
              </w:rPr>
              <w:lastRenderedPageBreak/>
              <w:t>Ņemts vērā</w:t>
            </w:r>
          </w:p>
          <w:p w14:paraId="63507DCE" w14:textId="0A0EBD8C" w:rsidR="00B415F6" w:rsidRPr="006319D3" w:rsidRDefault="00B415F6" w:rsidP="006319D3">
            <w:pPr>
              <w:pStyle w:val="naisc"/>
              <w:spacing w:before="60" w:after="60"/>
              <w:ind w:firstLine="5"/>
              <w:jc w:val="both"/>
              <w:rPr>
                <w:bCs/>
                <w:highlight w:val="yellow"/>
              </w:rPr>
            </w:pPr>
            <w:r w:rsidRPr="006319D3">
              <w:rPr>
                <w:bCs/>
              </w:rPr>
              <w:t xml:space="preserve">Papildināts tostarp ievērojot Tieslietu ministrijas pausto. </w:t>
            </w:r>
          </w:p>
        </w:tc>
        <w:tc>
          <w:tcPr>
            <w:tcW w:w="2667" w:type="dxa"/>
            <w:tcBorders>
              <w:top w:val="single" w:sz="4" w:space="0" w:color="auto"/>
              <w:left w:val="single" w:sz="4" w:space="0" w:color="auto"/>
              <w:bottom w:val="single" w:sz="4" w:space="0" w:color="auto"/>
            </w:tcBorders>
            <w:shd w:val="clear" w:color="auto" w:fill="FFFFFF" w:themeFill="background1"/>
          </w:tcPr>
          <w:p w14:paraId="78C02CA1" w14:textId="1838B1CC" w:rsidR="009B5890" w:rsidRPr="006319D3" w:rsidRDefault="009B5890" w:rsidP="006319D3">
            <w:pPr>
              <w:pStyle w:val="ListParagraph"/>
              <w:tabs>
                <w:tab w:val="left" w:pos="4678"/>
              </w:tabs>
              <w:spacing w:before="60" w:after="60" w:line="240" w:lineRule="auto"/>
              <w:ind w:left="0"/>
              <w:contextualSpacing w:val="0"/>
              <w:jc w:val="both"/>
              <w:rPr>
                <w:rFonts w:ascii="Times New Roman" w:hAnsi="Times New Roman"/>
                <w:sz w:val="24"/>
                <w:szCs w:val="24"/>
                <w:u w:val="single"/>
                <w:lang w:eastAsia="lv-LV"/>
              </w:rPr>
            </w:pPr>
            <w:r w:rsidRPr="006319D3">
              <w:rPr>
                <w:rFonts w:ascii="Times New Roman" w:hAnsi="Times New Roman"/>
                <w:sz w:val="24"/>
                <w:szCs w:val="24"/>
                <w:u w:val="single"/>
                <w:lang w:eastAsia="lv-LV"/>
              </w:rPr>
              <w:t>44.</w:t>
            </w:r>
            <w:r w:rsidRPr="006319D3">
              <w:rPr>
                <w:rFonts w:ascii="Times New Roman" w:hAnsi="Times New Roman"/>
                <w:sz w:val="24"/>
                <w:szCs w:val="24"/>
                <w:u w:val="single"/>
                <w:vertAlign w:val="superscript"/>
                <w:lang w:eastAsia="lv-LV"/>
              </w:rPr>
              <w:t>1</w:t>
            </w:r>
            <w:r w:rsidRPr="006319D3">
              <w:rPr>
                <w:rFonts w:ascii="Times New Roman" w:hAnsi="Times New Roman"/>
                <w:sz w:val="24"/>
                <w:szCs w:val="24"/>
                <w:u w:val="single"/>
                <w:lang w:eastAsia="lv-LV"/>
              </w:rPr>
              <w:t>pant</w:t>
            </w:r>
            <w:r w:rsidR="0081619E" w:rsidRPr="006319D3">
              <w:rPr>
                <w:rFonts w:ascii="Times New Roman" w:hAnsi="Times New Roman"/>
                <w:sz w:val="24"/>
                <w:szCs w:val="24"/>
                <w:u w:val="single"/>
                <w:lang w:eastAsia="lv-LV"/>
              </w:rPr>
              <w:t>s</w:t>
            </w:r>
          </w:p>
          <w:p w14:paraId="520998E1" w14:textId="553ACB4D" w:rsidR="0081619E" w:rsidRPr="006319D3" w:rsidRDefault="0081619E" w:rsidP="006319D3">
            <w:pPr>
              <w:pStyle w:val="ListParagraph"/>
              <w:tabs>
                <w:tab w:val="left" w:pos="4678"/>
              </w:tabs>
              <w:spacing w:before="60" w:after="60" w:line="240" w:lineRule="auto"/>
              <w:ind w:left="0"/>
              <w:contextualSpacing w:val="0"/>
              <w:jc w:val="both"/>
              <w:rPr>
                <w:rFonts w:ascii="Times New Roman" w:hAnsi="Times New Roman"/>
                <w:sz w:val="24"/>
                <w:szCs w:val="24"/>
                <w:u w:val="single"/>
                <w:lang w:eastAsia="lv-LV"/>
              </w:rPr>
            </w:pPr>
          </w:p>
          <w:p w14:paraId="1E24E3F5" w14:textId="6A05B9DF" w:rsidR="009B5890" w:rsidRPr="006319D3" w:rsidRDefault="0081619E" w:rsidP="006319D3">
            <w:pPr>
              <w:pStyle w:val="ListParagraph"/>
              <w:tabs>
                <w:tab w:val="left" w:pos="4678"/>
              </w:tabs>
              <w:spacing w:before="60" w:after="60" w:line="240" w:lineRule="auto"/>
              <w:ind w:left="0"/>
              <w:contextualSpacing w:val="0"/>
              <w:jc w:val="both"/>
              <w:rPr>
                <w:rFonts w:ascii="Times New Roman" w:hAnsi="Times New Roman"/>
                <w:sz w:val="24"/>
                <w:szCs w:val="24"/>
                <w:lang w:eastAsia="lv-LV"/>
              </w:rPr>
            </w:pPr>
            <w:bookmarkStart w:id="7" w:name="_Hlk36406472"/>
            <w:r w:rsidRPr="006319D3">
              <w:rPr>
                <w:rFonts w:ascii="Times New Roman" w:hAnsi="Times New Roman"/>
                <w:sz w:val="24"/>
                <w:szCs w:val="24"/>
                <w:u w:val="single"/>
                <w:lang w:eastAsia="lv-LV"/>
              </w:rPr>
              <w:t>(2</w:t>
            </w:r>
            <w:r w:rsidRPr="006319D3">
              <w:rPr>
                <w:rFonts w:ascii="Times New Roman" w:hAnsi="Times New Roman"/>
                <w:sz w:val="24"/>
                <w:szCs w:val="24"/>
                <w:u w:val="single"/>
                <w:vertAlign w:val="superscript"/>
                <w:lang w:eastAsia="lv-LV"/>
              </w:rPr>
              <w:t>1</w:t>
            </w:r>
            <w:r w:rsidR="001000C2" w:rsidRPr="006319D3">
              <w:rPr>
                <w:rFonts w:ascii="Times New Roman" w:hAnsi="Times New Roman"/>
                <w:sz w:val="24"/>
                <w:szCs w:val="24"/>
                <w:u w:val="single"/>
                <w:lang w:eastAsia="lv-LV"/>
              </w:rPr>
              <w:t>)</w:t>
            </w:r>
            <w:r w:rsidRPr="006319D3">
              <w:rPr>
                <w:rFonts w:ascii="Times New Roman" w:hAnsi="Times New Roman"/>
                <w:sz w:val="24"/>
                <w:szCs w:val="24"/>
                <w:u w:val="single"/>
                <w:vertAlign w:val="superscript"/>
                <w:lang w:eastAsia="lv-LV"/>
              </w:rPr>
              <w:t xml:space="preserve"> </w:t>
            </w:r>
            <w:r w:rsidR="009B5890" w:rsidRPr="006319D3">
              <w:rPr>
                <w:rFonts w:ascii="Times New Roman" w:hAnsi="Times New Roman"/>
                <w:sz w:val="24"/>
                <w:szCs w:val="24"/>
                <w:lang w:eastAsia="lv-LV"/>
              </w:rPr>
              <w:t xml:space="preserve">Ievērojot 110.panta pirmajā daļā noteikto pārvades sistēmas operatora pienākumu nodrošināt piekļuvi </w:t>
            </w:r>
            <w:r w:rsidR="009B5890" w:rsidRPr="006319D3">
              <w:rPr>
                <w:rFonts w:ascii="Times New Roman" w:hAnsi="Times New Roman"/>
                <w:sz w:val="24"/>
                <w:szCs w:val="24"/>
                <w:lang w:eastAsia="lv-LV"/>
              </w:rPr>
              <w:lastRenderedPageBreak/>
              <w:t>dabasgāzes pārvades sistēmai, gadījumā, ja šī piekļuve tiek atteikta sākumposma cauruļvada sistēmai, kas atrodas Latvijas teritorijā, pārrobežu domstarpību izšķiršanai</w:t>
            </w:r>
            <w:r w:rsidR="00B415F6" w:rsidRPr="006319D3">
              <w:rPr>
                <w:rFonts w:ascii="Times New Roman" w:hAnsi="Times New Roman"/>
                <w:sz w:val="24"/>
                <w:szCs w:val="24"/>
                <w:lang w:eastAsia="lv-LV"/>
              </w:rPr>
              <w:t>,</w:t>
            </w:r>
            <w:r w:rsidR="00B415F6" w:rsidRPr="006319D3">
              <w:rPr>
                <w:rFonts w:ascii="Times New Roman" w:hAnsi="Times New Roman"/>
                <w:iCs/>
                <w:sz w:val="24"/>
                <w:szCs w:val="24"/>
                <w:u w:val="single"/>
              </w:rPr>
              <w:t xml:space="preserve"> tajā skaitā tiesā,</w:t>
            </w:r>
            <w:r w:rsidR="009B5890" w:rsidRPr="006319D3">
              <w:rPr>
                <w:rFonts w:ascii="Times New Roman" w:hAnsi="Times New Roman"/>
                <w:sz w:val="24"/>
                <w:szCs w:val="24"/>
                <w:lang w:eastAsia="lv-LV"/>
              </w:rPr>
              <w:t xml:space="preserve"> piemēro Latvijas Republikas normatīvos aktus.</w:t>
            </w:r>
          </w:p>
          <w:bookmarkEnd w:id="7"/>
          <w:p w14:paraId="21F7463E" w14:textId="7EF12B10" w:rsidR="00E078C4" w:rsidRPr="006319D3" w:rsidRDefault="00E078C4" w:rsidP="006319D3">
            <w:pPr>
              <w:spacing w:before="60" w:after="60"/>
              <w:ind w:firstLine="5"/>
              <w:jc w:val="both"/>
              <w:rPr>
                <w:highlight w:val="yellow"/>
              </w:rPr>
            </w:pPr>
          </w:p>
        </w:tc>
      </w:tr>
      <w:tr w:rsidR="00E078C4" w:rsidRPr="006319D3" w14:paraId="7D9FBFD4" w14:textId="77777777" w:rsidTr="004758DB">
        <w:tc>
          <w:tcPr>
            <w:tcW w:w="675"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07FBF613" w14:textId="62F0C9D8" w:rsidR="00E078C4" w:rsidRPr="006319D3" w:rsidRDefault="002B73EE" w:rsidP="006319D3">
            <w:pPr>
              <w:pStyle w:val="naisc"/>
              <w:spacing w:before="60" w:after="60"/>
              <w:jc w:val="both"/>
              <w:rPr>
                <w:highlight w:val="yellow"/>
              </w:rPr>
            </w:pPr>
            <w:r w:rsidRPr="006319D3">
              <w:lastRenderedPageBreak/>
              <w:t>1</w:t>
            </w:r>
            <w:r w:rsidR="00F95739" w:rsidRPr="006319D3">
              <w:t>2</w:t>
            </w:r>
            <w:r w:rsidRPr="006319D3">
              <w:t>.</w:t>
            </w:r>
          </w:p>
        </w:tc>
        <w:tc>
          <w:tcPr>
            <w:tcW w:w="3119"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681BF790" w14:textId="3F798FA6" w:rsidR="00E078C4" w:rsidRPr="006319D3" w:rsidRDefault="00E078C4" w:rsidP="006319D3">
            <w:pPr>
              <w:pStyle w:val="naisc"/>
              <w:spacing w:before="60" w:after="60"/>
              <w:ind w:firstLine="33"/>
              <w:jc w:val="both"/>
              <w:rPr>
                <w:highlight w:val="yellow"/>
              </w:rPr>
            </w:pPr>
          </w:p>
        </w:tc>
        <w:tc>
          <w:tcPr>
            <w:tcW w:w="4562"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7E569F23" w14:textId="77777777" w:rsidR="003E58B9" w:rsidRPr="006319D3" w:rsidRDefault="003E58B9" w:rsidP="006319D3">
            <w:pPr>
              <w:pStyle w:val="naisc"/>
              <w:spacing w:before="60" w:after="60"/>
              <w:jc w:val="both"/>
              <w:rPr>
                <w:b/>
                <w:bCs/>
              </w:rPr>
            </w:pPr>
            <w:r w:rsidRPr="006319D3">
              <w:rPr>
                <w:b/>
                <w:bCs/>
              </w:rPr>
              <w:t>Sabiedrisko pakalpojumu regulēšanas komisija (06.03.2020. atzinums)</w:t>
            </w:r>
          </w:p>
          <w:p w14:paraId="5C240716" w14:textId="77777777" w:rsidR="003E58B9" w:rsidRPr="006319D3" w:rsidRDefault="003E58B9" w:rsidP="006319D3">
            <w:pPr>
              <w:pStyle w:val="naisc"/>
              <w:spacing w:before="60" w:after="60"/>
              <w:jc w:val="both"/>
              <w:rPr>
                <w:highlight w:val="yellow"/>
              </w:rPr>
            </w:pPr>
          </w:p>
          <w:p w14:paraId="6D30BD1E" w14:textId="7C0FE45C" w:rsidR="003E58B9" w:rsidRPr="006319D3" w:rsidRDefault="003E58B9" w:rsidP="006319D3">
            <w:pPr>
              <w:pStyle w:val="naisc"/>
              <w:spacing w:before="60" w:after="60"/>
              <w:jc w:val="both"/>
              <w:rPr>
                <w:highlight w:val="yellow"/>
              </w:rPr>
            </w:pPr>
            <w:r w:rsidRPr="006319D3">
              <w:t>Nepieciešams veikt precizējumu Likumprojektā. Likumprojekta sagatavošanā nav ievērotas Ministru kabineta 2009.gada 3.februāra noteikumu Nr.108  “Normatīvo aktu projektu sagatavošanas noteikumi” prasības. Minēto noteikumu 74.punkts, noteic, ja likuma vienību izsaka jaunā redakcijā ir izmantojams vārds “izteikt”, nevis vārds “grozīt”, kas izmantots Likumprojekta 1. un 6.pantā.</w:t>
            </w:r>
          </w:p>
          <w:p w14:paraId="13F54627" w14:textId="4CBE66C6" w:rsidR="00E078C4" w:rsidRPr="006319D3" w:rsidRDefault="00E078C4" w:rsidP="006319D3">
            <w:pPr>
              <w:pStyle w:val="naisc"/>
              <w:spacing w:before="60" w:after="60"/>
              <w:jc w:val="both"/>
              <w:rPr>
                <w:highlight w:val="yellow"/>
              </w:rPr>
            </w:pPr>
          </w:p>
        </w:tc>
        <w:tc>
          <w:tcPr>
            <w:tcW w:w="3260" w:type="dxa"/>
            <w:gridSpan w:val="3"/>
            <w:tcBorders>
              <w:top w:val="single" w:sz="6" w:space="0" w:color="000000"/>
              <w:left w:val="single" w:sz="6" w:space="0" w:color="000000"/>
              <w:bottom w:val="single" w:sz="4" w:space="0" w:color="auto"/>
              <w:right w:val="single" w:sz="6" w:space="0" w:color="000000"/>
            </w:tcBorders>
            <w:shd w:val="clear" w:color="auto" w:fill="FFFFFF" w:themeFill="background1"/>
          </w:tcPr>
          <w:p w14:paraId="4390FCCA" w14:textId="03B2B8B2" w:rsidR="00E078C4" w:rsidRPr="006319D3" w:rsidRDefault="003E58B9" w:rsidP="006319D3">
            <w:pPr>
              <w:pStyle w:val="naisc"/>
              <w:spacing w:before="60" w:after="60"/>
              <w:ind w:firstLine="5"/>
              <w:jc w:val="both"/>
              <w:rPr>
                <w:b/>
                <w:highlight w:val="yellow"/>
              </w:rPr>
            </w:pPr>
            <w:r w:rsidRPr="006319D3">
              <w:rPr>
                <w:b/>
              </w:rPr>
              <w:t>Ņemts vērā</w:t>
            </w:r>
          </w:p>
        </w:tc>
        <w:tc>
          <w:tcPr>
            <w:tcW w:w="2667" w:type="dxa"/>
            <w:tcBorders>
              <w:top w:val="single" w:sz="4" w:space="0" w:color="auto"/>
              <w:left w:val="single" w:sz="4" w:space="0" w:color="auto"/>
              <w:bottom w:val="single" w:sz="4" w:space="0" w:color="auto"/>
            </w:tcBorders>
            <w:shd w:val="clear" w:color="auto" w:fill="FFFFFF" w:themeFill="background1"/>
          </w:tcPr>
          <w:p w14:paraId="2C3EBB2F" w14:textId="1EA45D28" w:rsidR="00E078C4" w:rsidRPr="006319D3" w:rsidRDefault="003E58B9" w:rsidP="006319D3">
            <w:pPr>
              <w:spacing w:before="60" w:after="60"/>
              <w:ind w:firstLine="5"/>
              <w:jc w:val="both"/>
              <w:rPr>
                <w:highlight w:val="yellow"/>
              </w:rPr>
            </w:pPr>
            <w:r w:rsidRPr="006319D3">
              <w:t>Likumprojekts atbilstoši precizēts.</w:t>
            </w:r>
          </w:p>
        </w:tc>
      </w:tr>
      <w:tr w:rsidR="003E58B9" w:rsidRPr="006319D3" w14:paraId="6075C9F6" w14:textId="77777777" w:rsidTr="003D186C">
        <w:tc>
          <w:tcPr>
            <w:tcW w:w="675" w:type="dxa"/>
            <w:tcBorders>
              <w:top w:val="single" w:sz="6" w:space="0" w:color="000000"/>
              <w:left w:val="single" w:sz="6" w:space="0" w:color="000000"/>
              <w:bottom w:val="single" w:sz="4" w:space="0" w:color="auto"/>
              <w:right w:val="single" w:sz="6" w:space="0" w:color="000000"/>
            </w:tcBorders>
          </w:tcPr>
          <w:p w14:paraId="6E2AF193" w14:textId="1FC69DA5" w:rsidR="003E58B9" w:rsidRPr="006319D3" w:rsidRDefault="002B73EE" w:rsidP="006319D3">
            <w:pPr>
              <w:pStyle w:val="naisc"/>
              <w:spacing w:before="60" w:after="60"/>
              <w:jc w:val="both"/>
              <w:rPr>
                <w:highlight w:val="yellow"/>
              </w:rPr>
            </w:pPr>
            <w:r w:rsidRPr="006319D3">
              <w:t>1</w:t>
            </w:r>
            <w:r w:rsidR="00F95739" w:rsidRPr="006319D3">
              <w:t>3</w:t>
            </w:r>
            <w:r w:rsidR="000F4AA5" w:rsidRPr="006319D3">
              <w:t>.</w:t>
            </w:r>
          </w:p>
        </w:tc>
        <w:tc>
          <w:tcPr>
            <w:tcW w:w="3119" w:type="dxa"/>
            <w:gridSpan w:val="2"/>
            <w:tcBorders>
              <w:top w:val="single" w:sz="6" w:space="0" w:color="000000"/>
              <w:left w:val="single" w:sz="6" w:space="0" w:color="000000"/>
              <w:bottom w:val="single" w:sz="4" w:space="0" w:color="auto"/>
              <w:right w:val="single" w:sz="6" w:space="0" w:color="000000"/>
            </w:tcBorders>
          </w:tcPr>
          <w:p w14:paraId="00827464" w14:textId="77777777" w:rsidR="003E58B9" w:rsidRPr="006319D3" w:rsidRDefault="003E58B9" w:rsidP="006319D3">
            <w:pPr>
              <w:pStyle w:val="naisc"/>
              <w:spacing w:before="60" w:after="60"/>
              <w:ind w:firstLine="33"/>
              <w:jc w:val="both"/>
              <w:rPr>
                <w:highlight w:val="yellow"/>
              </w:rPr>
            </w:pPr>
          </w:p>
        </w:tc>
        <w:tc>
          <w:tcPr>
            <w:tcW w:w="4562" w:type="dxa"/>
            <w:tcBorders>
              <w:top w:val="single" w:sz="6" w:space="0" w:color="000000"/>
              <w:left w:val="single" w:sz="6" w:space="0" w:color="000000"/>
              <w:bottom w:val="single" w:sz="4" w:space="0" w:color="auto"/>
              <w:right w:val="single" w:sz="6" w:space="0" w:color="000000"/>
            </w:tcBorders>
          </w:tcPr>
          <w:p w14:paraId="06C95369" w14:textId="77777777" w:rsidR="003E58B9" w:rsidRPr="006319D3" w:rsidRDefault="003E58B9" w:rsidP="006319D3">
            <w:pPr>
              <w:pStyle w:val="naisc"/>
              <w:spacing w:before="60" w:after="60"/>
              <w:jc w:val="both"/>
              <w:rPr>
                <w:b/>
                <w:bCs/>
              </w:rPr>
            </w:pPr>
            <w:r w:rsidRPr="006319D3">
              <w:rPr>
                <w:b/>
                <w:bCs/>
              </w:rPr>
              <w:t>Sabiedrisko pakalpojumu regulēšanas komisija (06.03.2020. atzinums)</w:t>
            </w:r>
          </w:p>
          <w:p w14:paraId="102C84DC" w14:textId="77777777" w:rsidR="003E58B9" w:rsidRPr="006319D3" w:rsidRDefault="003E58B9" w:rsidP="006319D3">
            <w:pPr>
              <w:pStyle w:val="naisc"/>
              <w:spacing w:before="60" w:after="60"/>
              <w:jc w:val="both"/>
              <w:rPr>
                <w:b/>
                <w:bCs/>
              </w:rPr>
            </w:pPr>
          </w:p>
          <w:p w14:paraId="66225B0B" w14:textId="77777777" w:rsidR="003E58B9" w:rsidRPr="006319D3" w:rsidRDefault="003E58B9" w:rsidP="006319D3">
            <w:pPr>
              <w:pStyle w:val="naisc"/>
              <w:spacing w:before="60" w:after="60"/>
              <w:jc w:val="both"/>
            </w:pPr>
            <w:r w:rsidRPr="006319D3">
              <w:t xml:space="preserve">Ņemot vērā ievērojamās izmaiņas enerģētikas nozarē, tostarp dabasgāzes un elektroenerģijas </w:t>
            </w:r>
            <w:r w:rsidRPr="006319D3">
              <w:lastRenderedPageBreak/>
              <w:t>tirgu straujo attīstību un tehnoloģiju attīstību siltumapgādē, energoresursu jautājumus, izmaiņas siltumapgādes procesā (ražošana, sadale un pārvade, tirdzniecība),  Regulators uzskata par nepieciešamu iespējami ātrāk atsākt darbu pie likumprojekta izstrādes, kurā būtu ietverti arī citi aktuālie grozījumi Enerģētikas likumā, un uzsākt jaunu, nodalītu likumu izstrādi siltumapgādē un dabasgāzes apgādē atbilstoši mūsdienu situācijai.</w:t>
            </w:r>
          </w:p>
          <w:p w14:paraId="27B7C7AB" w14:textId="6E524B5F" w:rsidR="00C66E4E" w:rsidRPr="006319D3" w:rsidRDefault="00C66E4E" w:rsidP="006319D3">
            <w:pPr>
              <w:pStyle w:val="naisc"/>
              <w:spacing w:before="60" w:after="60"/>
              <w:jc w:val="both"/>
            </w:pPr>
          </w:p>
        </w:tc>
        <w:tc>
          <w:tcPr>
            <w:tcW w:w="3260" w:type="dxa"/>
            <w:gridSpan w:val="3"/>
            <w:tcBorders>
              <w:top w:val="single" w:sz="6" w:space="0" w:color="000000"/>
              <w:left w:val="single" w:sz="6" w:space="0" w:color="000000"/>
              <w:bottom w:val="single" w:sz="4" w:space="0" w:color="auto"/>
              <w:right w:val="single" w:sz="6" w:space="0" w:color="000000"/>
            </w:tcBorders>
          </w:tcPr>
          <w:p w14:paraId="0A90FD43" w14:textId="77777777" w:rsidR="003E58B9" w:rsidRPr="006319D3" w:rsidRDefault="003E58B9" w:rsidP="006319D3">
            <w:pPr>
              <w:pStyle w:val="naisc"/>
              <w:spacing w:before="60" w:after="60"/>
              <w:ind w:firstLine="5"/>
              <w:jc w:val="both"/>
              <w:rPr>
                <w:b/>
              </w:rPr>
            </w:pPr>
            <w:r w:rsidRPr="006319D3">
              <w:rPr>
                <w:b/>
              </w:rPr>
              <w:lastRenderedPageBreak/>
              <w:t>Ņemts vērā</w:t>
            </w:r>
          </w:p>
          <w:p w14:paraId="6E66D736" w14:textId="77777777" w:rsidR="003E58B9" w:rsidRPr="006319D3" w:rsidRDefault="003E58B9" w:rsidP="006319D3">
            <w:pPr>
              <w:pStyle w:val="naisc"/>
              <w:spacing w:before="60" w:after="60"/>
              <w:ind w:firstLine="5"/>
              <w:jc w:val="both"/>
              <w:rPr>
                <w:b/>
              </w:rPr>
            </w:pPr>
          </w:p>
          <w:p w14:paraId="5073AC76" w14:textId="118F8BE5" w:rsidR="003E58B9" w:rsidRPr="006319D3" w:rsidRDefault="003E58B9" w:rsidP="006319D3">
            <w:pPr>
              <w:pStyle w:val="naisc"/>
              <w:spacing w:before="60" w:after="60"/>
              <w:ind w:firstLine="5"/>
              <w:jc w:val="both"/>
              <w:rPr>
                <w:bCs/>
              </w:rPr>
            </w:pPr>
            <w:r w:rsidRPr="006319D3">
              <w:rPr>
                <w:bCs/>
              </w:rPr>
              <w:t xml:space="preserve">Ekonomikas ministrija šogad ir ieplānojusi izstrādāt visaptverošus Enerģētikas </w:t>
            </w:r>
            <w:r w:rsidRPr="006319D3">
              <w:rPr>
                <w:bCs/>
              </w:rPr>
              <w:lastRenderedPageBreak/>
              <w:t xml:space="preserve">likuma grozījumus, saistībā ar visu enerģētikas nozaru normu precizēšanu. Uzsākot dabu pie šo grozījumu izstrādes Ekonomikas ministrija par to informēs Regulatoru. </w:t>
            </w:r>
          </w:p>
        </w:tc>
        <w:tc>
          <w:tcPr>
            <w:tcW w:w="2667" w:type="dxa"/>
            <w:tcBorders>
              <w:top w:val="single" w:sz="4" w:space="0" w:color="auto"/>
              <w:left w:val="single" w:sz="4" w:space="0" w:color="auto"/>
              <w:bottom w:val="single" w:sz="4" w:space="0" w:color="auto"/>
            </w:tcBorders>
          </w:tcPr>
          <w:p w14:paraId="00ABF8D6" w14:textId="77777777" w:rsidR="003E58B9" w:rsidRPr="006319D3" w:rsidRDefault="003E58B9" w:rsidP="006319D3">
            <w:pPr>
              <w:spacing w:before="60" w:after="60"/>
              <w:ind w:firstLine="5"/>
              <w:jc w:val="both"/>
              <w:rPr>
                <w:highlight w:val="yellow"/>
              </w:rPr>
            </w:pPr>
          </w:p>
        </w:tc>
      </w:tr>
      <w:tr w:rsidR="0057514E" w:rsidRPr="006319D3" w14:paraId="55EE2986" w14:textId="77777777" w:rsidTr="003D186C">
        <w:tc>
          <w:tcPr>
            <w:tcW w:w="675" w:type="dxa"/>
            <w:tcBorders>
              <w:top w:val="single" w:sz="6" w:space="0" w:color="000000"/>
              <w:left w:val="single" w:sz="6" w:space="0" w:color="000000"/>
              <w:bottom w:val="single" w:sz="4" w:space="0" w:color="auto"/>
              <w:right w:val="single" w:sz="6" w:space="0" w:color="000000"/>
            </w:tcBorders>
          </w:tcPr>
          <w:p w14:paraId="6BCB8C74" w14:textId="3DDA7740" w:rsidR="0057514E" w:rsidRPr="006319D3" w:rsidRDefault="000F4AA5" w:rsidP="006319D3">
            <w:pPr>
              <w:pStyle w:val="naisc"/>
              <w:spacing w:before="60" w:after="60"/>
              <w:jc w:val="both"/>
              <w:rPr>
                <w:highlight w:val="yellow"/>
              </w:rPr>
            </w:pPr>
            <w:r w:rsidRPr="006319D3">
              <w:t>1</w:t>
            </w:r>
            <w:r w:rsidR="00F95739" w:rsidRPr="006319D3">
              <w:t>4</w:t>
            </w:r>
            <w:r w:rsidRPr="006319D3">
              <w:t>.</w:t>
            </w:r>
          </w:p>
        </w:tc>
        <w:tc>
          <w:tcPr>
            <w:tcW w:w="3119" w:type="dxa"/>
            <w:gridSpan w:val="2"/>
            <w:tcBorders>
              <w:top w:val="single" w:sz="6" w:space="0" w:color="000000"/>
              <w:left w:val="single" w:sz="6" w:space="0" w:color="000000"/>
              <w:bottom w:val="single" w:sz="4" w:space="0" w:color="auto"/>
              <w:right w:val="single" w:sz="6" w:space="0" w:color="000000"/>
            </w:tcBorders>
          </w:tcPr>
          <w:p w14:paraId="7AD83666" w14:textId="77777777" w:rsidR="0057514E" w:rsidRPr="006319D3" w:rsidRDefault="0057514E" w:rsidP="006319D3">
            <w:pPr>
              <w:pStyle w:val="naisc"/>
              <w:spacing w:before="60" w:after="60"/>
              <w:ind w:firstLine="33"/>
              <w:jc w:val="both"/>
              <w:rPr>
                <w:highlight w:val="yellow"/>
              </w:rPr>
            </w:pPr>
          </w:p>
        </w:tc>
        <w:tc>
          <w:tcPr>
            <w:tcW w:w="4562" w:type="dxa"/>
            <w:tcBorders>
              <w:top w:val="single" w:sz="6" w:space="0" w:color="000000"/>
              <w:left w:val="single" w:sz="6" w:space="0" w:color="000000"/>
              <w:bottom w:val="single" w:sz="4" w:space="0" w:color="auto"/>
              <w:right w:val="single" w:sz="6" w:space="0" w:color="000000"/>
            </w:tcBorders>
          </w:tcPr>
          <w:p w14:paraId="53C9DE33" w14:textId="77777777" w:rsidR="0057514E" w:rsidRPr="006319D3" w:rsidRDefault="0057514E" w:rsidP="006319D3">
            <w:pPr>
              <w:pStyle w:val="naisc"/>
              <w:spacing w:before="60" w:after="60"/>
              <w:jc w:val="both"/>
              <w:rPr>
                <w:b/>
                <w:bCs/>
              </w:rPr>
            </w:pPr>
            <w:r w:rsidRPr="006319D3">
              <w:rPr>
                <w:b/>
                <w:bCs/>
              </w:rPr>
              <w:t>Tieslietu ministrijas (06.03.2020. atzinums)</w:t>
            </w:r>
          </w:p>
          <w:p w14:paraId="025E2904" w14:textId="77777777" w:rsidR="0057514E" w:rsidRPr="006319D3" w:rsidRDefault="0057514E" w:rsidP="006319D3">
            <w:pPr>
              <w:pStyle w:val="naisc"/>
              <w:spacing w:before="60" w:after="60"/>
              <w:jc w:val="both"/>
              <w:rPr>
                <w:highlight w:val="yellow"/>
              </w:rPr>
            </w:pPr>
          </w:p>
          <w:p w14:paraId="715833CD" w14:textId="77777777" w:rsidR="0057514E" w:rsidRPr="006319D3" w:rsidRDefault="0057514E" w:rsidP="006319D3">
            <w:pPr>
              <w:pStyle w:val="naisc"/>
              <w:spacing w:before="60" w:after="60"/>
              <w:jc w:val="both"/>
            </w:pPr>
            <w:r w:rsidRPr="006319D3">
              <w:t>Lūdzam atbilstoši Ministru kabineta 2009. gada 3. februāra noteikumu Nr. 108 “Normatīvo aktu projektu sagatavošanas noteikumi” (turpmāk – NAP noteikumi) 168. punktam iekļaut Likumprojektā tiesību normu, kas paredzētu papildināt Enerģētikas likuma informatīvo atsauci uz Eiropas Savienības direktīvām ar atsauci uz Direktīvu 2019/692.</w:t>
            </w:r>
          </w:p>
          <w:p w14:paraId="53ABD56C" w14:textId="77777777" w:rsidR="0057514E" w:rsidRPr="006319D3" w:rsidRDefault="0057514E" w:rsidP="006319D3">
            <w:pPr>
              <w:pStyle w:val="naisc"/>
              <w:spacing w:before="60" w:after="60"/>
              <w:jc w:val="both"/>
              <w:rPr>
                <w:b/>
                <w:bCs/>
              </w:rPr>
            </w:pPr>
          </w:p>
        </w:tc>
        <w:tc>
          <w:tcPr>
            <w:tcW w:w="3260" w:type="dxa"/>
            <w:gridSpan w:val="3"/>
            <w:tcBorders>
              <w:top w:val="single" w:sz="6" w:space="0" w:color="000000"/>
              <w:left w:val="single" w:sz="6" w:space="0" w:color="000000"/>
              <w:bottom w:val="single" w:sz="4" w:space="0" w:color="auto"/>
              <w:right w:val="single" w:sz="6" w:space="0" w:color="000000"/>
            </w:tcBorders>
          </w:tcPr>
          <w:p w14:paraId="02277F82" w14:textId="5FC825E6" w:rsidR="0057514E" w:rsidRPr="006319D3" w:rsidRDefault="0057514E" w:rsidP="006319D3">
            <w:pPr>
              <w:pStyle w:val="naisc"/>
              <w:spacing w:before="60" w:after="60"/>
              <w:ind w:firstLine="5"/>
              <w:jc w:val="both"/>
              <w:rPr>
                <w:b/>
              </w:rPr>
            </w:pPr>
            <w:r w:rsidRPr="006319D3">
              <w:rPr>
                <w:b/>
              </w:rPr>
              <w:t>Ņemts vērā</w:t>
            </w:r>
          </w:p>
        </w:tc>
        <w:tc>
          <w:tcPr>
            <w:tcW w:w="2667" w:type="dxa"/>
            <w:tcBorders>
              <w:top w:val="single" w:sz="4" w:space="0" w:color="auto"/>
              <w:left w:val="single" w:sz="4" w:space="0" w:color="auto"/>
              <w:bottom w:val="single" w:sz="4" w:space="0" w:color="auto"/>
            </w:tcBorders>
          </w:tcPr>
          <w:p w14:paraId="40534796" w14:textId="12F1007F" w:rsidR="0057514E" w:rsidRPr="006319D3" w:rsidRDefault="0057514E" w:rsidP="006319D3">
            <w:pPr>
              <w:spacing w:before="60" w:after="60"/>
              <w:jc w:val="both"/>
              <w:rPr>
                <w:highlight w:val="yellow"/>
              </w:rPr>
            </w:pPr>
            <w:r w:rsidRPr="006319D3">
              <w:t>6) Eiropas Parlamenta un Padomes 2019.gada 17.aprīļa Direktīva (ES) 2019/692, ar ko groza Direktīvu 2009/73/EK par kopīgiem noteikumiem attiecībā uz dabasgāzes iekšējo tirgu.</w:t>
            </w:r>
          </w:p>
        </w:tc>
      </w:tr>
      <w:tr w:rsidR="0057514E" w:rsidRPr="006319D3" w14:paraId="7B80C18D" w14:textId="77777777" w:rsidTr="00C85A50">
        <w:tc>
          <w:tcPr>
            <w:tcW w:w="675" w:type="dxa"/>
            <w:tcBorders>
              <w:top w:val="single" w:sz="4" w:space="0" w:color="auto"/>
              <w:left w:val="single" w:sz="6" w:space="0" w:color="000000"/>
              <w:bottom w:val="single" w:sz="6" w:space="0" w:color="000000"/>
              <w:right w:val="single" w:sz="6" w:space="0" w:color="000000"/>
            </w:tcBorders>
          </w:tcPr>
          <w:p w14:paraId="645E2C8B" w14:textId="69E145B7" w:rsidR="0057514E" w:rsidRPr="006319D3" w:rsidRDefault="000F4AA5" w:rsidP="006319D3">
            <w:pPr>
              <w:pStyle w:val="naisc"/>
              <w:spacing w:before="60" w:after="60"/>
              <w:jc w:val="both"/>
              <w:rPr>
                <w:highlight w:val="yellow"/>
              </w:rPr>
            </w:pPr>
            <w:r w:rsidRPr="006319D3">
              <w:t>1</w:t>
            </w:r>
            <w:r w:rsidR="00F95739" w:rsidRPr="006319D3">
              <w:t>5</w:t>
            </w:r>
            <w:r w:rsidRPr="006319D3">
              <w:t>.</w:t>
            </w:r>
          </w:p>
        </w:tc>
        <w:tc>
          <w:tcPr>
            <w:tcW w:w="3119" w:type="dxa"/>
            <w:gridSpan w:val="2"/>
            <w:tcBorders>
              <w:top w:val="single" w:sz="4" w:space="0" w:color="auto"/>
              <w:left w:val="single" w:sz="6" w:space="0" w:color="000000"/>
              <w:bottom w:val="single" w:sz="6" w:space="0" w:color="000000"/>
              <w:right w:val="single" w:sz="6" w:space="0" w:color="000000"/>
            </w:tcBorders>
          </w:tcPr>
          <w:p w14:paraId="61A44691" w14:textId="468961C0" w:rsidR="0057514E" w:rsidRPr="006319D3" w:rsidRDefault="00A335AE" w:rsidP="006319D3">
            <w:pPr>
              <w:tabs>
                <w:tab w:val="left" w:pos="4678"/>
              </w:tabs>
              <w:spacing w:before="60" w:after="60"/>
              <w:jc w:val="both"/>
            </w:pPr>
            <w:r>
              <w:t>Anotācija</w:t>
            </w:r>
          </w:p>
          <w:p w14:paraId="0BDFC7B6" w14:textId="77777777" w:rsidR="0057514E" w:rsidRPr="006319D3" w:rsidRDefault="0057514E" w:rsidP="006319D3">
            <w:pPr>
              <w:pStyle w:val="naisc"/>
              <w:spacing w:before="60" w:after="60"/>
              <w:ind w:firstLine="33"/>
              <w:jc w:val="both"/>
              <w:rPr>
                <w:highlight w:val="yellow"/>
              </w:rPr>
            </w:pPr>
          </w:p>
        </w:tc>
        <w:tc>
          <w:tcPr>
            <w:tcW w:w="4562" w:type="dxa"/>
            <w:tcBorders>
              <w:top w:val="single" w:sz="4" w:space="0" w:color="auto"/>
              <w:left w:val="single" w:sz="6" w:space="0" w:color="000000"/>
              <w:bottom w:val="single" w:sz="6" w:space="0" w:color="000000"/>
              <w:right w:val="single" w:sz="6" w:space="0" w:color="000000"/>
            </w:tcBorders>
          </w:tcPr>
          <w:p w14:paraId="76340283" w14:textId="3EFECF0F" w:rsidR="0057514E" w:rsidRPr="006319D3" w:rsidRDefault="0057514E" w:rsidP="006319D3">
            <w:pPr>
              <w:pStyle w:val="naisc"/>
              <w:spacing w:before="60" w:after="60"/>
              <w:jc w:val="both"/>
              <w:rPr>
                <w:b/>
              </w:rPr>
            </w:pPr>
            <w:r w:rsidRPr="006319D3">
              <w:rPr>
                <w:b/>
              </w:rPr>
              <w:t>AS “</w:t>
            </w:r>
            <w:proofErr w:type="spellStart"/>
            <w:r w:rsidRPr="006319D3">
              <w:rPr>
                <w:b/>
              </w:rPr>
              <w:t>Conexus</w:t>
            </w:r>
            <w:proofErr w:type="spellEnd"/>
            <w:r w:rsidRPr="006319D3">
              <w:rPr>
                <w:b/>
              </w:rPr>
              <w:t xml:space="preserve"> </w:t>
            </w:r>
            <w:proofErr w:type="spellStart"/>
            <w:r w:rsidRPr="006319D3">
              <w:rPr>
                <w:b/>
              </w:rPr>
              <w:t>Baltic</w:t>
            </w:r>
            <w:proofErr w:type="spellEnd"/>
            <w:r w:rsidRPr="006319D3">
              <w:rPr>
                <w:b/>
              </w:rPr>
              <w:t xml:space="preserve"> Grid” (06.03.2020. atzinums) </w:t>
            </w:r>
          </w:p>
          <w:p w14:paraId="505A56DA" w14:textId="77777777" w:rsidR="0057514E" w:rsidRPr="006319D3" w:rsidRDefault="0057514E" w:rsidP="006319D3">
            <w:pPr>
              <w:pStyle w:val="naisc"/>
              <w:spacing w:before="60" w:after="60"/>
              <w:jc w:val="both"/>
              <w:rPr>
                <w:b/>
              </w:rPr>
            </w:pPr>
          </w:p>
          <w:p w14:paraId="0D74AC36" w14:textId="77777777" w:rsidR="0057514E" w:rsidRPr="006319D3" w:rsidRDefault="0057514E" w:rsidP="006319D3">
            <w:pPr>
              <w:pStyle w:val="naisc"/>
              <w:spacing w:before="60" w:after="60"/>
              <w:jc w:val="both"/>
            </w:pPr>
            <w:r w:rsidRPr="006319D3">
              <w:t>Likumprojekts “Grozījumi Enerģētikas likumā” paredz precizēt Enerģētikas likumā lietoto terminu "starpvalstu savienojums" ar terminu "</w:t>
            </w:r>
            <w:proofErr w:type="spellStart"/>
            <w:r w:rsidRPr="006319D3">
              <w:t>starpsavienojums</w:t>
            </w:r>
            <w:proofErr w:type="spellEnd"/>
            <w:r w:rsidRPr="006319D3">
              <w:t xml:space="preserve">", vienlaikus nosakot, ka tā ir gan pārvades līnija, kas </w:t>
            </w:r>
            <w:r w:rsidRPr="006319D3">
              <w:lastRenderedPageBreak/>
              <w:t>šķērso Eiropas Savienības dalībvalstu robežas, gan pārvades līnija starp Eiropas Savienības dalībvalsti un trešo valsti līdz Eiropas Savienības dalībvalstu teritorijai vai teritoriālajai jūrai. AS “</w:t>
            </w:r>
            <w:proofErr w:type="spellStart"/>
            <w:r w:rsidRPr="006319D3">
              <w:t>Conexus</w:t>
            </w:r>
            <w:proofErr w:type="spellEnd"/>
            <w:r w:rsidRPr="006319D3">
              <w:t xml:space="preserve"> </w:t>
            </w:r>
            <w:proofErr w:type="spellStart"/>
            <w:r w:rsidRPr="006319D3">
              <w:t>Baltic</w:t>
            </w:r>
            <w:proofErr w:type="spellEnd"/>
            <w:r w:rsidRPr="006319D3">
              <w:t xml:space="preserve"> Grid” lūdz Likumprojekta sākotnējās ietekmes novērtējuma ziņojumu (turpmāk – anotācija) papildināt ar skaidrojumu par nepieciešamību precizēt šo normu, nosakot, ka ar Enerģētikas likuma grozījumiem paredzēts un tiek piemērota Latvijas Republikas jurisdikcija arī tādām pārvades līnijām un </w:t>
            </w:r>
            <w:proofErr w:type="spellStart"/>
            <w:r w:rsidRPr="006319D3">
              <w:t>starpsavienojumiem</w:t>
            </w:r>
            <w:proofErr w:type="spellEnd"/>
            <w:r w:rsidRPr="006319D3">
              <w:t xml:space="preserve">, kas tieši savieno Latvijas Republikas teritorijā esošu dabasgāzes pārvades sistēmu ar trešās valsts sākumposma cauruļvadu sistēmām un atklātā jūrā izvietotu pārvades līniju līdz Latvijas Republikai piederīgajiem teritoriālās jūras ūdeņiem ar priekšnosacījumu, ka šāda pārvades līnija un </w:t>
            </w:r>
            <w:proofErr w:type="spellStart"/>
            <w:r w:rsidRPr="006319D3">
              <w:t>starpsavienojums</w:t>
            </w:r>
            <w:proofErr w:type="spellEnd"/>
            <w:r w:rsidRPr="006319D3">
              <w:t xml:space="preserve"> ir pirmais tiešais savienojuma punkts ar Eiropas Savienības dalībvalsti.</w:t>
            </w:r>
          </w:p>
          <w:p w14:paraId="22FD4438" w14:textId="6CDA4ACE" w:rsidR="00EA7471" w:rsidRPr="006319D3" w:rsidRDefault="00EA7471" w:rsidP="006319D3">
            <w:pPr>
              <w:pStyle w:val="naisc"/>
              <w:spacing w:before="60" w:after="60"/>
              <w:jc w:val="both"/>
              <w:rPr>
                <w:highlight w:val="yellow"/>
              </w:rPr>
            </w:pPr>
          </w:p>
        </w:tc>
        <w:tc>
          <w:tcPr>
            <w:tcW w:w="3234" w:type="dxa"/>
            <w:gridSpan w:val="2"/>
            <w:tcBorders>
              <w:top w:val="single" w:sz="4" w:space="0" w:color="auto"/>
              <w:left w:val="single" w:sz="6" w:space="0" w:color="000000"/>
              <w:bottom w:val="single" w:sz="6" w:space="0" w:color="000000"/>
              <w:right w:val="single" w:sz="6" w:space="0" w:color="000000"/>
            </w:tcBorders>
          </w:tcPr>
          <w:p w14:paraId="692EED89" w14:textId="09FA27EC" w:rsidR="0057514E" w:rsidRPr="006319D3" w:rsidRDefault="0057514E" w:rsidP="006319D3">
            <w:pPr>
              <w:pStyle w:val="naisc"/>
              <w:spacing w:before="60" w:after="60"/>
              <w:ind w:firstLine="5"/>
              <w:jc w:val="both"/>
              <w:rPr>
                <w:b/>
                <w:highlight w:val="yellow"/>
              </w:rPr>
            </w:pPr>
            <w:r w:rsidRPr="006319D3">
              <w:rPr>
                <w:b/>
              </w:rPr>
              <w:lastRenderedPageBreak/>
              <w:t>Ņemts vērā</w:t>
            </w:r>
          </w:p>
        </w:tc>
        <w:tc>
          <w:tcPr>
            <w:tcW w:w="2693" w:type="dxa"/>
            <w:gridSpan w:val="2"/>
            <w:tcBorders>
              <w:top w:val="single" w:sz="4" w:space="0" w:color="auto"/>
              <w:left w:val="single" w:sz="4" w:space="0" w:color="auto"/>
              <w:bottom w:val="single" w:sz="4" w:space="0" w:color="auto"/>
            </w:tcBorders>
          </w:tcPr>
          <w:p w14:paraId="485B8EC4" w14:textId="75C5C2AA" w:rsidR="0057514E" w:rsidRPr="006319D3" w:rsidRDefault="0057514E" w:rsidP="006319D3">
            <w:pPr>
              <w:spacing w:before="60" w:after="60"/>
              <w:ind w:firstLine="5"/>
              <w:jc w:val="both"/>
              <w:rPr>
                <w:highlight w:val="yellow"/>
              </w:rPr>
            </w:pPr>
            <w:r w:rsidRPr="006319D3">
              <w:t>Anotācija</w:t>
            </w:r>
            <w:r w:rsidR="00E00C14" w:rsidRPr="006319D3">
              <w:t>s I sadaļas 2.punkt</w:t>
            </w:r>
            <w:r w:rsidR="008E2B84" w:rsidRPr="006319D3">
              <w:t xml:space="preserve">a </w:t>
            </w:r>
            <w:r w:rsidR="00300DF2" w:rsidRPr="006319D3">
              <w:t>(</w:t>
            </w:r>
            <w:r w:rsidR="008E2B84" w:rsidRPr="006319D3">
              <w:t>1.skaidrojums</w:t>
            </w:r>
            <w:r w:rsidR="00300DF2" w:rsidRPr="006319D3">
              <w:t>)</w:t>
            </w:r>
            <w:r w:rsidR="00E00C14" w:rsidRPr="006319D3">
              <w:t xml:space="preserve"> </w:t>
            </w:r>
            <w:r w:rsidRPr="006319D3">
              <w:t>atbilstoši precizēt</w:t>
            </w:r>
            <w:r w:rsidR="008E2B84" w:rsidRPr="006319D3">
              <w:t>s</w:t>
            </w:r>
            <w:r w:rsidRPr="006319D3">
              <w:t xml:space="preserve"> iekļaujot tajā AS “</w:t>
            </w:r>
            <w:proofErr w:type="spellStart"/>
            <w:r w:rsidRPr="006319D3">
              <w:t>Conexus</w:t>
            </w:r>
            <w:proofErr w:type="spellEnd"/>
            <w:r w:rsidRPr="006319D3">
              <w:t xml:space="preserve"> </w:t>
            </w:r>
            <w:proofErr w:type="spellStart"/>
            <w:r w:rsidRPr="006319D3">
              <w:t>Baltic</w:t>
            </w:r>
            <w:proofErr w:type="spellEnd"/>
            <w:r w:rsidRPr="006319D3">
              <w:t xml:space="preserve"> Grid” sniegto priekšlikumu.</w:t>
            </w:r>
          </w:p>
        </w:tc>
      </w:tr>
      <w:tr w:rsidR="0057514E" w:rsidRPr="006319D3" w14:paraId="01AA2190" w14:textId="77777777" w:rsidTr="0057514E">
        <w:tc>
          <w:tcPr>
            <w:tcW w:w="675" w:type="dxa"/>
            <w:tcBorders>
              <w:top w:val="single" w:sz="4" w:space="0" w:color="auto"/>
              <w:left w:val="single" w:sz="6" w:space="0" w:color="000000"/>
              <w:bottom w:val="single" w:sz="6" w:space="0" w:color="000000"/>
              <w:right w:val="single" w:sz="6" w:space="0" w:color="000000"/>
            </w:tcBorders>
          </w:tcPr>
          <w:p w14:paraId="14D3291A" w14:textId="640AD297" w:rsidR="0057514E" w:rsidRPr="006319D3" w:rsidRDefault="000F4AA5" w:rsidP="006319D3">
            <w:pPr>
              <w:pStyle w:val="naisc"/>
              <w:spacing w:before="60" w:after="60"/>
              <w:jc w:val="both"/>
              <w:rPr>
                <w:highlight w:val="yellow"/>
              </w:rPr>
            </w:pPr>
            <w:r w:rsidRPr="006319D3">
              <w:lastRenderedPageBreak/>
              <w:t>1</w:t>
            </w:r>
            <w:r w:rsidR="00F95739" w:rsidRPr="006319D3">
              <w:t>6</w:t>
            </w:r>
            <w:r w:rsidRPr="006319D3">
              <w:t>.</w:t>
            </w:r>
          </w:p>
        </w:tc>
        <w:tc>
          <w:tcPr>
            <w:tcW w:w="3119" w:type="dxa"/>
            <w:gridSpan w:val="2"/>
            <w:tcBorders>
              <w:top w:val="single" w:sz="4" w:space="0" w:color="auto"/>
              <w:left w:val="single" w:sz="6" w:space="0" w:color="000000"/>
              <w:bottom w:val="single" w:sz="6" w:space="0" w:color="000000"/>
              <w:right w:val="single" w:sz="6" w:space="0" w:color="000000"/>
            </w:tcBorders>
            <w:shd w:val="clear" w:color="auto" w:fill="auto"/>
          </w:tcPr>
          <w:p w14:paraId="03DC8FD5" w14:textId="78B629AF" w:rsidR="0057514E" w:rsidRPr="006319D3" w:rsidRDefault="00A335AE" w:rsidP="006319D3">
            <w:pPr>
              <w:tabs>
                <w:tab w:val="left" w:pos="4678"/>
              </w:tabs>
              <w:spacing w:before="60" w:after="60"/>
              <w:jc w:val="both"/>
            </w:pPr>
            <w:r>
              <w:t>Anotācija</w:t>
            </w:r>
          </w:p>
        </w:tc>
        <w:tc>
          <w:tcPr>
            <w:tcW w:w="4562" w:type="dxa"/>
            <w:tcBorders>
              <w:top w:val="single" w:sz="4" w:space="0" w:color="auto"/>
              <w:left w:val="single" w:sz="6" w:space="0" w:color="000000"/>
              <w:bottom w:val="single" w:sz="6" w:space="0" w:color="000000"/>
              <w:right w:val="single" w:sz="6" w:space="0" w:color="000000"/>
            </w:tcBorders>
            <w:shd w:val="clear" w:color="auto" w:fill="auto"/>
          </w:tcPr>
          <w:p w14:paraId="69870F9D" w14:textId="77777777" w:rsidR="0057514E" w:rsidRPr="006319D3" w:rsidRDefault="0057514E" w:rsidP="006319D3">
            <w:pPr>
              <w:pStyle w:val="naisc"/>
              <w:spacing w:before="60" w:after="60"/>
              <w:jc w:val="both"/>
              <w:rPr>
                <w:b/>
                <w:bCs/>
              </w:rPr>
            </w:pPr>
            <w:r w:rsidRPr="006319D3">
              <w:rPr>
                <w:b/>
                <w:bCs/>
              </w:rPr>
              <w:t>Tieslietu ministrijas (06.03.2020. atzinums)</w:t>
            </w:r>
          </w:p>
          <w:p w14:paraId="7D6EDB24" w14:textId="77777777" w:rsidR="0057514E" w:rsidRPr="006319D3" w:rsidRDefault="0057514E" w:rsidP="006319D3">
            <w:pPr>
              <w:pStyle w:val="naisc"/>
              <w:spacing w:before="60" w:after="60"/>
              <w:jc w:val="both"/>
              <w:rPr>
                <w:b/>
                <w:bCs/>
              </w:rPr>
            </w:pPr>
          </w:p>
          <w:p w14:paraId="20D9DD81" w14:textId="6F56281F" w:rsidR="0057514E" w:rsidRPr="006319D3" w:rsidRDefault="0057514E" w:rsidP="006319D3">
            <w:pPr>
              <w:pStyle w:val="naisc"/>
              <w:spacing w:before="60" w:after="60"/>
              <w:jc w:val="both"/>
            </w:pPr>
            <w:r w:rsidRPr="006319D3">
              <w:t xml:space="preserve">Likumprojekta 3. pantā paredzētie grozījumi Enerģētikas likuma 19. panta trešajā daļā paredz divas reizes (no 30 dienām uz 15 dienām) samazināt termiņu, kādā energoapgādes komersants brīdina nekustamā īpašuma īpašnieku par jauna objekta </w:t>
            </w:r>
            <w:r w:rsidRPr="006319D3">
              <w:lastRenderedPageBreak/>
              <w:t xml:space="preserve">ierīkošanu vai esošā objekta paplašināšanu pirms darbu uzsākšanas. </w:t>
            </w:r>
          </w:p>
          <w:p w14:paraId="3E6A2948" w14:textId="77777777" w:rsidR="0057514E" w:rsidRPr="006319D3" w:rsidRDefault="0057514E" w:rsidP="006319D3">
            <w:pPr>
              <w:pStyle w:val="naisc"/>
              <w:spacing w:before="60" w:after="60"/>
              <w:jc w:val="both"/>
            </w:pPr>
            <w:r w:rsidRPr="006319D3">
              <w:t xml:space="preserve">Tieslietu ministrija ņem vērā, ka minētais grozījums izstrādāts atbilstoši ar Ministru kabineta 2019. gada 22. maija rīkojums Nr. 247 “Par Uzņēmējdarbības vides pilnveidošanas pasākumu plānu 2019.-2022. gadam” apstiprinātā Uzņēmējdarbības vides pilnveidošanas pasākumu plāna 2019.-2022. gadam (turpmāk – plāns) 4.8.2.apakšpunktā doto uzdevumu. Vienlaikus vēršam uzmanību, ka pēc būtības minētais grozījums paredz stingrāku privātpersonas tiesību ierobežojumu (Latvijas Republikas Satversmes 105. pants), tomēr ne plānā, ne Likumprojekta anotācijas I sadaļā nav vērtēta ierobežojuma ietekme uz privātpersonām, tai skaitā, regulējuma samērīguma </w:t>
            </w:r>
            <w:proofErr w:type="spellStart"/>
            <w:r w:rsidRPr="006319D3">
              <w:t>izvērtējums</w:t>
            </w:r>
            <w:proofErr w:type="spellEnd"/>
            <w:r w:rsidRPr="006319D3">
              <w:t xml:space="preserve">. Ievērojot minēto, lūdzam papildināt Likumprojekta anotācijas I sadaļu ar attiecīgu skaidrojumu. Tāpat lūdzam minētā ierobežojuma ietekmi uz attiecīgo sabiedrības </w:t>
            </w:r>
            <w:proofErr w:type="spellStart"/>
            <w:r w:rsidRPr="006319D3">
              <w:t>mērķgrupu</w:t>
            </w:r>
            <w:proofErr w:type="spellEnd"/>
            <w:r w:rsidRPr="006319D3">
              <w:t xml:space="preserve"> atspoguļot arī Likumprojekta anotācijas II sadaļā. Vēršam uzmanību, ka šobrīd attiecīgā </w:t>
            </w:r>
            <w:proofErr w:type="spellStart"/>
            <w:r w:rsidRPr="006319D3">
              <w:t>mērķgrupa</w:t>
            </w:r>
            <w:proofErr w:type="spellEnd"/>
            <w:r w:rsidRPr="006319D3">
              <w:t xml:space="preserve"> (nekustamā īpašuma īpašnieki) Likumprojekta anotācijas II sadaļā vispār nav minēti.</w:t>
            </w:r>
          </w:p>
          <w:p w14:paraId="3F86997F" w14:textId="202B7668" w:rsidR="0057514E" w:rsidRPr="006319D3" w:rsidRDefault="0057514E" w:rsidP="006319D3">
            <w:pPr>
              <w:pStyle w:val="naisc"/>
              <w:spacing w:before="60" w:after="60"/>
              <w:jc w:val="both"/>
              <w:rPr>
                <w:b/>
              </w:rPr>
            </w:pPr>
          </w:p>
        </w:tc>
        <w:tc>
          <w:tcPr>
            <w:tcW w:w="3234" w:type="dxa"/>
            <w:gridSpan w:val="2"/>
            <w:tcBorders>
              <w:top w:val="single" w:sz="4" w:space="0" w:color="auto"/>
              <w:left w:val="single" w:sz="6" w:space="0" w:color="000000"/>
              <w:bottom w:val="single" w:sz="6" w:space="0" w:color="000000"/>
              <w:right w:val="single" w:sz="6" w:space="0" w:color="000000"/>
            </w:tcBorders>
            <w:shd w:val="clear" w:color="auto" w:fill="auto"/>
          </w:tcPr>
          <w:p w14:paraId="710205DA" w14:textId="77777777" w:rsidR="0057514E" w:rsidRPr="006319D3" w:rsidRDefault="0057514E" w:rsidP="006319D3">
            <w:pPr>
              <w:pStyle w:val="naisc"/>
              <w:spacing w:before="60" w:after="60"/>
              <w:ind w:firstLine="5"/>
              <w:jc w:val="both"/>
              <w:rPr>
                <w:b/>
              </w:rPr>
            </w:pPr>
            <w:r w:rsidRPr="006319D3">
              <w:rPr>
                <w:b/>
              </w:rPr>
              <w:lastRenderedPageBreak/>
              <w:t>Ņemts vērā</w:t>
            </w:r>
          </w:p>
          <w:p w14:paraId="29BB830A" w14:textId="10CED14C" w:rsidR="0057514E" w:rsidRPr="006319D3" w:rsidRDefault="0057514E" w:rsidP="006319D3">
            <w:pPr>
              <w:pStyle w:val="naisc"/>
              <w:spacing w:before="60" w:after="60"/>
              <w:ind w:firstLine="5"/>
              <w:jc w:val="both"/>
              <w:rPr>
                <w:bCs/>
              </w:rPr>
            </w:pPr>
            <w:r w:rsidRPr="006319D3">
              <w:rPr>
                <w:bCs/>
              </w:rPr>
              <w:t xml:space="preserve">Ekonomikas ministrija ir veikusi brīdināšanas laika samazinājuma ietekmes uz privātpersonām </w:t>
            </w:r>
            <w:proofErr w:type="spellStart"/>
            <w:r w:rsidRPr="006319D3">
              <w:rPr>
                <w:bCs/>
              </w:rPr>
              <w:t>izvērtējumu</w:t>
            </w:r>
            <w:proofErr w:type="spellEnd"/>
            <w:r w:rsidRPr="006319D3">
              <w:rPr>
                <w:bCs/>
              </w:rPr>
              <w:t xml:space="preserve"> un secinājusi, ka tas ir samērīgs, ņemot vērā arī to, ka Aizsargjoslu likuma 35.panta otrā daļa jau šobrīd noteic - ja </w:t>
            </w:r>
            <w:r w:rsidRPr="006319D3">
              <w:rPr>
                <w:bCs/>
              </w:rPr>
              <w:lastRenderedPageBreak/>
              <w:t xml:space="preserve">objektam ir noteikta aizsargjosla, tā īpašniekam vai valdītājam ir atļauts aizsargjoslā veikt attiecīgā objekta ekspluatācijai, remontam, atjaunošanai, pārbūvei nepieciešamos darbus. Par to </w:t>
            </w:r>
            <w:proofErr w:type="spellStart"/>
            <w:r w:rsidRPr="006319D3">
              <w:rPr>
                <w:bCs/>
              </w:rPr>
              <w:t>rakstveidā</w:t>
            </w:r>
            <w:proofErr w:type="spellEnd"/>
            <w:r w:rsidRPr="006319D3">
              <w:rPr>
                <w:bCs/>
              </w:rPr>
              <w:t xml:space="preserve"> brīdināms zemes īpašnieks vai tiesiskais valdītājs vismaz divas nedēļas pirms darbu uzsākšanas, izņemot avāriju novēršanas vai to seku likvidēšanas darbus, kurus var veikt jebkurā laikā bez brīdinājuma. Brīdināšanas dienu samazināšana nekādi neietekmē energoapgādes komersanta normatīvajos aktos noteiktās prasības attiecībā uz objekta izbūves saskaņošanas procedūru ar zemes īpašnieku, ja tāda attiecināma.</w:t>
            </w:r>
          </w:p>
        </w:tc>
        <w:tc>
          <w:tcPr>
            <w:tcW w:w="2693" w:type="dxa"/>
            <w:gridSpan w:val="2"/>
            <w:tcBorders>
              <w:top w:val="single" w:sz="4" w:space="0" w:color="auto"/>
              <w:left w:val="single" w:sz="4" w:space="0" w:color="auto"/>
              <w:bottom w:val="single" w:sz="4" w:space="0" w:color="auto"/>
            </w:tcBorders>
            <w:shd w:val="clear" w:color="auto" w:fill="auto"/>
          </w:tcPr>
          <w:p w14:paraId="199EF1AC" w14:textId="24B6893A" w:rsidR="0057514E" w:rsidRPr="006319D3" w:rsidRDefault="0057514E" w:rsidP="006319D3">
            <w:pPr>
              <w:spacing w:before="60" w:after="60"/>
              <w:ind w:firstLine="5"/>
              <w:jc w:val="both"/>
            </w:pPr>
            <w:r w:rsidRPr="006319D3">
              <w:lastRenderedPageBreak/>
              <w:t xml:space="preserve">Atbilstoši papildināts anotācijas I sadaļas 2. punkts </w:t>
            </w:r>
            <w:r w:rsidR="000C774B" w:rsidRPr="006319D3">
              <w:t xml:space="preserve">(8.skaidrojums) </w:t>
            </w:r>
            <w:r w:rsidRPr="006319D3">
              <w:t>un II sadaļas 1. punkts.</w:t>
            </w:r>
          </w:p>
        </w:tc>
      </w:tr>
      <w:tr w:rsidR="0057514E" w:rsidRPr="006319D3" w14:paraId="7179BC83" w14:textId="77777777" w:rsidTr="00C85A50">
        <w:tc>
          <w:tcPr>
            <w:tcW w:w="675" w:type="dxa"/>
            <w:tcBorders>
              <w:top w:val="single" w:sz="4" w:space="0" w:color="auto"/>
              <w:left w:val="single" w:sz="6" w:space="0" w:color="000000"/>
              <w:bottom w:val="single" w:sz="6" w:space="0" w:color="000000"/>
              <w:right w:val="single" w:sz="6" w:space="0" w:color="000000"/>
            </w:tcBorders>
          </w:tcPr>
          <w:p w14:paraId="78F2FDE5" w14:textId="75590AB0" w:rsidR="0057514E" w:rsidRPr="006319D3" w:rsidRDefault="000F4AA5" w:rsidP="006319D3">
            <w:pPr>
              <w:pStyle w:val="naisc"/>
              <w:spacing w:before="60" w:after="60"/>
              <w:jc w:val="both"/>
              <w:rPr>
                <w:highlight w:val="yellow"/>
              </w:rPr>
            </w:pPr>
            <w:r w:rsidRPr="006319D3">
              <w:t>1</w:t>
            </w:r>
            <w:r w:rsidR="00F95739" w:rsidRPr="006319D3">
              <w:t>7</w:t>
            </w:r>
            <w:r w:rsidRPr="006319D3">
              <w:t>.</w:t>
            </w:r>
          </w:p>
        </w:tc>
        <w:tc>
          <w:tcPr>
            <w:tcW w:w="3119" w:type="dxa"/>
            <w:gridSpan w:val="2"/>
            <w:tcBorders>
              <w:top w:val="single" w:sz="4" w:space="0" w:color="auto"/>
              <w:left w:val="single" w:sz="6" w:space="0" w:color="000000"/>
              <w:bottom w:val="single" w:sz="6" w:space="0" w:color="000000"/>
              <w:right w:val="single" w:sz="6" w:space="0" w:color="000000"/>
            </w:tcBorders>
          </w:tcPr>
          <w:p w14:paraId="1D0325B7" w14:textId="25235D2E" w:rsidR="0057514E" w:rsidRPr="006319D3" w:rsidRDefault="00A335AE" w:rsidP="006319D3">
            <w:pPr>
              <w:tabs>
                <w:tab w:val="left" w:pos="4678"/>
              </w:tabs>
              <w:spacing w:before="60" w:after="60"/>
              <w:jc w:val="both"/>
            </w:pPr>
            <w:r>
              <w:t>Anotācija</w:t>
            </w:r>
          </w:p>
        </w:tc>
        <w:tc>
          <w:tcPr>
            <w:tcW w:w="4562" w:type="dxa"/>
            <w:tcBorders>
              <w:top w:val="single" w:sz="4" w:space="0" w:color="auto"/>
              <w:left w:val="single" w:sz="6" w:space="0" w:color="000000"/>
              <w:bottom w:val="single" w:sz="6" w:space="0" w:color="000000"/>
              <w:right w:val="single" w:sz="6" w:space="0" w:color="000000"/>
            </w:tcBorders>
          </w:tcPr>
          <w:p w14:paraId="244F900A" w14:textId="77777777" w:rsidR="0057514E" w:rsidRPr="006319D3" w:rsidRDefault="0057514E" w:rsidP="006319D3">
            <w:pPr>
              <w:pStyle w:val="naisc"/>
              <w:spacing w:before="60" w:after="60"/>
              <w:jc w:val="both"/>
              <w:rPr>
                <w:b/>
                <w:bCs/>
              </w:rPr>
            </w:pPr>
            <w:r w:rsidRPr="006319D3">
              <w:rPr>
                <w:b/>
                <w:bCs/>
              </w:rPr>
              <w:t>Sabiedrisko pakalpojumu regulēšanas komisija (06.03.2020. atzinums)</w:t>
            </w:r>
          </w:p>
          <w:p w14:paraId="1B558968" w14:textId="77777777" w:rsidR="0057514E" w:rsidRPr="006319D3" w:rsidRDefault="0057514E" w:rsidP="006319D3">
            <w:pPr>
              <w:pStyle w:val="naisc"/>
              <w:spacing w:before="60" w:after="60"/>
              <w:jc w:val="both"/>
            </w:pPr>
          </w:p>
          <w:p w14:paraId="3B850FFB" w14:textId="1AACE082" w:rsidR="0057514E" w:rsidRPr="006319D3" w:rsidRDefault="0057514E" w:rsidP="006319D3">
            <w:pPr>
              <w:pStyle w:val="naisc"/>
              <w:spacing w:before="60" w:after="60"/>
              <w:jc w:val="both"/>
            </w:pPr>
            <w:r w:rsidRPr="006319D3">
              <w:lastRenderedPageBreak/>
              <w:t xml:space="preserve">Saskaņā ar Likumprojekta anotāciju ar grozījumiem Enerģētikas likuma 82.pantā tiek pārņemtas Eiropas Parlamenta un Padomes 2009.gada 13.jūlija Direktīvas 2009/73/EK par kopīgiem noteikumiem attiecībā uz dabasgāzes iekšējo 41.panta 1.punkta c) apakšpunkta, 42.panta 6.punkta un 49.a panta prasības, kas nosaka regulatīvās iestādes pienākumus un pilnvaras attiecībā uz dabasgāzes pārvades līnijām uz trešajām valstīm un no tām. Regulators norāda, ka Enerģētikas likuma 82.pants nosaka Regulatora pienākumus attiecībā uz energoapgādes komersantu objektu ekspluatācijas kontroli, tāpēc tajā nav pamata iekļaut normas, kas nav saistītas ar šo Regulatora pienākumu. </w:t>
            </w:r>
          </w:p>
          <w:p w14:paraId="1F6B2795" w14:textId="77777777" w:rsidR="0057514E" w:rsidRPr="006319D3" w:rsidRDefault="0057514E" w:rsidP="006319D3">
            <w:pPr>
              <w:pStyle w:val="naisc"/>
              <w:spacing w:before="60" w:after="60"/>
              <w:jc w:val="both"/>
            </w:pPr>
            <w:r w:rsidRPr="006319D3">
              <w:t xml:space="preserve">Attiecībā uz Regulatora pienākumu pārrobežu jautājumos sadarboties ar citu dalībvalstu regulatīvajām iestādēm un </w:t>
            </w:r>
            <w:proofErr w:type="spellStart"/>
            <w:r w:rsidRPr="006319D3">
              <w:t>Energoregulatoru</w:t>
            </w:r>
            <w:proofErr w:type="spellEnd"/>
            <w:r w:rsidRPr="006319D3">
              <w:t xml:space="preserve"> sadarbības aģentūru Direktīvas 2009/73/EK 41.panta 1.punkta c) apakšpunkta redakcija nav mainījusies (šāds pats pienākums regulatīvajām iestādēm ir noteikts arī elektroenerģijas apgādē). Ja Enerģētikas likumā ietver šādu Regulatora pienākumu, tas būtu attiecināms ne tikai uz dabasgāzes apgādi, bet arī elektroapgādi un attiecīgi ietverams Enerģētikas likuma 84.panta pirmajā daļā. Turklāt Regulators norāda, ka Direktīvas 2009/73/EK 41.panta 1.punkta c) apakšpunktā nav noteikta obligāta prasība Regulatoram sadarboties ar trešo valstu </w:t>
            </w:r>
            <w:r w:rsidRPr="006319D3">
              <w:lastRenderedPageBreak/>
              <w:t>iestādēm, bet paredzēts, ka šāda sadarbība var notikt. Līdz ar to nepieciešams precizēt Likumprojekta 4.pantā noteikto, kā arī Likumprojekta anotāciju.</w:t>
            </w:r>
          </w:p>
          <w:p w14:paraId="1CCAAA22" w14:textId="08402229" w:rsidR="00EA7471" w:rsidRPr="006319D3" w:rsidRDefault="00EA7471" w:rsidP="006319D3">
            <w:pPr>
              <w:pStyle w:val="naisc"/>
              <w:spacing w:before="60" w:after="60"/>
              <w:jc w:val="both"/>
              <w:rPr>
                <w:b/>
              </w:rPr>
            </w:pPr>
          </w:p>
        </w:tc>
        <w:tc>
          <w:tcPr>
            <w:tcW w:w="3234" w:type="dxa"/>
            <w:gridSpan w:val="2"/>
            <w:tcBorders>
              <w:top w:val="single" w:sz="4" w:space="0" w:color="auto"/>
              <w:left w:val="single" w:sz="6" w:space="0" w:color="000000"/>
              <w:bottom w:val="single" w:sz="6" w:space="0" w:color="000000"/>
              <w:right w:val="single" w:sz="6" w:space="0" w:color="000000"/>
            </w:tcBorders>
          </w:tcPr>
          <w:p w14:paraId="25EDAD39" w14:textId="2264FC2E" w:rsidR="0057514E" w:rsidRPr="006319D3" w:rsidRDefault="0057514E" w:rsidP="006319D3">
            <w:pPr>
              <w:pStyle w:val="naisc"/>
              <w:spacing w:before="60" w:after="60"/>
              <w:ind w:firstLine="5"/>
              <w:jc w:val="both"/>
              <w:rPr>
                <w:b/>
              </w:rPr>
            </w:pPr>
            <w:r w:rsidRPr="006319D3">
              <w:rPr>
                <w:b/>
              </w:rPr>
              <w:lastRenderedPageBreak/>
              <w:t>Ņemts vērā</w:t>
            </w:r>
          </w:p>
        </w:tc>
        <w:tc>
          <w:tcPr>
            <w:tcW w:w="2693" w:type="dxa"/>
            <w:gridSpan w:val="2"/>
            <w:tcBorders>
              <w:top w:val="single" w:sz="4" w:space="0" w:color="auto"/>
              <w:left w:val="single" w:sz="4" w:space="0" w:color="auto"/>
              <w:bottom w:val="single" w:sz="4" w:space="0" w:color="auto"/>
            </w:tcBorders>
          </w:tcPr>
          <w:p w14:paraId="2A1B3980" w14:textId="37A3C158" w:rsidR="0057514E" w:rsidRPr="006319D3" w:rsidRDefault="0057514E" w:rsidP="006319D3">
            <w:pPr>
              <w:spacing w:before="60" w:after="60"/>
              <w:ind w:firstLine="5"/>
              <w:jc w:val="both"/>
            </w:pPr>
            <w:r w:rsidRPr="006319D3">
              <w:t>Anotācija atbilstoši precizēta, ievērojot Regulatora atzinumā norādīto informāciju</w:t>
            </w:r>
            <w:r w:rsidR="000C774B" w:rsidRPr="006319D3">
              <w:t xml:space="preserve"> (I </w:t>
            </w:r>
            <w:r w:rsidR="000C774B" w:rsidRPr="006319D3">
              <w:lastRenderedPageBreak/>
              <w:t>sadaļas 2.punkts 3.skaidrojums</w:t>
            </w:r>
            <w:r w:rsidR="00C77B0D" w:rsidRPr="006319D3">
              <w:t>)</w:t>
            </w:r>
            <w:r w:rsidRPr="006319D3">
              <w:t xml:space="preserve">. </w:t>
            </w:r>
          </w:p>
        </w:tc>
      </w:tr>
      <w:tr w:rsidR="0057514E" w:rsidRPr="006319D3" w14:paraId="5476685E" w14:textId="77777777" w:rsidTr="000E2D0A">
        <w:tc>
          <w:tcPr>
            <w:tcW w:w="675" w:type="dxa"/>
            <w:tcBorders>
              <w:top w:val="single" w:sz="6" w:space="0" w:color="000000"/>
              <w:left w:val="single" w:sz="6" w:space="0" w:color="000000"/>
              <w:bottom w:val="single" w:sz="6" w:space="0" w:color="000000"/>
              <w:right w:val="single" w:sz="6" w:space="0" w:color="000000"/>
            </w:tcBorders>
          </w:tcPr>
          <w:p w14:paraId="1C1A5BA8" w14:textId="21DA5FA5" w:rsidR="0057514E" w:rsidRPr="006319D3" w:rsidRDefault="000F4AA5" w:rsidP="006319D3">
            <w:pPr>
              <w:pStyle w:val="naisc"/>
              <w:spacing w:before="60" w:after="60"/>
              <w:jc w:val="both"/>
              <w:rPr>
                <w:highlight w:val="yellow"/>
              </w:rPr>
            </w:pPr>
            <w:r w:rsidRPr="006319D3">
              <w:lastRenderedPageBreak/>
              <w:t>1</w:t>
            </w:r>
            <w:r w:rsidR="00F95739" w:rsidRPr="006319D3">
              <w:t>8</w:t>
            </w:r>
            <w:r w:rsidRPr="006319D3">
              <w:t>.</w:t>
            </w:r>
          </w:p>
        </w:tc>
        <w:tc>
          <w:tcPr>
            <w:tcW w:w="3119" w:type="dxa"/>
            <w:gridSpan w:val="2"/>
            <w:tcBorders>
              <w:top w:val="single" w:sz="6" w:space="0" w:color="000000"/>
              <w:left w:val="single" w:sz="6" w:space="0" w:color="000000"/>
              <w:bottom w:val="single" w:sz="6" w:space="0" w:color="000000"/>
              <w:right w:val="single" w:sz="6" w:space="0" w:color="000000"/>
            </w:tcBorders>
          </w:tcPr>
          <w:p w14:paraId="3A3B0CA8" w14:textId="24155F99" w:rsidR="0057514E" w:rsidRPr="006319D3" w:rsidRDefault="00A335AE" w:rsidP="006319D3">
            <w:pPr>
              <w:pStyle w:val="naisc"/>
              <w:spacing w:before="60" w:after="60"/>
              <w:ind w:firstLine="33"/>
              <w:jc w:val="both"/>
              <w:rPr>
                <w:highlight w:val="yellow"/>
              </w:rPr>
            </w:pPr>
            <w:r>
              <w:t>Anotācija</w:t>
            </w:r>
          </w:p>
        </w:tc>
        <w:tc>
          <w:tcPr>
            <w:tcW w:w="4562" w:type="dxa"/>
            <w:tcBorders>
              <w:top w:val="single" w:sz="6" w:space="0" w:color="000000"/>
              <w:left w:val="single" w:sz="6" w:space="0" w:color="000000"/>
              <w:bottom w:val="single" w:sz="6" w:space="0" w:color="000000"/>
              <w:right w:val="single" w:sz="6" w:space="0" w:color="000000"/>
            </w:tcBorders>
          </w:tcPr>
          <w:p w14:paraId="5B295A56" w14:textId="77777777" w:rsidR="0057514E" w:rsidRPr="006319D3" w:rsidRDefault="0057514E" w:rsidP="006319D3">
            <w:pPr>
              <w:pStyle w:val="naisc"/>
              <w:spacing w:before="60" w:after="60"/>
              <w:jc w:val="both"/>
              <w:rPr>
                <w:b/>
              </w:rPr>
            </w:pPr>
            <w:r w:rsidRPr="006319D3">
              <w:rPr>
                <w:b/>
              </w:rPr>
              <w:t>AS “</w:t>
            </w:r>
            <w:proofErr w:type="spellStart"/>
            <w:r w:rsidRPr="006319D3">
              <w:rPr>
                <w:b/>
              </w:rPr>
              <w:t>Conexus</w:t>
            </w:r>
            <w:proofErr w:type="spellEnd"/>
            <w:r w:rsidRPr="006319D3">
              <w:rPr>
                <w:b/>
              </w:rPr>
              <w:t xml:space="preserve"> </w:t>
            </w:r>
            <w:proofErr w:type="spellStart"/>
            <w:r w:rsidRPr="006319D3">
              <w:rPr>
                <w:b/>
              </w:rPr>
              <w:t>Baltic</w:t>
            </w:r>
            <w:proofErr w:type="spellEnd"/>
            <w:r w:rsidRPr="006319D3">
              <w:rPr>
                <w:b/>
              </w:rPr>
              <w:t xml:space="preserve"> Grid” (06.03.2020. atzinums) </w:t>
            </w:r>
          </w:p>
          <w:p w14:paraId="21EF454F" w14:textId="77777777" w:rsidR="0057514E" w:rsidRPr="006319D3" w:rsidRDefault="0057514E" w:rsidP="006319D3">
            <w:pPr>
              <w:pStyle w:val="naisc"/>
              <w:spacing w:before="60" w:after="60"/>
              <w:jc w:val="both"/>
              <w:rPr>
                <w:highlight w:val="yellow"/>
              </w:rPr>
            </w:pPr>
          </w:p>
          <w:p w14:paraId="4AF731D9" w14:textId="77777777" w:rsidR="0057514E" w:rsidRPr="006319D3" w:rsidRDefault="0057514E" w:rsidP="006319D3">
            <w:pPr>
              <w:pStyle w:val="naisc"/>
              <w:spacing w:before="60" w:after="60"/>
              <w:jc w:val="both"/>
            </w:pPr>
            <w:r w:rsidRPr="006319D3">
              <w:t xml:space="preserve">Direktīva paredz jaunu 49.a pantu, kas ietver nosacījumus atkāpei (angļu valodā – </w:t>
            </w:r>
            <w:proofErr w:type="spellStart"/>
            <w:r w:rsidRPr="006319D3">
              <w:rPr>
                <w:i/>
                <w:iCs/>
              </w:rPr>
              <w:t>derogation</w:t>
            </w:r>
            <w:proofErr w:type="spellEnd"/>
            <w:r w:rsidRPr="006319D3">
              <w:t xml:space="preserve">) attiecībā uz pārvades līnijām uz </w:t>
            </w:r>
            <w:proofErr w:type="spellStart"/>
            <w:r w:rsidRPr="006319D3">
              <w:t>trešām</w:t>
            </w:r>
            <w:proofErr w:type="spellEnd"/>
            <w:r w:rsidRPr="006319D3">
              <w:t xml:space="preserve"> valstīm un no tām. Savukārt Eiropas Parlamenta un Padomes Direktīvas 2009/73/EK (2009. gada 13. jūlijs) par kopīgiem noteikumiem attiecībā uz dabasgāzes iekšējo tirgu un par Direktīvas 2003/55/EK atcelšanu 36. pants paredzētā atkāpe (angļu valodā – </w:t>
            </w:r>
            <w:proofErr w:type="spellStart"/>
            <w:r w:rsidRPr="006319D3">
              <w:rPr>
                <w:i/>
                <w:iCs/>
              </w:rPr>
              <w:t>exemption</w:t>
            </w:r>
            <w:proofErr w:type="spellEnd"/>
            <w:r w:rsidRPr="006319D3">
              <w:t>) jaunai infrastruktūrai ir ar citādu nozīmi nekā Direktīvas 49.a pantā. Proti, ja Eiropas Parlamenta un Padomes Direktīvas 2009/73/EK (2009. gada 13. jūlijs) par kopīgiem noteikumiem attiecībā uz dabasgāzes iekšējo tirgu un par Direktīvas 2003/55/EK atcelšanu 36. pantā paredzētā atkāpe ir strukturēta ar mērķi veicināt investīcijas projekta agrīnā stadijā (Enerģētikas likuma 110. panta trešā daļa), tad Direktīvas 49.a pantā noteiktais ir attiecināms uz investīciju aizsardzību vēlākā projekta īstenošanas stadijā. AS “</w:t>
            </w:r>
            <w:proofErr w:type="spellStart"/>
            <w:r w:rsidRPr="006319D3">
              <w:t>Conexus</w:t>
            </w:r>
            <w:proofErr w:type="spellEnd"/>
            <w:r w:rsidRPr="006319D3">
              <w:t xml:space="preserve"> </w:t>
            </w:r>
            <w:proofErr w:type="spellStart"/>
            <w:r w:rsidRPr="006319D3">
              <w:t>Baltic</w:t>
            </w:r>
            <w:proofErr w:type="spellEnd"/>
            <w:r w:rsidRPr="006319D3">
              <w:t xml:space="preserve"> Grid” lūdz anotācijā nodalīt un skaidrot šīs </w:t>
            </w:r>
            <w:r w:rsidRPr="006319D3">
              <w:lastRenderedPageBreak/>
              <w:t>atšķirības, lai nosacījumi par atkāpes piešķiršanu ir skaidri un nepārprotami.</w:t>
            </w:r>
          </w:p>
          <w:p w14:paraId="06614D98" w14:textId="300F031D" w:rsidR="00EA7471" w:rsidRPr="006319D3" w:rsidRDefault="00EA7471" w:rsidP="006319D3">
            <w:pPr>
              <w:pStyle w:val="naisc"/>
              <w:spacing w:before="60" w:after="60"/>
              <w:jc w:val="both"/>
              <w:rPr>
                <w:highlight w:val="yellow"/>
              </w:rPr>
            </w:pPr>
          </w:p>
        </w:tc>
        <w:tc>
          <w:tcPr>
            <w:tcW w:w="3234" w:type="dxa"/>
            <w:gridSpan w:val="2"/>
            <w:tcBorders>
              <w:top w:val="single" w:sz="6" w:space="0" w:color="000000"/>
              <w:left w:val="single" w:sz="6" w:space="0" w:color="000000"/>
              <w:bottom w:val="single" w:sz="6" w:space="0" w:color="000000"/>
              <w:right w:val="single" w:sz="6" w:space="0" w:color="000000"/>
            </w:tcBorders>
          </w:tcPr>
          <w:p w14:paraId="5DEA7B69" w14:textId="4A0CE04C" w:rsidR="0057514E" w:rsidRPr="006319D3" w:rsidRDefault="0057514E" w:rsidP="006319D3">
            <w:pPr>
              <w:pStyle w:val="naisc"/>
              <w:spacing w:before="60" w:after="60"/>
              <w:ind w:firstLine="5"/>
              <w:jc w:val="both"/>
              <w:rPr>
                <w:b/>
                <w:highlight w:val="yellow"/>
              </w:rPr>
            </w:pPr>
            <w:r w:rsidRPr="006319D3">
              <w:rPr>
                <w:b/>
              </w:rPr>
              <w:lastRenderedPageBreak/>
              <w:t>Ņemts vērā</w:t>
            </w:r>
          </w:p>
        </w:tc>
        <w:tc>
          <w:tcPr>
            <w:tcW w:w="2693" w:type="dxa"/>
            <w:gridSpan w:val="2"/>
            <w:tcBorders>
              <w:top w:val="single" w:sz="4" w:space="0" w:color="auto"/>
              <w:left w:val="single" w:sz="4" w:space="0" w:color="auto"/>
              <w:bottom w:val="single" w:sz="4" w:space="0" w:color="auto"/>
            </w:tcBorders>
          </w:tcPr>
          <w:p w14:paraId="078D5805" w14:textId="10FEEEBE" w:rsidR="0057514E" w:rsidRPr="006319D3" w:rsidRDefault="0057514E" w:rsidP="006319D3">
            <w:pPr>
              <w:spacing w:before="60" w:after="60"/>
              <w:ind w:firstLine="5"/>
              <w:jc w:val="both"/>
              <w:rPr>
                <w:highlight w:val="yellow"/>
              </w:rPr>
            </w:pPr>
            <w:r w:rsidRPr="006319D3">
              <w:t>Anotācija atbilstoši precizēta ņemot vērā AS “</w:t>
            </w:r>
            <w:proofErr w:type="spellStart"/>
            <w:r w:rsidRPr="006319D3">
              <w:t>Conexus</w:t>
            </w:r>
            <w:proofErr w:type="spellEnd"/>
            <w:r w:rsidRPr="006319D3">
              <w:t xml:space="preserve"> </w:t>
            </w:r>
            <w:proofErr w:type="spellStart"/>
            <w:r w:rsidRPr="006319D3">
              <w:t>Baltic</w:t>
            </w:r>
            <w:proofErr w:type="spellEnd"/>
            <w:r w:rsidRPr="006319D3">
              <w:t xml:space="preserve"> Grid” norādīto lūgumu</w:t>
            </w:r>
            <w:r w:rsidR="001B3C02" w:rsidRPr="006319D3">
              <w:t xml:space="preserve"> (I sadaļas 2.punkts 5.skaidrojums)</w:t>
            </w:r>
            <w:r w:rsidRPr="006319D3">
              <w:t>.</w:t>
            </w:r>
          </w:p>
        </w:tc>
      </w:tr>
      <w:tr w:rsidR="0057514E" w:rsidRPr="006319D3" w14:paraId="71A79C1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216657B6" w14:textId="33D146AA" w:rsidR="0057514E" w:rsidRPr="006319D3" w:rsidRDefault="000F4AA5" w:rsidP="006319D3">
            <w:pPr>
              <w:pStyle w:val="naisc"/>
              <w:spacing w:before="60" w:after="60"/>
              <w:jc w:val="both"/>
              <w:rPr>
                <w:highlight w:val="yellow"/>
              </w:rPr>
            </w:pPr>
            <w:r w:rsidRPr="006319D3">
              <w:t>1</w:t>
            </w:r>
            <w:r w:rsidR="00F95739" w:rsidRPr="006319D3">
              <w:t>9</w:t>
            </w:r>
            <w:r w:rsidRPr="006319D3">
              <w:t>.</w:t>
            </w:r>
          </w:p>
        </w:tc>
        <w:tc>
          <w:tcPr>
            <w:tcW w:w="3119" w:type="dxa"/>
            <w:gridSpan w:val="2"/>
            <w:tcBorders>
              <w:top w:val="single" w:sz="6" w:space="0" w:color="000000"/>
              <w:left w:val="single" w:sz="6" w:space="0" w:color="000000"/>
              <w:bottom w:val="single" w:sz="6" w:space="0" w:color="000000"/>
              <w:right w:val="single" w:sz="6" w:space="0" w:color="000000"/>
            </w:tcBorders>
          </w:tcPr>
          <w:p w14:paraId="6E3FB662" w14:textId="6AE4F30C" w:rsidR="0057514E" w:rsidRPr="006319D3" w:rsidRDefault="00A335AE" w:rsidP="006319D3">
            <w:pPr>
              <w:pStyle w:val="naisc"/>
              <w:spacing w:before="60" w:after="60"/>
              <w:ind w:firstLine="33"/>
              <w:jc w:val="both"/>
            </w:pPr>
            <w:r>
              <w:t>Anotācija</w:t>
            </w:r>
          </w:p>
        </w:tc>
        <w:tc>
          <w:tcPr>
            <w:tcW w:w="4562" w:type="dxa"/>
            <w:tcBorders>
              <w:top w:val="single" w:sz="6" w:space="0" w:color="000000"/>
              <w:left w:val="single" w:sz="6" w:space="0" w:color="000000"/>
              <w:bottom w:val="single" w:sz="6" w:space="0" w:color="000000"/>
              <w:right w:val="single" w:sz="6" w:space="0" w:color="000000"/>
            </w:tcBorders>
          </w:tcPr>
          <w:p w14:paraId="461C54BB" w14:textId="77777777" w:rsidR="0057514E" w:rsidRPr="006319D3" w:rsidRDefault="0057514E" w:rsidP="006319D3">
            <w:pPr>
              <w:pStyle w:val="naisc"/>
              <w:spacing w:before="60" w:after="60"/>
              <w:jc w:val="both"/>
              <w:rPr>
                <w:b/>
                <w:bCs/>
              </w:rPr>
            </w:pPr>
            <w:r w:rsidRPr="006319D3">
              <w:rPr>
                <w:b/>
                <w:bCs/>
              </w:rPr>
              <w:t>Tieslietu ministrijas (06.03.2020. atzinums)</w:t>
            </w:r>
          </w:p>
          <w:p w14:paraId="2D0BECD8" w14:textId="77777777" w:rsidR="0057514E" w:rsidRPr="006319D3" w:rsidRDefault="0057514E" w:rsidP="006319D3">
            <w:pPr>
              <w:pStyle w:val="naisc"/>
              <w:spacing w:before="60" w:after="60"/>
              <w:jc w:val="both"/>
              <w:rPr>
                <w:b/>
              </w:rPr>
            </w:pPr>
          </w:p>
          <w:p w14:paraId="3CB5A44A" w14:textId="03079C47" w:rsidR="0057514E" w:rsidRPr="006319D3" w:rsidRDefault="0057514E" w:rsidP="006319D3">
            <w:pPr>
              <w:widowControl w:val="0"/>
              <w:tabs>
                <w:tab w:val="left" w:pos="1134"/>
              </w:tabs>
              <w:spacing w:before="60" w:after="60"/>
              <w:jc w:val="both"/>
              <w:rPr>
                <w:iCs/>
                <w:color w:val="000000" w:themeColor="text1"/>
              </w:rPr>
            </w:pPr>
            <w:r w:rsidRPr="006319D3">
              <w:rPr>
                <w:iCs/>
                <w:color w:val="000000" w:themeColor="text1"/>
              </w:rPr>
              <w:t xml:space="preserve">Likumprojekta 8. pants paredz papildināt Enerģētikas likuma 117. pantu ar jaunu astoto daļu, regulējot starptautisko privāttiesību (piemērojamā Enerģētikas likuma) jautājumus attiecībā uz piekļuvi pārvades sistēmai. Minētā norma paredz, ka “ievērojot 110. panta pirmajā daļā noteikto pārvades sistēmas operatora pienākumu nodrošināt piekļuvi dabasgāzes pārvades sistēmai, gadījumā, ja šī piekļuve tiek atteikta sākumposma cauruļvada sistēmai, kas atrodas Latvijas teritorijā, pārrobežu domstarpību izšķiršanai piemēro Latvijas Republikas normatīvos aktus”. </w:t>
            </w:r>
          </w:p>
          <w:p w14:paraId="1F6C7D75" w14:textId="5BA5CA6C" w:rsidR="0057514E" w:rsidRPr="006319D3" w:rsidRDefault="0057514E" w:rsidP="006319D3">
            <w:pPr>
              <w:pStyle w:val="ListParagraph"/>
              <w:tabs>
                <w:tab w:val="left" w:pos="1134"/>
              </w:tabs>
              <w:spacing w:before="60" w:after="60" w:line="240" w:lineRule="auto"/>
              <w:ind w:left="0"/>
              <w:contextualSpacing w:val="0"/>
              <w:jc w:val="both"/>
              <w:rPr>
                <w:rFonts w:ascii="Times New Roman" w:hAnsi="Times New Roman"/>
                <w:iCs/>
                <w:color w:val="000000" w:themeColor="text1"/>
                <w:sz w:val="24"/>
                <w:szCs w:val="24"/>
              </w:rPr>
            </w:pPr>
            <w:r w:rsidRPr="006319D3">
              <w:rPr>
                <w:rFonts w:ascii="Times New Roman" w:hAnsi="Times New Roman"/>
                <w:iCs/>
                <w:color w:val="000000" w:themeColor="text1"/>
                <w:sz w:val="24"/>
                <w:szCs w:val="24"/>
              </w:rPr>
              <w:t xml:space="preserve">Saskaņā ar likumprojekta anotācijas V sadaļas 1. tabulā norādīto, šajā projekta normā tiek pārņemts </w:t>
            </w:r>
            <w:r w:rsidRPr="006319D3">
              <w:rPr>
                <w:rFonts w:ascii="Times New Roman" w:hAnsi="Times New Roman"/>
                <w:iCs/>
                <w:color w:val="000000" w:themeColor="text1"/>
                <w:sz w:val="24"/>
                <w:szCs w:val="24"/>
                <w:lang w:eastAsia="lv-LV"/>
              </w:rPr>
              <w:t>Direktīvas 2019/692 1. panta 4. punkts, kas paredz</w:t>
            </w:r>
            <w:r w:rsidRPr="006319D3">
              <w:rPr>
                <w:rFonts w:ascii="Times New Roman" w:hAnsi="Times New Roman"/>
                <w:iCs/>
                <w:color w:val="000000" w:themeColor="text1"/>
                <w:sz w:val="24"/>
                <w:szCs w:val="24"/>
              </w:rPr>
              <w:t xml:space="preserve"> </w:t>
            </w:r>
            <w:r w:rsidRPr="006319D3">
              <w:rPr>
                <w:rFonts w:ascii="Times New Roman" w:hAnsi="Times New Roman"/>
                <w:iCs/>
                <w:color w:val="000000" w:themeColor="text1"/>
                <w:sz w:val="24"/>
                <w:szCs w:val="24"/>
                <w:lang w:eastAsia="lv-LV"/>
              </w:rPr>
              <w:t>“</w:t>
            </w:r>
            <w:r w:rsidRPr="006319D3">
              <w:rPr>
                <w:rFonts w:ascii="Times New Roman" w:hAnsi="Times New Roman"/>
                <w:i/>
                <w:color w:val="000000" w:themeColor="text1"/>
                <w:sz w:val="24"/>
                <w:szCs w:val="24"/>
                <w:lang w:eastAsia="lv-LV"/>
              </w:rPr>
              <w:t>Pārrobežu domstarpību gadījumā piemēro tās dalībvalsts domstarpību izšķiršanas sistēmu, kuras jurisdikcijā ir sākumposma pārvades cauruļvadu tīkls, kam ir atteikta piekļuve. Ja pārrobežu domstarpībās attiecīgais tīkls ir</w:t>
            </w:r>
            <w:r w:rsidRPr="006319D3">
              <w:rPr>
                <w:rFonts w:ascii="Times New Roman" w:hAnsi="Times New Roman"/>
                <w:i/>
                <w:color w:val="000000" w:themeColor="text1"/>
                <w:sz w:val="24"/>
                <w:szCs w:val="24"/>
              </w:rPr>
              <w:t xml:space="preserve"> vairāk nekā vienas dalībvalsts kompetencē, attiecīgās dalībvalstis savstarpēji apspriežas, lai nodrošinātu šīs direktīvas konsekventu piemērošanu. Ja sākumposma pārvades </w:t>
            </w:r>
            <w:r w:rsidRPr="006319D3">
              <w:rPr>
                <w:rFonts w:ascii="Times New Roman" w:hAnsi="Times New Roman"/>
                <w:i/>
                <w:color w:val="000000" w:themeColor="text1"/>
                <w:sz w:val="24"/>
                <w:szCs w:val="24"/>
              </w:rPr>
              <w:lastRenderedPageBreak/>
              <w:t>cauruļvadu tīkls sākas trešā valstī un savienojas ar vismaz vienu dalībvalsti, attiecīgās dalībvalstis apspriežas cita ar citu un dalībvalsts, kurā atrodas pirmais ieejas punkts dalībvalstu tīklā, apspriežas ar attiecīgo trešo valsti, kurā sākas attiecīgais sākumposma pārvades cauruļvadu tīkls, lai attiecībā uz attiecīgo tīklu nodrošinātu, ka šīs direktīvas noteikumi tiek konsekventi piemēroti dalībvalstu teritorijā</w:t>
            </w:r>
            <w:r w:rsidRPr="006319D3">
              <w:rPr>
                <w:rFonts w:ascii="Times New Roman" w:hAnsi="Times New Roman"/>
                <w:iCs/>
                <w:color w:val="000000" w:themeColor="text1"/>
                <w:sz w:val="24"/>
                <w:szCs w:val="24"/>
              </w:rPr>
              <w:t>.”</w:t>
            </w:r>
          </w:p>
          <w:p w14:paraId="48A2FE9F" w14:textId="77777777" w:rsidR="0057514E" w:rsidRPr="006319D3" w:rsidRDefault="0057514E" w:rsidP="006319D3">
            <w:pPr>
              <w:pStyle w:val="naisc"/>
              <w:spacing w:before="60" w:after="60"/>
              <w:jc w:val="both"/>
              <w:rPr>
                <w:iCs/>
                <w:color w:val="000000" w:themeColor="text1"/>
              </w:rPr>
            </w:pPr>
            <w:r w:rsidRPr="006319D3">
              <w:rPr>
                <w:iCs/>
                <w:color w:val="000000" w:themeColor="text1"/>
              </w:rPr>
              <w:t>Lūdzam papildināt likumprojekta anotāciju ar skaidrojumu, kā tiks nodrošināta minētās direktīvas normas otrajā un trešajā teikumā minēto noteikumu izpilde. Tai skaitā vēršam uzmanību, ka gadījumā, ja Enerģētikas likumā tiek noteikts, ka konkrētās tiesiskās situācijās strīdu risināšanai tiek piemērots Latvijas likums, iestādēm, tai skaitā Ekonomikas ministrijai vai regulatoram nebūs tiesību vienoties ar citām valstīm par atšķirīgiem piemērojamā likuma principiem. Lūdzam arī skaidrot, vai un kā projekta 8. pantā ietvertais regulējums attieksies uz iespējamu strīdu risināšanu tiesās.</w:t>
            </w:r>
          </w:p>
          <w:p w14:paraId="1D44C291" w14:textId="51FF4265" w:rsidR="00EA7471" w:rsidRPr="006319D3" w:rsidRDefault="00EA7471" w:rsidP="006319D3">
            <w:pPr>
              <w:pStyle w:val="naisc"/>
              <w:spacing w:before="60" w:after="60"/>
              <w:jc w:val="both"/>
              <w:rPr>
                <w:bCs/>
              </w:rPr>
            </w:pPr>
          </w:p>
        </w:tc>
        <w:tc>
          <w:tcPr>
            <w:tcW w:w="3234" w:type="dxa"/>
            <w:gridSpan w:val="2"/>
            <w:tcBorders>
              <w:top w:val="single" w:sz="6" w:space="0" w:color="000000"/>
              <w:left w:val="single" w:sz="6" w:space="0" w:color="000000"/>
              <w:bottom w:val="single" w:sz="6" w:space="0" w:color="000000"/>
              <w:right w:val="single" w:sz="6" w:space="0" w:color="000000"/>
            </w:tcBorders>
          </w:tcPr>
          <w:p w14:paraId="71E8FCFB" w14:textId="7E4659B5" w:rsidR="0057514E" w:rsidRPr="006319D3" w:rsidRDefault="0057514E" w:rsidP="006319D3">
            <w:pPr>
              <w:pStyle w:val="naisc"/>
              <w:spacing w:before="60" w:after="60"/>
              <w:ind w:firstLine="5"/>
              <w:jc w:val="both"/>
              <w:rPr>
                <w:b/>
                <w:highlight w:val="yellow"/>
              </w:rPr>
            </w:pPr>
            <w:r w:rsidRPr="006319D3">
              <w:rPr>
                <w:b/>
              </w:rPr>
              <w:lastRenderedPageBreak/>
              <w:t>Ņemts vērā</w:t>
            </w:r>
          </w:p>
        </w:tc>
        <w:tc>
          <w:tcPr>
            <w:tcW w:w="2693" w:type="dxa"/>
            <w:gridSpan w:val="2"/>
            <w:tcBorders>
              <w:top w:val="single" w:sz="4" w:space="0" w:color="auto"/>
              <w:left w:val="single" w:sz="4" w:space="0" w:color="auto"/>
              <w:bottom w:val="single" w:sz="4" w:space="0" w:color="auto"/>
            </w:tcBorders>
          </w:tcPr>
          <w:p w14:paraId="17811781" w14:textId="77777777" w:rsidR="0057514E" w:rsidRPr="006319D3" w:rsidRDefault="00B415F6" w:rsidP="006319D3">
            <w:pPr>
              <w:spacing w:before="60" w:after="60"/>
              <w:ind w:firstLine="5"/>
              <w:jc w:val="both"/>
              <w:rPr>
                <w:iCs/>
              </w:rPr>
            </w:pPr>
            <w:r w:rsidRPr="006319D3">
              <w:rPr>
                <w:iCs/>
              </w:rPr>
              <w:t>Anotācija atbilstoši precizēta ņemot vērā Tieslietu ministrijas norādīto (I sadaļas 2.punkts 2.skaidrojums) un precizēts likumprojekts iekļaujot norādi uz tiesu, kā vienu no domstarpību risināšanas mehānismiem.</w:t>
            </w:r>
          </w:p>
          <w:p w14:paraId="22D84B8E" w14:textId="25F045A3" w:rsidR="00B415F6" w:rsidRPr="006319D3" w:rsidRDefault="00B415F6" w:rsidP="006319D3">
            <w:pPr>
              <w:spacing w:before="60" w:after="60"/>
              <w:ind w:firstLine="5"/>
              <w:jc w:val="both"/>
              <w:rPr>
                <w:iCs/>
              </w:rPr>
            </w:pPr>
          </w:p>
          <w:p w14:paraId="0DAC50A4" w14:textId="4D788CC7" w:rsidR="000201A4" w:rsidRPr="006319D3" w:rsidRDefault="000201A4" w:rsidP="006319D3">
            <w:pPr>
              <w:spacing w:before="60" w:after="60"/>
              <w:ind w:firstLine="5"/>
              <w:jc w:val="both"/>
              <w:rPr>
                <w:iCs/>
              </w:rPr>
            </w:pPr>
            <w:r w:rsidRPr="006319D3">
              <w:rPr>
                <w:iCs/>
              </w:rPr>
              <w:t xml:space="preserve">Likumprojekta teksts - </w:t>
            </w:r>
          </w:p>
          <w:p w14:paraId="77FAF0E3" w14:textId="77777777" w:rsidR="00B415F6" w:rsidRPr="006319D3" w:rsidRDefault="00B415F6" w:rsidP="006319D3">
            <w:pPr>
              <w:spacing w:before="60" w:after="60"/>
              <w:ind w:firstLine="5"/>
              <w:jc w:val="both"/>
              <w:rPr>
                <w:iCs/>
                <w:u w:val="single"/>
              </w:rPr>
            </w:pPr>
            <w:r w:rsidRPr="006319D3">
              <w:rPr>
                <w:iCs/>
                <w:u w:val="single"/>
              </w:rPr>
              <w:t>44.</w:t>
            </w:r>
            <w:r w:rsidRPr="006319D3">
              <w:rPr>
                <w:iCs/>
                <w:u w:val="single"/>
                <w:vertAlign w:val="superscript"/>
              </w:rPr>
              <w:t>1</w:t>
            </w:r>
            <w:r w:rsidRPr="006319D3">
              <w:rPr>
                <w:iCs/>
                <w:u w:val="single"/>
              </w:rPr>
              <w:t>pants</w:t>
            </w:r>
          </w:p>
          <w:p w14:paraId="70F82E72" w14:textId="77777777" w:rsidR="00B415F6" w:rsidRPr="006319D3" w:rsidRDefault="00B415F6" w:rsidP="006319D3">
            <w:pPr>
              <w:spacing w:before="60" w:after="60"/>
              <w:ind w:firstLine="5"/>
              <w:jc w:val="both"/>
              <w:rPr>
                <w:iCs/>
              </w:rPr>
            </w:pPr>
          </w:p>
          <w:p w14:paraId="7C1AC086" w14:textId="7906D7D6" w:rsidR="00B415F6" w:rsidRPr="006319D3" w:rsidRDefault="00B415F6" w:rsidP="006319D3">
            <w:pPr>
              <w:spacing w:before="60" w:after="60"/>
              <w:ind w:firstLine="5"/>
              <w:jc w:val="both"/>
              <w:rPr>
                <w:iCs/>
              </w:rPr>
            </w:pPr>
            <w:r w:rsidRPr="006319D3">
              <w:rPr>
                <w:iCs/>
                <w:u w:val="single"/>
              </w:rPr>
              <w:t>(2</w:t>
            </w:r>
            <w:r w:rsidRPr="006319D3">
              <w:rPr>
                <w:iCs/>
                <w:u w:val="single"/>
                <w:vertAlign w:val="superscript"/>
              </w:rPr>
              <w:t>1</w:t>
            </w:r>
            <w:r w:rsidRPr="006319D3">
              <w:rPr>
                <w:iCs/>
                <w:u w:val="single"/>
              </w:rPr>
              <w:t>)</w:t>
            </w:r>
            <w:r w:rsidRPr="006319D3">
              <w:rPr>
                <w:iCs/>
              </w:rPr>
              <w:t xml:space="preserve"> Ievērojot 110.panta pirmajā daļā noteikto pārvades sistēmas operatora pienākumu nodrošināt piekļuvi dabasgāzes pārvades sistēmai, gadījumā, ja šī piekļuve tiek atteikta sākumposma cauruļvada sistēmai, kas atrodas Latvijas teritorijā, pārrobežu domstarpību izšķiršanai, </w:t>
            </w:r>
            <w:r w:rsidRPr="006319D3">
              <w:rPr>
                <w:iCs/>
                <w:u w:val="single"/>
              </w:rPr>
              <w:t>tajā skaitā tiesā</w:t>
            </w:r>
            <w:r w:rsidRPr="006319D3">
              <w:rPr>
                <w:iCs/>
              </w:rPr>
              <w:t xml:space="preserve">, piemēro Latvijas </w:t>
            </w:r>
            <w:r w:rsidRPr="006319D3">
              <w:rPr>
                <w:iCs/>
              </w:rPr>
              <w:lastRenderedPageBreak/>
              <w:t>Republikas normatīvos aktus.</w:t>
            </w:r>
          </w:p>
          <w:p w14:paraId="123E0DE4" w14:textId="4E6F673C" w:rsidR="00B415F6" w:rsidRPr="006319D3" w:rsidRDefault="00B415F6" w:rsidP="006319D3">
            <w:pPr>
              <w:spacing w:before="60" w:after="60"/>
              <w:ind w:firstLine="5"/>
              <w:jc w:val="both"/>
              <w:rPr>
                <w:iCs/>
              </w:rPr>
            </w:pPr>
          </w:p>
        </w:tc>
      </w:tr>
      <w:tr w:rsidR="0057514E" w:rsidRPr="006319D3" w14:paraId="4BD36714" w14:textId="77777777" w:rsidTr="000E2D0A">
        <w:tc>
          <w:tcPr>
            <w:tcW w:w="675" w:type="dxa"/>
            <w:tcBorders>
              <w:top w:val="single" w:sz="6" w:space="0" w:color="000000"/>
              <w:left w:val="single" w:sz="6" w:space="0" w:color="000000"/>
              <w:bottom w:val="single" w:sz="6" w:space="0" w:color="000000"/>
              <w:right w:val="single" w:sz="6" w:space="0" w:color="000000"/>
            </w:tcBorders>
          </w:tcPr>
          <w:p w14:paraId="4AFF60FD" w14:textId="179BB300" w:rsidR="0057514E" w:rsidRPr="006319D3" w:rsidRDefault="00F95739" w:rsidP="006319D3">
            <w:pPr>
              <w:pStyle w:val="naisc"/>
              <w:spacing w:before="60" w:after="60"/>
              <w:jc w:val="both"/>
              <w:rPr>
                <w:highlight w:val="yellow"/>
              </w:rPr>
            </w:pPr>
            <w:r w:rsidRPr="006319D3">
              <w:lastRenderedPageBreak/>
              <w:t>20</w:t>
            </w:r>
            <w:r w:rsidR="000F4AA5" w:rsidRPr="006319D3">
              <w:t>.</w:t>
            </w:r>
          </w:p>
        </w:tc>
        <w:tc>
          <w:tcPr>
            <w:tcW w:w="3119" w:type="dxa"/>
            <w:gridSpan w:val="2"/>
            <w:tcBorders>
              <w:top w:val="single" w:sz="6" w:space="0" w:color="000000"/>
              <w:left w:val="single" w:sz="6" w:space="0" w:color="000000"/>
              <w:bottom w:val="single" w:sz="6" w:space="0" w:color="000000"/>
              <w:right w:val="single" w:sz="6" w:space="0" w:color="000000"/>
            </w:tcBorders>
          </w:tcPr>
          <w:p w14:paraId="4238A3AD" w14:textId="2DF34B55" w:rsidR="0057514E" w:rsidRPr="00A335AE" w:rsidRDefault="00A335AE" w:rsidP="00A335AE">
            <w:pPr>
              <w:pStyle w:val="naisc"/>
              <w:spacing w:before="60" w:after="60"/>
              <w:jc w:val="both"/>
            </w:pPr>
            <w:r w:rsidRPr="00A335AE">
              <w:t>Anotācija</w:t>
            </w:r>
          </w:p>
        </w:tc>
        <w:tc>
          <w:tcPr>
            <w:tcW w:w="4562" w:type="dxa"/>
            <w:tcBorders>
              <w:top w:val="single" w:sz="6" w:space="0" w:color="000000"/>
              <w:left w:val="single" w:sz="6" w:space="0" w:color="000000"/>
              <w:bottom w:val="single" w:sz="6" w:space="0" w:color="000000"/>
              <w:right w:val="single" w:sz="6" w:space="0" w:color="000000"/>
            </w:tcBorders>
          </w:tcPr>
          <w:p w14:paraId="3202BDA7" w14:textId="77777777" w:rsidR="0057514E" w:rsidRPr="006319D3" w:rsidRDefault="0057514E" w:rsidP="006319D3">
            <w:pPr>
              <w:pStyle w:val="naisc"/>
              <w:spacing w:before="60" w:after="60"/>
              <w:jc w:val="both"/>
              <w:rPr>
                <w:b/>
                <w:bCs/>
              </w:rPr>
            </w:pPr>
            <w:r w:rsidRPr="006319D3">
              <w:rPr>
                <w:b/>
                <w:bCs/>
              </w:rPr>
              <w:t>Sabiedrisko pakalpojumu regulēšanas komisija (06.03.2020. atzinums)</w:t>
            </w:r>
          </w:p>
          <w:p w14:paraId="5FEF7EA5" w14:textId="5D7054D9" w:rsidR="0057514E" w:rsidRPr="006319D3" w:rsidRDefault="0057514E" w:rsidP="006319D3">
            <w:pPr>
              <w:pStyle w:val="naisc"/>
              <w:spacing w:before="60" w:after="60"/>
              <w:jc w:val="both"/>
              <w:rPr>
                <w:highlight w:val="yellow"/>
              </w:rPr>
            </w:pPr>
          </w:p>
          <w:p w14:paraId="3973ECDD" w14:textId="07C3D1DC" w:rsidR="0057514E" w:rsidRPr="006319D3" w:rsidRDefault="0057514E" w:rsidP="006319D3">
            <w:pPr>
              <w:pStyle w:val="naisc"/>
              <w:spacing w:before="60" w:after="60"/>
              <w:jc w:val="both"/>
              <w:rPr>
                <w:highlight w:val="yellow"/>
              </w:rPr>
            </w:pPr>
            <w:r w:rsidRPr="006319D3">
              <w:t>Nepieciešams veikt šādus precizējumus Likumprojekta anotācijā:</w:t>
            </w:r>
          </w:p>
          <w:p w14:paraId="706CD8CB" w14:textId="77777777" w:rsidR="0057514E" w:rsidRPr="006319D3" w:rsidRDefault="0057514E" w:rsidP="006319D3">
            <w:pPr>
              <w:pStyle w:val="CommentText"/>
              <w:numPr>
                <w:ilvl w:val="0"/>
                <w:numId w:val="17"/>
              </w:numPr>
              <w:spacing w:before="60" w:after="60"/>
              <w:ind w:left="511"/>
              <w:jc w:val="both"/>
              <w:rPr>
                <w:sz w:val="24"/>
                <w:szCs w:val="24"/>
              </w:rPr>
            </w:pPr>
            <w:r w:rsidRPr="006319D3">
              <w:rPr>
                <w:sz w:val="24"/>
                <w:szCs w:val="24"/>
              </w:rPr>
              <w:t xml:space="preserve">Likumprojekta anotācijas sadaļā “Projekta izstrādē iesaistītās institūcijas </w:t>
            </w:r>
            <w:r w:rsidRPr="006319D3">
              <w:rPr>
                <w:sz w:val="24"/>
                <w:szCs w:val="24"/>
              </w:rPr>
              <w:lastRenderedPageBreak/>
              <w:t>un publiskas personas kapitālsabiedrības” jāsvītro vārdi “Sabiedrisko pakalpojumu regulēšanas komisija”, jo Regulators nav piedalījies Likumprojekta izstrādē;</w:t>
            </w:r>
          </w:p>
          <w:p w14:paraId="1AC5D81D" w14:textId="77777777" w:rsidR="0057514E" w:rsidRPr="006319D3" w:rsidRDefault="0057514E" w:rsidP="006319D3">
            <w:pPr>
              <w:pStyle w:val="CommentText"/>
              <w:numPr>
                <w:ilvl w:val="0"/>
                <w:numId w:val="17"/>
              </w:numPr>
              <w:spacing w:before="60" w:after="60"/>
              <w:ind w:left="511"/>
              <w:jc w:val="both"/>
              <w:rPr>
                <w:sz w:val="24"/>
                <w:szCs w:val="24"/>
              </w:rPr>
            </w:pPr>
            <w:r w:rsidRPr="006319D3">
              <w:rPr>
                <w:sz w:val="24"/>
                <w:szCs w:val="24"/>
              </w:rPr>
              <w:t xml:space="preserve">Likumprojekta anotācijā jāprecizē atsauces uz Enerģētikas likuma un </w:t>
            </w:r>
            <w:r w:rsidRPr="006319D3">
              <w:rPr>
                <w:sz w:val="24"/>
                <w:szCs w:val="24"/>
                <w:lang w:eastAsia="x-none"/>
              </w:rPr>
              <w:t>Direktīvas Nr.2009/73 normām;</w:t>
            </w:r>
          </w:p>
          <w:p w14:paraId="0180B6CC" w14:textId="3F3696E9" w:rsidR="0057514E" w:rsidRPr="006319D3" w:rsidRDefault="0057514E" w:rsidP="006319D3">
            <w:pPr>
              <w:pStyle w:val="CommentText"/>
              <w:numPr>
                <w:ilvl w:val="0"/>
                <w:numId w:val="17"/>
              </w:numPr>
              <w:spacing w:before="60" w:after="60"/>
              <w:ind w:left="511"/>
              <w:jc w:val="both"/>
              <w:rPr>
                <w:sz w:val="24"/>
                <w:szCs w:val="24"/>
              </w:rPr>
            </w:pPr>
            <w:r w:rsidRPr="006319D3">
              <w:rPr>
                <w:sz w:val="24"/>
                <w:szCs w:val="24"/>
              </w:rPr>
              <w:t>Likumprojekta anotācijas sadaļas “V. Tiesību akta projekta atbilstība Latvijas Republikas starptautiskajām saistībām” 1.tabulā nav norādīti kolonu nosaukumi, padarot tabulu grūti uztveram</w:t>
            </w:r>
            <w:r w:rsidR="00491FEC" w:rsidRPr="006319D3">
              <w:rPr>
                <w:sz w:val="24"/>
                <w:szCs w:val="24"/>
              </w:rPr>
              <w:t>u</w:t>
            </w:r>
            <w:r w:rsidRPr="006319D3">
              <w:rPr>
                <w:sz w:val="24"/>
                <w:szCs w:val="24"/>
              </w:rPr>
              <w:t>. 1.tabulas B ailē norādītās Likumprojekta vienības neatbilst Likumprojekta vienībām. Piemēram, ar Likumprojektu Enerģētikas likuma 82.pants netiek papildināts ar ceturto daļu;</w:t>
            </w:r>
          </w:p>
          <w:p w14:paraId="11EBEE8E" w14:textId="43DC0075" w:rsidR="0057514E" w:rsidRPr="006319D3" w:rsidRDefault="0057514E" w:rsidP="006319D3">
            <w:pPr>
              <w:pStyle w:val="naisc"/>
              <w:spacing w:before="60" w:after="60"/>
              <w:jc w:val="both"/>
              <w:rPr>
                <w:highlight w:val="yellow"/>
              </w:rPr>
            </w:pPr>
          </w:p>
        </w:tc>
        <w:tc>
          <w:tcPr>
            <w:tcW w:w="3234" w:type="dxa"/>
            <w:gridSpan w:val="2"/>
            <w:tcBorders>
              <w:top w:val="single" w:sz="6" w:space="0" w:color="000000"/>
              <w:left w:val="single" w:sz="6" w:space="0" w:color="000000"/>
              <w:bottom w:val="single" w:sz="6" w:space="0" w:color="000000"/>
              <w:right w:val="single" w:sz="6" w:space="0" w:color="000000"/>
            </w:tcBorders>
          </w:tcPr>
          <w:p w14:paraId="676059C5" w14:textId="77777777" w:rsidR="0057514E" w:rsidRPr="006319D3" w:rsidRDefault="0057514E" w:rsidP="006319D3">
            <w:pPr>
              <w:pStyle w:val="naisc"/>
              <w:spacing w:before="60" w:after="60"/>
              <w:ind w:firstLine="5"/>
              <w:jc w:val="both"/>
              <w:rPr>
                <w:b/>
              </w:rPr>
            </w:pPr>
            <w:r w:rsidRPr="006319D3">
              <w:rPr>
                <w:b/>
              </w:rPr>
              <w:lastRenderedPageBreak/>
              <w:t>Ņemts vērā</w:t>
            </w:r>
          </w:p>
          <w:p w14:paraId="7BA95445" w14:textId="77777777" w:rsidR="00216BD5" w:rsidRPr="006319D3" w:rsidRDefault="00216BD5" w:rsidP="006319D3">
            <w:pPr>
              <w:pStyle w:val="naisc"/>
              <w:numPr>
                <w:ilvl w:val="0"/>
                <w:numId w:val="20"/>
              </w:numPr>
              <w:spacing w:before="60" w:after="60"/>
              <w:jc w:val="both"/>
            </w:pPr>
            <w:r w:rsidRPr="006319D3">
              <w:t>Anotācija atbilstoši precizēta, svītrojot Regulatoru no projekta izstrādē iesaistīto institūciju saraksta;</w:t>
            </w:r>
          </w:p>
          <w:p w14:paraId="6FE16398" w14:textId="77777777" w:rsidR="00216BD5" w:rsidRPr="006319D3" w:rsidRDefault="00216BD5" w:rsidP="006319D3">
            <w:pPr>
              <w:pStyle w:val="naisc"/>
              <w:numPr>
                <w:ilvl w:val="0"/>
                <w:numId w:val="20"/>
              </w:numPr>
              <w:spacing w:before="60" w:after="60"/>
              <w:jc w:val="both"/>
            </w:pPr>
            <w:r w:rsidRPr="006319D3">
              <w:t>Iespēju robežās precizēts;</w:t>
            </w:r>
          </w:p>
          <w:p w14:paraId="232B74BC" w14:textId="273A55FB" w:rsidR="00216BD5" w:rsidRPr="006319D3" w:rsidRDefault="00491FEC" w:rsidP="006319D3">
            <w:pPr>
              <w:pStyle w:val="naisc"/>
              <w:numPr>
                <w:ilvl w:val="0"/>
                <w:numId w:val="20"/>
              </w:numPr>
              <w:spacing w:before="60" w:after="60"/>
              <w:jc w:val="both"/>
            </w:pPr>
            <w:r w:rsidRPr="006319D3">
              <w:lastRenderedPageBreak/>
              <w:t xml:space="preserve">Precizēts atbilstoši norādēm. </w:t>
            </w:r>
          </w:p>
        </w:tc>
        <w:tc>
          <w:tcPr>
            <w:tcW w:w="2693" w:type="dxa"/>
            <w:gridSpan w:val="2"/>
            <w:tcBorders>
              <w:top w:val="single" w:sz="4" w:space="0" w:color="auto"/>
              <w:left w:val="single" w:sz="4" w:space="0" w:color="auto"/>
              <w:bottom w:val="single" w:sz="4" w:space="0" w:color="auto"/>
            </w:tcBorders>
          </w:tcPr>
          <w:p w14:paraId="552A1E25" w14:textId="43C5ED6E" w:rsidR="0057514E" w:rsidRPr="006319D3" w:rsidRDefault="0057514E" w:rsidP="006319D3">
            <w:pPr>
              <w:spacing w:before="60" w:after="60"/>
              <w:ind w:firstLine="5"/>
              <w:jc w:val="both"/>
              <w:rPr>
                <w:highlight w:val="yellow"/>
              </w:rPr>
            </w:pPr>
            <w:r w:rsidRPr="006319D3">
              <w:lastRenderedPageBreak/>
              <w:t>Anotācija atbilstoši precizēta, ievērojot Regulatora atzinumā sniegtos norādījumus par nepieciešamajiem precizējumiem.</w:t>
            </w:r>
            <w:r w:rsidRPr="006319D3">
              <w:rPr>
                <w:i/>
              </w:rPr>
              <w:t xml:space="preserve"> </w:t>
            </w:r>
          </w:p>
        </w:tc>
      </w:tr>
      <w:tr w:rsidR="006319D3" w:rsidRPr="006319D3" w14:paraId="02249369" w14:textId="77777777" w:rsidTr="000E2D0A">
        <w:tc>
          <w:tcPr>
            <w:tcW w:w="675" w:type="dxa"/>
            <w:tcBorders>
              <w:top w:val="single" w:sz="6" w:space="0" w:color="000000"/>
              <w:left w:val="single" w:sz="6" w:space="0" w:color="000000"/>
              <w:bottom w:val="single" w:sz="6" w:space="0" w:color="000000"/>
              <w:right w:val="single" w:sz="6" w:space="0" w:color="000000"/>
            </w:tcBorders>
          </w:tcPr>
          <w:p w14:paraId="1A5C71DE" w14:textId="32A39B1E" w:rsidR="006319D3" w:rsidRPr="006319D3" w:rsidRDefault="006319D3" w:rsidP="006319D3">
            <w:pPr>
              <w:pStyle w:val="naisc"/>
              <w:spacing w:before="60" w:after="60"/>
              <w:jc w:val="both"/>
            </w:pPr>
            <w:r>
              <w:lastRenderedPageBreak/>
              <w:t>21.</w:t>
            </w:r>
          </w:p>
        </w:tc>
        <w:tc>
          <w:tcPr>
            <w:tcW w:w="3119" w:type="dxa"/>
            <w:gridSpan w:val="2"/>
            <w:tcBorders>
              <w:top w:val="single" w:sz="6" w:space="0" w:color="000000"/>
              <w:left w:val="single" w:sz="6" w:space="0" w:color="000000"/>
              <w:bottom w:val="single" w:sz="6" w:space="0" w:color="000000"/>
              <w:right w:val="single" w:sz="6" w:space="0" w:color="000000"/>
            </w:tcBorders>
          </w:tcPr>
          <w:p w14:paraId="678913A8" w14:textId="44B85FF5" w:rsidR="006319D3" w:rsidRPr="00A335AE" w:rsidRDefault="00A335AE" w:rsidP="006319D3">
            <w:pPr>
              <w:pStyle w:val="naisc"/>
              <w:spacing w:before="60" w:after="60"/>
              <w:ind w:firstLine="33"/>
              <w:jc w:val="both"/>
            </w:pPr>
            <w:r w:rsidRPr="00A335AE">
              <w:t>Anotācija</w:t>
            </w:r>
            <w:bookmarkStart w:id="8" w:name="_GoBack"/>
            <w:bookmarkEnd w:id="8"/>
          </w:p>
        </w:tc>
        <w:tc>
          <w:tcPr>
            <w:tcW w:w="4562" w:type="dxa"/>
            <w:tcBorders>
              <w:top w:val="single" w:sz="6" w:space="0" w:color="000000"/>
              <w:left w:val="single" w:sz="6" w:space="0" w:color="000000"/>
              <w:bottom w:val="single" w:sz="6" w:space="0" w:color="000000"/>
              <w:right w:val="single" w:sz="6" w:space="0" w:color="000000"/>
            </w:tcBorders>
          </w:tcPr>
          <w:p w14:paraId="3272C5F7" w14:textId="0386EFAD" w:rsidR="006319D3" w:rsidRPr="006319D3" w:rsidRDefault="006319D3" w:rsidP="006319D3">
            <w:pPr>
              <w:pStyle w:val="naisc"/>
              <w:spacing w:before="60" w:after="60"/>
              <w:jc w:val="both"/>
              <w:rPr>
                <w:b/>
                <w:bCs/>
              </w:rPr>
            </w:pPr>
            <w:r w:rsidRPr="006319D3">
              <w:rPr>
                <w:b/>
                <w:bCs/>
              </w:rPr>
              <w:t>Sabiedrisko pakalpojumu regulēšanas komisija (</w:t>
            </w:r>
            <w:r>
              <w:rPr>
                <w:b/>
                <w:bCs/>
              </w:rPr>
              <w:t>29.04</w:t>
            </w:r>
            <w:r w:rsidRPr="006319D3">
              <w:rPr>
                <w:b/>
                <w:bCs/>
              </w:rPr>
              <w:t>.2020. atzinums)</w:t>
            </w:r>
          </w:p>
          <w:p w14:paraId="10C41536" w14:textId="4FD7BC0F" w:rsidR="006319D3" w:rsidRPr="006319D3" w:rsidRDefault="006319D3" w:rsidP="006319D3">
            <w:pPr>
              <w:pStyle w:val="naisc"/>
              <w:spacing w:before="60" w:after="60"/>
              <w:jc w:val="both"/>
            </w:pPr>
            <w:r w:rsidRPr="006319D3">
              <w:t xml:space="preserve">Regulatora ieskatā, vairākas Anotācijas sadaļas nepieciešams precizēt. Ievērojot to, ka nepieciešamos precizējumus pārskatāmāk iespējams norādīt Anotācijas tekstā, komentārus par Anotācijas tekstu Regulators </w:t>
            </w:r>
            <w:proofErr w:type="spellStart"/>
            <w:r w:rsidRPr="006319D3">
              <w:t>nosūta</w:t>
            </w:r>
            <w:proofErr w:type="spellEnd"/>
            <w:r w:rsidRPr="006319D3">
              <w:t xml:space="preserve"> atsevišķi.</w:t>
            </w:r>
          </w:p>
        </w:tc>
        <w:tc>
          <w:tcPr>
            <w:tcW w:w="3234" w:type="dxa"/>
            <w:gridSpan w:val="2"/>
            <w:tcBorders>
              <w:top w:val="single" w:sz="6" w:space="0" w:color="000000"/>
              <w:left w:val="single" w:sz="6" w:space="0" w:color="000000"/>
              <w:bottom w:val="single" w:sz="6" w:space="0" w:color="000000"/>
              <w:right w:val="single" w:sz="6" w:space="0" w:color="000000"/>
            </w:tcBorders>
          </w:tcPr>
          <w:p w14:paraId="4D6E71C9" w14:textId="20D1A041" w:rsidR="006319D3" w:rsidRPr="006319D3" w:rsidRDefault="006319D3" w:rsidP="006319D3">
            <w:pPr>
              <w:pStyle w:val="naisc"/>
              <w:spacing w:before="60" w:after="60"/>
              <w:ind w:firstLine="5"/>
              <w:jc w:val="both"/>
              <w:rPr>
                <w:b/>
              </w:rPr>
            </w:pPr>
            <w:r>
              <w:rPr>
                <w:b/>
              </w:rPr>
              <w:t>Ņemts vērā</w:t>
            </w:r>
          </w:p>
        </w:tc>
        <w:tc>
          <w:tcPr>
            <w:tcW w:w="2693" w:type="dxa"/>
            <w:gridSpan w:val="2"/>
            <w:tcBorders>
              <w:top w:val="single" w:sz="4" w:space="0" w:color="auto"/>
              <w:left w:val="single" w:sz="4" w:space="0" w:color="auto"/>
              <w:bottom w:val="single" w:sz="4" w:space="0" w:color="auto"/>
            </w:tcBorders>
          </w:tcPr>
          <w:p w14:paraId="21101C90" w14:textId="1D9B9F59" w:rsidR="006319D3" w:rsidRPr="006319D3" w:rsidRDefault="006319D3" w:rsidP="006319D3">
            <w:pPr>
              <w:spacing w:before="60" w:after="60"/>
              <w:ind w:firstLine="5"/>
              <w:jc w:val="both"/>
            </w:pPr>
            <w:r w:rsidRPr="006319D3">
              <w:t xml:space="preserve">Anotācija </w:t>
            </w:r>
            <w:r>
              <w:t xml:space="preserve">iespēju robežās </w:t>
            </w:r>
            <w:r w:rsidRPr="006319D3">
              <w:t>atbilstoši precizēta</w:t>
            </w:r>
            <w:r>
              <w:t>.</w:t>
            </w:r>
          </w:p>
        </w:tc>
      </w:tr>
      <w:tr w:rsidR="0057514E" w:rsidRPr="006319D3" w14:paraId="4BF00D9B" w14:textId="77777777" w:rsidTr="000E2D0A">
        <w:tblPrEx>
          <w:tblBorders>
            <w:top w:val="none" w:sz="0" w:space="0" w:color="auto"/>
            <w:left w:val="none" w:sz="0" w:space="0" w:color="auto"/>
            <w:bottom w:val="none" w:sz="0" w:space="0" w:color="auto"/>
            <w:right w:val="none" w:sz="0" w:space="0" w:color="auto"/>
          </w:tblBorders>
        </w:tblPrEx>
        <w:trPr>
          <w:gridAfter w:val="3"/>
          <w:wAfter w:w="4996" w:type="dxa"/>
        </w:trPr>
        <w:tc>
          <w:tcPr>
            <w:tcW w:w="3108" w:type="dxa"/>
            <w:gridSpan w:val="2"/>
          </w:tcPr>
          <w:p w14:paraId="43CECD56" w14:textId="6864228B" w:rsidR="0057514E" w:rsidRPr="006319D3" w:rsidRDefault="0057514E" w:rsidP="006319D3">
            <w:pPr>
              <w:pStyle w:val="naiskr"/>
              <w:spacing w:before="60" w:after="60"/>
              <w:jc w:val="both"/>
            </w:pPr>
          </w:p>
          <w:p w14:paraId="0409AEBB" w14:textId="77777777" w:rsidR="0057514E" w:rsidRPr="006319D3" w:rsidRDefault="0057514E" w:rsidP="006319D3">
            <w:pPr>
              <w:pStyle w:val="naiskr"/>
              <w:spacing w:before="60" w:after="60"/>
              <w:jc w:val="both"/>
            </w:pPr>
          </w:p>
          <w:p w14:paraId="12043812" w14:textId="77777777" w:rsidR="0057514E" w:rsidRPr="006319D3" w:rsidRDefault="0057514E" w:rsidP="006319D3">
            <w:pPr>
              <w:pStyle w:val="naiskr"/>
              <w:spacing w:before="60" w:after="60"/>
              <w:jc w:val="both"/>
            </w:pPr>
            <w:r w:rsidRPr="006319D3">
              <w:t>Atbildīgā amatpersona</w:t>
            </w:r>
          </w:p>
        </w:tc>
        <w:tc>
          <w:tcPr>
            <w:tcW w:w="6179" w:type="dxa"/>
            <w:gridSpan w:val="3"/>
          </w:tcPr>
          <w:p w14:paraId="6FA83C99" w14:textId="2C66C404" w:rsidR="0057514E" w:rsidRPr="006319D3" w:rsidRDefault="0057514E" w:rsidP="006319D3">
            <w:pPr>
              <w:pStyle w:val="naiskr"/>
              <w:spacing w:before="60" w:after="60"/>
              <w:jc w:val="both"/>
            </w:pPr>
          </w:p>
          <w:p w14:paraId="247F2293" w14:textId="77777777" w:rsidR="0057514E" w:rsidRPr="006319D3" w:rsidRDefault="0057514E" w:rsidP="006319D3">
            <w:pPr>
              <w:pStyle w:val="naiskr"/>
              <w:spacing w:before="60" w:after="60"/>
              <w:jc w:val="both"/>
            </w:pPr>
          </w:p>
          <w:p w14:paraId="2429AA0D" w14:textId="3C5E15DB" w:rsidR="0057514E" w:rsidRPr="006319D3" w:rsidRDefault="0057514E" w:rsidP="006319D3">
            <w:pPr>
              <w:pStyle w:val="naiskr"/>
              <w:spacing w:before="60" w:after="60"/>
              <w:jc w:val="both"/>
            </w:pPr>
            <w:r w:rsidRPr="006319D3">
              <w:t>Ance Ansone</w:t>
            </w:r>
          </w:p>
          <w:p w14:paraId="68DCC1DB" w14:textId="77777777" w:rsidR="009E29C3" w:rsidRPr="006319D3" w:rsidRDefault="0057514E" w:rsidP="006319D3">
            <w:pPr>
              <w:pStyle w:val="naiskr"/>
              <w:spacing w:before="60" w:after="60"/>
              <w:jc w:val="both"/>
            </w:pPr>
            <w:r w:rsidRPr="006319D3">
              <w:t xml:space="preserve">Enerģijas tirgus un infrastruktūras departamenta </w:t>
            </w:r>
          </w:p>
          <w:p w14:paraId="4CD2BED7" w14:textId="4AC7AA4A" w:rsidR="0057514E" w:rsidRPr="006319D3" w:rsidRDefault="0057514E" w:rsidP="006319D3">
            <w:pPr>
              <w:pStyle w:val="naiskr"/>
              <w:spacing w:before="60" w:after="60"/>
              <w:jc w:val="both"/>
            </w:pPr>
            <w:r w:rsidRPr="006319D3">
              <w:lastRenderedPageBreak/>
              <w:t>vecākā eksperte</w:t>
            </w:r>
          </w:p>
        </w:tc>
      </w:tr>
      <w:tr w:rsidR="0057514E" w:rsidRPr="006319D3" w14:paraId="31E58759" w14:textId="77777777" w:rsidTr="000E2D0A">
        <w:tblPrEx>
          <w:tblBorders>
            <w:top w:val="none" w:sz="0" w:space="0" w:color="auto"/>
            <w:left w:val="none" w:sz="0" w:space="0" w:color="auto"/>
            <w:bottom w:val="none" w:sz="0" w:space="0" w:color="auto"/>
            <w:right w:val="none" w:sz="0" w:space="0" w:color="auto"/>
          </w:tblBorders>
        </w:tblPrEx>
        <w:trPr>
          <w:gridAfter w:val="3"/>
          <w:wAfter w:w="4996" w:type="dxa"/>
        </w:trPr>
        <w:tc>
          <w:tcPr>
            <w:tcW w:w="3108" w:type="dxa"/>
            <w:gridSpan w:val="2"/>
          </w:tcPr>
          <w:p w14:paraId="5346C26F" w14:textId="77777777" w:rsidR="0057514E" w:rsidRPr="006319D3" w:rsidRDefault="0057514E" w:rsidP="006319D3">
            <w:pPr>
              <w:pStyle w:val="naiskr"/>
              <w:spacing w:before="60" w:after="60"/>
              <w:jc w:val="both"/>
            </w:pPr>
          </w:p>
        </w:tc>
        <w:tc>
          <w:tcPr>
            <w:tcW w:w="6179" w:type="dxa"/>
            <w:gridSpan w:val="3"/>
            <w:tcBorders>
              <w:top w:val="single" w:sz="6" w:space="0" w:color="000000"/>
            </w:tcBorders>
          </w:tcPr>
          <w:p w14:paraId="5C9DEEF8" w14:textId="77777777" w:rsidR="0057514E" w:rsidRPr="006319D3" w:rsidRDefault="0057514E" w:rsidP="006319D3">
            <w:pPr>
              <w:pStyle w:val="naisc"/>
              <w:spacing w:before="60" w:after="60"/>
              <w:ind w:firstLine="436"/>
              <w:jc w:val="both"/>
            </w:pPr>
          </w:p>
        </w:tc>
      </w:tr>
    </w:tbl>
    <w:p w14:paraId="2D93C6F5" w14:textId="77AE3450" w:rsidR="00317DC7" w:rsidRPr="00C85A50" w:rsidRDefault="00184479" w:rsidP="008D431A">
      <w:pPr>
        <w:pStyle w:val="naisf"/>
        <w:spacing w:before="0" w:after="0"/>
        <w:ind w:firstLine="720"/>
        <w:contextualSpacing/>
      </w:pPr>
      <w:r w:rsidRPr="00C85A50">
        <w:t>Piezīme.</w:t>
      </w:r>
      <w:r w:rsidR="00767BF3" w:rsidRPr="00C85A50">
        <w:t> </w:t>
      </w:r>
      <w:r w:rsidR="00FB6C91" w:rsidRPr="00C85A50">
        <w:t>*</w:t>
      </w:r>
      <w:r w:rsidR="00767BF3" w:rsidRPr="00C85A50">
        <w:t> </w:t>
      </w:r>
      <w:r w:rsidR="00317DC7" w:rsidRPr="00C85A50">
        <w:t xml:space="preserve">Dokumenta rekvizītu </w:t>
      </w:r>
      <w:r w:rsidR="00627EE7" w:rsidRPr="00C85A50">
        <w:t>“</w:t>
      </w:r>
      <w:r w:rsidR="0018210A" w:rsidRPr="00C85A50">
        <w:t>p</w:t>
      </w:r>
      <w:r w:rsidR="00317DC7" w:rsidRPr="00C85A50">
        <w:t>araksts</w:t>
      </w:r>
      <w:r w:rsidR="00627EE7" w:rsidRPr="00C85A50">
        <w:t>”</w:t>
      </w:r>
      <w:r w:rsidR="00317DC7" w:rsidRPr="00C85A50">
        <w:t xml:space="preserve"> neaizpilda, ja elektroniskais dokuments ir </w:t>
      </w:r>
      <w:r w:rsidRPr="00C85A50">
        <w:t>sagatavots</w:t>
      </w:r>
      <w:r w:rsidR="00317DC7" w:rsidRPr="00C85A50">
        <w:t xml:space="preserve"> atbilstoši </w:t>
      </w:r>
      <w:r w:rsidRPr="00C85A50">
        <w:t xml:space="preserve">normatīvajiem aktiem par </w:t>
      </w:r>
      <w:r w:rsidR="00317DC7" w:rsidRPr="00C85A50">
        <w:t>elektronisko dokumentu noformēšan</w:t>
      </w:r>
      <w:r w:rsidRPr="00C85A50">
        <w:t>u.</w:t>
      </w:r>
    </w:p>
    <w:p w14:paraId="5E1E33CE" w14:textId="47B65E18" w:rsidR="00665DF5" w:rsidRPr="00C85A50" w:rsidRDefault="00665DF5" w:rsidP="008D431A">
      <w:pPr>
        <w:pStyle w:val="naisf"/>
        <w:spacing w:before="0" w:after="0"/>
        <w:ind w:firstLine="720"/>
        <w:contextualSpacing/>
      </w:pPr>
    </w:p>
    <w:p w14:paraId="3A44AD04" w14:textId="77777777" w:rsidR="00665DF5" w:rsidRPr="00C85A50" w:rsidRDefault="00665DF5" w:rsidP="008D431A">
      <w:pPr>
        <w:pStyle w:val="naisf"/>
        <w:spacing w:before="0" w:after="0"/>
        <w:ind w:firstLine="720"/>
        <w:contextualSpacing/>
      </w:pPr>
    </w:p>
    <w:tbl>
      <w:tblPr>
        <w:tblW w:w="0" w:type="auto"/>
        <w:tblLook w:val="00A0" w:firstRow="1" w:lastRow="0" w:firstColumn="1" w:lastColumn="0" w:noHBand="0" w:noVBand="0"/>
      </w:tblPr>
      <w:tblGrid>
        <w:gridCol w:w="8268"/>
      </w:tblGrid>
      <w:tr w:rsidR="001D7AE5" w:rsidRPr="00C85A50" w14:paraId="5AFB7C4F" w14:textId="77777777">
        <w:tc>
          <w:tcPr>
            <w:tcW w:w="8268" w:type="dxa"/>
            <w:tcBorders>
              <w:bottom w:val="single" w:sz="4" w:space="0" w:color="000000"/>
            </w:tcBorders>
          </w:tcPr>
          <w:p w14:paraId="434C2385" w14:textId="59C56320" w:rsidR="008655A2" w:rsidRPr="00C85A50" w:rsidRDefault="00C54981" w:rsidP="006A5633">
            <w:pPr>
              <w:contextualSpacing/>
              <w:jc w:val="both"/>
            </w:pPr>
            <w:r w:rsidRPr="00C85A50">
              <w:t>Ance Ansone</w:t>
            </w:r>
            <w:r w:rsidR="00D720AF" w:rsidRPr="00C85A50">
              <w:t>, vecākā eksperte</w:t>
            </w:r>
          </w:p>
        </w:tc>
      </w:tr>
      <w:tr w:rsidR="001D7AE5" w:rsidRPr="00C85A50" w14:paraId="3A90336F" w14:textId="77777777">
        <w:tc>
          <w:tcPr>
            <w:tcW w:w="8268" w:type="dxa"/>
            <w:tcBorders>
              <w:top w:val="single" w:sz="4" w:space="0" w:color="000000"/>
            </w:tcBorders>
          </w:tcPr>
          <w:p w14:paraId="7CDCB81D" w14:textId="77777777" w:rsidR="008655A2" w:rsidRPr="00C85A50" w:rsidRDefault="00184479" w:rsidP="006A5633">
            <w:pPr>
              <w:contextualSpacing/>
              <w:jc w:val="both"/>
            </w:pPr>
            <w:r w:rsidRPr="00C85A50">
              <w:t>(</w:t>
            </w:r>
            <w:r w:rsidR="008655A2" w:rsidRPr="00C85A50">
              <w:t>amats</w:t>
            </w:r>
            <w:r w:rsidRPr="00C85A50">
              <w:t>)</w:t>
            </w:r>
          </w:p>
        </w:tc>
      </w:tr>
      <w:tr w:rsidR="001D7AE5" w:rsidRPr="00C85A50" w14:paraId="54F31E34" w14:textId="77777777">
        <w:tc>
          <w:tcPr>
            <w:tcW w:w="8268" w:type="dxa"/>
            <w:tcBorders>
              <w:bottom w:val="single" w:sz="4" w:space="0" w:color="000000"/>
            </w:tcBorders>
          </w:tcPr>
          <w:p w14:paraId="49120FC0" w14:textId="3ABF3289" w:rsidR="008655A2" w:rsidRPr="00C85A50" w:rsidRDefault="00D720AF" w:rsidP="006A5633">
            <w:pPr>
              <w:contextualSpacing/>
              <w:jc w:val="both"/>
            </w:pPr>
            <w:r w:rsidRPr="00C85A50">
              <w:t>67013</w:t>
            </w:r>
            <w:r w:rsidR="00C54981" w:rsidRPr="00C85A50">
              <w:t>00</w:t>
            </w:r>
            <w:r w:rsidRPr="00C85A50">
              <w:t>1</w:t>
            </w:r>
          </w:p>
        </w:tc>
      </w:tr>
      <w:tr w:rsidR="001D7AE5" w:rsidRPr="00C85A50" w14:paraId="13B2BD7D" w14:textId="77777777">
        <w:tc>
          <w:tcPr>
            <w:tcW w:w="8268" w:type="dxa"/>
            <w:tcBorders>
              <w:top w:val="single" w:sz="4" w:space="0" w:color="000000"/>
            </w:tcBorders>
          </w:tcPr>
          <w:p w14:paraId="0DDA887C" w14:textId="77777777" w:rsidR="008655A2" w:rsidRPr="00C85A50" w:rsidRDefault="00184479" w:rsidP="006A5633">
            <w:pPr>
              <w:contextualSpacing/>
              <w:jc w:val="both"/>
            </w:pPr>
            <w:r w:rsidRPr="00C85A50">
              <w:t>(</w:t>
            </w:r>
            <w:r w:rsidR="008655A2" w:rsidRPr="00C85A50">
              <w:t>tālruņa un faksa numurs</w:t>
            </w:r>
            <w:r w:rsidRPr="00C85A50">
              <w:t>)</w:t>
            </w:r>
          </w:p>
        </w:tc>
      </w:tr>
      <w:tr w:rsidR="001D7AE5" w:rsidRPr="00C85A50" w14:paraId="1103A32C" w14:textId="77777777">
        <w:tc>
          <w:tcPr>
            <w:tcW w:w="8268" w:type="dxa"/>
            <w:tcBorders>
              <w:bottom w:val="single" w:sz="4" w:space="0" w:color="000000"/>
            </w:tcBorders>
          </w:tcPr>
          <w:p w14:paraId="4B1C1FFA" w14:textId="0D341385" w:rsidR="008655A2" w:rsidRPr="00C85A50" w:rsidRDefault="00C54981" w:rsidP="006A5633">
            <w:pPr>
              <w:contextualSpacing/>
              <w:jc w:val="both"/>
            </w:pPr>
            <w:r w:rsidRPr="00C85A50">
              <w:t>Ance.Ansone</w:t>
            </w:r>
            <w:r w:rsidR="00D720AF" w:rsidRPr="00C85A50">
              <w:t>@em.gov.lv</w:t>
            </w:r>
          </w:p>
        </w:tc>
      </w:tr>
      <w:tr w:rsidR="008655A2" w:rsidRPr="00C85A50" w14:paraId="78ADE0EE" w14:textId="77777777">
        <w:tc>
          <w:tcPr>
            <w:tcW w:w="8268" w:type="dxa"/>
            <w:tcBorders>
              <w:top w:val="single" w:sz="4" w:space="0" w:color="000000"/>
            </w:tcBorders>
          </w:tcPr>
          <w:p w14:paraId="5397914C" w14:textId="77777777" w:rsidR="008655A2" w:rsidRPr="00C85A50" w:rsidRDefault="00184479" w:rsidP="006A5633">
            <w:pPr>
              <w:contextualSpacing/>
              <w:jc w:val="both"/>
            </w:pPr>
            <w:r w:rsidRPr="00C85A50">
              <w:t>(</w:t>
            </w:r>
            <w:r w:rsidR="008655A2" w:rsidRPr="00C85A50">
              <w:t>e-pasta adrese</w:t>
            </w:r>
            <w:r w:rsidRPr="00C85A50">
              <w:t>)</w:t>
            </w:r>
          </w:p>
        </w:tc>
      </w:tr>
    </w:tbl>
    <w:p w14:paraId="419AFFE0" w14:textId="77777777" w:rsidR="007116C7" w:rsidRPr="00C85A50" w:rsidRDefault="007116C7" w:rsidP="00627E0D">
      <w:pPr>
        <w:pStyle w:val="naisf"/>
        <w:spacing w:before="0" w:after="0"/>
        <w:ind w:firstLine="0"/>
        <w:contextualSpacing/>
      </w:pPr>
    </w:p>
    <w:sectPr w:rsidR="007116C7" w:rsidRPr="00C85A50"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222E7" w14:textId="77777777" w:rsidR="00055841" w:rsidRDefault="00055841">
      <w:r>
        <w:separator/>
      </w:r>
    </w:p>
  </w:endnote>
  <w:endnote w:type="continuationSeparator" w:id="0">
    <w:p w14:paraId="7DA9687B" w14:textId="77777777" w:rsidR="00055841" w:rsidRDefault="0005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54C9" w14:textId="7050C897" w:rsidR="00B83B9D" w:rsidRPr="008A580E" w:rsidRDefault="00B83B9D" w:rsidP="008A580E">
    <w:pPr>
      <w:pStyle w:val="Footer"/>
      <w:jc w:val="both"/>
      <w:rPr>
        <w:sz w:val="20"/>
        <w:szCs w:val="20"/>
      </w:rPr>
    </w:pPr>
    <w:r>
      <w:rPr>
        <w:sz w:val="20"/>
        <w:szCs w:val="20"/>
      </w:rPr>
      <w:t>E</w:t>
    </w:r>
    <w:r w:rsidRPr="00015C84">
      <w:rPr>
        <w:sz w:val="20"/>
        <w:szCs w:val="20"/>
      </w:rPr>
      <w:t>M</w:t>
    </w:r>
    <w:r>
      <w:rPr>
        <w:sz w:val="20"/>
        <w:szCs w:val="20"/>
      </w:rPr>
      <w:t>I</w:t>
    </w:r>
    <w:r w:rsidRPr="00015C84">
      <w:rPr>
        <w:sz w:val="20"/>
        <w:szCs w:val="20"/>
      </w:rPr>
      <w:t>zz_</w:t>
    </w:r>
    <w:r w:rsidR="0091727C">
      <w:rPr>
        <w:sz w:val="20"/>
        <w:szCs w:val="20"/>
      </w:rPr>
      <w:t>1105</w:t>
    </w:r>
    <w:r>
      <w:rPr>
        <w:sz w:val="20"/>
        <w:szCs w:val="20"/>
      </w:rPr>
      <w:t>2020</w:t>
    </w:r>
    <w:r w:rsidRPr="00015C84">
      <w:rPr>
        <w:sz w:val="20"/>
        <w:szCs w:val="20"/>
      </w:rPr>
      <w:t>_</w:t>
    </w:r>
    <w:r>
      <w:rPr>
        <w:sz w:val="20"/>
        <w:szCs w:val="20"/>
      </w:rPr>
      <w:t>VSS154.docx; Izziņa par atzinumos sniegtajiem iebildumiem likumprojektam “Grozījumi Enerģētikas likumā” (VSS-154)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16A" w14:textId="510218C3" w:rsidR="00B83B9D" w:rsidRPr="00972916" w:rsidRDefault="00B83B9D" w:rsidP="00972916">
    <w:pPr>
      <w:pStyle w:val="Footer"/>
      <w:jc w:val="both"/>
      <w:rPr>
        <w:sz w:val="20"/>
        <w:szCs w:val="20"/>
      </w:rPr>
    </w:pPr>
    <w:r>
      <w:rPr>
        <w:sz w:val="20"/>
        <w:szCs w:val="20"/>
      </w:rPr>
      <w:t>E</w:t>
    </w:r>
    <w:r w:rsidRPr="00015C84">
      <w:rPr>
        <w:sz w:val="20"/>
        <w:szCs w:val="20"/>
      </w:rPr>
      <w:t>M</w:t>
    </w:r>
    <w:r>
      <w:rPr>
        <w:sz w:val="20"/>
        <w:szCs w:val="20"/>
      </w:rPr>
      <w:t>I</w:t>
    </w:r>
    <w:r w:rsidRPr="00015C84">
      <w:rPr>
        <w:sz w:val="20"/>
        <w:szCs w:val="20"/>
      </w:rPr>
      <w:t>zz_</w:t>
    </w:r>
    <w:r w:rsidR="0091727C">
      <w:rPr>
        <w:sz w:val="20"/>
        <w:szCs w:val="20"/>
      </w:rPr>
      <w:t>11</w:t>
    </w:r>
    <w:r>
      <w:rPr>
        <w:sz w:val="20"/>
        <w:szCs w:val="20"/>
      </w:rPr>
      <w:t>052020</w:t>
    </w:r>
    <w:r w:rsidRPr="00015C84">
      <w:rPr>
        <w:sz w:val="20"/>
        <w:szCs w:val="20"/>
      </w:rPr>
      <w:t>_</w:t>
    </w:r>
    <w:r>
      <w:rPr>
        <w:sz w:val="20"/>
        <w:szCs w:val="20"/>
      </w:rPr>
      <w:t>VSS154.docx; Izziņa par atzinumos sniegtajiem iebildumiem likumprojektam “Grozījumi Enerģētikas likumā” (VSS-154)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5B3EB" w14:textId="77777777" w:rsidR="00055841" w:rsidRDefault="00055841">
      <w:r>
        <w:separator/>
      </w:r>
    </w:p>
  </w:footnote>
  <w:footnote w:type="continuationSeparator" w:id="0">
    <w:p w14:paraId="6FF509D7" w14:textId="77777777" w:rsidR="00055841" w:rsidRDefault="0005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6876" w14:textId="021C399D" w:rsidR="00B83B9D" w:rsidRDefault="00B83B9D" w:rsidP="00435AA2">
    <w:pPr>
      <w:pStyle w:val="Head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1D416E61" w14:textId="77777777" w:rsidR="00B83B9D" w:rsidRDefault="00B83B9D" w:rsidP="00435AA2">
    <w:pPr>
      <w:pStyle w:val="Header"/>
      <w:jc w:val="both"/>
    </w:pPr>
  </w:p>
  <w:p w14:paraId="3F92621A" w14:textId="77777777" w:rsidR="00B83B9D" w:rsidRDefault="00B83B9D" w:rsidP="00086289">
    <w:pPr>
      <w:pStyle w:val="Header"/>
      <w:jc w:val="both"/>
    </w:pPr>
  </w:p>
  <w:p w14:paraId="0A48604D" w14:textId="77777777" w:rsidR="00B83B9D" w:rsidRDefault="00B83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66"/>
      <w:docPartObj>
        <w:docPartGallery w:val="Page Numbers (Top of Page)"/>
        <w:docPartUnique/>
      </w:docPartObj>
    </w:sdtPr>
    <w:sdtEndPr>
      <w:rPr>
        <w:noProof/>
        <w:sz w:val="20"/>
      </w:rPr>
    </w:sdtEndPr>
    <w:sdtContent>
      <w:p w14:paraId="16C32F4E" w14:textId="1E9DF95A" w:rsidR="00B83B9D" w:rsidRPr="006D2C00" w:rsidRDefault="00B83B9D">
        <w:pPr>
          <w:pStyle w:val="Header"/>
          <w:jc w:val="center"/>
          <w:rPr>
            <w:sz w:val="20"/>
          </w:rPr>
        </w:pPr>
        <w:r w:rsidRPr="006D2C00">
          <w:rPr>
            <w:sz w:val="20"/>
          </w:rPr>
          <w:fldChar w:fldCharType="begin"/>
        </w:r>
        <w:r w:rsidRPr="006D2C00">
          <w:rPr>
            <w:sz w:val="20"/>
          </w:rPr>
          <w:instrText xml:space="preserve"> PAGE   \* MERGEFORMAT </w:instrText>
        </w:r>
        <w:r w:rsidRPr="006D2C00">
          <w:rPr>
            <w:sz w:val="20"/>
          </w:rPr>
          <w:fldChar w:fldCharType="separate"/>
        </w:r>
        <w:r w:rsidRPr="006D2C00">
          <w:rPr>
            <w:noProof/>
            <w:sz w:val="20"/>
          </w:rPr>
          <w:t>2</w:t>
        </w:r>
        <w:r w:rsidRPr="006D2C00">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0671A7"/>
    <w:multiLevelType w:val="hybridMultilevel"/>
    <w:tmpl w:val="BB0683CC"/>
    <w:lvl w:ilvl="0" w:tplc="38B005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811012C"/>
    <w:multiLevelType w:val="hybridMultilevel"/>
    <w:tmpl w:val="3EA4A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13F71FE"/>
    <w:multiLevelType w:val="hybridMultilevel"/>
    <w:tmpl w:val="EE8ADDF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17E5A15"/>
    <w:multiLevelType w:val="hybridMultilevel"/>
    <w:tmpl w:val="2B8605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3A269E8"/>
    <w:multiLevelType w:val="multilevel"/>
    <w:tmpl w:val="071621C0"/>
    <w:lvl w:ilvl="0">
      <w:start w:val="1"/>
      <w:numFmt w:val="decimal"/>
      <w:lvlText w:val="%1."/>
      <w:lvlJc w:val="left"/>
      <w:pPr>
        <w:ind w:left="1070" w:hanging="360"/>
      </w:pPr>
      <w:rPr>
        <w:rFonts w:ascii="Times New Roman" w:eastAsia="Times New Roman" w:hAnsi="Times New Roman" w:cs="Times New Roman"/>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6" w15:restartNumberingAfterBreak="0">
    <w:nsid w:val="484D79F1"/>
    <w:multiLevelType w:val="hybridMultilevel"/>
    <w:tmpl w:val="6C0682E4"/>
    <w:lvl w:ilvl="0" w:tplc="BE44E096">
      <w:start w:val="1"/>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6438DB"/>
    <w:multiLevelType w:val="hybridMultilevel"/>
    <w:tmpl w:val="CC9AE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A17FE1"/>
    <w:multiLevelType w:val="hybridMultilevel"/>
    <w:tmpl w:val="11066FBC"/>
    <w:lvl w:ilvl="0" w:tplc="D2246E54">
      <w:start w:val="1"/>
      <w:numFmt w:val="decimal"/>
      <w:lvlText w:val="%1)"/>
      <w:lvlJc w:val="left"/>
      <w:pPr>
        <w:ind w:left="1143" w:hanging="43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1" w15:restartNumberingAfterBreak="0">
    <w:nsid w:val="603929E9"/>
    <w:multiLevelType w:val="hybridMultilevel"/>
    <w:tmpl w:val="BD98F6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45D0826"/>
    <w:multiLevelType w:val="hybridMultilevel"/>
    <w:tmpl w:val="83E0C8DC"/>
    <w:lvl w:ilvl="0" w:tplc="D2246E54">
      <w:start w:val="1"/>
      <w:numFmt w:val="decimal"/>
      <w:lvlText w:val="%1)"/>
      <w:lvlJc w:val="left"/>
      <w:pPr>
        <w:ind w:left="1143" w:hanging="43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A5418A"/>
    <w:multiLevelType w:val="hybridMultilevel"/>
    <w:tmpl w:val="31A4C99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6E590D"/>
    <w:multiLevelType w:val="hybridMultilevel"/>
    <w:tmpl w:val="375E6778"/>
    <w:lvl w:ilvl="0" w:tplc="231426B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3"/>
  </w:num>
  <w:num w:numId="4">
    <w:abstractNumId w:val="8"/>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1"/>
  </w:num>
  <w:num w:numId="15">
    <w:abstractNumId w:val="9"/>
  </w:num>
  <w:num w:numId="16">
    <w:abstractNumId w:val="15"/>
  </w:num>
  <w:num w:numId="17">
    <w:abstractNumId w:val="12"/>
  </w:num>
  <w:num w:numId="18">
    <w:abstractNumId w:val="10"/>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1D6"/>
    <w:rsid w:val="00001B58"/>
    <w:rsid w:val="00001F89"/>
    <w:rsid w:val="00003C53"/>
    <w:rsid w:val="00004230"/>
    <w:rsid w:val="0000456E"/>
    <w:rsid w:val="000045B5"/>
    <w:rsid w:val="000055EA"/>
    <w:rsid w:val="00005EC0"/>
    <w:rsid w:val="000067BF"/>
    <w:rsid w:val="00006BF1"/>
    <w:rsid w:val="0001118D"/>
    <w:rsid w:val="0001131F"/>
    <w:rsid w:val="00011663"/>
    <w:rsid w:val="0001249F"/>
    <w:rsid w:val="000125C0"/>
    <w:rsid w:val="0001270C"/>
    <w:rsid w:val="000136AA"/>
    <w:rsid w:val="00013B4C"/>
    <w:rsid w:val="00013BF6"/>
    <w:rsid w:val="00013F4A"/>
    <w:rsid w:val="0001554C"/>
    <w:rsid w:val="00015B94"/>
    <w:rsid w:val="00015C84"/>
    <w:rsid w:val="00015DE5"/>
    <w:rsid w:val="0001716C"/>
    <w:rsid w:val="000172E2"/>
    <w:rsid w:val="00017449"/>
    <w:rsid w:val="00017DAA"/>
    <w:rsid w:val="000201A4"/>
    <w:rsid w:val="00020249"/>
    <w:rsid w:val="000205D6"/>
    <w:rsid w:val="0002141D"/>
    <w:rsid w:val="00021D67"/>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D67"/>
    <w:rsid w:val="0003413A"/>
    <w:rsid w:val="000349CA"/>
    <w:rsid w:val="0003503B"/>
    <w:rsid w:val="0003557A"/>
    <w:rsid w:val="00035C06"/>
    <w:rsid w:val="000366DF"/>
    <w:rsid w:val="000376CD"/>
    <w:rsid w:val="00040A5C"/>
    <w:rsid w:val="00043005"/>
    <w:rsid w:val="0004345F"/>
    <w:rsid w:val="00044026"/>
    <w:rsid w:val="000456AF"/>
    <w:rsid w:val="00046075"/>
    <w:rsid w:val="00046CAD"/>
    <w:rsid w:val="00046F5C"/>
    <w:rsid w:val="00047385"/>
    <w:rsid w:val="00047918"/>
    <w:rsid w:val="00050554"/>
    <w:rsid w:val="000511DD"/>
    <w:rsid w:val="00052137"/>
    <w:rsid w:val="00053706"/>
    <w:rsid w:val="00053E04"/>
    <w:rsid w:val="000554E2"/>
    <w:rsid w:val="00055841"/>
    <w:rsid w:val="000579E6"/>
    <w:rsid w:val="00060596"/>
    <w:rsid w:val="00060E03"/>
    <w:rsid w:val="000626BD"/>
    <w:rsid w:val="000641CE"/>
    <w:rsid w:val="00065271"/>
    <w:rsid w:val="00066176"/>
    <w:rsid w:val="0006618D"/>
    <w:rsid w:val="00066885"/>
    <w:rsid w:val="0006694E"/>
    <w:rsid w:val="00066A37"/>
    <w:rsid w:val="00066F05"/>
    <w:rsid w:val="00070BF0"/>
    <w:rsid w:val="00072628"/>
    <w:rsid w:val="0007266C"/>
    <w:rsid w:val="000728ED"/>
    <w:rsid w:val="000733F5"/>
    <w:rsid w:val="000733FF"/>
    <w:rsid w:val="00073A81"/>
    <w:rsid w:val="00073E79"/>
    <w:rsid w:val="000746DB"/>
    <w:rsid w:val="0007577A"/>
    <w:rsid w:val="000759FC"/>
    <w:rsid w:val="00076773"/>
    <w:rsid w:val="000775D0"/>
    <w:rsid w:val="00081B0F"/>
    <w:rsid w:val="0008283D"/>
    <w:rsid w:val="00083090"/>
    <w:rsid w:val="00083214"/>
    <w:rsid w:val="0008323C"/>
    <w:rsid w:val="00083B8F"/>
    <w:rsid w:val="00084B11"/>
    <w:rsid w:val="00085322"/>
    <w:rsid w:val="00086289"/>
    <w:rsid w:val="0008656F"/>
    <w:rsid w:val="00086AB9"/>
    <w:rsid w:val="00086BCE"/>
    <w:rsid w:val="00086F36"/>
    <w:rsid w:val="00090168"/>
    <w:rsid w:val="00090903"/>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6FB0"/>
    <w:rsid w:val="000A77B9"/>
    <w:rsid w:val="000A7EA7"/>
    <w:rsid w:val="000B0403"/>
    <w:rsid w:val="000B057B"/>
    <w:rsid w:val="000B06E7"/>
    <w:rsid w:val="000B0C94"/>
    <w:rsid w:val="000B0F6A"/>
    <w:rsid w:val="000B15E5"/>
    <w:rsid w:val="000B2382"/>
    <w:rsid w:val="000B27D2"/>
    <w:rsid w:val="000B30E4"/>
    <w:rsid w:val="000B3171"/>
    <w:rsid w:val="000B34A5"/>
    <w:rsid w:val="000B4746"/>
    <w:rsid w:val="000B7966"/>
    <w:rsid w:val="000B7CB1"/>
    <w:rsid w:val="000C0AE6"/>
    <w:rsid w:val="000C0D0D"/>
    <w:rsid w:val="000C2555"/>
    <w:rsid w:val="000C3545"/>
    <w:rsid w:val="000C498A"/>
    <w:rsid w:val="000C4C16"/>
    <w:rsid w:val="000C56FC"/>
    <w:rsid w:val="000C774B"/>
    <w:rsid w:val="000C7907"/>
    <w:rsid w:val="000C7A11"/>
    <w:rsid w:val="000C7F5E"/>
    <w:rsid w:val="000D00AC"/>
    <w:rsid w:val="000D0AED"/>
    <w:rsid w:val="000D18BA"/>
    <w:rsid w:val="000D3602"/>
    <w:rsid w:val="000D4D89"/>
    <w:rsid w:val="000D6BBD"/>
    <w:rsid w:val="000D7751"/>
    <w:rsid w:val="000D7C23"/>
    <w:rsid w:val="000E04B6"/>
    <w:rsid w:val="000E0A16"/>
    <w:rsid w:val="000E1BFA"/>
    <w:rsid w:val="000E2142"/>
    <w:rsid w:val="000E21D0"/>
    <w:rsid w:val="000E2A38"/>
    <w:rsid w:val="000E2ACC"/>
    <w:rsid w:val="000E2D0A"/>
    <w:rsid w:val="000E34D4"/>
    <w:rsid w:val="000E5509"/>
    <w:rsid w:val="000E585F"/>
    <w:rsid w:val="000E5C83"/>
    <w:rsid w:val="000E66F8"/>
    <w:rsid w:val="000F054F"/>
    <w:rsid w:val="000F079D"/>
    <w:rsid w:val="000F0D9D"/>
    <w:rsid w:val="000F1D56"/>
    <w:rsid w:val="000F2534"/>
    <w:rsid w:val="000F28D9"/>
    <w:rsid w:val="000F2D43"/>
    <w:rsid w:val="000F2F9A"/>
    <w:rsid w:val="000F3AA0"/>
    <w:rsid w:val="000F4AA5"/>
    <w:rsid w:val="000F4AEB"/>
    <w:rsid w:val="000F4B40"/>
    <w:rsid w:val="000F4C3B"/>
    <w:rsid w:val="000F4E7B"/>
    <w:rsid w:val="000F57C3"/>
    <w:rsid w:val="000F5C37"/>
    <w:rsid w:val="000F5DF0"/>
    <w:rsid w:val="000F6A0B"/>
    <w:rsid w:val="000F7695"/>
    <w:rsid w:val="0010008E"/>
    <w:rsid w:val="001000C2"/>
    <w:rsid w:val="001012E3"/>
    <w:rsid w:val="00101EEB"/>
    <w:rsid w:val="0010231D"/>
    <w:rsid w:val="0010375A"/>
    <w:rsid w:val="001038ED"/>
    <w:rsid w:val="001042B0"/>
    <w:rsid w:val="001063CA"/>
    <w:rsid w:val="00106BBF"/>
    <w:rsid w:val="00106BEE"/>
    <w:rsid w:val="00106D70"/>
    <w:rsid w:val="00106F4F"/>
    <w:rsid w:val="001071D3"/>
    <w:rsid w:val="001075A8"/>
    <w:rsid w:val="00107FD6"/>
    <w:rsid w:val="00110259"/>
    <w:rsid w:val="00110AA9"/>
    <w:rsid w:val="00111A7B"/>
    <w:rsid w:val="0011254D"/>
    <w:rsid w:val="00113292"/>
    <w:rsid w:val="001139C2"/>
    <w:rsid w:val="00114559"/>
    <w:rsid w:val="00114EA9"/>
    <w:rsid w:val="00115ED0"/>
    <w:rsid w:val="0011683C"/>
    <w:rsid w:val="001179E8"/>
    <w:rsid w:val="0012021B"/>
    <w:rsid w:val="0012222D"/>
    <w:rsid w:val="001255E6"/>
    <w:rsid w:val="0012703B"/>
    <w:rsid w:val="0013053A"/>
    <w:rsid w:val="0013066A"/>
    <w:rsid w:val="0013086D"/>
    <w:rsid w:val="001313A2"/>
    <w:rsid w:val="001315EF"/>
    <w:rsid w:val="00131F39"/>
    <w:rsid w:val="00132375"/>
    <w:rsid w:val="00132E73"/>
    <w:rsid w:val="00133505"/>
    <w:rsid w:val="00134188"/>
    <w:rsid w:val="00134F06"/>
    <w:rsid w:val="0013543A"/>
    <w:rsid w:val="00136AA2"/>
    <w:rsid w:val="00137403"/>
    <w:rsid w:val="00140145"/>
    <w:rsid w:val="00140706"/>
    <w:rsid w:val="0014122A"/>
    <w:rsid w:val="00141E85"/>
    <w:rsid w:val="0014319C"/>
    <w:rsid w:val="001436B3"/>
    <w:rsid w:val="00143976"/>
    <w:rsid w:val="00143DAC"/>
    <w:rsid w:val="00144622"/>
    <w:rsid w:val="00144781"/>
    <w:rsid w:val="00144917"/>
    <w:rsid w:val="00145475"/>
    <w:rsid w:val="0014702D"/>
    <w:rsid w:val="00147596"/>
    <w:rsid w:val="001510B9"/>
    <w:rsid w:val="00151CFA"/>
    <w:rsid w:val="00152718"/>
    <w:rsid w:val="001530CF"/>
    <w:rsid w:val="00153B55"/>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65E"/>
    <w:rsid w:val="00166746"/>
    <w:rsid w:val="00167590"/>
    <w:rsid w:val="00167918"/>
    <w:rsid w:val="00167C1E"/>
    <w:rsid w:val="00170164"/>
    <w:rsid w:val="0017043B"/>
    <w:rsid w:val="001706A1"/>
    <w:rsid w:val="00170914"/>
    <w:rsid w:val="00170DF2"/>
    <w:rsid w:val="00172181"/>
    <w:rsid w:val="00174487"/>
    <w:rsid w:val="0017473B"/>
    <w:rsid w:val="00174841"/>
    <w:rsid w:val="001761FD"/>
    <w:rsid w:val="00177A47"/>
    <w:rsid w:val="00177D61"/>
    <w:rsid w:val="00180125"/>
    <w:rsid w:val="001808CA"/>
    <w:rsid w:val="00180923"/>
    <w:rsid w:val="00180CE5"/>
    <w:rsid w:val="00181BAA"/>
    <w:rsid w:val="00181D2D"/>
    <w:rsid w:val="0018210A"/>
    <w:rsid w:val="0018274D"/>
    <w:rsid w:val="00182DE0"/>
    <w:rsid w:val="0018386C"/>
    <w:rsid w:val="00184479"/>
    <w:rsid w:val="0018472C"/>
    <w:rsid w:val="00184838"/>
    <w:rsid w:val="00185755"/>
    <w:rsid w:val="00187398"/>
    <w:rsid w:val="00187F73"/>
    <w:rsid w:val="00187FB0"/>
    <w:rsid w:val="001902E9"/>
    <w:rsid w:val="00190327"/>
    <w:rsid w:val="00190A0A"/>
    <w:rsid w:val="00190D2F"/>
    <w:rsid w:val="00191519"/>
    <w:rsid w:val="001926F2"/>
    <w:rsid w:val="00193BCE"/>
    <w:rsid w:val="0019414F"/>
    <w:rsid w:val="00194441"/>
    <w:rsid w:val="00194B87"/>
    <w:rsid w:val="0019569A"/>
    <w:rsid w:val="00195962"/>
    <w:rsid w:val="00196FAB"/>
    <w:rsid w:val="00197533"/>
    <w:rsid w:val="0019757F"/>
    <w:rsid w:val="001977E7"/>
    <w:rsid w:val="00197CCA"/>
    <w:rsid w:val="001A0D8A"/>
    <w:rsid w:val="001A1312"/>
    <w:rsid w:val="001A192D"/>
    <w:rsid w:val="001A45B5"/>
    <w:rsid w:val="001A7C72"/>
    <w:rsid w:val="001B084B"/>
    <w:rsid w:val="001B0C2D"/>
    <w:rsid w:val="001B0CEC"/>
    <w:rsid w:val="001B0FFC"/>
    <w:rsid w:val="001B10F0"/>
    <w:rsid w:val="001B1CF2"/>
    <w:rsid w:val="001B3752"/>
    <w:rsid w:val="001B3C02"/>
    <w:rsid w:val="001B4388"/>
    <w:rsid w:val="001B463E"/>
    <w:rsid w:val="001B49E0"/>
    <w:rsid w:val="001B5377"/>
    <w:rsid w:val="001B57CB"/>
    <w:rsid w:val="001B6553"/>
    <w:rsid w:val="001B6647"/>
    <w:rsid w:val="001B6A47"/>
    <w:rsid w:val="001B6B0A"/>
    <w:rsid w:val="001B6C3C"/>
    <w:rsid w:val="001C0824"/>
    <w:rsid w:val="001C0B83"/>
    <w:rsid w:val="001C1510"/>
    <w:rsid w:val="001C1989"/>
    <w:rsid w:val="001C21CC"/>
    <w:rsid w:val="001C228D"/>
    <w:rsid w:val="001C28FD"/>
    <w:rsid w:val="001C3349"/>
    <w:rsid w:val="001C4ABA"/>
    <w:rsid w:val="001C546B"/>
    <w:rsid w:val="001C54F6"/>
    <w:rsid w:val="001C5EA2"/>
    <w:rsid w:val="001C6608"/>
    <w:rsid w:val="001C6C7D"/>
    <w:rsid w:val="001D1CB1"/>
    <w:rsid w:val="001D2AC0"/>
    <w:rsid w:val="001D2DBA"/>
    <w:rsid w:val="001D2FD0"/>
    <w:rsid w:val="001D3830"/>
    <w:rsid w:val="001D3BA6"/>
    <w:rsid w:val="001D4B78"/>
    <w:rsid w:val="001D5564"/>
    <w:rsid w:val="001D6FAA"/>
    <w:rsid w:val="001D70FA"/>
    <w:rsid w:val="001D7AE5"/>
    <w:rsid w:val="001D7BA9"/>
    <w:rsid w:val="001E039D"/>
    <w:rsid w:val="001E22E7"/>
    <w:rsid w:val="001E2714"/>
    <w:rsid w:val="001E2A94"/>
    <w:rsid w:val="001E398C"/>
    <w:rsid w:val="001E4456"/>
    <w:rsid w:val="001E4DDC"/>
    <w:rsid w:val="001E51E3"/>
    <w:rsid w:val="001E5D99"/>
    <w:rsid w:val="001E5DAB"/>
    <w:rsid w:val="001E60DA"/>
    <w:rsid w:val="001E774F"/>
    <w:rsid w:val="001E7C1D"/>
    <w:rsid w:val="001F073F"/>
    <w:rsid w:val="001F0766"/>
    <w:rsid w:val="001F223A"/>
    <w:rsid w:val="001F2BEC"/>
    <w:rsid w:val="001F3009"/>
    <w:rsid w:val="001F3358"/>
    <w:rsid w:val="001F35CB"/>
    <w:rsid w:val="001F390F"/>
    <w:rsid w:val="001F3C7A"/>
    <w:rsid w:val="001F5CD1"/>
    <w:rsid w:val="001F7257"/>
    <w:rsid w:val="001F7739"/>
    <w:rsid w:val="0020011B"/>
    <w:rsid w:val="0020187E"/>
    <w:rsid w:val="00201CA9"/>
    <w:rsid w:val="00201DC6"/>
    <w:rsid w:val="00202375"/>
    <w:rsid w:val="002025EA"/>
    <w:rsid w:val="00202884"/>
    <w:rsid w:val="00202E44"/>
    <w:rsid w:val="00203556"/>
    <w:rsid w:val="00204D0F"/>
    <w:rsid w:val="00204DB6"/>
    <w:rsid w:val="002056ED"/>
    <w:rsid w:val="00205C3A"/>
    <w:rsid w:val="00205F57"/>
    <w:rsid w:val="00207AD0"/>
    <w:rsid w:val="00207E1A"/>
    <w:rsid w:val="00211793"/>
    <w:rsid w:val="00211B1A"/>
    <w:rsid w:val="00211C11"/>
    <w:rsid w:val="00212345"/>
    <w:rsid w:val="00214381"/>
    <w:rsid w:val="00214809"/>
    <w:rsid w:val="002149A1"/>
    <w:rsid w:val="00214E7A"/>
    <w:rsid w:val="00215111"/>
    <w:rsid w:val="00215BFE"/>
    <w:rsid w:val="00215C44"/>
    <w:rsid w:val="00216BD5"/>
    <w:rsid w:val="00216E73"/>
    <w:rsid w:val="0021774C"/>
    <w:rsid w:val="00217FF6"/>
    <w:rsid w:val="00222386"/>
    <w:rsid w:val="00222F51"/>
    <w:rsid w:val="002230E1"/>
    <w:rsid w:val="00223361"/>
    <w:rsid w:val="0022390C"/>
    <w:rsid w:val="002244BA"/>
    <w:rsid w:val="0022477D"/>
    <w:rsid w:val="002247AA"/>
    <w:rsid w:val="00224DA7"/>
    <w:rsid w:val="002261CB"/>
    <w:rsid w:val="002268BF"/>
    <w:rsid w:val="0022776E"/>
    <w:rsid w:val="00227BDE"/>
    <w:rsid w:val="00230045"/>
    <w:rsid w:val="0023014E"/>
    <w:rsid w:val="002305B1"/>
    <w:rsid w:val="002308FA"/>
    <w:rsid w:val="0023132F"/>
    <w:rsid w:val="00231AA5"/>
    <w:rsid w:val="00232F90"/>
    <w:rsid w:val="0023339B"/>
    <w:rsid w:val="0023469C"/>
    <w:rsid w:val="00234C71"/>
    <w:rsid w:val="00235511"/>
    <w:rsid w:val="0023573B"/>
    <w:rsid w:val="002366E0"/>
    <w:rsid w:val="00236DE1"/>
    <w:rsid w:val="002372EE"/>
    <w:rsid w:val="002372FD"/>
    <w:rsid w:val="0023764D"/>
    <w:rsid w:val="002415BC"/>
    <w:rsid w:val="002434B2"/>
    <w:rsid w:val="002442F4"/>
    <w:rsid w:val="002445EA"/>
    <w:rsid w:val="00244DE1"/>
    <w:rsid w:val="00244ECE"/>
    <w:rsid w:val="00244FC5"/>
    <w:rsid w:val="00245D1D"/>
    <w:rsid w:val="002464BA"/>
    <w:rsid w:val="00247599"/>
    <w:rsid w:val="00250EDA"/>
    <w:rsid w:val="00251502"/>
    <w:rsid w:val="002518E8"/>
    <w:rsid w:val="00251C10"/>
    <w:rsid w:val="00252762"/>
    <w:rsid w:val="00252E1E"/>
    <w:rsid w:val="002538BA"/>
    <w:rsid w:val="0025469D"/>
    <w:rsid w:val="002552B1"/>
    <w:rsid w:val="00255A44"/>
    <w:rsid w:val="00255D01"/>
    <w:rsid w:val="00256E55"/>
    <w:rsid w:val="00257217"/>
    <w:rsid w:val="002576D4"/>
    <w:rsid w:val="00257E0E"/>
    <w:rsid w:val="00257FF4"/>
    <w:rsid w:val="00260FCB"/>
    <w:rsid w:val="002615F5"/>
    <w:rsid w:val="002616B9"/>
    <w:rsid w:val="00262122"/>
    <w:rsid w:val="0026217B"/>
    <w:rsid w:val="00262494"/>
    <w:rsid w:val="002629E4"/>
    <w:rsid w:val="0026321E"/>
    <w:rsid w:val="002636B6"/>
    <w:rsid w:val="00263FE3"/>
    <w:rsid w:val="00265593"/>
    <w:rsid w:val="00266875"/>
    <w:rsid w:val="002675EA"/>
    <w:rsid w:val="00267BC5"/>
    <w:rsid w:val="00267CBE"/>
    <w:rsid w:val="00267E0B"/>
    <w:rsid w:val="00270680"/>
    <w:rsid w:val="00271103"/>
    <w:rsid w:val="002721FA"/>
    <w:rsid w:val="0027230C"/>
    <w:rsid w:val="00272B99"/>
    <w:rsid w:val="0027380D"/>
    <w:rsid w:val="00273F27"/>
    <w:rsid w:val="00274315"/>
    <w:rsid w:val="0027468E"/>
    <w:rsid w:val="00274826"/>
    <w:rsid w:val="00275005"/>
    <w:rsid w:val="002752AB"/>
    <w:rsid w:val="002756D6"/>
    <w:rsid w:val="0027573C"/>
    <w:rsid w:val="00275A4E"/>
    <w:rsid w:val="002815D0"/>
    <w:rsid w:val="002820A7"/>
    <w:rsid w:val="00283B82"/>
    <w:rsid w:val="00283E13"/>
    <w:rsid w:val="00286478"/>
    <w:rsid w:val="00287EDD"/>
    <w:rsid w:val="0029141B"/>
    <w:rsid w:val="00291A1E"/>
    <w:rsid w:val="002927D3"/>
    <w:rsid w:val="00294BDE"/>
    <w:rsid w:val="00295DB6"/>
    <w:rsid w:val="0029683A"/>
    <w:rsid w:val="002971C1"/>
    <w:rsid w:val="0029788B"/>
    <w:rsid w:val="00297D1B"/>
    <w:rsid w:val="00297F4D"/>
    <w:rsid w:val="002A0226"/>
    <w:rsid w:val="002A0661"/>
    <w:rsid w:val="002A0DBB"/>
    <w:rsid w:val="002A1CF2"/>
    <w:rsid w:val="002A2ED0"/>
    <w:rsid w:val="002A3A84"/>
    <w:rsid w:val="002A4C3E"/>
    <w:rsid w:val="002A56BC"/>
    <w:rsid w:val="002A5C53"/>
    <w:rsid w:val="002A6AD6"/>
    <w:rsid w:val="002A6F58"/>
    <w:rsid w:val="002A72CC"/>
    <w:rsid w:val="002A76AB"/>
    <w:rsid w:val="002A7A4F"/>
    <w:rsid w:val="002A7AFE"/>
    <w:rsid w:val="002B01DB"/>
    <w:rsid w:val="002B09C0"/>
    <w:rsid w:val="002B13B3"/>
    <w:rsid w:val="002B1770"/>
    <w:rsid w:val="002B183D"/>
    <w:rsid w:val="002B1DBF"/>
    <w:rsid w:val="002B207F"/>
    <w:rsid w:val="002B2A48"/>
    <w:rsid w:val="002B2BEE"/>
    <w:rsid w:val="002B2FEE"/>
    <w:rsid w:val="002B31AD"/>
    <w:rsid w:val="002B3EA7"/>
    <w:rsid w:val="002B47B2"/>
    <w:rsid w:val="002B4BAE"/>
    <w:rsid w:val="002B538B"/>
    <w:rsid w:val="002B581B"/>
    <w:rsid w:val="002B6E1B"/>
    <w:rsid w:val="002B73EE"/>
    <w:rsid w:val="002C1372"/>
    <w:rsid w:val="002C2892"/>
    <w:rsid w:val="002C58AB"/>
    <w:rsid w:val="002C65FD"/>
    <w:rsid w:val="002C6D84"/>
    <w:rsid w:val="002C7D21"/>
    <w:rsid w:val="002D1564"/>
    <w:rsid w:val="002D1CA4"/>
    <w:rsid w:val="002D2C09"/>
    <w:rsid w:val="002D2C45"/>
    <w:rsid w:val="002D4969"/>
    <w:rsid w:val="002D4EE1"/>
    <w:rsid w:val="002D4F49"/>
    <w:rsid w:val="002D669A"/>
    <w:rsid w:val="002D728F"/>
    <w:rsid w:val="002D778E"/>
    <w:rsid w:val="002E0476"/>
    <w:rsid w:val="002E04D7"/>
    <w:rsid w:val="002E06DD"/>
    <w:rsid w:val="002E171A"/>
    <w:rsid w:val="002E28B8"/>
    <w:rsid w:val="002E2A24"/>
    <w:rsid w:val="002E3D66"/>
    <w:rsid w:val="002E3F11"/>
    <w:rsid w:val="002E4B11"/>
    <w:rsid w:val="002E4F70"/>
    <w:rsid w:val="002E52FA"/>
    <w:rsid w:val="002E5886"/>
    <w:rsid w:val="002E5AD3"/>
    <w:rsid w:val="002E635D"/>
    <w:rsid w:val="002E6D0C"/>
    <w:rsid w:val="002E7562"/>
    <w:rsid w:val="002F071F"/>
    <w:rsid w:val="002F16D5"/>
    <w:rsid w:val="002F1A38"/>
    <w:rsid w:val="002F1A90"/>
    <w:rsid w:val="002F1C2F"/>
    <w:rsid w:val="002F2155"/>
    <w:rsid w:val="002F3D1C"/>
    <w:rsid w:val="002F4EA1"/>
    <w:rsid w:val="002F52DE"/>
    <w:rsid w:val="002F55C1"/>
    <w:rsid w:val="002F58A0"/>
    <w:rsid w:val="002F5B9F"/>
    <w:rsid w:val="002F797A"/>
    <w:rsid w:val="00300483"/>
    <w:rsid w:val="00300DF2"/>
    <w:rsid w:val="003010A0"/>
    <w:rsid w:val="00301C91"/>
    <w:rsid w:val="00303264"/>
    <w:rsid w:val="0030351D"/>
    <w:rsid w:val="00303F2B"/>
    <w:rsid w:val="003041C6"/>
    <w:rsid w:val="00304607"/>
    <w:rsid w:val="0030467A"/>
    <w:rsid w:val="00304C0D"/>
    <w:rsid w:val="00304D4E"/>
    <w:rsid w:val="00304FFD"/>
    <w:rsid w:val="00305384"/>
    <w:rsid w:val="00305608"/>
    <w:rsid w:val="00305B72"/>
    <w:rsid w:val="0030610A"/>
    <w:rsid w:val="00306627"/>
    <w:rsid w:val="003069DD"/>
    <w:rsid w:val="00306CAB"/>
    <w:rsid w:val="00307B12"/>
    <w:rsid w:val="00310685"/>
    <w:rsid w:val="0031146F"/>
    <w:rsid w:val="00311795"/>
    <w:rsid w:val="003117B1"/>
    <w:rsid w:val="00311B70"/>
    <w:rsid w:val="00311CBE"/>
    <w:rsid w:val="00312280"/>
    <w:rsid w:val="00312CD0"/>
    <w:rsid w:val="0031449F"/>
    <w:rsid w:val="003145A5"/>
    <w:rsid w:val="003148B9"/>
    <w:rsid w:val="00314A2E"/>
    <w:rsid w:val="00315266"/>
    <w:rsid w:val="00315BF2"/>
    <w:rsid w:val="0031693B"/>
    <w:rsid w:val="003169CE"/>
    <w:rsid w:val="00316F0A"/>
    <w:rsid w:val="003177D8"/>
    <w:rsid w:val="00317DC7"/>
    <w:rsid w:val="003200F9"/>
    <w:rsid w:val="00320CFB"/>
    <w:rsid w:val="00320F38"/>
    <w:rsid w:val="00321183"/>
    <w:rsid w:val="00321694"/>
    <w:rsid w:val="00321F0A"/>
    <w:rsid w:val="003223CE"/>
    <w:rsid w:val="00322A2D"/>
    <w:rsid w:val="00322E80"/>
    <w:rsid w:val="00324D5B"/>
    <w:rsid w:val="00325045"/>
    <w:rsid w:val="00325D91"/>
    <w:rsid w:val="003267B4"/>
    <w:rsid w:val="0032777F"/>
    <w:rsid w:val="00331193"/>
    <w:rsid w:val="003333D4"/>
    <w:rsid w:val="0033402E"/>
    <w:rsid w:val="00334951"/>
    <w:rsid w:val="00336411"/>
    <w:rsid w:val="0033678D"/>
    <w:rsid w:val="0033720D"/>
    <w:rsid w:val="00337332"/>
    <w:rsid w:val="003373E8"/>
    <w:rsid w:val="00337C02"/>
    <w:rsid w:val="003418FD"/>
    <w:rsid w:val="003443DD"/>
    <w:rsid w:val="00344D5A"/>
    <w:rsid w:val="00345626"/>
    <w:rsid w:val="00346EB6"/>
    <w:rsid w:val="00347EDB"/>
    <w:rsid w:val="00350797"/>
    <w:rsid w:val="00350CBA"/>
    <w:rsid w:val="00351A85"/>
    <w:rsid w:val="003522E8"/>
    <w:rsid w:val="00353989"/>
    <w:rsid w:val="00355B7A"/>
    <w:rsid w:val="0035617C"/>
    <w:rsid w:val="00356E7E"/>
    <w:rsid w:val="00356EB8"/>
    <w:rsid w:val="00357B83"/>
    <w:rsid w:val="0036000E"/>
    <w:rsid w:val="003614A8"/>
    <w:rsid w:val="0036160E"/>
    <w:rsid w:val="00362610"/>
    <w:rsid w:val="00363830"/>
    <w:rsid w:val="00363D2D"/>
    <w:rsid w:val="00364BB6"/>
    <w:rsid w:val="00364D6B"/>
    <w:rsid w:val="00365408"/>
    <w:rsid w:val="00365CC0"/>
    <w:rsid w:val="003668DF"/>
    <w:rsid w:val="00367688"/>
    <w:rsid w:val="0036789A"/>
    <w:rsid w:val="003715B4"/>
    <w:rsid w:val="00372221"/>
    <w:rsid w:val="00372CF2"/>
    <w:rsid w:val="00373476"/>
    <w:rsid w:val="00374C7E"/>
    <w:rsid w:val="00376888"/>
    <w:rsid w:val="00377353"/>
    <w:rsid w:val="0037736B"/>
    <w:rsid w:val="0038051C"/>
    <w:rsid w:val="0038081E"/>
    <w:rsid w:val="00380BEE"/>
    <w:rsid w:val="00381F57"/>
    <w:rsid w:val="0038216E"/>
    <w:rsid w:val="003822E5"/>
    <w:rsid w:val="003830B8"/>
    <w:rsid w:val="00383262"/>
    <w:rsid w:val="003907B1"/>
    <w:rsid w:val="00391CB2"/>
    <w:rsid w:val="003A043C"/>
    <w:rsid w:val="003A157A"/>
    <w:rsid w:val="003A283F"/>
    <w:rsid w:val="003A2A16"/>
    <w:rsid w:val="003A2FDD"/>
    <w:rsid w:val="003A3C43"/>
    <w:rsid w:val="003A3E83"/>
    <w:rsid w:val="003A4A6B"/>
    <w:rsid w:val="003A5CCC"/>
    <w:rsid w:val="003A70FF"/>
    <w:rsid w:val="003A74D2"/>
    <w:rsid w:val="003A756B"/>
    <w:rsid w:val="003A7902"/>
    <w:rsid w:val="003A7C25"/>
    <w:rsid w:val="003B23D7"/>
    <w:rsid w:val="003B25CF"/>
    <w:rsid w:val="003B34CB"/>
    <w:rsid w:val="003B3AB4"/>
    <w:rsid w:val="003B3CA8"/>
    <w:rsid w:val="003B45D5"/>
    <w:rsid w:val="003B52FE"/>
    <w:rsid w:val="003B572A"/>
    <w:rsid w:val="003B5AFE"/>
    <w:rsid w:val="003B5DF1"/>
    <w:rsid w:val="003B5E81"/>
    <w:rsid w:val="003B6325"/>
    <w:rsid w:val="003B68EA"/>
    <w:rsid w:val="003B71E0"/>
    <w:rsid w:val="003B78A4"/>
    <w:rsid w:val="003C0C42"/>
    <w:rsid w:val="003C144E"/>
    <w:rsid w:val="003C1A07"/>
    <w:rsid w:val="003C1E74"/>
    <w:rsid w:val="003C20A2"/>
    <w:rsid w:val="003C244A"/>
    <w:rsid w:val="003C2673"/>
    <w:rsid w:val="003C27A2"/>
    <w:rsid w:val="003C2F77"/>
    <w:rsid w:val="003C34C7"/>
    <w:rsid w:val="003C562F"/>
    <w:rsid w:val="003C567C"/>
    <w:rsid w:val="003C59B8"/>
    <w:rsid w:val="003C6809"/>
    <w:rsid w:val="003C7897"/>
    <w:rsid w:val="003D0937"/>
    <w:rsid w:val="003D17E6"/>
    <w:rsid w:val="003D186C"/>
    <w:rsid w:val="003D1A20"/>
    <w:rsid w:val="003D1AC9"/>
    <w:rsid w:val="003D2AC9"/>
    <w:rsid w:val="003D2CD8"/>
    <w:rsid w:val="003D3724"/>
    <w:rsid w:val="003D41CC"/>
    <w:rsid w:val="003D46A7"/>
    <w:rsid w:val="003D62F7"/>
    <w:rsid w:val="003D6376"/>
    <w:rsid w:val="003D7C98"/>
    <w:rsid w:val="003E1235"/>
    <w:rsid w:val="003E2A35"/>
    <w:rsid w:val="003E2B56"/>
    <w:rsid w:val="003E2CE1"/>
    <w:rsid w:val="003E2DCB"/>
    <w:rsid w:val="003E4C3F"/>
    <w:rsid w:val="003E4D7C"/>
    <w:rsid w:val="003E58B9"/>
    <w:rsid w:val="003E5FA8"/>
    <w:rsid w:val="003E6252"/>
    <w:rsid w:val="003E6874"/>
    <w:rsid w:val="003E74D5"/>
    <w:rsid w:val="003F1200"/>
    <w:rsid w:val="003F1421"/>
    <w:rsid w:val="003F1844"/>
    <w:rsid w:val="003F241E"/>
    <w:rsid w:val="003F28C0"/>
    <w:rsid w:val="003F2ED9"/>
    <w:rsid w:val="003F490E"/>
    <w:rsid w:val="003F52B2"/>
    <w:rsid w:val="003F716E"/>
    <w:rsid w:val="003F76E8"/>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064"/>
    <w:rsid w:val="0040578B"/>
    <w:rsid w:val="004065D6"/>
    <w:rsid w:val="0040687D"/>
    <w:rsid w:val="0040709D"/>
    <w:rsid w:val="0040713F"/>
    <w:rsid w:val="004075A3"/>
    <w:rsid w:val="00410C48"/>
    <w:rsid w:val="004116F3"/>
    <w:rsid w:val="00415A5F"/>
    <w:rsid w:val="00415DC6"/>
    <w:rsid w:val="00416277"/>
    <w:rsid w:val="00416E24"/>
    <w:rsid w:val="0042063D"/>
    <w:rsid w:val="00422B23"/>
    <w:rsid w:val="00423A60"/>
    <w:rsid w:val="0042651C"/>
    <w:rsid w:val="00426E9B"/>
    <w:rsid w:val="00427D55"/>
    <w:rsid w:val="0043040A"/>
    <w:rsid w:val="00432018"/>
    <w:rsid w:val="004321DD"/>
    <w:rsid w:val="0043233C"/>
    <w:rsid w:val="004328AD"/>
    <w:rsid w:val="004345A6"/>
    <w:rsid w:val="00435976"/>
    <w:rsid w:val="00435AA2"/>
    <w:rsid w:val="00435B2F"/>
    <w:rsid w:val="00435E03"/>
    <w:rsid w:val="004373E1"/>
    <w:rsid w:val="004374A3"/>
    <w:rsid w:val="00437A7E"/>
    <w:rsid w:val="00437B6C"/>
    <w:rsid w:val="00440144"/>
    <w:rsid w:val="0044064E"/>
    <w:rsid w:val="00440805"/>
    <w:rsid w:val="004412E1"/>
    <w:rsid w:val="00441554"/>
    <w:rsid w:val="00442710"/>
    <w:rsid w:val="0044277B"/>
    <w:rsid w:val="00442E48"/>
    <w:rsid w:val="00443C95"/>
    <w:rsid w:val="00443DCD"/>
    <w:rsid w:val="00443E7E"/>
    <w:rsid w:val="00444C06"/>
    <w:rsid w:val="00444F52"/>
    <w:rsid w:val="004453D9"/>
    <w:rsid w:val="004454DF"/>
    <w:rsid w:val="00446804"/>
    <w:rsid w:val="004478D4"/>
    <w:rsid w:val="00450380"/>
    <w:rsid w:val="004505C6"/>
    <w:rsid w:val="004520CD"/>
    <w:rsid w:val="00452DF3"/>
    <w:rsid w:val="004534F5"/>
    <w:rsid w:val="00453765"/>
    <w:rsid w:val="00454B2B"/>
    <w:rsid w:val="00454EC3"/>
    <w:rsid w:val="0045530A"/>
    <w:rsid w:val="004554AE"/>
    <w:rsid w:val="004554C3"/>
    <w:rsid w:val="00455FB6"/>
    <w:rsid w:val="00457197"/>
    <w:rsid w:val="00457555"/>
    <w:rsid w:val="00457971"/>
    <w:rsid w:val="00457DD8"/>
    <w:rsid w:val="004603D0"/>
    <w:rsid w:val="00460C51"/>
    <w:rsid w:val="00461129"/>
    <w:rsid w:val="00461507"/>
    <w:rsid w:val="00461FD7"/>
    <w:rsid w:val="004624AE"/>
    <w:rsid w:val="0046250E"/>
    <w:rsid w:val="00462E9C"/>
    <w:rsid w:val="00464B48"/>
    <w:rsid w:val="00465231"/>
    <w:rsid w:val="004662AD"/>
    <w:rsid w:val="00466516"/>
    <w:rsid w:val="00467B65"/>
    <w:rsid w:val="0047127A"/>
    <w:rsid w:val="00471EA5"/>
    <w:rsid w:val="004720C9"/>
    <w:rsid w:val="00472257"/>
    <w:rsid w:val="0047265A"/>
    <w:rsid w:val="00472E49"/>
    <w:rsid w:val="004732BB"/>
    <w:rsid w:val="0047357B"/>
    <w:rsid w:val="00474C60"/>
    <w:rsid w:val="00474FE3"/>
    <w:rsid w:val="004758DB"/>
    <w:rsid w:val="00475944"/>
    <w:rsid w:val="00475DF0"/>
    <w:rsid w:val="0047618B"/>
    <w:rsid w:val="00476525"/>
    <w:rsid w:val="004772E2"/>
    <w:rsid w:val="0047739F"/>
    <w:rsid w:val="00477E17"/>
    <w:rsid w:val="00477F97"/>
    <w:rsid w:val="00480A2D"/>
    <w:rsid w:val="00480AFB"/>
    <w:rsid w:val="00481247"/>
    <w:rsid w:val="004828DC"/>
    <w:rsid w:val="00482FF7"/>
    <w:rsid w:val="00483098"/>
    <w:rsid w:val="00483AFB"/>
    <w:rsid w:val="0048402B"/>
    <w:rsid w:val="0048414A"/>
    <w:rsid w:val="0048563D"/>
    <w:rsid w:val="00485C56"/>
    <w:rsid w:val="00486B79"/>
    <w:rsid w:val="00486CA2"/>
    <w:rsid w:val="00490B25"/>
    <w:rsid w:val="00490FD6"/>
    <w:rsid w:val="004911C4"/>
    <w:rsid w:val="00491CAE"/>
    <w:rsid w:val="00491FEC"/>
    <w:rsid w:val="00492F61"/>
    <w:rsid w:val="00493617"/>
    <w:rsid w:val="00493E34"/>
    <w:rsid w:val="00494CC8"/>
    <w:rsid w:val="004955E7"/>
    <w:rsid w:val="0049589C"/>
    <w:rsid w:val="00495EF1"/>
    <w:rsid w:val="00496ED4"/>
    <w:rsid w:val="00497D4A"/>
    <w:rsid w:val="004A0441"/>
    <w:rsid w:val="004A084C"/>
    <w:rsid w:val="004A090D"/>
    <w:rsid w:val="004A15B3"/>
    <w:rsid w:val="004A1736"/>
    <w:rsid w:val="004A1D01"/>
    <w:rsid w:val="004A26B7"/>
    <w:rsid w:val="004A2A54"/>
    <w:rsid w:val="004A2EF3"/>
    <w:rsid w:val="004A3B0D"/>
    <w:rsid w:val="004A52F5"/>
    <w:rsid w:val="004A5D3A"/>
    <w:rsid w:val="004A6897"/>
    <w:rsid w:val="004A692B"/>
    <w:rsid w:val="004A6EB6"/>
    <w:rsid w:val="004A794C"/>
    <w:rsid w:val="004B03BB"/>
    <w:rsid w:val="004B07AF"/>
    <w:rsid w:val="004B0888"/>
    <w:rsid w:val="004B1D32"/>
    <w:rsid w:val="004B2969"/>
    <w:rsid w:val="004B3EC7"/>
    <w:rsid w:val="004B5664"/>
    <w:rsid w:val="004C1B35"/>
    <w:rsid w:val="004C2107"/>
    <w:rsid w:val="004C2305"/>
    <w:rsid w:val="004C29A2"/>
    <w:rsid w:val="004C5F63"/>
    <w:rsid w:val="004C5FC6"/>
    <w:rsid w:val="004C6435"/>
    <w:rsid w:val="004C649B"/>
    <w:rsid w:val="004C7B9C"/>
    <w:rsid w:val="004C7D55"/>
    <w:rsid w:val="004C7F71"/>
    <w:rsid w:val="004D089A"/>
    <w:rsid w:val="004D0D8F"/>
    <w:rsid w:val="004D3184"/>
    <w:rsid w:val="004D4D44"/>
    <w:rsid w:val="004D5030"/>
    <w:rsid w:val="004D5625"/>
    <w:rsid w:val="004D6045"/>
    <w:rsid w:val="004D6940"/>
    <w:rsid w:val="004D7546"/>
    <w:rsid w:val="004D7EC5"/>
    <w:rsid w:val="004E02B0"/>
    <w:rsid w:val="004E0B29"/>
    <w:rsid w:val="004E0E11"/>
    <w:rsid w:val="004E0F08"/>
    <w:rsid w:val="004E1546"/>
    <w:rsid w:val="004E1950"/>
    <w:rsid w:val="004E19DC"/>
    <w:rsid w:val="004E2488"/>
    <w:rsid w:val="004E32DF"/>
    <w:rsid w:val="004E35E8"/>
    <w:rsid w:val="004E3A4E"/>
    <w:rsid w:val="004E50F0"/>
    <w:rsid w:val="004E51EC"/>
    <w:rsid w:val="004E6A03"/>
    <w:rsid w:val="004F0070"/>
    <w:rsid w:val="004F0468"/>
    <w:rsid w:val="004F0C51"/>
    <w:rsid w:val="004F16E7"/>
    <w:rsid w:val="004F1A98"/>
    <w:rsid w:val="004F21BE"/>
    <w:rsid w:val="004F263C"/>
    <w:rsid w:val="004F2BB1"/>
    <w:rsid w:val="004F2EC7"/>
    <w:rsid w:val="004F3CE8"/>
    <w:rsid w:val="004F6BFB"/>
    <w:rsid w:val="004F7E4A"/>
    <w:rsid w:val="005007B3"/>
    <w:rsid w:val="0050147C"/>
    <w:rsid w:val="0050182B"/>
    <w:rsid w:val="00502579"/>
    <w:rsid w:val="005029F7"/>
    <w:rsid w:val="005032D9"/>
    <w:rsid w:val="00503D4C"/>
    <w:rsid w:val="00504C0C"/>
    <w:rsid w:val="00504E48"/>
    <w:rsid w:val="00506C5B"/>
    <w:rsid w:val="005070FF"/>
    <w:rsid w:val="00507C33"/>
    <w:rsid w:val="00512635"/>
    <w:rsid w:val="00512BBC"/>
    <w:rsid w:val="00512C9D"/>
    <w:rsid w:val="005134FB"/>
    <w:rsid w:val="005135FD"/>
    <w:rsid w:val="0051366C"/>
    <w:rsid w:val="00514918"/>
    <w:rsid w:val="0051684F"/>
    <w:rsid w:val="00516A8B"/>
    <w:rsid w:val="00516A92"/>
    <w:rsid w:val="00516B9F"/>
    <w:rsid w:val="00517693"/>
    <w:rsid w:val="005200C2"/>
    <w:rsid w:val="005205AB"/>
    <w:rsid w:val="00523218"/>
    <w:rsid w:val="00523378"/>
    <w:rsid w:val="00523A5C"/>
    <w:rsid w:val="0052400A"/>
    <w:rsid w:val="00524BF5"/>
    <w:rsid w:val="0052550F"/>
    <w:rsid w:val="00525A9C"/>
    <w:rsid w:val="00526C0F"/>
    <w:rsid w:val="0052702A"/>
    <w:rsid w:val="00530108"/>
    <w:rsid w:val="00530397"/>
    <w:rsid w:val="00530F73"/>
    <w:rsid w:val="005310D4"/>
    <w:rsid w:val="0053199A"/>
    <w:rsid w:val="00533B8E"/>
    <w:rsid w:val="0053504D"/>
    <w:rsid w:val="00535417"/>
    <w:rsid w:val="00535833"/>
    <w:rsid w:val="00536D28"/>
    <w:rsid w:val="005372C5"/>
    <w:rsid w:val="00537A26"/>
    <w:rsid w:val="00540E47"/>
    <w:rsid w:val="005417EE"/>
    <w:rsid w:val="00541F86"/>
    <w:rsid w:val="005427A2"/>
    <w:rsid w:val="00542B1F"/>
    <w:rsid w:val="00543283"/>
    <w:rsid w:val="0054364C"/>
    <w:rsid w:val="00543ECC"/>
    <w:rsid w:val="00544F17"/>
    <w:rsid w:val="00546747"/>
    <w:rsid w:val="005469F0"/>
    <w:rsid w:val="00547510"/>
    <w:rsid w:val="00547ECC"/>
    <w:rsid w:val="00550106"/>
    <w:rsid w:val="00551D5A"/>
    <w:rsid w:val="00551EC3"/>
    <w:rsid w:val="0055237F"/>
    <w:rsid w:val="00554A44"/>
    <w:rsid w:val="00554C53"/>
    <w:rsid w:val="00554F18"/>
    <w:rsid w:val="00555220"/>
    <w:rsid w:val="005555F0"/>
    <w:rsid w:val="00555739"/>
    <w:rsid w:val="00555B09"/>
    <w:rsid w:val="00556427"/>
    <w:rsid w:val="00556E75"/>
    <w:rsid w:val="00556F2D"/>
    <w:rsid w:val="00557D6C"/>
    <w:rsid w:val="0056069A"/>
    <w:rsid w:val="00560C3B"/>
    <w:rsid w:val="00561D3C"/>
    <w:rsid w:val="00561EA1"/>
    <w:rsid w:val="00562799"/>
    <w:rsid w:val="00562AEB"/>
    <w:rsid w:val="00563347"/>
    <w:rsid w:val="00564804"/>
    <w:rsid w:val="00565035"/>
    <w:rsid w:val="00565056"/>
    <w:rsid w:val="00565598"/>
    <w:rsid w:val="00565B5A"/>
    <w:rsid w:val="005668B5"/>
    <w:rsid w:val="00566F3D"/>
    <w:rsid w:val="00567E8F"/>
    <w:rsid w:val="005702D6"/>
    <w:rsid w:val="00572588"/>
    <w:rsid w:val="00573A50"/>
    <w:rsid w:val="005746D2"/>
    <w:rsid w:val="00574E8A"/>
    <w:rsid w:val="0057514E"/>
    <w:rsid w:val="00576123"/>
    <w:rsid w:val="00576DDA"/>
    <w:rsid w:val="00577775"/>
    <w:rsid w:val="0058121A"/>
    <w:rsid w:val="00581863"/>
    <w:rsid w:val="005819EA"/>
    <w:rsid w:val="00581BCB"/>
    <w:rsid w:val="00581EA3"/>
    <w:rsid w:val="0058205A"/>
    <w:rsid w:val="0058260B"/>
    <w:rsid w:val="00584D1E"/>
    <w:rsid w:val="00586795"/>
    <w:rsid w:val="00586B82"/>
    <w:rsid w:val="0058780C"/>
    <w:rsid w:val="00587E13"/>
    <w:rsid w:val="005933AA"/>
    <w:rsid w:val="00593F08"/>
    <w:rsid w:val="005940AA"/>
    <w:rsid w:val="00594614"/>
    <w:rsid w:val="00594E10"/>
    <w:rsid w:val="00596306"/>
    <w:rsid w:val="00596487"/>
    <w:rsid w:val="005A0809"/>
    <w:rsid w:val="005A0B91"/>
    <w:rsid w:val="005A1494"/>
    <w:rsid w:val="005A1823"/>
    <w:rsid w:val="005A3590"/>
    <w:rsid w:val="005A3A36"/>
    <w:rsid w:val="005A4A1C"/>
    <w:rsid w:val="005A5BD8"/>
    <w:rsid w:val="005A68FE"/>
    <w:rsid w:val="005A692A"/>
    <w:rsid w:val="005A6AB8"/>
    <w:rsid w:val="005A7F88"/>
    <w:rsid w:val="005B11C2"/>
    <w:rsid w:val="005B16DE"/>
    <w:rsid w:val="005B180A"/>
    <w:rsid w:val="005B34BE"/>
    <w:rsid w:val="005B382C"/>
    <w:rsid w:val="005B3C11"/>
    <w:rsid w:val="005B40DA"/>
    <w:rsid w:val="005B4226"/>
    <w:rsid w:val="005B5AA4"/>
    <w:rsid w:val="005B656B"/>
    <w:rsid w:val="005B71B3"/>
    <w:rsid w:val="005B750E"/>
    <w:rsid w:val="005B76A4"/>
    <w:rsid w:val="005C04A7"/>
    <w:rsid w:val="005C17A4"/>
    <w:rsid w:val="005C27CC"/>
    <w:rsid w:val="005C370D"/>
    <w:rsid w:val="005C504E"/>
    <w:rsid w:val="005C5429"/>
    <w:rsid w:val="005C6153"/>
    <w:rsid w:val="005C700A"/>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2AF"/>
    <w:rsid w:val="005E162F"/>
    <w:rsid w:val="005E2C60"/>
    <w:rsid w:val="005E31F6"/>
    <w:rsid w:val="005E3622"/>
    <w:rsid w:val="005E60B3"/>
    <w:rsid w:val="005E676C"/>
    <w:rsid w:val="005E6CB9"/>
    <w:rsid w:val="005E7F14"/>
    <w:rsid w:val="005F0154"/>
    <w:rsid w:val="005F0176"/>
    <w:rsid w:val="005F021D"/>
    <w:rsid w:val="005F1EAC"/>
    <w:rsid w:val="005F3003"/>
    <w:rsid w:val="005F308F"/>
    <w:rsid w:val="005F4869"/>
    <w:rsid w:val="005F4BFD"/>
    <w:rsid w:val="005F5748"/>
    <w:rsid w:val="005F5834"/>
    <w:rsid w:val="005F5E11"/>
    <w:rsid w:val="006003E5"/>
    <w:rsid w:val="00600E63"/>
    <w:rsid w:val="00601561"/>
    <w:rsid w:val="00601E55"/>
    <w:rsid w:val="00602037"/>
    <w:rsid w:val="006029DD"/>
    <w:rsid w:val="00602A40"/>
    <w:rsid w:val="00602C6A"/>
    <w:rsid w:val="006038E0"/>
    <w:rsid w:val="00603AF5"/>
    <w:rsid w:val="00604A37"/>
    <w:rsid w:val="00605161"/>
    <w:rsid w:val="00606C66"/>
    <w:rsid w:val="00610145"/>
    <w:rsid w:val="00610D1F"/>
    <w:rsid w:val="006123C6"/>
    <w:rsid w:val="00612C02"/>
    <w:rsid w:val="00612CDD"/>
    <w:rsid w:val="00613092"/>
    <w:rsid w:val="0061467F"/>
    <w:rsid w:val="0061562E"/>
    <w:rsid w:val="006168DF"/>
    <w:rsid w:val="00616D41"/>
    <w:rsid w:val="00617292"/>
    <w:rsid w:val="006200A9"/>
    <w:rsid w:val="00622178"/>
    <w:rsid w:val="00622225"/>
    <w:rsid w:val="00622D03"/>
    <w:rsid w:val="00622DCD"/>
    <w:rsid w:val="00622F57"/>
    <w:rsid w:val="00623DD5"/>
    <w:rsid w:val="00624269"/>
    <w:rsid w:val="00624A34"/>
    <w:rsid w:val="0062568D"/>
    <w:rsid w:val="006256D3"/>
    <w:rsid w:val="00626502"/>
    <w:rsid w:val="006267F5"/>
    <w:rsid w:val="00627337"/>
    <w:rsid w:val="00627E0D"/>
    <w:rsid w:val="00627EE7"/>
    <w:rsid w:val="00630069"/>
    <w:rsid w:val="00630583"/>
    <w:rsid w:val="00630D2E"/>
    <w:rsid w:val="00630D39"/>
    <w:rsid w:val="006319D3"/>
    <w:rsid w:val="00631C95"/>
    <w:rsid w:val="00631E19"/>
    <w:rsid w:val="00633E76"/>
    <w:rsid w:val="00633EC9"/>
    <w:rsid w:val="006340F5"/>
    <w:rsid w:val="00634542"/>
    <w:rsid w:val="00635E4D"/>
    <w:rsid w:val="0063620C"/>
    <w:rsid w:val="00637E18"/>
    <w:rsid w:val="0064032E"/>
    <w:rsid w:val="0064038D"/>
    <w:rsid w:val="00641A0B"/>
    <w:rsid w:val="00641CD6"/>
    <w:rsid w:val="00641D5A"/>
    <w:rsid w:val="00641E06"/>
    <w:rsid w:val="00643007"/>
    <w:rsid w:val="006431D0"/>
    <w:rsid w:val="006432C5"/>
    <w:rsid w:val="006436FA"/>
    <w:rsid w:val="00643852"/>
    <w:rsid w:val="00643C27"/>
    <w:rsid w:val="0064419A"/>
    <w:rsid w:val="006455E7"/>
    <w:rsid w:val="00645758"/>
    <w:rsid w:val="006461A1"/>
    <w:rsid w:val="00647422"/>
    <w:rsid w:val="00647889"/>
    <w:rsid w:val="00647E6B"/>
    <w:rsid w:val="00650E84"/>
    <w:rsid w:val="0065198B"/>
    <w:rsid w:val="00652198"/>
    <w:rsid w:val="0065234B"/>
    <w:rsid w:val="006525AF"/>
    <w:rsid w:val="0065266A"/>
    <w:rsid w:val="00653F9C"/>
    <w:rsid w:val="00655470"/>
    <w:rsid w:val="00656FEE"/>
    <w:rsid w:val="0065758F"/>
    <w:rsid w:val="00660897"/>
    <w:rsid w:val="00661028"/>
    <w:rsid w:val="006617BD"/>
    <w:rsid w:val="006617BF"/>
    <w:rsid w:val="0066194D"/>
    <w:rsid w:val="00662AB7"/>
    <w:rsid w:val="00664204"/>
    <w:rsid w:val="00664695"/>
    <w:rsid w:val="00664840"/>
    <w:rsid w:val="00664B44"/>
    <w:rsid w:val="006652BF"/>
    <w:rsid w:val="00665DF5"/>
    <w:rsid w:val="0066630C"/>
    <w:rsid w:val="00667BBD"/>
    <w:rsid w:val="00671149"/>
    <w:rsid w:val="00671615"/>
    <w:rsid w:val="00671741"/>
    <w:rsid w:val="00671766"/>
    <w:rsid w:val="00672914"/>
    <w:rsid w:val="0067352A"/>
    <w:rsid w:val="00673B1E"/>
    <w:rsid w:val="006744C3"/>
    <w:rsid w:val="0067537F"/>
    <w:rsid w:val="00676410"/>
    <w:rsid w:val="00677915"/>
    <w:rsid w:val="00680509"/>
    <w:rsid w:val="006805CB"/>
    <w:rsid w:val="006814C8"/>
    <w:rsid w:val="00681C05"/>
    <w:rsid w:val="00681CC1"/>
    <w:rsid w:val="0068233B"/>
    <w:rsid w:val="0068276A"/>
    <w:rsid w:val="00682C8C"/>
    <w:rsid w:val="00682E11"/>
    <w:rsid w:val="00683081"/>
    <w:rsid w:val="0068365E"/>
    <w:rsid w:val="00684C95"/>
    <w:rsid w:val="006850D3"/>
    <w:rsid w:val="00685249"/>
    <w:rsid w:val="006856B9"/>
    <w:rsid w:val="00685BDE"/>
    <w:rsid w:val="00686085"/>
    <w:rsid w:val="00687C0D"/>
    <w:rsid w:val="006909F0"/>
    <w:rsid w:val="00691237"/>
    <w:rsid w:val="006920E6"/>
    <w:rsid w:val="00692555"/>
    <w:rsid w:val="00693104"/>
    <w:rsid w:val="00696566"/>
    <w:rsid w:val="006966BA"/>
    <w:rsid w:val="0069722D"/>
    <w:rsid w:val="006A0052"/>
    <w:rsid w:val="006A0A9E"/>
    <w:rsid w:val="006A0C01"/>
    <w:rsid w:val="006A1F1C"/>
    <w:rsid w:val="006A3258"/>
    <w:rsid w:val="006A3836"/>
    <w:rsid w:val="006A3DD3"/>
    <w:rsid w:val="006A4625"/>
    <w:rsid w:val="006A47AE"/>
    <w:rsid w:val="006A5633"/>
    <w:rsid w:val="006A5B5E"/>
    <w:rsid w:val="006A67CB"/>
    <w:rsid w:val="006A6FDE"/>
    <w:rsid w:val="006A7CB0"/>
    <w:rsid w:val="006B022A"/>
    <w:rsid w:val="006B02AA"/>
    <w:rsid w:val="006B0368"/>
    <w:rsid w:val="006B0F6E"/>
    <w:rsid w:val="006B1A3B"/>
    <w:rsid w:val="006B1D7B"/>
    <w:rsid w:val="006B27D4"/>
    <w:rsid w:val="006B2C9C"/>
    <w:rsid w:val="006B350E"/>
    <w:rsid w:val="006B3B49"/>
    <w:rsid w:val="006B48EB"/>
    <w:rsid w:val="006B4C00"/>
    <w:rsid w:val="006B56FC"/>
    <w:rsid w:val="006B5E44"/>
    <w:rsid w:val="006B604A"/>
    <w:rsid w:val="006B6DDA"/>
    <w:rsid w:val="006B73D9"/>
    <w:rsid w:val="006B7DF0"/>
    <w:rsid w:val="006B7E74"/>
    <w:rsid w:val="006C0D75"/>
    <w:rsid w:val="006C1C48"/>
    <w:rsid w:val="006C1E0D"/>
    <w:rsid w:val="006C3758"/>
    <w:rsid w:val="006C3C1D"/>
    <w:rsid w:val="006C41FF"/>
    <w:rsid w:val="006C4C11"/>
    <w:rsid w:val="006C5145"/>
    <w:rsid w:val="006C65A8"/>
    <w:rsid w:val="006C69A2"/>
    <w:rsid w:val="006D05AD"/>
    <w:rsid w:val="006D0EC1"/>
    <w:rsid w:val="006D16F8"/>
    <w:rsid w:val="006D1813"/>
    <w:rsid w:val="006D24A9"/>
    <w:rsid w:val="006D2AF3"/>
    <w:rsid w:val="006D2C00"/>
    <w:rsid w:val="006D3EF1"/>
    <w:rsid w:val="006D4C49"/>
    <w:rsid w:val="006D4D79"/>
    <w:rsid w:val="006D4FBD"/>
    <w:rsid w:val="006D5879"/>
    <w:rsid w:val="006D63FD"/>
    <w:rsid w:val="006D65B4"/>
    <w:rsid w:val="006D754A"/>
    <w:rsid w:val="006D7B9C"/>
    <w:rsid w:val="006E04C6"/>
    <w:rsid w:val="006E0574"/>
    <w:rsid w:val="006E0A65"/>
    <w:rsid w:val="006E1B01"/>
    <w:rsid w:val="006E3E3D"/>
    <w:rsid w:val="006E3E6C"/>
    <w:rsid w:val="006E4836"/>
    <w:rsid w:val="006E5DDD"/>
    <w:rsid w:val="006E7811"/>
    <w:rsid w:val="006E7886"/>
    <w:rsid w:val="006F04DA"/>
    <w:rsid w:val="006F0557"/>
    <w:rsid w:val="006F0ACE"/>
    <w:rsid w:val="006F0EA3"/>
    <w:rsid w:val="006F1B5D"/>
    <w:rsid w:val="006F212B"/>
    <w:rsid w:val="006F3789"/>
    <w:rsid w:val="006F37F7"/>
    <w:rsid w:val="006F4A61"/>
    <w:rsid w:val="006F4ADC"/>
    <w:rsid w:val="006F58A8"/>
    <w:rsid w:val="006F643D"/>
    <w:rsid w:val="006F675C"/>
    <w:rsid w:val="006F6D13"/>
    <w:rsid w:val="006F7759"/>
    <w:rsid w:val="006F7D95"/>
    <w:rsid w:val="00700D41"/>
    <w:rsid w:val="00701B21"/>
    <w:rsid w:val="00702384"/>
    <w:rsid w:val="00704BAE"/>
    <w:rsid w:val="007056B5"/>
    <w:rsid w:val="00705807"/>
    <w:rsid w:val="00705C74"/>
    <w:rsid w:val="00705C78"/>
    <w:rsid w:val="007060E1"/>
    <w:rsid w:val="00706824"/>
    <w:rsid w:val="00706B85"/>
    <w:rsid w:val="00706E4F"/>
    <w:rsid w:val="007071FC"/>
    <w:rsid w:val="00707C84"/>
    <w:rsid w:val="00710A59"/>
    <w:rsid w:val="00710D25"/>
    <w:rsid w:val="00710FDE"/>
    <w:rsid w:val="007116C7"/>
    <w:rsid w:val="00711C5A"/>
    <w:rsid w:val="00712B66"/>
    <w:rsid w:val="00713C31"/>
    <w:rsid w:val="0071428D"/>
    <w:rsid w:val="007144C9"/>
    <w:rsid w:val="00714F9F"/>
    <w:rsid w:val="0071584A"/>
    <w:rsid w:val="00715C93"/>
    <w:rsid w:val="00716B3C"/>
    <w:rsid w:val="007170C2"/>
    <w:rsid w:val="00717CAA"/>
    <w:rsid w:val="00717EE4"/>
    <w:rsid w:val="00717F2D"/>
    <w:rsid w:val="00720453"/>
    <w:rsid w:val="00720853"/>
    <w:rsid w:val="00722129"/>
    <w:rsid w:val="00724173"/>
    <w:rsid w:val="007247AF"/>
    <w:rsid w:val="00726730"/>
    <w:rsid w:val="0072744D"/>
    <w:rsid w:val="00730598"/>
    <w:rsid w:val="00731C24"/>
    <w:rsid w:val="0073257E"/>
    <w:rsid w:val="00732A32"/>
    <w:rsid w:val="00733066"/>
    <w:rsid w:val="00733469"/>
    <w:rsid w:val="00733539"/>
    <w:rsid w:val="0073366D"/>
    <w:rsid w:val="007347B1"/>
    <w:rsid w:val="00735557"/>
    <w:rsid w:val="00737108"/>
    <w:rsid w:val="007379CE"/>
    <w:rsid w:val="00737D91"/>
    <w:rsid w:val="007403C0"/>
    <w:rsid w:val="007419A7"/>
    <w:rsid w:val="00741B21"/>
    <w:rsid w:val="00741DD8"/>
    <w:rsid w:val="00741E49"/>
    <w:rsid w:val="00742026"/>
    <w:rsid w:val="0074250D"/>
    <w:rsid w:val="007445E2"/>
    <w:rsid w:val="00745191"/>
    <w:rsid w:val="00745496"/>
    <w:rsid w:val="007460DA"/>
    <w:rsid w:val="0074629D"/>
    <w:rsid w:val="0074705B"/>
    <w:rsid w:val="007470EC"/>
    <w:rsid w:val="0075020B"/>
    <w:rsid w:val="00751017"/>
    <w:rsid w:val="00751960"/>
    <w:rsid w:val="007535C7"/>
    <w:rsid w:val="00754958"/>
    <w:rsid w:val="00754A0E"/>
    <w:rsid w:val="00756551"/>
    <w:rsid w:val="00757769"/>
    <w:rsid w:val="0076067E"/>
    <w:rsid w:val="00760719"/>
    <w:rsid w:val="00760870"/>
    <w:rsid w:val="007609B2"/>
    <w:rsid w:val="00761674"/>
    <w:rsid w:val="00761BFD"/>
    <w:rsid w:val="00761D5C"/>
    <w:rsid w:val="00761FE5"/>
    <w:rsid w:val="00762476"/>
    <w:rsid w:val="00762A18"/>
    <w:rsid w:val="00762D42"/>
    <w:rsid w:val="00763AE2"/>
    <w:rsid w:val="0076467D"/>
    <w:rsid w:val="007656ED"/>
    <w:rsid w:val="00766505"/>
    <w:rsid w:val="00766D90"/>
    <w:rsid w:val="00767BF3"/>
    <w:rsid w:val="00767C19"/>
    <w:rsid w:val="00767D4E"/>
    <w:rsid w:val="00771067"/>
    <w:rsid w:val="007722ED"/>
    <w:rsid w:val="00773DF9"/>
    <w:rsid w:val="0077408B"/>
    <w:rsid w:val="00774AF6"/>
    <w:rsid w:val="00774EC8"/>
    <w:rsid w:val="00776781"/>
    <w:rsid w:val="007776CC"/>
    <w:rsid w:val="00777CE9"/>
    <w:rsid w:val="00780D05"/>
    <w:rsid w:val="00782E23"/>
    <w:rsid w:val="00783447"/>
    <w:rsid w:val="00783C7B"/>
    <w:rsid w:val="0078556C"/>
    <w:rsid w:val="007855C5"/>
    <w:rsid w:val="007856D3"/>
    <w:rsid w:val="00785ABD"/>
    <w:rsid w:val="007860C6"/>
    <w:rsid w:val="00786254"/>
    <w:rsid w:val="00786DB0"/>
    <w:rsid w:val="007879C7"/>
    <w:rsid w:val="00787D47"/>
    <w:rsid w:val="0079014E"/>
    <w:rsid w:val="0079148B"/>
    <w:rsid w:val="00792971"/>
    <w:rsid w:val="007935C6"/>
    <w:rsid w:val="00794129"/>
    <w:rsid w:val="00794516"/>
    <w:rsid w:val="00794878"/>
    <w:rsid w:val="00795394"/>
    <w:rsid w:val="00795512"/>
    <w:rsid w:val="00795AB7"/>
    <w:rsid w:val="00795E37"/>
    <w:rsid w:val="0079694C"/>
    <w:rsid w:val="00796D89"/>
    <w:rsid w:val="00796DA2"/>
    <w:rsid w:val="007A0415"/>
    <w:rsid w:val="007A06BA"/>
    <w:rsid w:val="007A27BD"/>
    <w:rsid w:val="007A294A"/>
    <w:rsid w:val="007A3023"/>
    <w:rsid w:val="007A4C96"/>
    <w:rsid w:val="007A51A6"/>
    <w:rsid w:val="007A523D"/>
    <w:rsid w:val="007A5629"/>
    <w:rsid w:val="007A56E5"/>
    <w:rsid w:val="007A60CA"/>
    <w:rsid w:val="007A6F0F"/>
    <w:rsid w:val="007A708C"/>
    <w:rsid w:val="007A75B5"/>
    <w:rsid w:val="007A7985"/>
    <w:rsid w:val="007A7ABE"/>
    <w:rsid w:val="007B03C5"/>
    <w:rsid w:val="007B18C0"/>
    <w:rsid w:val="007B26E1"/>
    <w:rsid w:val="007B2732"/>
    <w:rsid w:val="007B3045"/>
    <w:rsid w:val="007B4C0F"/>
    <w:rsid w:val="007B5E25"/>
    <w:rsid w:val="007B65C1"/>
    <w:rsid w:val="007B6E0E"/>
    <w:rsid w:val="007B7409"/>
    <w:rsid w:val="007B7C1A"/>
    <w:rsid w:val="007C06C4"/>
    <w:rsid w:val="007C1B8A"/>
    <w:rsid w:val="007C27FB"/>
    <w:rsid w:val="007C2CBB"/>
    <w:rsid w:val="007C2DF3"/>
    <w:rsid w:val="007C309C"/>
    <w:rsid w:val="007C3BCD"/>
    <w:rsid w:val="007C4209"/>
    <w:rsid w:val="007C5EB9"/>
    <w:rsid w:val="007C644C"/>
    <w:rsid w:val="007C7449"/>
    <w:rsid w:val="007C7B44"/>
    <w:rsid w:val="007C7EA5"/>
    <w:rsid w:val="007D10FD"/>
    <w:rsid w:val="007D1A95"/>
    <w:rsid w:val="007D245E"/>
    <w:rsid w:val="007D3764"/>
    <w:rsid w:val="007D485A"/>
    <w:rsid w:val="007D53B1"/>
    <w:rsid w:val="007D54FF"/>
    <w:rsid w:val="007D57D4"/>
    <w:rsid w:val="007D6315"/>
    <w:rsid w:val="007D724A"/>
    <w:rsid w:val="007D75A3"/>
    <w:rsid w:val="007D7A3B"/>
    <w:rsid w:val="007E04EB"/>
    <w:rsid w:val="007E16E2"/>
    <w:rsid w:val="007E19FE"/>
    <w:rsid w:val="007E1AAC"/>
    <w:rsid w:val="007E1D89"/>
    <w:rsid w:val="007E3284"/>
    <w:rsid w:val="007E3B9C"/>
    <w:rsid w:val="007E4A2F"/>
    <w:rsid w:val="007E5C4A"/>
    <w:rsid w:val="007E6915"/>
    <w:rsid w:val="007E74CA"/>
    <w:rsid w:val="007E7AD3"/>
    <w:rsid w:val="007E7B5E"/>
    <w:rsid w:val="007F0070"/>
    <w:rsid w:val="007F0441"/>
    <w:rsid w:val="007F0D31"/>
    <w:rsid w:val="007F0E99"/>
    <w:rsid w:val="007F20F1"/>
    <w:rsid w:val="007F4224"/>
    <w:rsid w:val="007F4278"/>
    <w:rsid w:val="007F4390"/>
    <w:rsid w:val="007F4DD2"/>
    <w:rsid w:val="007F4FB9"/>
    <w:rsid w:val="007F6147"/>
    <w:rsid w:val="007F7022"/>
    <w:rsid w:val="007F7690"/>
    <w:rsid w:val="008000F0"/>
    <w:rsid w:val="008011CC"/>
    <w:rsid w:val="00801404"/>
    <w:rsid w:val="00801757"/>
    <w:rsid w:val="008017AA"/>
    <w:rsid w:val="00801CBA"/>
    <w:rsid w:val="00801D92"/>
    <w:rsid w:val="00802EC9"/>
    <w:rsid w:val="0080485B"/>
    <w:rsid w:val="00804BCF"/>
    <w:rsid w:val="00804FA4"/>
    <w:rsid w:val="00805275"/>
    <w:rsid w:val="008063EE"/>
    <w:rsid w:val="00806A62"/>
    <w:rsid w:val="00806E55"/>
    <w:rsid w:val="008075CE"/>
    <w:rsid w:val="00807E79"/>
    <w:rsid w:val="00810085"/>
    <w:rsid w:val="0081097F"/>
    <w:rsid w:val="00812179"/>
    <w:rsid w:val="008124E2"/>
    <w:rsid w:val="00813928"/>
    <w:rsid w:val="00815321"/>
    <w:rsid w:val="0081619E"/>
    <w:rsid w:val="008166DB"/>
    <w:rsid w:val="008173E0"/>
    <w:rsid w:val="008175C1"/>
    <w:rsid w:val="008200D4"/>
    <w:rsid w:val="00820370"/>
    <w:rsid w:val="00820CC6"/>
    <w:rsid w:val="00822C41"/>
    <w:rsid w:val="00825043"/>
    <w:rsid w:val="00825267"/>
    <w:rsid w:val="00825AF7"/>
    <w:rsid w:val="00826228"/>
    <w:rsid w:val="008264EC"/>
    <w:rsid w:val="00827C0D"/>
    <w:rsid w:val="00830642"/>
    <w:rsid w:val="00830B36"/>
    <w:rsid w:val="00830DAD"/>
    <w:rsid w:val="00831250"/>
    <w:rsid w:val="00831D8D"/>
    <w:rsid w:val="00831FB2"/>
    <w:rsid w:val="008333B7"/>
    <w:rsid w:val="008336EC"/>
    <w:rsid w:val="008337B9"/>
    <w:rsid w:val="00834FD2"/>
    <w:rsid w:val="00835084"/>
    <w:rsid w:val="00835184"/>
    <w:rsid w:val="00835569"/>
    <w:rsid w:val="00835745"/>
    <w:rsid w:val="00835802"/>
    <w:rsid w:val="00836295"/>
    <w:rsid w:val="008370EE"/>
    <w:rsid w:val="00837A98"/>
    <w:rsid w:val="00837DC9"/>
    <w:rsid w:val="0084093F"/>
    <w:rsid w:val="0084098A"/>
    <w:rsid w:val="00840DB0"/>
    <w:rsid w:val="00840EDE"/>
    <w:rsid w:val="008418A5"/>
    <w:rsid w:val="00843548"/>
    <w:rsid w:val="0084383C"/>
    <w:rsid w:val="00843CC0"/>
    <w:rsid w:val="00843F28"/>
    <w:rsid w:val="00844ADD"/>
    <w:rsid w:val="0084534E"/>
    <w:rsid w:val="00846062"/>
    <w:rsid w:val="00846977"/>
    <w:rsid w:val="008474C1"/>
    <w:rsid w:val="00847C1C"/>
    <w:rsid w:val="0085055E"/>
    <w:rsid w:val="00850C3B"/>
    <w:rsid w:val="00851605"/>
    <w:rsid w:val="00852CA0"/>
    <w:rsid w:val="00852D85"/>
    <w:rsid w:val="00852F6C"/>
    <w:rsid w:val="0085465C"/>
    <w:rsid w:val="00854967"/>
    <w:rsid w:val="0085540B"/>
    <w:rsid w:val="008554EB"/>
    <w:rsid w:val="00855511"/>
    <w:rsid w:val="0085582C"/>
    <w:rsid w:val="00855FD3"/>
    <w:rsid w:val="00857086"/>
    <w:rsid w:val="00857572"/>
    <w:rsid w:val="008579D8"/>
    <w:rsid w:val="00860F1D"/>
    <w:rsid w:val="00860F4D"/>
    <w:rsid w:val="008611DE"/>
    <w:rsid w:val="00861375"/>
    <w:rsid w:val="00861C56"/>
    <w:rsid w:val="00861D0D"/>
    <w:rsid w:val="00861F29"/>
    <w:rsid w:val="008620A2"/>
    <w:rsid w:val="00862741"/>
    <w:rsid w:val="00862BBD"/>
    <w:rsid w:val="00863C9F"/>
    <w:rsid w:val="008645D6"/>
    <w:rsid w:val="00864E4F"/>
    <w:rsid w:val="008651EF"/>
    <w:rsid w:val="0086552B"/>
    <w:rsid w:val="008655A2"/>
    <w:rsid w:val="0086584F"/>
    <w:rsid w:val="00866D3C"/>
    <w:rsid w:val="00866DBD"/>
    <w:rsid w:val="008671C7"/>
    <w:rsid w:val="00867EB8"/>
    <w:rsid w:val="00870335"/>
    <w:rsid w:val="00870AA2"/>
    <w:rsid w:val="008713E8"/>
    <w:rsid w:val="00873D88"/>
    <w:rsid w:val="0087433B"/>
    <w:rsid w:val="00875A1C"/>
    <w:rsid w:val="0087621E"/>
    <w:rsid w:val="008767B2"/>
    <w:rsid w:val="00877328"/>
    <w:rsid w:val="0087787A"/>
    <w:rsid w:val="008802F0"/>
    <w:rsid w:val="00880992"/>
    <w:rsid w:val="00881692"/>
    <w:rsid w:val="00883143"/>
    <w:rsid w:val="00883A88"/>
    <w:rsid w:val="00884EC8"/>
    <w:rsid w:val="00886154"/>
    <w:rsid w:val="00890277"/>
    <w:rsid w:val="0089061A"/>
    <w:rsid w:val="008915C6"/>
    <w:rsid w:val="00891677"/>
    <w:rsid w:val="00892DB5"/>
    <w:rsid w:val="00894B61"/>
    <w:rsid w:val="00894B8A"/>
    <w:rsid w:val="00894C7D"/>
    <w:rsid w:val="00895255"/>
    <w:rsid w:val="00895DF1"/>
    <w:rsid w:val="0089611E"/>
    <w:rsid w:val="00896538"/>
    <w:rsid w:val="00896645"/>
    <w:rsid w:val="008975D2"/>
    <w:rsid w:val="008A035B"/>
    <w:rsid w:val="008A0459"/>
    <w:rsid w:val="008A1218"/>
    <w:rsid w:val="008A15B6"/>
    <w:rsid w:val="008A1A6E"/>
    <w:rsid w:val="008A1C19"/>
    <w:rsid w:val="008A202A"/>
    <w:rsid w:val="008A36C9"/>
    <w:rsid w:val="008A4024"/>
    <w:rsid w:val="008A580E"/>
    <w:rsid w:val="008A5AF9"/>
    <w:rsid w:val="008A64A0"/>
    <w:rsid w:val="008B16DE"/>
    <w:rsid w:val="008B251F"/>
    <w:rsid w:val="008B2602"/>
    <w:rsid w:val="008B2727"/>
    <w:rsid w:val="008B2DAE"/>
    <w:rsid w:val="008B316B"/>
    <w:rsid w:val="008B3AE5"/>
    <w:rsid w:val="008B5059"/>
    <w:rsid w:val="008B5BF2"/>
    <w:rsid w:val="008B6934"/>
    <w:rsid w:val="008B6CF8"/>
    <w:rsid w:val="008B72F6"/>
    <w:rsid w:val="008B7E6F"/>
    <w:rsid w:val="008C119E"/>
    <w:rsid w:val="008C1DCF"/>
    <w:rsid w:val="008C1E24"/>
    <w:rsid w:val="008C296B"/>
    <w:rsid w:val="008C2A46"/>
    <w:rsid w:val="008C2D9C"/>
    <w:rsid w:val="008C4278"/>
    <w:rsid w:val="008C520E"/>
    <w:rsid w:val="008C563B"/>
    <w:rsid w:val="008C567E"/>
    <w:rsid w:val="008C5DEE"/>
    <w:rsid w:val="008C6285"/>
    <w:rsid w:val="008C7182"/>
    <w:rsid w:val="008C7268"/>
    <w:rsid w:val="008C74C1"/>
    <w:rsid w:val="008C7CA5"/>
    <w:rsid w:val="008C7D9D"/>
    <w:rsid w:val="008D02F4"/>
    <w:rsid w:val="008D0416"/>
    <w:rsid w:val="008D0B7E"/>
    <w:rsid w:val="008D13C6"/>
    <w:rsid w:val="008D1B04"/>
    <w:rsid w:val="008D254A"/>
    <w:rsid w:val="008D3235"/>
    <w:rsid w:val="008D33C8"/>
    <w:rsid w:val="008D3893"/>
    <w:rsid w:val="008D431A"/>
    <w:rsid w:val="008D45CD"/>
    <w:rsid w:val="008D5396"/>
    <w:rsid w:val="008D55F1"/>
    <w:rsid w:val="008D5CD7"/>
    <w:rsid w:val="008D718E"/>
    <w:rsid w:val="008D7EBB"/>
    <w:rsid w:val="008E041D"/>
    <w:rsid w:val="008E09C5"/>
    <w:rsid w:val="008E0AA7"/>
    <w:rsid w:val="008E2355"/>
    <w:rsid w:val="008E2B84"/>
    <w:rsid w:val="008E3151"/>
    <w:rsid w:val="008E3386"/>
    <w:rsid w:val="008E36DA"/>
    <w:rsid w:val="008E39D7"/>
    <w:rsid w:val="008E5410"/>
    <w:rsid w:val="008E5A3F"/>
    <w:rsid w:val="008E7209"/>
    <w:rsid w:val="008E7448"/>
    <w:rsid w:val="008F00B0"/>
    <w:rsid w:val="008F11BB"/>
    <w:rsid w:val="008F16FF"/>
    <w:rsid w:val="008F182F"/>
    <w:rsid w:val="008F1E95"/>
    <w:rsid w:val="008F2304"/>
    <w:rsid w:val="008F57DD"/>
    <w:rsid w:val="008F5AEE"/>
    <w:rsid w:val="008F6ACF"/>
    <w:rsid w:val="008F6EAA"/>
    <w:rsid w:val="008F7800"/>
    <w:rsid w:val="008F7BCA"/>
    <w:rsid w:val="00900F4D"/>
    <w:rsid w:val="0090167B"/>
    <w:rsid w:val="00902D18"/>
    <w:rsid w:val="00902DEC"/>
    <w:rsid w:val="0090342E"/>
    <w:rsid w:val="00903D3A"/>
    <w:rsid w:val="009044B9"/>
    <w:rsid w:val="009047B1"/>
    <w:rsid w:val="00904C86"/>
    <w:rsid w:val="0090680D"/>
    <w:rsid w:val="0091045D"/>
    <w:rsid w:val="0091176C"/>
    <w:rsid w:val="00911A8D"/>
    <w:rsid w:val="0091281A"/>
    <w:rsid w:val="00912B24"/>
    <w:rsid w:val="009139B5"/>
    <w:rsid w:val="00913E0E"/>
    <w:rsid w:val="00914514"/>
    <w:rsid w:val="00914549"/>
    <w:rsid w:val="00914C08"/>
    <w:rsid w:val="00914F2F"/>
    <w:rsid w:val="00916057"/>
    <w:rsid w:val="00916AD1"/>
    <w:rsid w:val="0091702C"/>
    <w:rsid w:val="0091727C"/>
    <w:rsid w:val="00917637"/>
    <w:rsid w:val="009179CE"/>
    <w:rsid w:val="00917FEE"/>
    <w:rsid w:val="0092023D"/>
    <w:rsid w:val="00920472"/>
    <w:rsid w:val="00920C19"/>
    <w:rsid w:val="00921251"/>
    <w:rsid w:val="00921861"/>
    <w:rsid w:val="0092189E"/>
    <w:rsid w:val="009219FD"/>
    <w:rsid w:val="00921DF7"/>
    <w:rsid w:val="00923350"/>
    <w:rsid w:val="009257B0"/>
    <w:rsid w:val="009258BD"/>
    <w:rsid w:val="00925DEB"/>
    <w:rsid w:val="009263C0"/>
    <w:rsid w:val="00930186"/>
    <w:rsid w:val="009302D4"/>
    <w:rsid w:val="009307F2"/>
    <w:rsid w:val="00930CEC"/>
    <w:rsid w:val="00930F4A"/>
    <w:rsid w:val="00932341"/>
    <w:rsid w:val="0093375E"/>
    <w:rsid w:val="00933BEF"/>
    <w:rsid w:val="009372CF"/>
    <w:rsid w:val="0093787E"/>
    <w:rsid w:val="009412CC"/>
    <w:rsid w:val="0094382E"/>
    <w:rsid w:val="0094388B"/>
    <w:rsid w:val="00943D09"/>
    <w:rsid w:val="0094405F"/>
    <w:rsid w:val="009445C7"/>
    <w:rsid w:val="00944826"/>
    <w:rsid w:val="009457A1"/>
    <w:rsid w:val="00947750"/>
    <w:rsid w:val="00947C5D"/>
    <w:rsid w:val="00947CA9"/>
    <w:rsid w:val="00950478"/>
    <w:rsid w:val="00950888"/>
    <w:rsid w:val="00950A14"/>
    <w:rsid w:val="00950AF9"/>
    <w:rsid w:val="00950B5F"/>
    <w:rsid w:val="00950D35"/>
    <w:rsid w:val="0095144C"/>
    <w:rsid w:val="0095165B"/>
    <w:rsid w:val="00951B17"/>
    <w:rsid w:val="00951B8D"/>
    <w:rsid w:val="00952081"/>
    <w:rsid w:val="009536A8"/>
    <w:rsid w:val="00954596"/>
    <w:rsid w:val="00955851"/>
    <w:rsid w:val="00955C63"/>
    <w:rsid w:val="00956552"/>
    <w:rsid w:val="009577D6"/>
    <w:rsid w:val="00957E23"/>
    <w:rsid w:val="00961487"/>
    <w:rsid w:val="00961BA7"/>
    <w:rsid w:val="00961F01"/>
    <w:rsid w:val="00962162"/>
    <w:rsid w:val="009622AF"/>
    <w:rsid w:val="009623BC"/>
    <w:rsid w:val="009628BE"/>
    <w:rsid w:val="009631C8"/>
    <w:rsid w:val="00963AE4"/>
    <w:rsid w:val="00963C14"/>
    <w:rsid w:val="009645CD"/>
    <w:rsid w:val="00965940"/>
    <w:rsid w:val="00965A4E"/>
    <w:rsid w:val="00966BE5"/>
    <w:rsid w:val="00966EB0"/>
    <w:rsid w:val="00971116"/>
    <w:rsid w:val="009721CF"/>
    <w:rsid w:val="00972916"/>
    <w:rsid w:val="00972E28"/>
    <w:rsid w:val="00973030"/>
    <w:rsid w:val="009733F3"/>
    <w:rsid w:val="00973C51"/>
    <w:rsid w:val="009748E4"/>
    <w:rsid w:val="00975EC7"/>
    <w:rsid w:val="00976056"/>
    <w:rsid w:val="00976308"/>
    <w:rsid w:val="00976D65"/>
    <w:rsid w:val="00977CE6"/>
    <w:rsid w:val="009807AC"/>
    <w:rsid w:val="00980C18"/>
    <w:rsid w:val="009810E9"/>
    <w:rsid w:val="0098141C"/>
    <w:rsid w:val="00981AA9"/>
    <w:rsid w:val="00981C91"/>
    <w:rsid w:val="00983132"/>
    <w:rsid w:val="00983314"/>
    <w:rsid w:val="00983D1C"/>
    <w:rsid w:val="00983DF2"/>
    <w:rsid w:val="0098433A"/>
    <w:rsid w:val="00985675"/>
    <w:rsid w:val="00985939"/>
    <w:rsid w:val="0098637F"/>
    <w:rsid w:val="00986A9B"/>
    <w:rsid w:val="00986B9C"/>
    <w:rsid w:val="00987792"/>
    <w:rsid w:val="00987BAB"/>
    <w:rsid w:val="00990205"/>
    <w:rsid w:val="009906BF"/>
    <w:rsid w:val="009913F3"/>
    <w:rsid w:val="00991DA1"/>
    <w:rsid w:val="009927F1"/>
    <w:rsid w:val="009936C4"/>
    <w:rsid w:val="009948ED"/>
    <w:rsid w:val="00995ADA"/>
    <w:rsid w:val="00995B97"/>
    <w:rsid w:val="00995DBD"/>
    <w:rsid w:val="00995FF7"/>
    <w:rsid w:val="0099643A"/>
    <w:rsid w:val="00997959"/>
    <w:rsid w:val="00997F3A"/>
    <w:rsid w:val="009A0BAF"/>
    <w:rsid w:val="009A1431"/>
    <w:rsid w:val="009A153D"/>
    <w:rsid w:val="009A1634"/>
    <w:rsid w:val="009A3A34"/>
    <w:rsid w:val="009A3FE2"/>
    <w:rsid w:val="009A400C"/>
    <w:rsid w:val="009A4B2C"/>
    <w:rsid w:val="009A5592"/>
    <w:rsid w:val="009A59BA"/>
    <w:rsid w:val="009A6100"/>
    <w:rsid w:val="009A6417"/>
    <w:rsid w:val="009B01DF"/>
    <w:rsid w:val="009B020D"/>
    <w:rsid w:val="009B072F"/>
    <w:rsid w:val="009B07A1"/>
    <w:rsid w:val="009B09CC"/>
    <w:rsid w:val="009B173B"/>
    <w:rsid w:val="009B1A1A"/>
    <w:rsid w:val="009B2608"/>
    <w:rsid w:val="009B2A71"/>
    <w:rsid w:val="009B2BF9"/>
    <w:rsid w:val="009B4027"/>
    <w:rsid w:val="009B4975"/>
    <w:rsid w:val="009B561F"/>
    <w:rsid w:val="009B5773"/>
    <w:rsid w:val="009B5890"/>
    <w:rsid w:val="009B5D2D"/>
    <w:rsid w:val="009B7C5F"/>
    <w:rsid w:val="009C058F"/>
    <w:rsid w:val="009C1FA6"/>
    <w:rsid w:val="009C2282"/>
    <w:rsid w:val="009C2354"/>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19F"/>
    <w:rsid w:val="009D535B"/>
    <w:rsid w:val="009D630B"/>
    <w:rsid w:val="009D6CAA"/>
    <w:rsid w:val="009D6CF6"/>
    <w:rsid w:val="009D6E69"/>
    <w:rsid w:val="009E02DC"/>
    <w:rsid w:val="009E1072"/>
    <w:rsid w:val="009E2040"/>
    <w:rsid w:val="009E29C3"/>
    <w:rsid w:val="009E426A"/>
    <w:rsid w:val="009E49AE"/>
    <w:rsid w:val="009E4DC7"/>
    <w:rsid w:val="009E6396"/>
    <w:rsid w:val="009E660A"/>
    <w:rsid w:val="009E6B64"/>
    <w:rsid w:val="009E6F06"/>
    <w:rsid w:val="009E72E5"/>
    <w:rsid w:val="009F1283"/>
    <w:rsid w:val="009F3ECD"/>
    <w:rsid w:val="009F3FD9"/>
    <w:rsid w:val="009F46C8"/>
    <w:rsid w:val="009F4F2A"/>
    <w:rsid w:val="009F660B"/>
    <w:rsid w:val="009F671E"/>
    <w:rsid w:val="009F6B05"/>
    <w:rsid w:val="009F7ED1"/>
    <w:rsid w:val="00A00537"/>
    <w:rsid w:val="00A0149B"/>
    <w:rsid w:val="00A01607"/>
    <w:rsid w:val="00A018D4"/>
    <w:rsid w:val="00A02F9D"/>
    <w:rsid w:val="00A03767"/>
    <w:rsid w:val="00A04834"/>
    <w:rsid w:val="00A05097"/>
    <w:rsid w:val="00A05628"/>
    <w:rsid w:val="00A05AC2"/>
    <w:rsid w:val="00A07BAE"/>
    <w:rsid w:val="00A07DCF"/>
    <w:rsid w:val="00A12979"/>
    <w:rsid w:val="00A131A9"/>
    <w:rsid w:val="00A13301"/>
    <w:rsid w:val="00A1496E"/>
    <w:rsid w:val="00A14F84"/>
    <w:rsid w:val="00A16D6D"/>
    <w:rsid w:val="00A17C75"/>
    <w:rsid w:val="00A20019"/>
    <w:rsid w:val="00A211C8"/>
    <w:rsid w:val="00A2121E"/>
    <w:rsid w:val="00A21EAC"/>
    <w:rsid w:val="00A221DE"/>
    <w:rsid w:val="00A229F3"/>
    <w:rsid w:val="00A22CB2"/>
    <w:rsid w:val="00A23138"/>
    <w:rsid w:val="00A23940"/>
    <w:rsid w:val="00A23ECC"/>
    <w:rsid w:val="00A24CD3"/>
    <w:rsid w:val="00A25461"/>
    <w:rsid w:val="00A26367"/>
    <w:rsid w:val="00A2678A"/>
    <w:rsid w:val="00A269E1"/>
    <w:rsid w:val="00A2764F"/>
    <w:rsid w:val="00A27C1C"/>
    <w:rsid w:val="00A30E27"/>
    <w:rsid w:val="00A30F6A"/>
    <w:rsid w:val="00A32AEA"/>
    <w:rsid w:val="00A32F32"/>
    <w:rsid w:val="00A335AE"/>
    <w:rsid w:val="00A33E80"/>
    <w:rsid w:val="00A33EFE"/>
    <w:rsid w:val="00A35385"/>
    <w:rsid w:val="00A37BF4"/>
    <w:rsid w:val="00A409A2"/>
    <w:rsid w:val="00A4148D"/>
    <w:rsid w:val="00A423B9"/>
    <w:rsid w:val="00A426B9"/>
    <w:rsid w:val="00A44D0E"/>
    <w:rsid w:val="00A4621D"/>
    <w:rsid w:val="00A509FB"/>
    <w:rsid w:val="00A51715"/>
    <w:rsid w:val="00A518D6"/>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843"/>
    <w:rsid w:val="00A56D0B"/>
    <w:rsid w:val="00A56FFA"/>
    <w:rsid w:val="00A5775C"/>
    <w:rsid w:val="00A60878"/>
    <w:rsid w:val="00A60E72"/>
    <w:rsid w:val="00A61F0C"/>
    <w:rsid w:val="00A61FBC"/>
    <w:rsid w:val="00A61FF0"/>
    <w:rsid w:val="00A62580"/>
    <w:rsid w:val="00A62E1C"/>
    <w:rsid w:val="00A63AC9"/>
    <w:rsid w:val="00A64502"/>
    <w:rsid w:val="00A64AFC"/>
    <w:rsid w:val="00A64B5F"/>
    <w:rsid w:val="00A65A28"/>
    <w:rsid w:val="00A65EA0"/>
    <w:rsid w:val="00A66517"/>
    <w:rsid w:val="00A67B0E"/>
    <w:rsid w:val="00A718EF"/>
    <w:rsid w:val="00A71BFE"/>
    <w:rsid w:val="00A72134"/>
    <w:rsid w:val="00A7229D"/>
    <w:rsid w:val="00A726A8"/>
    <w:rsid w:val="00A72951"/>
    <w:rsid w:val="00A73505"/>
    <w:rsid w:val="00A75E02"/>
    <w:rsid w:val="00A760CE"/>
    <w:rsid w:val="00A76E79"/>
    <w:rsid w:val="00A7771B"/>
    <w:rsid w:val="00A77B53"/>
    <w:rsid w:val="00A811F1"/>
    <w:rsid w:val="00A82887"/>
    <w:rsid w:val="00A83010"/>
    <w:rsid w:val="00A83BF5"/>
    <w:rsid w:val="00A84654"/>
    <w:rsid w:val="00A84CD1"/>
    <w:rsid w:val="00A85E2E"/>
    <w:rsid w:val="00A861F3"/>
    <w:rsid w:val="00A8728F"/>
    <w:rsid w:val="00A8756A"/>
    <w:rsid w:val="00A87F7D"/>
    <w:rsid w:val="00A906B7"/>
    <w:rsid w:val="00A9070E"/>
    <w:rsid w:val="00A91F7C"/>
    <w:rsid w:val="00A92DD4"/>
    <w:rsid w:val="00A94D0F"/>
    <w:rsid w:val="00A94E06"/>
    <w:rsid w:val="00A94F13"/>
    <w:rsid w:val="00A9568C"/>
    <w:rsid w:val="00A95BED"/>
    <w:rsid w:val="00A95EA2"/>
    <w:rsid w:val="00A97350"/>
    <w:rsid w:val="00A9787E"/>
    <w:rsid w:val="00A97AF9"/>
    <w:rsid w:val="00AA08E8"/>
    <w:rsid w:val="00AA0DB4"/>
    <w:rsid w:val="00AA11C5"/>
    <w:rsid w:val="00AA17E2"/>
    <w:rsid w:val="00AA21B7"/>
    <w:rsid w:val="00AA3827"/>
    <w:rsid w:val="00AA382D"/>
    <w:rsid w:val="00AA4A2C"/>
    <w:rsid w:val="00AA59A6"/>
    <w:rsid w:val="00AA6299"/>
    <w:rsid w:val="00AA6E05"/>
    <w:rsid w:val="00AA7224"/>
    <w:rsid w:val="00AA7497"/>
    <w:rsid w:val="00AB0262"/>
    <w:rsid w:val="00AB0EB0"/>
    <w:rsid w:val="00AB12C8"/>
    <w:rsid w:val="00AB14A1"/>
    <w:rsid w:val="00AB202A"/>
    <w:rsid w:val="00AB5324"/>
    <w:rsid w:val="00AB5555"/>
    <w:rsid w:val="00AB55AD"/>
    <w:rsid w:val="00AB5D1B"/>
    <w:rsid w:val="00AB6918"/>
    <w:rsid w:val="00AB6B40"/>
    <w:rsid w:val="00AB740A"/>
    <w:rsid w:val="00AC1DA5"/>
    <w:rsid w:val="00AC216B"/>
    <w:rsid w:val="00AC26B1"/>
    <w:rsid w:val="00AC42B8"/>
    <w:rsid w:val="00AC42C4"/>
    <w:rsid w:val="00AC45C5"/>
    <w:rsid w:val="00AC4791"/>
    <w:rsid w:val="00AC4F06"/>
    <w:rsid w:val="00AC4FB6"/>
    <w:rsid w:val="00AC4FD1"/>
    <w:rsid w:val="00AC5FEF"/>
    <w:rsid w:val="00AC6036"/>
    <w:rsid w:val="00AC65DC"/>
    <w:rsid w:val="00AC6846"/>
    <w:rsid w:val="00AC6F04"/>
    <w:rsid w:val="00AC72A9"/>
    <w:rsid w:val="00AD0328"/>
    <w:rsid w:val="00AD11DC"/>
    <w:rsid w:val="00AD1966"/>
    <w:rsid w:val="00AD19E8"/>
    <w:rsid w:val="00AD1E4C"/>
    <w:rsid w:val="00AD2672"/>
    <w:rsid w:val="00AD2B03"/>
    <w:rsid w:val="00AD2E07"/>
    <w:rsid w:val="00AD2E1F"/>
    <w:rsid w:val="00AD38A9"/>
    <w:rsid w:val="00AD3D15"/>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262"/>
    <w:rsid w:val="00AE327F"/>
    <w:rsid w:val="00AE380E"/>
    <w:rsid w:val="00AE3AAD"/>
    <w:rsid w:val="00AE4189"/>
    <w:rsid w:val="00AE503A"/>
    <w:rsid w:val="00AE68E2"/>
    <w:rsid w:val="00AE70F0"/>
    <w:rsid w:val="00AF0157"/>
    <w:rsid w:val="00AF1B2E"/>
    <w:rsid w:val="00AF2A9B"/>
    <w:rsid w:val="00AF2EC7"/>
    <w:rsid w:val="00AF3AC0"/>
    <w:rsid w:val="00AF4F4A"/>
    <w:rsid w:val="00B00C24"/>
    <w:rsid w:val="00B00F93"/>
    <w:rsid w:val="00B011E0"/>
    <w:rsid w:val="00B0146B"/>
    <w:rsid w:val="00B01BBE"/>
    <w:rsid w:val="00B02864"/>
    <w:rsid w:val="00B03F92"/>
    <w:rsid w:val="00B04755"/>
    <w:rsid w:val="00B055D8"/>
    <w:rsid w:val="00B063C5"/>
    <w:rsid w:val="00B06CD6"/>
    <w:rsid w:val="00B06EBC"/>
    <w:rsid w:val="00B11D2D"/>
    <w:rsid w:val="00B12233"/>
    <w:rsid w:val="00B123F0"/>
    <w:rsid w:val="00B12891"/>
    <w:rsid w:val="00B146C1"/>
    <w:rsid w:val="00B146E7"/>
    <w:rsid w:val="00B156DF"/>
    <w:rsid w:val="00B15ABB"/>
    <w:rsid w:val="00B15D02"/>
    <w:rsid w:val="00B16973"/>
    <w:rsid w:val="00B2036A"/>
    <w:rsid w:val="00B21057"/>
    <w:rsid w:val="00B2202B"/>
    <w:rsid w:val="00B23422"/>
    <w:rsid w:val="00B24948"/>
    <w:rsid w:val="00B24CBD"/>
    <w:rsid w:val="00B25CA3"/>
    <w:rsid w:val="00B27C30"/>
    <w:rsid w:val="00B30028"/>
    <w:rsid w:val="00B305D5"/>
    <w:rsid w:val="00B31E8D"/>
    <w:rsid w:val="00B3313B"/>
    <w:rsid w:val="00B331E8"/>
    <w:rsid w:val="00B331EA"/>
    <w:rsid w:val="00B34732"/>
    <w:rsid w:val="00B350A6"/>
    <w:rsid w:val="00B353B8"/>
    <w:rsid w:val="00B35C56"/>
    <w:rsid w:val="00B36F17"/>
    <w:rsid w:val="00B372ED"/>
    <w:rsid w:val="00B40603"/>
    <w:rsid w:val="00B40AF6"/>
    <w:rsid w:val="00B41071"/>
    <w:rsid w:val="00B415F6"/>
    <w:rsid w:val="00B425C0"/>
    <w:rsid w:val="00B42DB6"/>
    <w:rsid w:val="00B457BB"/>
    <w:rsid w:val="00B46957"/>
    <w:rsid w:val="00B47B54"/>
    <w:rsid w:val="00B50E99"/>
    <w:rsid w:val="00B51926"/>
    <w:rsid w:val="00B51F9A"/>
    <w:rsid w:val="00B533EE"/>
    <w:rsid w:val="00B54DA7"/>
    <w:rsid w:val="00B57571"/>
    <w:rsid w:val="00B600C6"/>
    <w:rsid w:val="00B60167"/>
    <w:rsid w:val="00B6086D"/>
    <w:rsid w:val="00B60FC0"/>
    <w:rsid w:val="00B61665"/>
    <w:rsid w:val="00B61705"/>
    <w:rsid w:val="00B6213C"/>
    <w:rsid w:val="00B62145"/>
    <w:rsid w:val="00B63528"/>
    <w:rsid w:val="00B63DAF"/>
    <w:rsid w:val="00B63E98"/>
    <w:rsid w:val="00B65754"/>
    <w:rsid w:val="00B6578B"/>
    <w:rsid w:val="00B661AA"/>
    <w:rsid w:val="00B66242"/>
    <w:rsid w:val="00B670D3"/>
    <w:rsid w:val="00B67958"/>
    <w:rsid w:val="00B701D1"/>
    <w:rsid w:val="00B716BB"/>
    <w:rsid w:val="00B716FD"/>
    <w:rsid w:val="00B734C2"/>
    <w:rsid w:val="00B73BDA"/>
    <w:rsid w:val="00B74053"/>
    <w:rsid w:val="00B747E8"/>
    <w:rsid w:val="00B765A0"/>
    <w:rsid w:val="00B76C02"/>
    <w:rsid w:val="00B77207"/>
    <w:rsid w:val="00B77BD2"/>
    <w:rsid w:val="00B80030"/>
    <w:rsid w:val="00B814CB"/>
    <w:rsid w:val="00B81B6A"/>
    <w:rsid w:val="00B820F4"/>
    <w:rsid w:val="00B82A2F"/>
    <w:rsid w:val="00B830B8"/>
    <w:rsid w:val="00B835E0"/>
    <w:rsid w:val="00B8396D"/>
    <w:rsid w:val="00B83B9D"/>
    <w:rsid w:val="00B85AB3"/>
    <w:rsid w:val="00B862CE"/>
    <w:rsid w:val="00B863FB"/>
    <w:rsid w:val="00B90316"/>
    <w:rsid w:val="00B90331"/>
    <w:rsid w:val="00B903ED"/>
    <w:rsid w:val="00B90700"/>
    <w:rsid w:val="00B90B2D"/>
    <w:rsid w:val="00B91F0E"/>
    <w:rsid w:val="00B935A1"/>
    <w:rsid w:val="00B94F5B"/>
    <w:rsid w:val="00B95DAD"/>
    <w:rsid w:val="00B96C0C"/>
    <w:rsid w:val="00B96CBE"/>
    <w:rsid w:val="00B9734D"/>
    <w:rsid w:val="00B97732"/>
    <w:rsid w:val="00B97D27"/>
    <w:rsid w:val="00BA27F4"/>
    <w:rsid w:val="00BA2E40"/>
    <w:rsid w:val="00BA3CB7"/>
    <w:rsid w:val="00BA41DE"/>
    <w:rsid w:val="00BA45A3"/>
    <w:rsid w:val="00BA4EB7"/>
    <w:rsid w:val="00BA535C"/>
    <w:rsid w:val="00BA556C"/>
    <w:rsid w:val="00BA6A44"/>
    <w:rsid w:val="00BA7EB2"/>
    <w:rsid w:val="00BB0F31"/>
    <w:rsid w:val="00BB15AB"/>
    <w:rsid w:val="00BB189B"/>
    <w:rsid w:val="00BB1D21"/>
    <w:rsid w:val="00BB2E51"/>
    <w:rsid w:val="00BB2FA5"/>
    <w:rsid w:val="00BB4BEA"/>
    <w:rsid w:val="00BB4C1A"/>
    <w:rsid w:val="00BB50AB"/>
    <w:rsid w:val="00BB6664"/>
    <w:rsid w:val="00BC01FC"/>
    <w:rsid w:val="00BC1F79"/>
    <w:rsid w:val="00BC2201"/>
    <w:rsid w:val="00BC36CA"/>
    <w:rsid w:val="00BC3AC7"/>
    <w:rsid w:val="00BC3C7A"/>
    <w:rsid w:val="00BC5D17"/>
    <w:rsid w:val="00BC6832"/>
    <w:rsid w:val="00BC7DC6"/>
    <w:rsid w:val="00BD1039"/>
    <w:rsid w:val="00BD13B5"/>
    <w:rsid w:val="00BD243E"/>
    <w:rsid w:val="00BD2EFC"/>
    <w:rsid w:val="00BD340E"/>
    <w:rsid w:val="00BD4B0C"/>
    <w:rsid w:val="00BD60AD"/>
    <w:rsid w:val="00BD6C02"/>
    <w:rsid w:val="00BE09CF"/>
    <w:rsid w:val="00BE1244"/>
    <w:rsid w:val="00BE165D"/>
    <w:rsid w:val="00BE2356"/>
    <w:rsid w:val="00BE2394"/>
    <w:rsid w:val="00BE2702"/>
    <w:rsid w:val="00BE4326"/>
    <w:rsid w:val="00BE5C65"/>
    <w:rsid w:val="00BE5F4F"/>
    <w:rsid w:val="00BE60DB"/>
    <w:rsid w:val="00BE72AF"/>
    <w:rsid w:val="00BE7358"/>
    <w:rsid w:val="00BF0191"/>
    <w:rsid w:val="00BF1013"/>
    <w:rsid w:val="00BF13EC"/>
    <w:rsid w:val="00BF1C07"/>
    <w:rsid w:val="00BF27C6"/>
    <w:rsid w:val="00BF3DEE"/>
    <w:rsid w:val="00BF54AC"/>
    <w:rsid w:val="00BF54BD"/>
    <w:rsid w:val="00BF6B8E"/>
    <w:rsid w:val="00BF7817"/>
    <w:rsid w:val="00C025A5"/>
    <w:rsid w:val="00C031A7"/>
    <w:rsid w:val="00C03C78"/>
    <w:rsid w:val="00C04FD3"/>
    <w:rsid w:val="00C058AB"/>
    <w:rsid w:val="00C065A2"/>
    <w:rsid w:val="00C07919"/>
    <w:rsid w:val="00C103F9"/>
    <w:rsid w:val="00C104AC"/>
    <w:rsid w:val="00C110E1"/>
    <w:rsid w:val="00C1198F"/>
    <w:rsid w:val="00C11FA1"/>
    <w:rsid w:val="00C12E21"/>
    <w:rsid w:val="00C12E65"/>
    <w:rsid w:val="00C13C20"/>
    <w:rsid w:val="00C13ED1"/>
    <w:rsid w:val="00C13F74"/>
    <w:rsid w:val="00C146D3"/>
    <w:rsid w:val="00C16953"/>
    <w:rsid w:val="00C16BE0"/>
    <w:rsid w:val="00C21335"/>
    <w:rsid w:val="00C21C39"/>
    <w:rsid w:val="00C2325C"/>
    <w:rsid w:val="00C239ED"/>
    <w:rsid w:val="00C24D9D"/>
    <w:rsid w:val="00C24FF2"/>
    <w:rsid w:val="00C25CF3"/>
    <w:rsid w:val="00C263E9"/>
    <w:rsid w:val="00C26B18"/>
    <w:rsid w:val="00C2775A"/>
    <w:rsid w:val="00C30410"/>
    <w:rsid w:val="00C3052C"/>
    <w:rsid w:val="00C3063A"/>
    <w:rsid w:val="00C30BAD"/>
    <w:rsid w:val="00C31E8F"/>
    <w:rsid w:val="00C335DA"/>
    <w:rsid w:val="00C33D3E"/>
    <w:rsid w:val="00C362E0"/>
    <w:rsid w:val="00C36ED4"/>
    <w:rsid w:val="00C376CC"/>
    <w:rsid w:val="00C400F7"/>
    <w:rsid w:val="00C4023F"/>
    <w:rsid w:val="00C40EC6"/>
    <w:rsid w:val="00C419AD"/>
    <w:rsid w:val="00C41B5F"/>
    <w:rsid w:val="00C4372E"/>
    <w:rsid w:val="00C437BA"/>
    <w:rsid w:val="00C44395"/>
    <w:rsid w:val="00C443B3"/>
    <w:rsid w:val="00C45CE8"/>
    <w:rsid w:val="00C46313"/>
    <w:rsid w:val="00C46877"/>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69A"/>
    <w:rsid w:val="00C53A4C"/>
    <w:rsid w:val="00C5448D"/>
    <w:rsid w:val="00C5477F"/>
    <w:rsid w:val="00C547B7"/>
    <w:rsid w:val="00C54981"/>
    <w:rsid w:val="00C5503B"/>
    <w:rsid w:val="00C55A32"/>
    <w:rsid w:val="00C564F2"/>
    <w:rsid w:val="00C56F11"/>
    <w:rsid w:val="00C61F3A"/>
    <w:rsid w:val="00C62447"/>
    <w:rsid w:val="00C629CB"/>
    <w:rsid w:val="00C62B75"/>
    <w:rsid w:val="00C62CB1"/>
    <w:rsid w:val="00C657B5"/>
    <w:rsid w:val="00C661E1"/>
    <w:rsid w:val="00C66686"/>
    <w:rsid w:val="00C66E4E"/>
    <w:rsid w:val="00C678C4"/>
    <w:rsid w:val="00C71215"/>
    <w:rsid w:val="00C71632"/>
    <w:rsid w:val="00C7216B"/>
    <w:rsid w:val="00C723C6"/>
    <w:rsid w:val="00C727BE"/>
    <w:rsid w:val="00C72B5C"/>
    <w:rsid w:val="00C732A9"/>
    <w:rsid w:val="00C73448"/>
    <w:rsid w:val="00C73E2E"/>
    <w:rsid w:val="00C74546"/>
    <w:rsid w:val="00C748E2"/>
    <w:rsid w:val="00C75C8C"/>
    <w:rsid w:val="00C75EC2"/>
    <w:rsid w:val="00C7776C"/>
    <w:rsid w:val="00C7778C"/>
    <w:rsid w:val="00C77B0D"/>
    <w:rsid w:val="00C81618"/>
    <w:rsid w:val="00C837BD"/>
    <w:rsid w:val="00C8398D"/>
    <w:rsid w:val="00C84BC2"/>
    <w:rsid w:val="00C85139"/>
    <w:rsid w:val="00C8544F"/>
    <w:rsid w:val="00C85657"/>
    <w:rsid w:val="00C859AA"/>
    <w:rsid w:val="00C85A50"/>
    <w:rsid w:val="00C90770"/>
    <w:rsid w:val="00C91C88"/>
    <w:rsid w:val="00C93516"/>
    <w:rsid w:val="00C939C3"/>
    <w:rsid w:val="00C94228"/>
    <w:rsid w:val="00C96D56"/>
    <w:rsid w:val="00C97356"/>
    <w:rsid w:val="00C977E6"/>
    <w:rsid w:val="00CA0020"/>
    <w:rsid w:val="00CA07B2"/>
    <w:rsid w:val="00CA0B2E"/>
    <w:rsid w:val="00CA18CA"/>
    <w:rsid w:val="00CA254A"/>
    <w:rsid w:val="00CA2557"/>
    <w:rsid w:val="00CA5413"/>
    <w:rsid w:val="00CA5674"/>
    <w:rsid w:val="00CA5BDA"/>
    <w:rsid w:val="00CA5C1A"/>
    <w:rsid w:val="00CA612D"/>
    <w:rsid w:val="00CA633F"/>
    <w:rsid w:val="00CA641E"/>
    <w:rsid w:val="00CA7558"/>
    <w:rsid w:val="00CA785F"/>
    <w:rsid w:val="00CA792A"/>
    <w:rsid w:val="00CA7949"/>
    <w:rsid w:val="00CA7D9A"/>
    <w:rsid w:val="00CA7EFE"/>
    <w:rsid w:val="00CB0400"/>
    <w:rsid w:val="00CB0C6E"/>
    <w:rsid w:val="00CB0C89"/>
    <w:rsid w:val="00CB226B"/>
    <w:rsid w:val="00CB229B"/>
    <w:rsid w:val="00CB33B4"/>
    <w:rsid w:val="00CB3D93"/>
    <w:rsid w:val="00CB4441"/>
    <w:rsid w:val="00CB4B1A"/>
    <w:rsid w:val="00CB4E1F"/>
    <w:rsid w:val="00CB79D4"/>
    <w:rsid w:val="00CC152E"/>
    <w:rsid w:val="00CC2493"/>
    <w:rsid w:val="00CC3222"/>
    <w:rsid w:val="00CC35F1"/>
    <w:rsid w:val="00CC35FF"/>
    <w:rsid w:val="00CD0E6E"/>
    <w:rsid w:val="00CD18B4"/>
    <w:rsid w:val="00CD23AE"/>
    <w:rsid w:val="00CD24F9"/>
    <w:rsid w:val="00CD27DF"/>
    <w:rsid w:val="00CD2D8A"/>
    <w:rsid w:val="00CD3BAC"/>
    <w:rsid w:val="00CD3FF2"/>
    <w:rsid w:val="00CD4A65"/>
    <w:rsid w:val="00CD531F"/>
    <w:rsid w:val="00CD6FA3"/>
    <w:rsid w:val="00CD7021"/>
    <w:rsid w:val="00CD7221"/>
    <w:rsid w:val="00CD7CF6"/>
    <w:rsid w:val="00CE03BC"/>
    <w:rsid w:val="00CE1130"/>
    <w:rsid w:val="00CE2184"/>
    <w:rsid w:val="00CE3B7F"/>
    <w:rsid w:val="00CE3FA2"/>
    <w:rsid w:val="00CE41A0"/>
    <w:rsid w:val="00CE4958"/>
    <w:rsid w:val="00CE68E2"/>
    <w:rsid w:val="00CE706E"/>
    <w:rsid w:val="00CE70B1"/>
    <w:rsid w:val="00CE7AE4"/>
    <w:rsid w:val="00CF0A4C"/>
    <w:rsid w:val="00CF150A"/>
    <w:rsid w:val="00CF2225"/>
    <w:rsid w:val="00CF25E7"/>
    <w:rsid w:val="00CF354E"/>
    <w:rsid w:val="00CF3871"/>
    <w:rsid w:val="00CF3C77"/>
    <w:rsid w:val="00CF45A2"/>
    <w:rsid w:val="00CF52E7"/>
    <w:rsid w:val="00CF64B5"/>
    <w:rsid w:val="00CF7853"/>
    <w:rsid w:val="00CF7F87"/>
    <w:rsid w:val="00D004ED"/>
    <w:rsid w:val="00D0260F"/>
    <w:rsid w:val="00D03708"/>
    <w:rsid w:val="00D04C51"/>
    <w:rsid w:val="00D05C58"/>
    <w:rsid w:val="00D06776"/>
    <w:rsid w:val="00D06E46"/>
    <w:rsid w:val="00D06F95"/>
    <w:rsid w:val="00D07716"/>
    <w:rsid w:val="00D07F88"/>
    <w:rsid w:val="00D1158C"/>
    <w:rsid w:val="00D11600"/>
    <w:rsid w:val="00D119A2"/>
    <w:rsid w:val="00D11ED0"/>
    <w:rsid w:val="00D12E31"/>
    <w:rsid w:val="00D137F9"/>
    <w:rsid w:val="00D1458C"/>
    <w:rsid w:val="00D1620E"/>
    <w:rsid w:val="00D16867"/>
    <w:rsid w:val="00D16EEC"/>
    <w:rsid w:val="00D2047A"/>
    <w:rsid w:val="00D20631"/>
    <w:rsid w:val="00D207FC"/>
    <w:rsid w:val="00D216EB"/>
    <w:rsid w:val="00D2260B"/>
    <w:rsid w:val="00D22889"/>
    <w:rsid w:val="00D22D49"/>
    <w:rsid w:val="00D231FD"/>
    <w:rsid w:val="00D23930"/>
    <w:rsid w:val="00D23A23"/>
    <w:rsid w:val="00D24D8A"/>
    <w:rsid w:val="00D24DA4"/>
    <w:rsid w:val="00D25235"/>
    <w:rsid w:val="00D25383"/>
    <w:rsid w:val="00D25670"/>
    <w:rsid w:val="00D2597B"/>
    <w:rsid w:val="00D301FF"/>
    <w:rsid w:val="00D30EF8"/>
    <w:rsid w:val="00D31AA5"/>
    <w:rsid w:val="00D3257F"/>
    <w:rsid w:val="00D340E2"/>
    <w:rsid w:val="00D34B38"/>
    <w:rsid w:val="00D36887"/>
    <w:rsid w:val="00D3745D"/>
    <w:rsid w:val="00D37563"/>
    <w:rsid w:val="00D379EB"/>
    <w:rsid w:val="00D400B8"/>
    <w:rsid w:val="00D4022C"/>
    <w:rsid w:val="00D41023"/>
    <w:rsid w:val="00D41C6C"/>
    <w:rsid w:val="00D42465"/>
    <w:rsid w:val="00D42E5B"/>
    <w:rsid w:val="00D439D1"/>
    <w:rsid w:val="00D43C68"/>
    <w:rsid w:val="00D444B2"/>
    <w:rsid w:val="00D453E4"/>
    <w:rsid w:val="00D47226"/>
    <w:rsid w:val="00D47227"/>
    <w:rsid w:val="00D506BB"/>
    <w:rsid w:val="00D50B21"/>
    <w:rsid w:val="00D51349"/>
    <w:rsid w:val="00D52711"/>
    <w:rsid w:val="00D527AF"/>
    <w:rsid w:val="00D529E1"/>
    <w:rsid w:val="00D534C2"/>
    <w:rsid w:val="00D5410F"/>
    <w:rsid w:val="00D546BD"/>
    <w:rsid w:val="00D564DF"/>
    <w:rsid w:val="00D576DD"/>
    <w:rsid w:val="00D57AE8"/>
    <w:rsid w:val="00D57CB4"/>
    <w:rsid w:val="00D61477"/>
    <w:rsid w:val="00D619E2"/>
    <w:rsid w:val="00D62036"/>
    <w:rsid w:val="00D620CC"/>
    <w:rsid w:val="00D634B8"/>
    <w:rsid w:val="00D63EF3"/>
    <w:rsid w:val="00D64441"/>
    <w:rsid w:val="00D64DDC"/>
    <w:rsid w:val="00D64FB0"/>
    <w:rsid w:val="00D65497"/>
    <w:rsid w:val="00D654DA"/>
    <w:rsid w:val="00D6609E"/>
    <w:rsid w:val="00D67A9F"/>
    <w:rsid w:val="00D67C20"/>
    <w:rsid w:val="00D705D2"/>
    <w:rsid w:val="00D70AF8"/>
    <w:rsid w:val="00D70C1B"/>
    <w:rsid w:val="00D70E5C"/>
    <w:rsid w:val="00D71371"/>
    <w:rsid w:val="00D7146C"/>
    <w:rsid w:val="00D718CD"/>
    <w:rsid w:val="00D720AF"/>
    <w:rsid w:val="00D7416F"/>
    <w:rsid w:val="00D755F2"/>
    <w:rsid w:val="00D762AC"/>
    <w:rsid w:val="00D775E7"/>
    <w:rsid w:val="00D77B9E"/>
    <w:rsid w:val="00D77FE1"/>
    <w:rsid w:val="00D804B7"/>
    <w:rsid w:val="00D81CA9"/>
    <w:rsid w:val="00D839D8"/>
    <w:rsid w:val="00D83F9E"/>
    <w:rsid w:val="00D840C2"/>
    <w:rsid w:val="00D84562"/>
    <w:rsid w:val="00D84C58"/>
    <w:rsid w:val="00D85C16"/>
    <w:rsid w:val="00D86169"/>
    <w:rsid w:val="00D868B9"/>
    <w:rsid w:val="00D8732E"/>
    <w:rsid w:val="00D87E63"/>
    <w:rsid w:val="00D91294"/>
    <w:rsid w:val="00D9186A"/>
    <w:rsid w:val="00D92D47"/>
    <w:rsid w:val="00D93CB3"/>
    <w:rsid w:val="00D94213"/>
    <w:rsid w:val="00D94BEB"/>
    <w:rsid w:val="00D94EA5"/>
    <w:rsid w:val="00D95F32"/>
    <w:rsid w:val="00D9762A"/>
    <w:rsid w:val="00DA024A"/>
    <w:rsid w:val="00DA07EE"/>
    <w:rsid w:val="00DA0A58"/>
    <w:rsid w:val="00DA1C85"/>
    <w:rsid w:val="00DA1CC9"/>
    <w:rsid w:val="00DA2E58"/>
    <w:rsid w:val="00DA328E"/>
    <w:rsid w:val="00DA3AA6"/>
    <w:rsid w:val="00DA46C1"/>
    <w:rsid w:val="00DA4E5A"/>
    <w:rsid w:val="00DA70DD"/>
    <w:rsid w:val="00DB088F"/>
    <w:rsid w:val="00DB0B4A"/>
    <w:rsid w:val="00DB1487"/>
    <w:rsid w:val="00DB19B4"/>
    <w:rsid w:val="00DB19F1"/>
    <w:rsid w:val="00DB26AE"/>
    <w:rsid w:val="00DB4411"/>
    <w:rsid w:val="00DB466D"/>
    <w:rsid w:val="00DB5FD0"/>
    <w:rsid w:val="00DB7395"/>
    <w:rsid w:val="00DB75C2"/>
    <w:rsid w:val="00DB7E13"/>
    <w:rsid w:val="00DB7E2C"/>
    <w:rsid w:val="00DC027B"/>
    <w:rsid w:val="00DC0A64"/>
    <w:rsid w:val="00DC0FC4"/>
    <w:rsid w:val="00DC1B9A"/>
    <w:rsid w:val="00DC2344"/>
    <w:rsid w:val="00DC2E4F"/>
    <w:rsid w:val="00DC384C"/>
    <w:rsid w:val="00DC40C4"/>
    <w:rsid w:val="00DC4AFD"/>
    <w:rsid w:val="00DC4D87"/>
    <w:rsid w:val="00DC4D8A"/>
    <w:rsid w:val="00DC5D40"/>
    <w:rsid w:val="00DC6DF6"/>
    <w:rsid w:val="00DC7BFE"/>
    <w:rsid w:val="00DD08C7"/>
    <w:rsid w:val="00DD1A10"/>
    <w:rsid w:val="00DD200D"/>
    <w:rsid w:val="00DD2990"/>
    <w:rsid w:val="00DD2FE9"/>
    <w:rsid w:val="00DD3A7E"/>
    <w:rsid w:val="00DD434E"/>
    <w:rsid w:val="00DD4402"/>
    <w:rsid w:val="00DD60D0"/>
    <w:rsid w:val="00DD60E4"/>
    <w:rsid w:val="00DD6200"/>
    <w:rsid w:val="00DD686C"/>
    <w:rsid w:val="00DD6C02"/>
    <w:rsid w:val="00DD6E86"/>
    <w:rsid w:val="00DE0E5D"/>
    <w:rsid w:val="00DE447F"/>
    <w:rsid w:val="00DE48F0"/>
    <w:rsid w:val="00DE4A77"/>
    <w:rsid w:val="00DE51ED"/>
    <w:rsid w:val="00DE68EE"/>
    <w:rsid w:val="00DE6D24"/>
    <w:rsid w:val="00DE7285"/>
    <w:rsid w:val="00DE7C40"/>
    <w:rsid w:val="00DF04EE"/>
    <w:rsid w:val="00DF0EA5"/>
    <w:rsid w:val="00DF1F1D"/>
    <w:rsid w:val="00DF23A5"/>
    <w:rsid w:val="00DF2A60"/>
    <w:rsid w:val="00DF4C6E"/>
    <w:rsid w:val="00DF6666"/>
    <w:rsid w:val="00DF745E"/>
    <w:rsid w:val="00DF762E"/>
    <w:rsid w:val="00E0044E"/>
    <w:rsid w:val="00E00816"/>
    <w:rsid w:val="00E00C14"/>
    <w:rsid w:val="00E0239F"/>
    <w:rsid w:val="00E0267B"/>
    <w:rsid w:val="00E04441"/>
    <w:rsid w:val="00E04B61"/>
    <w:rsid w:val="00E05F03"/>
    <w:rsid w:val="00E06370"/>
    <w:rsid w:val="00E06B7B"/>
    <w:rsid w:val="00E06E20"/>
    <w:rsid w:val="00E078C4"/>
    <w:rsid w:val="00E07DD9"/>
    <w:rsid w:val="00E102F8"/>
    <w:rsid w:val="00E12FCF"/>
    <w:rsid w:val="00E13273"/>
    <w:rsid w:val="00E13379"/>
    <w:rsid w:val="00E134A8"/>
    <w:rsid w:val="00E139EE"/>
    <w:rsid w:val="00E14D83"/>
    <w:rsid w:val="00E14FA6"/>
    <w:rsid w:val="00E15A0D"/>
    <w:rsid w:val="00E16640"/>
    <w:rsid w:val="00E1740F"/>
    <w:rsid w:val="00E200CF"/>
    <w:rsid w:val="00E20879"/>
    <w:rsid w:val="00E216C4"/>
    <w:rsid w:val="00E24287"/>
    <w:rsid w:val="00E25992"/>
    <w:rsid w:val="00E26C20"/>
    <w:rsid w:val="00E27D6A"/>
    <w:rsid w:val="00E31367"/>
    <w:rsid w:val="00E3181C"/>
    <w:rsid w:val="00E32EF3"/>
    <w:rsid w:val="00E33E21"/>
    <w:rsid w:val="00E34BC4"/>
    <w:rsid w:val="00E3540C"/>
    <w:rsid w:val="00E36187"/>
    <w:rsid w:val="00E36332"/>
    <w:rsid w:val="00E36C9B"/>
    <w:rsid w:val="00E37638"/>
    <w:rsid w:val="00E37E9D"/>
    <w:rsid w:val="00E4170F"/>
    <w:rsid w:val="00E41B71"/>
    <w:rsid w:val="00E42569"/>
    <w:rsid w:val="00E434A0"/>
    <w:rsid w:val="00E44143"/>
    <w:rsid w:val="00E44D0F"/>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10E"/>
    <w:rsid w:val="00E60318"/>
    <w:rsid w:val="00E60BA8"/>
    <w:rsid w:val="00E61E25"/>
    <w:rsid w:val="00E61E28"/>
    <w:rsid w:val="00E62863"/>
    <w:rsid w:val="00E628E4"/>
    <w:rsid w:val="00E62907"/>
    <w:rsid w:val="00E6347A"/>
    <w:rsid w:val="00E63BF3"/>
    <w:rsid w:val="00E647F7"/>
    <w:rsid w:val="00E65FF5"/>
    <w:rsid w:val="00E66857"/>
    <w:rsid w:val="00E67556"/>
    <w:rsid w:val="00E71A4B"/>
    <w:rsid w:val="00E7252F"/>
    <w:rsid w:val="00E725C6"/>
    <w:rsid w:val="00E73DE2"/>
    <w:rsid w:val="00E73FC2"/>
    <w:rsid w:val="00E7419B"/>
    <w:rsid w:val="00E74481"/>
    <w:rsid w:val="00E74517"/>
    <w:rsid w:val="00E755D7"/>
    <w:rsid w:val="00E7566D"/>
    <w:rsid w:val="00E75962"/>
    <w:rsid w:val="00E7693A"/>
    <w:rsid w:val="00E76E91"/>
    <w:rsid w:val="00E774B4"/>
    <w:rsid w:val="00E77623"/>
    <w:rsid w:val="00E778F5"/>
    <w:rsid w:val="00E80E7C"/>
    <w:rsid w:val="00E81779"/>
    <w:rsid w:val="00E8205B"/>
    <w:rsid w:val="00E82444"/>
    <w:rsid w:val="00E826EC"/>
    <w:rsid w:val="00E8341C"/>
    <w:rsid w:val="00E85DD5"/>
    <w:rsid w:val="00E8602B"/>
    <w:rsid w:val="00E86B5F"/>
    <w:rsid w:val="00E87D05"/>
    <w:rsid w:val="00E9189F"/>
    <w:rsid w:val="00E91F96"/>
    <w:rsid w:val="00E92E99"/>
    <w:rsid w:val="00E968FD"/>
    <w:rsid w:val="00E96B8B"/>
    <w:rsid w:val="00E96D55"/>
    <w:rsid w:val="00E97404"/>
    <w:rsid w:val="00E97993"/>
    <w:rsid w:val="00EA0D5D"/>
    <w:rsid w:val="00EA1192"/>
    <w:rsid w:val="00EA153F"/>
    <w:rsid w:val="00EA2788"/>
    <w:rsid w:val="00EA2C6E"/>
    <w:rsid w:val="00EA4166"/>
    <w:rsid w:val="00EA4964"/>
    <w:rsid w:val="00EA4B8B"/>
    <w:rsid w:val="00EA4F1A"/>
    <w:rsid w:val="00EA4F2C"/>
    <w:rsid w:val="00EA5D56"/>
    <w:rsid w:val="00EA7471"/>
    <w:rsid w:val="00EB02DE"/>
    <w:rsid w:val="00EB0A07"/>
    <w:rsid w:val="00EB1B69"/>
    <w:rsid w:val="00EB1C78"/>
    <w:rsid w:val="00EB3B46"/>
    <w:rsid w:val="00EB4F08"/>
    <w:rsid w:val="00EB51BC"/>
    <w:rsid w:val="00EB6DEE"/>
    <w:rsid w:val="00EC020A"/>
    <w:rsid w:val="00EC19CB"/>
    <w:rsid w:val="00EC2A24"/>
    <w:rsid w:val="00EC2DB5"/>
    <w:rsid w:val="00EC2E07"/>
    <w:rsid w:val="00EC43C7"/>
    <w:rsid w:val="00EC465D"/>
    <w:rsid w:val="00EC4AE8"/>
    <w:rsid w:val="00EC5C89"/>
    <w:rsid w:val="00EC631F"/>
    <w:rsid w:val="00EC66D2"/>
    <w:rsid w:val="00EC67E7"/>
    <w:rsid w:val="00ED0073"/>
    <w:rsid w:val="00ED0A1B"/>
    <w:rsid w:val="00ED0D03"/>
    <w:rsid w:val="00ED15AD"/>
    <w:rsid w:val="00ED21BC"/>
    <w:rsid w:val="00ED26B6"/>
    <w:rsid w:val="00ED2E44"/>
    <w:rsid w:val="00ED2FEC"/>
    <w:rsid w:val="00ED3DB8"/>
    <w:rsid w:val="00ED3F67"/>
    <w:rsid w:val="00ED4087"/>
    <w:rsid w:val="00ED440A"/>
    <w:rsid w:val="00ED7971"/>
    <w:rsid w:val="00EE0748"/>
    <w:rsid w:val="00EE29A0"/>
    <w:rsid w:val="00EE2CEA"/>
    <w:rsid w:val="00EE3365"/>
    <w:rsid w:val="00EE489B"/>
    <w:rsid w:val="00EE48DF"/>
    <w:rsid w:val="00EE4AB3"/>
    <w:rsid w:val="00EE5222"/>
    <w:rsid w:val="00EE59F3"/>
    <w:rsid w:val="00EE6A45"/>
    <w:rsid w:val="00EE7405"/>
    <w:rsid w:val="00EF033E"/>
    <w:rsid w:val="00EF06EC"/>
    <w:rsid w:val="00EF14FF"/>
    <w:rsid w:val="00EF2BFE"/>
    <w:rsid w:val="00EF2D85"/>
    <w:rsid w:val="00EF402C"/>
    <w:rsid w:val="00EF45E0"/>
    <w:rsid w:val="00EF4E6F"/>
    <w:rsid w:val="00EF5C82"/>
    <w:rsid w:val="00EF6629"/>
    <w:rsid w:val="00EF7A15"/>
    <w:rsid w:val="00F01F8C"/>
    <w:rsid w:val="00F02CC6"/>
    <w:rsid w:val="00F035A6"/>
    <w:rsid w:val="00F04AD0"/>
    <w:rsid w:val="00F04C76"/>
    <w:rsid w:val="00F10033"/>
    <w:rsid w:val="00F10848"/>
    <w:rsid w:val="00F10B68"/>
    <w:rsid w:val="00F11BD0"/>
    <w:rsid w:val="00F11F55"/>
    <w:rsid w:val="00F12576"/>
    <w:rsid w:val="00F12D27"/>
    <w:rsid w:val="00F12DEC"/>
    <w:rsid w:val="00F13151"/>
    <w:rsid w:val="00F15523"/>
    <w:rsid w:val="00F16391"/>
    <w:rsid w:val="00F2062B"/>
    <w:rsid w:val="00F21A18"/>
    <w:rsid w:val="00F21E61"/>
    <w:rsid w:val="00F220EA"/>
    <w:rsid w:val="00F222CD"/>
    <w:rsid w:val="00F223D7"/>
    <w:rsid w:val="00F24068"/>
    <w:rsid w:val="00F24EA4"/>
    <w:rsid w:val="00F2625A"/>
    <w:rsid w:val="00F31A03"/>
    <w:rsid w:val="00F3283C"/>
    <w:rsid w:val="00F32D0F"/>
    <w:rsid w:val="00F343F0"/>
    <w:rsid w:val="00F34620"/>
    <w:rsid w:val="00F34AAB"/>
    <w:rsid w:val="00F34C4D"/>
    <w:rsid w:val="00F350CF"/>
    <w:rsid w:val="00F35582"/>
    <w:rsid w:val="00F3685A"/>
    <w:rsid w:val="00F36B62"/>
    <w:rsid w:val="00F37004"/>
    <w:rsid w:val="00F376A1"/>
    <w:rsid w:val="00F37B8E"/>
    <w:rsid w:val="00F41746"/>
    <w:rsid w:val="00F41E79"/>
    <w:rsid w:val="00F4315F"/>
    <w:rsid w:val="00F445F6"/>
    <w:rsid w:val="00F4512F"/>
    <w:rsid w:val="00F45763"/>
    <w:rsid w:val="00F45BCF"/>
    <w:rsid w:val="00F45BEA"/>
    <w:rsid w:val="00F45CFE"/>
    <w:rsid w:val="00F46877"/>
    <w:rsid w:val="00F46F48"/>
    <w:rsid w:val="00F47F3E"/>
    <w:rsid w:val="00F5087F"/>
    <w:rsid w:val="00F523D7"/>
    <w:rsid w:val="00F52CF3"/>
    <w:rsid w:val="00F530E6"/>
    <w:rsid w:val="00F532C7"/>
    <w:rsid w:val="00F537E0"/>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1FD"/>
    <w:rsid w:val="00F75415"/>
    <w:rsid w:val="00F773F9"/>
    <w:rsid w:val="00F7780A"/>
    <w:rsid w:val="00F8101C"/>
    <w:rsid w:val="00F817B9"/>
    <w:rsid w:val="00F81CB7"/>
    <w:rsid w:val="00F81F0C"/>
    <w:rsid w:val="00F8218B"/>
    <w:rsid w:val="00F82280"/>
    <w:rsid w:val="00F8235F"/>
    <w:rsid w:val="00F83A22"/>
    <w:rsid w:val="00F83A97"/>
    <w:rsid w:val="00F844F0"/>
    <w:rsid w:val="00F84895"/>
    <w:rsid w:val="00F84E9D"/>
    <w:rsid w:val="00F8659E"/>
    <w:rsid w:val="00F86CE4"/>
    <w:rsid w:val="00F86DB4"/>
    <w:rsid w:val="00F86F42"/>
    <w:rsid w:val="00F91941"/>
    <w:rsid w:val="00F92BEE"/>
    <w:rsid w:val="00F92E3F"/>
    <w:rsid w:val="00F938D2"/>
    <w:rsid w:val="00F93B89"/>
    <w:rsid w:val="00F93C0C"/>
    <w:rsid w:val="00F9430A"/>
    <w:rsid w:val="00F95739"/>
    <w:rsid w:val="00F96389"/>
    <w:rsid w:val="00F9650E"/>
    <w:rsid w:val="00F96B73"/>
    <w:rsid w:val="00F977C7"/>
    <w:rsid w:val="00FA001D"/>
    <w:rsid w:val="00FA0890"/>
    <w:rsid w:val="00FA127D"/>
    <w:rsid w:val="00FA164A"/>
    <w:rsid w:val="00FA3F3E"/>
    <w:rsid w:val="00FA4272"/>
    <w:rsid w:val="00FA4456"/>
    <w:rsid w:val="00FA46F1"/>
    <w:rsid w:val="00FA4855"/>
    <w:rsid w:val="00FA4ACD"/>
    <w:rsid w:val="00FA6428"/>
    <w:rsid w:val="00FA7040"/>
    <w:rsid w:val="00FA7144"/>
    <w:rsid w:val="00FA7184"/>
    <w:rsid w:val="00FB0CAE"/>
    <w:rsid w:val="00FB1653"/>
    <w:rsid w:val="00FB1D9D"/>
    <w:rsid w:val="00FB22D6"/>
    <w:rsid w:val="00FB2BCE"/>
    <w:rsid w:val="00FB3304"/>
    <w:rsid w:val="00FB386C"/>
    <w:rsid w:val="00FB46B8"/>
    <w:rsid w:val="00FB4B38"/>
    <w:rsid w:val="00FB54BB"/>
    <w:rsid w:val="00FB5AC0"/>
    <w:rsid w:val="00FB6897"/>
    <w:rsid w:val="00FB6C91"/>
    <w:rsid w:val="00FB6F38"/>
    <w:rsid w:val="00FB74E8"/>
    <w:rsid w:val="00FB7D78"/>
    <w:rsid w:val="00FC0263"/>
    <w:rsid w:val="00FC0348"/>
    <w:rsid w:val="00FC0FB5"/>
    <w:rsid w:val="00FC102A"/>
    <w:rsid w:val="00FC154C"/>
    <w:rsid w:val="00FC1DBC"/>
    <w:rsid w:val="00FC2637"/>
    <w:rsid w:val="00FC2A92"/>
    <w:rsid w:val="00FC2BF0"/>
    <w:rsid w:val="00FC393B"/>
    <w:rsid w:val="00FC4052"/>
    <w:rsid w:val="00FC4543"/>
    <w:rsid w:val="00FC5252"/>
    <w:rsid w:val="00FC6356"/>
    <w:rsid w:val="00FC7D01"/>
    <w:rsid w:val="00FD0130"/>
    <w:rsid w:val="00FD0373"/>
    <w:rsid w:val="00FD0582"/>
    <w:rsid w:val="00FD0C57"/>
    <w:rsid w:val="00FD0C93"/>
    <w:rsid w:val="00FD1062"/>
    <w:rsid w:val="00FD2589"/>
    <w:rsid w:val="00FD4876"/>
    <w:rsid w:val="00FD52A3"/>
    <w:rsid w:val="00FD6473"/>
    <w:rsid w:val="00FD68D4"/>
    <w:rsid w:val="00FE00D9"/>
    <w:rsid w:val="00FE1186"/>
    <w:rsid w:val="00FE1336"/>
    <w:rsid w:val="00FE177A"/>
    <w:rsid w:val="00FE2119"/>
    <w:rsid w:val="00FE2291"/>
    <w:rsid w:val="00FE240A"/>
    <w:rsid w:val="00FE297E"/>
    <w:rsid w:val="00FE3E3C"/>
    <w:rsid w:val="00FE43E7"/>
    <w:rsid w:val="00FE4B66"/>
    <w:rsid w:val="00FE4F6E"/>
    <w:rsid w:val="00FE583F"/>
    <w:rsid w:val="00FE5CC4"/>
    <w:rsid w:val="00FE6365"/>
    <w:rsid w:val="00FE6B13"/>
    <w:rsid w:val="00FE7575"/>
    <w:rsid w:val="00FF1070"/>
    <w:rsid w:val="00FF13E2"/>
    <w:rsid w:val="00FF1DA7"/>
    <w:rsid w:val="00FF2237"/>
    <w:rsid w:val="00FF4953"/>
    <w:rsid w:val="00FF524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A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B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link w:val="naisfChar"/>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araksta rindkopa1 Char"/>
    <w:link w:val="ListParagraph"/>
    <w:uiPriority w:val="34"/>
    <w:locked/>
    <w:rsid w:val="00742026"/>
    <w:rPr>
      <w:rFonts w:ascii="Calibri" w:hAnsi="Calibri"/>
      <w:sz w:val="22"/>
      <w:szCs w:val="22"/>
      <w:lang w:eastAsia="en-US"/>
    </w:rPr>
  </w:style>
  <w:style w:type="character" w:customStyle="1" w:styleId="normaltextrun">
    <w:name w:val="normaltextrun"/>
    <w:basedOn w:val="DefaultParagraphFont"/>
    <w:rsid w:val="00DA4E5A"/>
  </w:style>
  <w:style w:type="paragraph" w:styleId="NoSpacing">
    <w:name w:val="No Spacing"/>
    <w:uiPriority w:val="1"/>
    <w:qFormat/>
    <w:rsid w:val="00662AB7"/>
    <w:pPr>
      <w:widowControl w:val="0"/>
      <w:ind w:firstLine="720"/>
      <w:jc w:val="both"/>
    </w:pPr>
    <w:rPr>
      <w:sz w:val="26"/>
      <w:lang w:eastAsia="en-US"/>
    </w:rPr>
  </w:style>
  <w:style w:type="paragraph" w:customStyle="1" w:styleId="tv213">
    <w:name w:val="tv213"/>
    <w:basedOn w:val="Normal"/>
    <w:rsid w:val="001D7AE5"/>
    <w:pPr>
      <w:spacing w:before="100" w:beforeAutospacing="1" w:after="100" w:afterAutospacing="1"/>
    </w:pPr>
  </w:style>
  <w:style w:type="character" w:styleId="UnresolvedMention">
    <w:name w:val="Unresolved Mention"/>
    <w:basedOn w:val="DefaultParagraphFont"/>
    <w:uiPriority w:val="99"/>
    <w:semiHidden/>
    <w:unhideWhenUsed/>
    <w:rsid w:val="0074629D"/>
    <w:rPr>
      <w:color w:val="605E5C"/>
      <w:shd w:val="clear" w:color="auto" w:fill="E1DFDD"/>
    </w:rPr>
  </w:style>
  <w:style w:type="character" w:customStyle="1" w:styleId="naisfChar">
    <w:name w:val="naisf Char"/>
    <w:link w:val="naisf"/>
    <w:locked/>
    <w:rsid w:val="00562AEB"/>
    <w:rPr>
      <w:sz w:val="24"/>
      <w:szCs w:val="24"/>
    </w:rPr>
  </w:style>
  <w:style w:type="paragraph" w:customStyle="1" w:styleId="tv2121">
    <w:name w:val="tv2121"/>
    <w:basedOn w:val="Normal"/>
    <w:rsid w:val="00C85A50"/>
    <w:pPr>
      <w:spacing w:before="400" w:line="360" w:lineRule="auto"/>
      <w:jc w:val="center"/>
    </w:pPr>
    <w:rPr>
      <w:rFonts w:ascii="Verdana" w:hAnsi="Verdana"/>
      <w:b/>
      <w:bCs/>
      <w:sz w:val="20"/>
      <w:szCs w:val="20"/>
    </w:rPr>
  </w:style>
  <w:style w:type="character" w:customStyle="1" w:styleId="c1">
    <w:name w:val="c1"/>
    <w:rsid w:val="00C85A50"/>
    <w:rPr>
      <w:color w:val="FF0000"/>
    </w:rPr>
  </w:style>
  <w:style w:type="paragraph" w:customStyle="1" w:styleId="sti-art">
    <w:name w:val="sti-art"/>
    <w:basedOn w:val="Normal"/>
    <w:rsid w:val="00A64AFC"/>
    <w:pPr>
      <w:spacing w:before="6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1154">
      <w:bodyDiv w:val="1"/>
      <w:marLeft w:val="0"/>
      <w:marRight w:val="0"/>
      <w:marTop w:val="0"/>
      <w:marBottom w:val="0"/>
      <w:divBdr>
        <w:top w:val="none" w:sz="0" w:space="0" w:color="auto"/>
        <w:left w:val="none" w:sz="0" w:space="0" w:color="auto"/>
        <w:bottom w:val="none" w:sz="0" w:space="0" w:color="auto"/>
        <w:right w:val="none" w:sz="0" w:space="0" w:color="auto"/>
      </w:divBdr>
    </w:div>
    <w:div w:id="85074381">
      <w:bodyDiv w:val="1"/>
      <w:marLeft w:val="0"/>
      <w:marRight w:val="0"/>
      <w:marTop w:val="0"/>
      <w:marBottom w:val="0"/>
      <w:divBdr>
        <w:top w:val="none" w:sz="0" w:space="0" w:color="auto"/>
        <w:left w:val="none" w:sz="0" w:space="0" w:color="auto"/>
        <w:bottom w:val="none" w:sz="0" w:space="0" w:color="auto"/>
        <w:right w:val="none" w:sz="0" w:space="0" w:color="auto"/>
      </w:divBdr>
    </w:div>
    <w:div w:id="99955131">
      <w:bodyDiv w:val="1"/>
      <w:marLeft w:val="0"/>
      <w:marRight w:val="0"/>
      <w:marTop w:val="0"/>
      <w:marBottom w:val="0"/>
      <w:divBdr>
        <w:top w:val="none" w:sz="0" w:space="0" w:color="auto"/>
        <w:left w:val="none" w:sz="0" w:space="0" w:color="auto"/>
        <w:bottom w:val="none" w:sz="0" w:space="0" w:color="auto"/>
        <w:right w:val="none" w:sz="0" w:space="0" w:color="auto"/>
      </w:divBdr>
    </w:div>
    <w:div w:id="150759971">
      <w:bodyDiv w:val="1"/>
      <w:marLeft w:val="0"/>
      <w:marRight w:val="0"/>
      <w:marTop w:val="0"/>
      <w:marBottom w:val="0"/>
      <w:divBdr>
        <w:top w:val="none" w:sz="0" w:space="0" w:color="auto"/>
        <w:left w:val="none" w:sz="0" w:space="0" w:color="auto"/>
        <w:bottom w:val="none" w:sz="0" w:space="0" w:color="auto"/>
        <w:right w:val="none" w:sz="0" w:space="0" w:color="auto"/>
      </w:divBdr>
    </w:div>
    <w:div w:id="154687865">
      <w:bodyDiv w:val="1"/>
      <w:marLeft w:val="0"/>
      <w:marRight w:val="0"/>
      <w:marTop w:val="0"/>
      <w:marBottom w:val="0"/>
      <w:divBdr>
        <w:top w:val="none" w:sz="0" w:space="0" w:color="auto"/>
        <w:left w:val="none" w:sz="0" w:space="0" w:color="auto"/>
        <w:bottom w:val="none" w:sz="0" w:space="0" w:color="auto"/>
        <w:right w:val="none" w:sz="0" w:space="0" w:color="auto"/>
      </w:divBdr>
    </w:div>
    <w:div w:id="220679462">
      <w:bodyDiv w:val="1"/>
      <w:marLeft w:val="0"/>
      <w:marRight w:val="0"/>
      <w:marTop w:val="0"/>
      <w:marBottom w:val="0"/>
      <w:divBdr>
        <w:top w:val="none" w:sz="0" w:space="0" w:color="auto"/>
        <w:left w:val="none" w:sz="0" w:space="0" w:color="auto"/>
        <w:bottom w:val="none" w:sz="0" w:space="0" w:color="auto"/>
        <w:right w:val="none" w:sz="0" w:space="0" w:color="auto"/>
      </w:divBdr>
    </w:div>
    <w:div w:id="274866095">
      <w:bodyDiv w:val="1"/>
      <w:marLeft w:val="0"/>
      <w:marRight w:val="0"/>
      <w:marTop w:val="0"/>
      <w:marBottom w:val="0"/>
      <w:divBdr>
        <w:top w:val="none" w:sz="0" w:space="0" w:color="auto"/>
        <w:left w:val="none" w:sz="0" w:space="0" w:color="auto"/>
        <w:bottom w:val="none" w:sz="0" w:space="0" w:color="auto"/>
        <w:right w:val="none" w:sz="0" w:space="0" w:color="auto"/>
      </w:divBdr>
    </w:div>
    <w:div w:id="303311751">
      <w:bodyDiv w:val="1"/>
      <w:marLeft w:val="0"/>
      <w:marRight w:val="0"/>
      <w:marTop w:val="0"/>
      <w:marBottom w:val="0"/>
      <w:divBdr>
        <w:top w:val="none" w:sz="0" w:space="0" w:color="auto"/>
        <w:left w:val="none" w:sz="0" w:space="0" w:color="auto"/>
        <w:bottom w:val="none" w:sz="0" w:space="0" w:color="auto"/>
        <w:right w:val="none" w:sz="0" w:space="0" w:color="auto"/>
      </w:divBdr>
    </w:div>
    <w:div w:id="304087121">
      <w:bodyDiv w:val="1"/>
      <w:marLeft w:val="0"/>
      <w:marRight w:val="0"/>
      <w:marTop w:val="0"/>
      <w:marBottom w:val="0"/>
      <w:divBdr>
        <w:top w:val="none" w:sz="0" w:space="0" w:color="auto"/>
        <w:left w:val="none" w:sz="0" w:space="0" w:color="auto"/>
        <w:bottom w:val="none" w:sz="0" w:space="0" w:color="auto"/>
        <w:right w:val="none" w:sz="0" w:space="0" w:color="auto"/>
      </w:divBdr>
    </w:div>
    <w:div w:id="313677950">
      <w:bodyDiv w:val="1"/>
      <w:marLeft w:val="0"/>
      <w:marRight w:val="0"/>
      <w:marTop w:val="0"/>
      <w:marBottom w:val="0"/>
      <w:divBdr>
        <w:top w:val="none" w:sz="0" w:space="0" w:color="auto"/>
        <w:left w:val="none" w:sz="0" w:space="0" w:color="auto"/>
        <w:bottom w:val="none" w:sz="0" w:space="0" w:color="auto"/>
        <w:right w:val="none" w:sz="0" w:space="0" w:color="auto"/>
      </w:divBdr>
    </w:div>
    <w:div w:id="3148380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3884722">
      <w:bodyDiv w:val="1"/>
      <w:marLeft w:val="0"/>
      <w:marRight w:val="0"/>
      <w:marTop w:val="0"/>
      <w:marBottom w:val="0"/>
      <w:divBdr>
        <w:top w:val="none" w:sz="0" w:space="0" w:color="auto"/>
        <w:left w:val="none" w:sz="0" w:space="0" w:color="auto"/>
        <w:bottom w:val="none" w:sz="0" w:space="0" w:color="auto"/>
        <w:right w:val="none" w:sz="0" w:space="0" w:color="auto"/>
      </w:divBdr>
    </w:div>
    <w:div w:id="59398110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745202">
      <w:bodyDiv w:val="1"/>
      <w:marLeft w:val="0"/>
      <w:marRight w:val="0"/>
      <w:marTop w:val="0"/>
      <w:marBottom w:val="0"/>
      <w:divBdr>
        <w:top w:val="none" w:sz="0" w:space="0" w:color="auto"/>
        <w:left w:val="none" w:sz="0" w:space="0" w:color="auto"/>
        <w:bottom w:val="none" w:sz="0" w:space="0" w:color="auto"/>
        <w:right w:val="none" w:sz="0" w:space="0" w:color="auto"/>
      </w:divBdr>
    </w:div>
    <w:div w:id="712384785">
      <w:bodyDiv w:val="1"/>
      <w:marLeft w:val="0"/>
      <w:marRight w:val="0"/>
      <w:marTop w:val="0"/>
      <w:marBottom w:val="0"/>
      <w:divBdr>
        <w:top w:val="none" w:sz="0" w:space="0" w:color="auto"/>
        <w:left w:val="none" w:sz="0" w:space="0" w:color="auto"/>
        <w:bottom w:val="none" w:sz="0" w:space="0" w:color="auto"/>
        <w:right w:val="none" w:sz="0" w:space="0" w:color="auto"/>
      </w:divBdr>
    </w:div>
    <w:div w:id="784809139">
      <w:bodyDiv w:val="1"/>
      <w:marLeft w:val="0"/>
      <w:marRight w:val="0"/>
      <w:marTop w:val="0"/>
      <w:marBottom w:val="0"/>
      <w:divBdr>
        <w:top w:val="none" w:sz="0" w:space="0" w:color="auto"/>
        <w:left w:val="none" w:sz="0" w:space="0" w:color="auto"/>
        <w:bottom w:val="none" w:sz="0" w:space="0" w:color="auto"/>
        <w:right w:val="none" w:sz="0" w:space="0" w:color="auto"/>
      </w:divBdr>
    </w:div>
    <w:div w:id="804811007">
      <w:bodyDiv w:val="1"/>
      <w:marLeft w:val="0"/>
      <w:marRight w:val="0"/>
      <w:marTop w:val="0"/>
      <w:marBottom w:val="0"/>
      <w:divBdr>
        <w:top w:val="none" w:sz="0" w:space="0" w:color="auto"/>
        <w:left w:val="none" w:sz="0" w:space="0" w:color="auto"/>
        <w:bottom w:val="none" w:sz="0" w:space="0" w:color="auto"/>
        <w:right w:val="none" w:sz="0" w:space="0" w:color="auto"/>
      </w:divBdr>
    </w:div>
    <w:div w:id="820659715">
      <w:bodyDiv w:val="1"/>
      <w:marLeft w:val="0"/>
      <w:marRight w:val="0"/>
      <w:marTop w:val="0"/>
      <w:marBottom w:val="0"/>
      <w:divBdr>
        <w:top w:val="none" w:sz="0" w:space="0" w:color="auto"/>
        <w:left w:val="none" w:sz="0" w:space="0" w:color="auto"/>
        <w:bottom w:val="none" w:sz="0" w:space="0" w:color="auto"/>
        <w:right w:val="none" w:sz="0" w:space="0" w:color="auto"/>
      </w:divBdr>
    </w:div>
    <w:div w:id="842083875">
      <w:bodyDiv w:val="1"/>
      <w:marLeft w:val="0"/>
      <w:marRight w:val="0"/>
      <w:marTop w:val="0"/>
      <w:marBottom w:val="0"/>
      <w:divBdr>
        <w:top w:val="none" w:sz="0" w:space="0" w:color="auto"/>
        <w:left w:val="none" w:sz="0" w:space="0" w:color="auto"/>
        <w:bottom w:val="none" w:sz="0" w:space="0" w:color="auto"/>
        <w:right w:val="none" w:sz="0" w:space="0" w:color="auto"/>
      </w:divBdr>
    </w:div>
    <w:div w:id="857623538">
      <w:bodyDiv w:val="1"/>
      <w:marLeft w:val="0"/>
      <w:marRight w:val="0"/>
      <w:marTop w:val="0"/>
      <w:marBottom w:val="0"/>
      <w:divBdr>
        <w:top w:val="none" w:sz="0" w:space="0" w:color="auto"/>
        <w:left w:val="none" w:sz="0" w:space="0" w:color="auto"/>
        <w:bottom w:val="none" w:sz="0" w:space="0" w:color="auto"/>
        <w:right w:val="none" w:sz="0" w:space="0" w:color="auto"/>
      </w:divBdr>
    </w:div>
    <w:div w:id="975183238">
      <w:bodyDiv w:val="1"/>
      <w:marLeft w:val="0"/>
      <w:marRight w:val="0"/>
      <w:marTop w:val="0"/>
      <w:marBottom w:val="0"/>
      <w:divBdr>
        <w:top w:val="none" w:sz="0" w:space="0" w:color="auto"/>
        <w:left w:val="none" w:sz="0" w:space="0" w:color="auto"/>
        <w:bottom w:val="none" w:sz="0" w:space="0" w:color="auto"/>
        <w:right w:val="none" w:sz="0" w:space="0" w:color="auto"/>
      </w:divBdr>
    </w:div>
    <w:div w:id="102074433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89297748">
      <w:bodyDiv w:val="1"/>
      <w:marLeft w:val="0"/>
      <w:marRight w:val="0"/>
      <w:marTop w:val="0"/>
      <w:marBottom w:val="0"/>
      <w:divBdr>
        <w:top w:val="none" w:sz="0" w:space="0" w:color="auto"/>
        <w:left w:val="none" w:sz="0" w:space="0" w:color="auto"/>
        <w:bottom w:val="none" w:sz="0" w:space="0" w:color="auto"/>
        <w:right w:val="none" w:sz="0" w:space="0" w:color="auto"/>
      </w:divBdr>
    </w:div>
    <w:div w:id="1247761926">
      <w:bodyDiv w:val="1"/>
      <w:marLeft w:val="0"/>
      <w:marRight w:val="0"/>
      <w:marTop w:val="0"/>
      <w:marBottom w:val="0"/>
      <w:divBdr>
        <w:top w:val="none" w:sz="0" w:space="0" w:color="auto"/>
        <w:left w:val="none" w:sz="0" w:space="0" w:color="auto"/>
        <w:bottom w:val="none" w:sz="0" w:space="0" w:color="auto"/>
        <w:right w:val="none" w:sz="0" w:space="0" w:color="auto"/>
      </w:divBdr>
    </w:div>
    <w:div w:id="1257204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8453094">
      <w:bodyDiv w:val="1"/>
      <w:marLeft w:val="0"/>
      <w:marRight w:val="0"/>
      <w:marTop w:val="0"/>
      <w:marBottom w:val="0"/>
      <w:divBdr>
        <w:top w:val="none" w:sz="0" w:space="0" w:color="auto"/>
        <w:left w:val="none" w:sz="0" w:space="0" w:color="auto"/>
        <w:bottom w:val="none" w:sz="0" w:space="0" w:color="auto"/>
        <w:right w:val="none" w:sz="0" w:space="0" w:color="auto"/>
      </w:divBdr>
    </w:div>
    <w:div w:id="1502239520">
      <w:bodyDiv w:val="1"/>
      <w:marLeft w:val="0"/>
      <w:marRight w:val="0"/>
      <w:marTop w:val="0"/>
      <w:marBottom w:val="0"/>
      <w:divBdr>
        <w:top w:val="none" w:sz="0" w:space="0" w:color="auto"/>
        <w:left w:val="none" w:sz="0" w:space="0" w:color="auto"/>
        <w:bottom w:val="none" w:sz="0" w:space="0" w:color="auto"/>
        <w:right w:val="none" w:sz="0" w:space="0" w:color="auto"/>
      </w:divBdr>
    </w:div>
    <w:div w:id="150879120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31925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286751">
      <w:bodyDiv w:val="1"/>
      <w:marLeft w:val="0"/>
      <w:marRight w:val="0"/>
      <w:marTop w:val="0"/>
      <w:marBottom w:val="0"/>
      <w:divBdr>
        <w:top w:val="none" w:sz="0" w:space="0" w:color="auto"/>
        <w:left w:val="none" w:sz="0" w:space="0" w:color="auto"/>
        <w:bottom w:val="none" w:sz="0" w:space="0" w:color="auto"/>
        <w:right w:val="none" w:sz="0" w:space="0" w:color="auto"/>
      </w:divBdr>
    </w:div>
    <w:div w:id="1764259437">
      <w:bodyDiv w:val="1"/>
      <w:marLeft w:val="0"/>
      <w:marRight w:val="0"/>
      <w:marTop w:val="0"/>
      <w:marBottom w:val="0"/>
      <w:divBdr>
        <w:top w:val="none" w:sz="0" w:space="0" w:color="auto"/>
        <w:left w:val="none" w:sz="0" w:space="0" w:color="auto"/>
        <w:bottom w:val="none" w:sz="0" w:space="0" w:color="auto"/>
        <w:right w:val="none" w:sz="0" w:space="0" w:color="auto"/>
      </w:divBdr>
    </w:div>
    <w:div w:id="1782652661">
      <w:bodyDiv w:val="1"/>
      <w:marLeft w:val="0"/>
      <w:marRight w:val="0"/>
      <w:marTop w:val="0"/>
      <w:marBottom w:val="0"/>
      <w:divBdr>
        <w:top w:val="none" w:sz="0" w:space="0" w:color="auto"/>
        <w:left w:val="none" w:sz="0" w:space="0" w:color="auto"/>
        <w:bottom w:val="none" w:sz="0" w:space="0" w:color="auto"/>
        <w:right w:val="none" w:sz="0" w:space="0" w:color="auto"/>
      </w:divBdr>
    </w:div>
    <w:div w:id="1883251486">
      <w:bodyDiv w:val="1"/>
      <w:marLeft w:val="0"/>
      <w:marRight w:val="0"/>
      <w:marTop w:val="0"/>
      <w:marBottom w:val="0"/>
      <w:divBdr>
        <w:top w:val="none" w:sz="0" w:space="0" w:color="auto"/>
        <w:left w:val="none" w:sz="0" w:space="0" w:color="auto"/>
        <w:bottom w:val="none" w:sz="0" w:space="0" w:color="auto"/>
        <w:right w:val="none" w:sz="0" w:space="0" w:color="auto"/>
      </w:divBdr>
    </w:div>
    <w:div w:id="1931159922">
      <w:bodyDiv w:val="1"/>
      <w:marLeft w:val="0"/>
      <w:marRight w:val="0"/>
      <w:marTop w:val="0"/>
      <w:marBottom w:val="0"/>
      <w:divBdr>
        <w:top w:val="none" w:sz="0" w:space="0" w:color="auto"/>
        <w:left w:val="none" w:sz="0" w:space="0" w:color="auto"/>
        <w:bottom w:val="none" w:sz="0" w:space="0" w:color="auto"/>
        <w:right w:val="none" w:sz="0" w:space="0" w:color="auto"/>
      </w:divBdr>
      <w:divsChild>
        <w:div w:id="430585059">
          <w:marLeft w:val="0"/>
          <w:marRight w:val="0"/>
          <w:marTop w:val="0"/>
          <w:marBottom w:val="0"/>
          <w:divBdr>
            <w:top w:val="none" w:sz="0" w:space="0" w:color="auto"/>
            <w:left w:val="none" w:sz="0" w:space="0" w:color="auto"/>
            <w:bottom w:val="none" w:sz="0" w:space="0" w:color="auto"/>
            <w:right w:val="none" w:sz="0" w:space="0" w:color="auto"/>
          </w:divBdr>
        </w:div>
      </w:divsChild>
    </w:div>
    <w:div w:id="19360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0544-5911-4EEE-B279-96EE850E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7081</Words>
  <Characters>52016</Characters>
  <Application>Microsoft Office Word</Application>
  <DocSecurity>0</DocSecurity>
  <Lines>433</Lines>
  <Paragraphs>117</Paragraphs>
  <ScaleCrop>false</ScaleCrop>
  <HeadingPairs>
    <vt:vector size="2" baseType="variant">
      <vt:variant>
        <vt:lpstr>Title</vt:lpstr>
      </vt:variant>
      <vt:variant>
        <vt:i4>1</vt:i4>
      </vt:variant>
    </vt:vector>
  </HeadingPairs>
  <TitlesOfParts>
    <vt:vector size="1" baseType="lpstr">
      <vt:lpstr>Izziņa likumprojektam "Grozījumi Enerģētikas likumā"</vt:lpstr>
    </vt:vector>
  </TitlesOfParts>
  <Manager/>
  <Company/>
  <LinksUpToDate>false</LinksUpToDate>
  <CharactersWithSpaces>58980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likumprojektam "Grozījumi Enerģētikas likumā"</dc:title>
  <dc:subject/>
  <dc:creator/>
  <dc:description/>
  <cp:lastModifiedBy/>
  <cp:revision>1</cp:revision>
  <dcterms:created xsi:type="dcterms:W3CDTF">2020-05-11T09:59:00Z</dcterms:created>
  <dcterms:modified xsi:type="dcterms:W3CDTF">2020-05-20T13:50:00Z</dcterms:modified>
</cp:coreProperties>
</file>