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D6FF" w14:textId="77777777" w:rsidR="001C4923" w:rsidRPr="00991241" w:rsidRDefault="001C4923" w:rsidP="001C4923">
      <w:pPr>
        <w:pStyle w:val="naislab"/>
        <w:spacing w:before="0" w:after="0"/>
        <w:jc w:val="center"/>
        <w:rPr>
          <w:b/>
          <w:sz w:val="22"/>
          <w:szCs w:val="22"/>
        </w:rPr>
      </w:pPr>
      <w:r w:rsidRPr="00991241">
        <w:rPr>
          <w:b/>
          <w:sz w:val="22"/>
          <w:szCs w:val="22"/>
        </w:rPr>
        <w:t>Izziņa par atzinumos sniegtajiem iebildumiem</w:t>
      </w:r>
    </w:p>
    <w:p w14:paraId="2682CB08" w14:textId="77777777" w:rsidR="001C4923" w:rsidRPr="00991241" w:rsidRDefault="001C4923" w:rsidP="001C4923">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1C4923" w:rsidRPr="00991241" w14:paraId="4357B5B1" w14:textId="77777777" w:rsidTr="00BD1B21">
        <w:trPr>
          <w:jc w:val="center"/>
        </w:trPr>
        <w:tc>
          <w:tcPr>
            <w:tcW w:w="10188" w:type="dxa"/>
            <w:tcBorders>
              <w:bottom w:val="single" w:sz="6" w:space="0" w:color="000000"/>
            </w:tcBorders>
          </w:tcPr>
          <w:p w14:paraId="02B3B5F2" w14:textId="4296F05D" w:rsidR="001C4923" w:rsidRPr="00991241" w:rsidRDefault="001C4923" w:rsidP="00BD1B21">
            <w:pPr>
              <w:ind w:firstLine="720"/>
              <w:jc w:val="center"/>
              <w:rPr>
                <w:sz w:val="22"/>
                <w:szCs w:val="22"/>
              </w:rPr>
            </w:pPr>
            <w:r w:rsidRPr="00991241">
              <w:rPr>
                <w:sz w:val="22"/>
                <w:szCs w:val="22"/>
              </w:rPr>
              <w:t xml:space="preserve">Ministru kabineta noteikumu projekts </w:t>
            </w:r>
            <w:r w:rsidR="00CD3082" w:rsidRPr="00991241">
              <w:rPr>
                <w:sz w:val="22"/>
                <w:szCs w:val="22"/>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8D5E41" w:rsidRPr="00991241">
              <w:rPr>
                <w:sz w:val="22"/>
                <w:szCs w:val="22"/>
              </w:rPr>
              <w:t>"</w:t>
            </w:r>
          </w:p>
        </w:tc>
      </w:tr>
    </w:tbl>
    <w:p w14:paraId="16E22AA9" w14:textId="77777777" w:rsidR="001C4923" w:rsidRPr="00991241" w:rsidRDefault="001C4923" w:rsidP="001C4923">
      <w:pPr>
        <w:pStyle w:val="naisc"/>
        <w:spacing w:before="0" w:after="0"/>
        <w:ind w:firstLine="1080"/>
        <w:rPr>
          <w:sz w:val="22"/>
          <w:szCs w:val="22"/>
        </w:rPr>
      </w:pPr>
      <w:r w:rsidRPr="00991241">
        <w:rPr>
          <w:sz w:val="22"/>
          <w:szCs w:val="22"/>
        </w:rPr>
        <w:t>(dokumenta veids un nosaukums)</w:t>
      </w:r>
    </w:p>
    <w:p w14:paraId="6615268C" w14:textId="77777777" w:rsidR="001C4923" w:rsidRPr="00991241" w:rsidRDefault="001C4923" w:rsidP="001C4923">
      <w:pPr>
        <w:pStyle w:val="naisf"/>
        <w:spacing w:before="0" w:after="0"/>
        <w:ind w:firstLine="0"/>
        <w:rPr>
          <w:sz w:val="22"/>
          <w:szCs w:val="22"/>
        </w:rPr>
      </w:pPr>
    </w:p>
    <w:p w14:paraId="5474C790" w14:textId="77777777" w:rsidR="001C4923" w:rsidRPr="00991241" w:rsidRDefault="001C4923" w:rsidP="001C4923">
      <w:pPr>
        <w:pStyle w:val="naisf"/>
        <w:spacing w:before="0" w:after="0"/>
        <w:ind w:firstLine="0"/>
        <w:rPr>
          <w:b/>
          <w:sz w:val="22"/>
          <w:szCs w:val="22"/>
        </w:rPr>
      </w:pPr>
      <w:r w:rsidRPr="00991241">
        <w:rPr>
          <w:b/>
          <w:sz w:val="22"/>
          <w:szCs w:val="22"/>
        </w:rPr>
        <w:t>Informācija par starpministriju (starpinstitūciju) sanāksmi vai elektronisko saskaņošanu</w:t>
      </w:r>
    </w:p>
    <w:p w14:paraId="1F18BF13" w14:textId="77777777" w:rsidR="001C4923" w:rsidRPr="00991241" w:rsidRDefault="001C4923" w:rsidP="001C4923">
      <w:pPr>
        <w:pStyle w:val="naisf"/>
        <w:spacing w:before="0" w:after="0"/>
        <w:ind w:firstLine="0"/>
        <w:rPr>
          <w:b/>
          <w:sz w:val="22"/>
          <w:szCs w:val="22"/>
        </w:rPr>
      </w:pPr>
    </w:p>
    <w:tbl>
      <w:tblPr>
        <w:tblW w:w="14312" w:type="dxa"/>
        <w:tblLook w:val="00A0" w:firstRow="1" w:lastRow="0" w:firstColumn="1" w:lastColumn="0" w:noHBand="0" w:noVBand="0"/>
      </w:tblPr>
      <w:tblGrid>
        <w:gridCol w:w="6345"/>
        <w:gridCol w:w="7967"/>
      </w:tblGrid>
      <w:tr w:rsidR="000F5C24" w:rsidRPr="00991241" w14:paraId="36011162" w14:textId="77777777" w:rsidTr="00BD1B21">
        <w:tc>
          <w:tcPr>
            <w:tcW w:w="6345" w:type="dxa"/>
          </w:tcPr>
          <w:p w14:paraId="1366F4A0" w14:textId="77777777" w:rsidR="001C4923" w:rsidRPr="00991241" w:rsidRDefault="001C4923" w:rsidP="00BD1B21">
            <w:pPr>
              <w:pStyle w:val="naisf"/>
              <w:spacing w:before="0" w:after="0"/>
              <w:ind w:firstLine="0"/>
              <w:rPr>
                <w:sz w:val="22"/>
                <w:szCs w:val="22"/>
              </w:rPr>
            </w:pPr>
            <w:r w:rsidRPr="00991241">
              <w:rPr>
                <w:sz w:val="22"/>
                <w:szCs w:val="22"/>
              </w:rPr>
              <w:t xml:space="preserve">Datums: </w:t>
            </w:r>
          </w:p>
        </w:tc>
        <w:tc>
          <w:tcPr>
            <w:tcW w:w="7967" w:type="dxa"/>
          </w:tcPr>
          <w:p w14:paraId="6FC364DB" w14:textId="7D4A77B7" w:rsidR="001C4923" w:rsidRPr="00991241" w:rsidRDefault="0031007E" w:rsidP="0088699C">
            <w:pPr>
              <w:pStyle w:val="NormalWeb"/>
              <w:spacing w:before="0" w:beforeAutospacing="0" w:after="0" w:afterAutospacing="0"/>
              <w:rPr>
                <w:sz w:val="22"/>
                <w:szCs w:val="22"/>
              </w:rPr>
            </w:pPr>
            <w:r>
              <w:rPr>
                <w:sz w:val="22"/>
                <w:szCs w:val="22"/>
              </w:rPr>
              <w:t>09.04.2020., 14.04.2020., 30.04.2020.</w:t>
            </w:r>
          </w:p>
        </w:tc>
      </w:tr>
      <w:tr w:rsidR="000F5C24" w:rsidRPr="00991241" w14:paraId="7A9D8325" w14:textId="77777777" w:rsidTr="00BD1B21">
        <w:tc>
          <w:tcPr>
            <w:tcW w:w="6345" w:type="dxa"/>
          </w:tcPr>
          <w:p w14:paraId="62049EC3" w14:textId="77777777" w:rsidR="001C4923" w:rsidRPr="00991241" w:rsidRDefault="001C4923" w:rsidP="00BD1B21">
            <w:pPr>
              <w:pStyle w:val="naisf"/>
              <w:spacing w:before="0" w:after="0"/>
              <w:ind w:firstLine="0"/>
              <w:rPr>
                <w:sz w:val="22"/>
                <w:szCs w:val="22"/>
              </w:rPr>
            </w:pPr>
          </w:p>
        </w:tc>
        <w:tc>
          <w:tcPr>
            <w:tcW w:w="7967" w:type="dxa"/>
          </w:tcPr>
          <w:p w14:paraId="664B8796" w14:textId="77777777" w:rsidR="001C4923" w:rsidRPr="00991241" w:rsidRDefault="001C4923" w:rsidP="00BD1B21">
            <w:pPr>
              <w:pStyle w:val="NormalWeb"/>
              <w:spacing w:before="0" w:beforeAutospacing="0" w:after="0" w:afterAutospacing="0"/>
              <w:ind w:firstLine="720"/>
              <w:rPr>
                <w:sz w:val="22"/>
                <w:szCs w:val="22"/>
              </w:rPr>
            </w:pPr>
          </w:p>
        </w:tc>
      </w:tr>
      <w:tr w:rsidR="001C4923" w:rsidRPr="00991241" w14:paraId="6547412E" w14:textId="77777777" w:rsidTr="00BD1B21">
        <w:tc>
          <w:tcPr>
            <w:tcW w:w="6345" w:type="dxa"/>
          </w:tcPr>
          <w:p w14:paraId="07BD13BD" w14:textId="77777777" w:rsidR="001C4923" w:rsidRPr="00991241" w:rsidRDefault="001C4923" w:rsidP="00BD1B21">
            <w:pPr>
              <w:pStyle w:val="naiskr"/>
              <w:spacing w:before="0" w:after="0"/>
              <w:jc w:val="both"/>
              <w:rPr>
                <w:sz w:val="22"/>
                <w:szCs w:val="22"/>
              </w:rPr>
            </w:pPr>
            <w:r w:rsidRPr="00991241">
              <w:rPr>
                <w:sz w:val="22"/>
                <w:szCs w:val="22"/>
              </w:rPr>
              <w:t>Saskaņošanas dalībnieki</w:t>
            </w:r>
          </w:p>
        </w:tc>
        <w:tc>
          <w:tcPr>
            <w:tcW w:w="7967" w:type="dxa"/>
          </w:tcPr>
          <w:p w14:paraId="7BAADF59" w14:textId="75F7BC12" w:rsidR="001C4923" w:rsidRPr="00991241" w:rsidRDefault="00E206AE" w:rsidP="00BD1B21">
            <w:pPr>
              <w:pStyle w:val="NormalWeb"/>
              <w:spacing w:before="0" w:beforeAutospacing="0" w:after="0" w:afterAutospacing="0"/>
              <w:ind w:right="29"/>
              <w:jc w:val="both"/>
              <w:rPr>
                <w:sz w:val="22"/>
                <w:szCs w:val="22"/>
              </w:rPr>
            </w:pPr>
            <w:r w:rsidRPr="00991241">
              <w:rPr>
                <w:sz w:val="22"/>
                <w:szCs w:val="22"/>
              </w:rPr>
              <w:t>Tieslietu ministrija, Finanšu ministrija</w:t>
            </w:r>
            <w:r w:rsidR="0031007E">
              <w:rPr>
                <w:sz w:val="22"/>
                <w:szCs w:val="22"/>
              </w:rPr>
              <w:t>, Vides aizsardzības un reģionālās attīstības ministrija</w:t>
            </w:r>
          </w:p>
        </w:tc>
      </w:tr>
    </w:tbl>
    <w:p w14:paraId="799C789E" w14:textId="77777777" w:rsidR="001C4923" w:rsidRPr="00991241" w:rsidRDefault="001C4923" w:rsidP="001C4923">
      <w:pPr>
        <w:jc w:val="both"/>
        <w:rPr>
          <w:sz w:val="22"/>
          <w:szCs w:val="22"/>
        </w:rPr>
      </w:pPr>
    </w:p>
    <w:tbl>
      <w:tblPr>
        <w:tblW w:w="16115" w:type="dxa"/>
        <w:tblLook w:val="00A0" w:firstRow="1" w:lastRow="0" w:firstColumn="1" w:lastColumn="0" w:noHBand="0" w:noVBand="0"/>
      </w:tblPr>
      <w:tblGrid>
        <w:gridCol w:w="6237"/>
        <w:gridCol w:w="8148"/>
        <w:gridCol w:w="1730"/>
      </w:tblGrid>
      <w:tr w:rsidR="006B13BF" w:rsidRPr="00991241" w14:paraId="6EA77BC5" w14:textId="77777777" w:rsidTr="000F5C24">
        <w:trPr>
          <w:trHeight w:val="285"/>
        </w:trPr>
        <w:tc>
          <w:tcPr>
            <w:tcW w:w="6237" w:type="dxa"/>
          </w:tcPr>
          <w:p w14:paraId="02CC4FB8" w14:textId="77777777" w:rsidR="001C4923" w:rsidRPr="00991241" w:rsidRDefault="001C4923" w:rsidP="00BD1B21">
            <w:pPr>
              <w:pStyle w:val="naiskr"/>
              <w:spacing w:before="0" w:after="0"/>
              <w:jc w:val="both"/>
              <w:rPr>
                <w:color w:val="FF0000"/>
                <w:sz w:val="22"/>
                <w:szCs w:val="22"/>
              </w:rPr>
            </w:pPr>
            <w:r w:rsidRPr="00991241">
              <w:rPr>
                <w:sz w:val="22"/>
                <w:szCs w:val="22"/>
              </w:rPr>
              <w:t>Saskaņošanas dalībnieki izskatīja šādu ministriju (citu institūciju) iebildumus</w:t>
            </w:r>
          </w:p>
        </w:tc>
        <w:tc>
          <w:tcPr>
            <w:tcW w:w="9878" w:type="dxa"/>
            <w:gridSpan w:val="2"/>
          </w:tcPr>
          <w:p w14:paraId="731B054E" w14:textId="1DBBDBB5" w:rsidR="001C4923" w:rsidRPr="00991241" w:rsidRDefault="000F5C24" w:rsidP="000F5C24">
            <w:pPr>
              <w:pStyle w:val="NormalWeb"/>
              <w:spacing w:before="0" w:beforeAutospacing="0" w:after="0" w:afterAutospacing="0"/>
              <w:ind w:right="29" w:firstLine="39"/>
              <w:jc w:val="both"/>
              <w:rPr>
                <w:color w:val="FF0000"/>
                <w:sz w:val="22"/>
                <w:szCs w:val="22"/>
              </w:rPr>
            </w:pPr>
            <w:r w:rsidRPr="00991241">
              <w:rPr>
                <w:sz w:val="22"/>
                <w:szCs w:val="22"/>
              </w:rPr>
              <w:t>Finanšu ministrija</w:t>
            </w:r>
            <w:r w:rsidR="00D57348">
              <w:rPr>
                <w:sz w:val="22"/>
                <w:szCs w:val="22"/>
              </w:rPr>
              <w:t>s, Tieslietu ministrijas</w:t>
            </w:r>
            <w:r w:rsidR="00B9666F">
              <w:rPr>
                <w:sz w:val="22"/>
                <w:szCs w:val="22"/>
              </w:rPr>
              <w:t xml:space="preserve"> </w:t>
            </w:r>
            <w:r w:rsidR="00B9666F" w:rsidRPr="00B9666F">
              <w:rPr>
                <w:sz w:val="22"/>
                <w:szCs w:val="22"/>
              </w:rPr>
              <w:t>Vides aizsardzības un reģionālās attīstības ministrija</w:t>
            </w:r>
            <w:r w:rsidR="00B9666F">
              <w:rPr>
                <w:sz w:val="22"/>
                <w:szCs w:val="22"/>
              </w:rPr>
              <w:t>s</w:t>
            </w:r>
          </w:p>
        </w:tc>
      </w:tr>
      <w:tr w:rsidR="006B13BF" w:rsidRPr="00991241" w14:paraId="1239A2E4" w14:textId="77777777" w:rsidTr="000F5C24">
        <w:trPr>
          <w:gridAfter w:val="1"/>
          <w:wAfter w:w="1732" w:type="dxa"/>
          <w:trHeight w:val="465"/>
        </w:trPr>
        <w:tc>
          <w:tcPr>
            <w:tcW w:w="14383" w:type="dxa"/>
            <w:gridSpan w:val="2"/>
          </w:tcPr>
          <w:p w14:paraId="2A441DD8" w14:textId="77777777" w:rsidR="001C4923" w:rsidRPr="00991241" w:rsidRDefault="001C4923" w:rsidP="00BD1B21">
            <w:pPr>
              <w:pStyle w:val="naisc"/>
              <w:spacing w:before="0" w:after="0"/>
              <w:jc w:val="left"/>
              <w:rPr>
                <w:sz w:val="22"/>
                <w:szCs w:val="22"/>
              </w:rPr>
            </w:pPr>
          </w:p>
        </w:tc>
      </w:tr>
      <w:tr w:rsidR="006B13BF" w:rsidRPr="00991241" w14:paraId="1D6987D3" w14:textId="77777777" w:rsidTr="000F5C24">
        <w:trPr>
          <w:gridAfter w:val="1"/>
          <w:wAfter w:w="1730" w:type="dxa"/>
        </w:trPr>
        <w:tc>
          <w:tcPr>
            <w:tcW w:w="6237" w:type="dxa"/>
          </w:tcPr>
          <w:p w14:paraId="482AB9E1" w14:textId="77777777" w:rsidR="001C4923" w:rsidRPr="00991241" w:rsidRDefault="001C4923" w:rsidP="00BD1B21">
            <w:pPr>
              <w:pStyle w:val="naiskr"/>
              <w:spacing w:before="0" w:after="0"/>
              <w:rPr>
                <w:sz w:val="22"/>
                <w:szCs w:val="22"/>
              </w:rPr>
            </w:pPr>
            <w:r w:rsidRPr="00991241">
              <w:rPr>
                <w:sz w:val="22"/>
                <w:szCs w:val="22"/>
              </w:rPr>
              <w:t>Ministrijas (citas institūcijas), kuras nav ieradušās uz sanāksmi vai kuras nav atbildējušas uz uzaicinājumu piedalīties elektroniskajā saskaņošanā</w:t>
            </w:r>
          </w:p>
        </w:tc>
        <w:tc>
          <w:tcPr>
            <w:tcW w:w="8148" w:type="dxa"/>
          </w:tcPr>
          <w:p w14:paraId="2A29B74B" w14:textId="77777777" w:rsidR="001C4923" w:rsidRPr="00991241" w:rsidRDefault="00932A43" w:rsidP="00BD1B21">
            <w:pPr>
              <w:pStyle w:val="naiskr"/>
              <w:spacing w:before="0" w:after="0"/>
              <w:ind w:left="244"/>
              <w:jc w:val="both"/>
              <w:rPr>
                <w:sz w:val="22"/>
                <w:szCs w:val="22"/>
              </w:rPr>
            </w:pPr>
            <w:r w:rsidRPr="00991241">
              <w:rPr>
                <w:sz w:val="22"/>
                <w:szCs w:val="22"/>
              </w:rPr>
              <w:t>Nav.</w:t>
            </w:r>
          </w:p>
        </w:tc>
      </w:tr>
    </w:tbl>
    <w:p w14:paraId="748C5961" w14:textId="77777777" w:rsidR="001C4923" w:rsidRPr="00991241" w:rsidRDefault="001C4923" w:rsidP="001C4923">
      <w:pPr>
        <w:pStyle w:val="naisf"/>
        <w:spacing w:before="0" w:after="0"/>
        <w:ind w:firstLine="720"/>
        <w:rPr>
          <w:sz w:val="22"/>
          <w:szCs w:val="22"/>
        </w:rPr>
      </w:pPr>
    </w:p>
    <w:p w14:paraId="474DD320" w14:textId="15C6D521" w:rsidR="001C4923" w:rsidRPr="00991241" w:rsidRDefault="001C4923" w:rsidP="001C4923">
      <w:pPr>
        <w:pStyle w:val="naisf"/>
        <w:spacing w:before="0" w:after="0"/>
        <w:ind w:firstLine="0"/>
        <w:jc w:val="center"/>
        <w:rPr>
          <w:b/>
          <w:sz w:val="22"/>
          <w:szCs w:val="22"/>
        </w:rPr>
      </w:pPr>
      <w:r w:rsidRPr="00991241">
        <w:rPr>
          <w:b/>
          <w:sz w:val="22"/>
          <w:szCs w:val="22"/>
        </w:rPr>
        <w:t>II. Jautājumi, par kuriem saskaņošanā vienošanās ir panākta</w:t>
      </w:r>
    </w:p>
    <w:p w14:paraId="07EB2111" w14:textId="626046FD" w:rsidR="00D67795" w:rsidRPr="00991241" w:rsidRDefault="00D67795" w:rsidP="001C4923">
      <w:pPr>
        <w:pStyle w:val="naisf"/>
        <w:spacing w:before="0" w:after="0"/>
        <w:ind w:firstLine="0"/>
        <w:jc w:val="center"/>
        <w:rPr>
          <w:b/>
          <w:sz w:val="22"/>
          <w:szCs w:val="22"/>
        </w:rPr>
      </w:pPr>
    </w:p>
    <w:tbl>
      <w:tblPr>
        <w:tblpPr w:leftFromText="180" w:rightFromText="180" w:vertAnchor="text" w:tblpX="-24" w:tblpY="1"/>
        <w:tblOverlap w:val="never"/>
        <w:tblW w:w="15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554"/>
        <w:gridCol w:w="3402"/>
        <w:gridCol w:w="3260"/>
      </w:tblGrid>
      <w:tr w:rsidR="00D67795" w:rsidRPr="00991241" w14:paraId="277FE77F" w14:textId="77777777" w:rsidTr="00F65F26">
        <w:tc>
          <w:tcPr>
            <w:tcW w:w="716" w:type="dxa"/>
            <w:tcBorders>
              <w:top w:val="single" w:sz="6" w:space="0" w:color="000000"/>
              <w:left w:val="single" w:sz="6" w:space="0" w:color="000000"/>
              <w:bottom w:val="single" w:sz="6" w:space="0" w:color="000000"/>
              <w:right w:val="single" w:sz="6" w:space="0" w:color="000000"/>
            </w:tcBorders>
            <w:vAlign w:val="center"/>
          </w:tcPr>
          <w:p w14:paraId="15B98BE9" w14:textId="77777777" w:rsidR="00D67795" w:rsidRPr="00991241" w:rsidRDefault="00D67795" w:rsidP="00BD1B21">
            <w:pPr>
              <w:pStyle w:val="naisc"/>
              <w:spacing w:before="0" w:after="0"/>
              <w:rPr>
                <w:sz w:val="22"/>
                <w:szCs w:val="22"/>
              </w:rPr>
            </w:pPr>
            <w:r w:rsidRPr="0099124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A391ED9" w14:textId="77777777" w:rsidR="00D67795" w:rsidRPr="00991241" w:rsidRDefault="00D67795" w:rsidP="00BD1B21">
            <w:pPr>
              <w:pStyle w:val="naisc"/>
              <w:spacing w:before="0" w:after="0"/>
              <w:ind w:firstLine="12"/>
              <w:rPr>
                <w:sz w:val="22"/>
                <w:szCs w:val="22"/>
              </w:rPr>
            </w:pPr>
            <w:r w:rsidRPr="00991241">
              <w:rPr>
                <w:sz w:val="22"/>
                <w:szCs w:val="22"/>
              </w:rPr>
              <w:t>Saskaņošanai nosūtītā projekta redakcija (konkrēta punkta (panta) redakcija)</w:t>
            </w:r>
          </w:p>
        </w:tc>
        <w:tc>
          <w:tcPr>
            <w:tcW w:w="4554" w:type="dxa"/>
            <w:tcBorders>
              <w:top w:val="single" w:sz="6" w:space="0" w:color="000000"/>
              <w:left w:val="single" w:sz="6" w:space="0" w:color="000000"/>
              <w:bottom w:val="single" w:sz="6" w:space="0" w:color="000000"/>
              <w:right w:val="single" w:sz="6" w:space="0" w:color="000000"/>
            </w:tcBorders>
            <w:vAlign w:val="center"/>
          </w:tcPr>
          <w:p w14:paraId="4C611CF5" w14:textId="77777777" w:rsidR="00D67795" w:rsidRPr="00991241" w:rsidRDefault="00D67795" w:rsidP="00BD1B21">
            <w:pPr>
              <w:pStyle w:val="naisc"/>
              <w:spacing w:before="0" w:after="0"/>
              <w:ind w:right="3"/>
              <w:rPr>
                <w:sz w:val="22"/>
                <w:szCs w:val="22"/>
              </w:rPr>
            </w:pPr>
            <w:r w:rsidRPr="00991241">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4A0D0B3" w14:textId="77777777" w:rsidR="00D67795" w:rsidRPr="00991241" w:rsidRDefault="00D67795" w:rsidP="00BD1B21">
            <w:pPr>
              <w:pStyle w:val="naisc"/>
              <w:spacing w:before="0" w:after="0"/>
              <w:ind w:firstLine="21"/>
              <w:rPr>
                <w:sz w:val="22"/>
                <w:szCs w:val="22"/>
              </w:rPr>
            </w:pPr>
            <w:r w:rsidRPr="00991241">
              <w:rPr>
                <w:sz w:val="22"/>
                <w:szCs w:val="22"/>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687339DE" w14:textId="77777777" w:rsidR="00D67795" w:rsidRPr="00991241" w:rsidRDefault="00D67795" w:rsidP="00BD1B21">
            <w:pPr>
              <w:jc w:val="center"/>
              <w:rPr>
                <w:sz w:val="22"/>
                <w:szCs w:val="22"/>
              </w:rPr>
            </w:pPr>
            <w:r w:rsidRPr="00991241">
              <w:rPr>
                <w:sz w:val="22"/>
                <w:szCs w:val="22"/>
              </w:rPr>
              <w:t>Projekta attiecīgā punkta (panta) galīgā redakcija</w:t>
            </w:r>
          </w:p>
        </w:tc>
      </w:tr>
      <w:tr w:rsidR="00D67795" w:rsidRPr="00991241" w14:paraId="2C001296" w14:textId="77777777" w:rsidTr="00F65F26">
        <w:tc>
          <w:tcPr>
            <w:tcW w:w="716" w:type="dxa"/>
            <w:tcBorders>
              <w:top w:val="single" w:sz="6" w:space="0" w:color="000000"/>
              <w:left w:val="single" w:sz="6" w:space="0" w:color="000000"/>
              <w:bottom w:val="single" w:sz="6" w:space="0" w:color="000000"/>
              <w:right w:val="single" w:sz="6" w:space="0" w:color="000000"/>
            </w:tcBorders>
          </w:tcPr>
          <w:p w14:paraId="70E0B18D" w14:textId="77777777" w:rsidR="00D67795" w:rsidRPr="00991241" w:rsidRDefault="00D67795" w:rsidP="00BD1B21">
            <w:pPr>
              <w:pStyle w:val="naisc"/>
              <w:spacing w:before="0" w:after="0"/>
              <w:rPr>
                <w:sz w:val="22"/>
                <w:szCs w:val="22"/>
              </w:rPr>
            </w:pPr>
            <w:r w:rsidRPr="00991241">
              <w:rPr>
                <w:sz w:val="22"/>
                <w:szCs w:val="22"/>
              </w:rPr>
              <w:t>1</w:t>
            </w:r>
          </w:p>
        </w:tc>
        <w:tc>
          <w:tcPr>
            <w:tcW w:w="3086" w:type="dxa"/>
            <w:tcBorders>
              <w:top w:val="single" w:sz="6" w:space="0" w:color="000000"/>
              <w:left w:val="single" w:sz="6" w:space="0" w:color="000000"/>
              <w:bottom w:val="single" w:sz="4" w:space="0" w:color="auto"/>
              <w:right w:val="single" w:sz="6" w:space="0" w:color="000000"/>
            </w:tcBorders>
          </w:tcPr>
          <w:p w14:paraId="770853D3" w14:textId="77777777" w:rsidR="00D67795" w:rsidRPr="00991241" w:rsidRDefault="00D67795" w:rsidP="00BD1B21">
            <w:pPr>
              <w:pStyle w:val="naisc"/>
              <w:spacing w:before="0" w:after="0"/>
              <w:rPr>
                <w:sz w:val="22"/>
                <w:szCs w:val="22"/>
              </w:rPr>
            </w:pPr>
            <w:r w:rsidRPr="00991241">
              <w:rPr>
                <w:sz w:val="22"/>
                <w:szCs w:val="22"/>
              </w:rPr>
              <w:t>2</w:t>
            </w:r>
          </w:p>
        </w:tc>
        <w:tc>
          <w:tcPr>
            <w:tcW w:w="4554" w:type="dxa"/>
            <w:tcBorders>
              <w:top w:val="single" w:sz="6" w:space="0" w:color="000000"/>
              <w:left w:val="single" w:sz="6" w:space="0" w:color="000000"/>
              <w:bottom w:val="single" w:sz="6" w:space="0" w:color="000000"/>
              <w:right w:val="single" w:sz="6" w:space="0" w:color="000000"/>
            </w:tcBorders>
          </w:tcPr>
          <w:p w14:paraId="1584AB2F" w14:textId="77777777" w:rsidR="00D67795" w:rsidRPr="00991241" w:rsidRDefault="00D67795" w:rsidP="00BD1B21">
            <w:pPr>
              <w:pStyle w:val="naisc"/>
              <w:spacing w:before="0" w:after="0"/>
              <w:rPr>
                <w:sz w:val="22"/>
                <w:szCs w:val="22"/>
              </w:rPr>
            </w:pPr>
            <w:r w:rsidRPr="00991241">
              <w:rPr>
                <w:sz w:val="22"/>
                <w:szCs w:val="22"/>
              </w:rPr>
              <w:t>3</w:t>
            </w:r>
          </w:p>
        </w:tc>
        <w:tc>
          <w:tcPr>
            <w:tcW w:w="3402" w:type="dxa"/>
            <w:tcBorders>
              <w:top w:val="single" w:sz="6" w:space="0" w:color="000000"/>
              <w:left w:val="single" w:sz="6" w:space="0" w:color="000000"/>
              <w:bottom w:val="single" w:sz="6" w:space="0" w:color="000000"/>
              <w:right w:val="single" w:sz="6" w:space="0" w:color="000000"/>
            </w:tcBorders>
          </w:tcPr>
          <w:p w14:paraId="1DA7E259" w14:textId="77777777" w:rsidR="00D67795" w:rsidRPr="00991241" w:rsidRDefault="00D67795" w:rsidP="00BD1B21">
            <w:pPr>
              <w:pStyle w:val="naisc"/>
              <w:spacing w:before="0" w:after="0"/>
              <w:rPr>
                <w:sz w:val="22"/>
                <w:szCs w:val="22"/>
              </w:rPr>
            </w:pPr>
            <w:r w:rsidRPr="00991241">
              <w:rPr>
                <w:sz w:val="22"/>
                <w:szCs w:val="22"/>
              </w:rPr>
              <w:t>4</w:t>
            </w:r>
          </w:p>
        </w:tc>
        <w:tc>
          <w:tcPr>
            <w:tcW w:w="3260" w:type="dxa"/>
            <w:tcBorders>
              <w:top w:val="single" w:sz="4" w:space="0" w:color="auto"/>
              <w:left w:val="single" w:sz="4" w:space="0" w:color="auto"/>
              <w:bottom w:val="single" w:sz="4" w:space="0" w:color="auto"/>
            </w:tcBorders>
          </w:tcPr>
          <w:p w14:paraId="4CA3339E" w14:textId="77777777" w:rsidR="00D67795" w:rsidRPr="00991241" w:rsidRDefault="00D67795" w:rsidP="00BD1B21">
            <w:pPr>
              <w:jc w:val="center"/>
              <w:rPr>
                <w:sz w:val="22"/>
                <w:szCs w:val="22"/>
              </w:rPr>
            </w:pPr>
            <w:r w:rsidRPr="00991241">
              <w:rPr>
                <w:sz w:val="22"/>
                <w:szCs w:val="22"/>
              </w:rPr>
              <w:t>5</w:t>
            </w:r>
          </w:p>
        </w:tc>
      </w:tr>
      <w:tr w:rsidR="00CB1F17" w:rsidRPr="00991241" w14:paraId="070A3606" w14:textId="77777777" w:rsidTr="00F65F26">
        <w:tc>
          <w:tcPr>
            <w:tcW w:w="716" w:type="dxa"/>
            <w:tcBorders>
              <w:left w:val="single" w:sz="6" w:space="0" w:color="000000"/>
              <w:bottom w:val="single" w:sz="4" w:space="0" w:color="auto"/>
              <w:right w:val="single" w:sz="4" w:space="0" w:color="auto"/>
            </w:tcBorders>
          </w:tcPr>
          <w:p w14:paraId="3EFD049B" w14:textId="77777777" w:rsidR="00CB1F17" w:rsidRPr="00991241" w:rsidRDefault="00CB1F17"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0BA67340" w14:textId="69943241" w:rsidR="00CB1F17" w:rsidRPr="00991241" w:rsidRDefault="00CB1F17" w:rsidP="00CD3082">
            <w:pPr>
              <w:pStyle w:val="naisc"/>
              <w:jc w:val="both"/>
              <w:rPr>
                <w:b/>
                <w:sz w:val="22"/>
                <w:szCs w:val="22"/>
              </w:rPr>
            </w:pPr>
            <w:r w:rsidRPr="00991241">
              <w:rPr>
                <w:b/>
                <w:sz w:val="22"/>
                <w:szCs w:val="22"/>
              </w:rPr>
              <w:t>Noteikumu projekts</w:t>
            </w:r>
          </w:p>
        </w:tc>
        <w:tc>
          <w:tcPr>
            <w:tcW w:w="4554" w:type="dxa"/>
            <w:tcBorders>
              <w:left w:val="single" w:sz="4" w:space="0" w:color="auto"/>
              <w:bottom w:val="single" w:sz="4" w:space="0" w:color="auto"/>
              <w:right w:val="single" w:sz="6" w:space="0" w:color="000000"/>
            </w:tcBorders>
          </w:tcPr>
          <w:p w14:paraId="7D6A5186" w14:textId="77777777" w:rsidR="00CB1F17" w:rsidRPr="00991241" w:rsidRDefault="00CB1F17" w:rsidP="00F65F26">
            <w:pPr>
              <w:widowControl w:val="0"/>
              <w:tabs>
                <w:tab w:val="left" w:pos="993"/>
              </w:tabs>
              <w:ind w:right="3"/>
              <w:jc w:val="both"/>
              <w:rPr>
                <w:b/>
                <w:bCs/>
                <w:sz w:val="22"/>
                <w:szCs w:val="22"/>
              </w:rPr>
            </w:pPr>
            <w:r w:rsidRPr="00991241">
              <w:rPr>
                <w:b/>
                <w:bCs/>
                <w:sz w:val="22"/>
                <w:szCs w:val="22"/>
              </w:rPr>
              <w:t>Finanšu ministrijas 27.04.2020. atzinuma 3.iebildums:</w:t>
            </w:r>
          </w:p>
          <w:p w14:paraId="1ED82E0D" w14:textId="51F151EC" w:rsidR="00CB1F17" w:rsidRPr="00991241" w:rsidRDefault="00CB1F17" w:rsidP="00CB1F17">
            <w:pPr>
              <w:widowControl w:val="0"/>
              <w:tabs>
                <w:tab w:val="left" w:pos="993"/>
              </w:tabs>
              <w:ind w:right="3"/>
              <w:jc w:val="both"/>
              <w:rPr>
                <w:sz w:val="22"/>
                <w:szCs w:val="22"/>
              </w:rPr>
            </w:pPr>
            <w:r w:rsidRPr="00991241">
              <w:rPr>
                <w:sz w:val="22"/>
                <w:szCs w:val="22"/>
              </w:rPr>
              <w:t xml:space="preserve">“3.Lai nodrošinātu, ka šo noteikumu ietvaros piešķirtais de minimis atbalsts netiek apvienots ar atbalstu, kas atbilstoši Eiropas Komisijas 2020.gada 23.marta lēmumam lietā SA.56722 (turpmāk – EK lēmums lietā SA.56722) tiek sniegts saskaņā ar Ministru kabineta 2020.gada 19.marta noteikumiem Nr.149 “Noteikumi par </w:t>
            </w:r>
            <w:r w:rsidRPr="00991241">
              <w:rPr>
                <w:sz w:val="22"/>
                <w:szCs w:val="22"/>
              </w:rPr>
              <w:lastRenderedPageBreak/>
              <w:t>apgrozāmo līdzekļu aizdevumiem saimnieciskās darbības veicējiem, kuru darbību ietekmējusi Covid-19 izplatība” un Ministru kabineta 2020.gada 19.marta noteikumiem Nr.150 “Noteikumi par garantijām saimnieciskās darbības veicējiem, kuru darbību ietekmējusi Covid-19 izplatība”, lūdzam papildināt noteikumu projektu ar atbilstošu normu, piemēram, šādā redakcijā:</w:t>
            </w:r>
          </w:p>
          <w:p w14:paraId="666B6424" w14:textId="77777777" w:rsidR="00CB1F17" w:rsidRPr="00991241" w:rsidRDefault="00CB1F17" w:rsidP="00CB1F17">
            <w:pPr>
              <w:widowControl w:val="0"/>
              <w:tabs>
                <w:tab w:val="left" w:pos="993"/>
              </w:tabs>
              <w:ind w:right="3"/>
              <w:jc w:val="both"/>
              <w:rPr>
                <w:sz w:val="22"/>
                <w:szCs w:val="22"/>
              </w:rPr>
            </w:pPr>
            <w:r w:rsidRPr="00991241">
              <w:rPr>
                <w:sz w:val="22"/>
                <w:szCs w:val="22"/>
              </w:rPr>
              <w:t xml:space="preserve">“Atbalstu šo noteikumu ietvaros nevar apvienot ar atbalstu, kuru atbilstoši Eiropas Komisijas pieņemtajam lēmumam sabiebrība ”Altum” sniedz saskaņā ar Ministru kabineta noteikto kārtību par apgrozāmo līdzekļu aizdevumiem saimnieciskās darbības veicējiem, kuru darbību ietekmējusi Covid-19 izplatība, un saskaņā ar Ministru kabineta noteikto kārtību par garantijām saimnieciskās darbības veicējiem, kuru darbību ietekmējusi Covid-19 izplatība.” </w:t>
            </w:r>
          </w:p>
          <w:p w14:paraId="0BA00691" w14:textId="40ED947E" w:rsidR="00CB1F17" w:rsidRPr="00991241" w:rsidRDefault="00CB1F17" w:rsidP="00CB1F17">
            <w:pPr>
              <w:widowControl w:val="0"/>
              <w:tabs>
                <w:tab w:val="left" w:pos="993"/>
              </w:tabs>
              <w:ind w:right="3"/>
              <w:jc w:val="both"/>
              <w:rPr>
                <w:b/>
                <w:bCs/>
                <w:sz w:val="22"/>
                <w:szCs w:val="22"/>
              </w:rPr>
            </w:pPr>
            <w:r w:rsidRPr="00991241">
              <w:rPr>
                <w:sz w:val="22"/>
                <w:szCs w:val="22"/>
              </w:rPr>
              <w:t>Vienlaikus lūdzam, ar attiecīgu skaidrojumu, atsaucoties uz EK lēmumu lietā SA.56722, papildināt arī anotāciju.”</w:t>
            </w:r>
          </w:p>
        </w:tc>
        <w:tc>
          <w:tcPr>
            <w:tcW w:w="3402" w:type="dxa"/>
            <w:tcBorders>
              <w:left w:val="single" w:sz="6" w:space="0" w:color="000000"/>
              <w:bottom w:val="single" w:sz="4" w:space="0" w:color="auto"/>
              <w:right w:val="single" w:sz="6" w:space="0" w:color="000000"/>
            </w:tcBorders>
          </w:tcPr>
          <w:p w14:paraId="15289184" w14:textId="330EC392" w:rsidR="00CB1F17" w:rsidRPr="00991241" w:rsidRDefault="00CB1F17" w:rsidP="00CD3082">
            <w:pPr>
              <w:pStyle w:val="naisc"/>
              <w:spacing w:before="0" w:after="0"/>
              <w:rPr>
                <w:b/>
                <w:sz w:val="22"/>
                <w:szCs w:val="22"/>
              </w:rPr>
            </w:pPr>
            <w:r w:rsidRPr="00991241">
              <w:rPr>
                <w:b/>
                <w:sz w:val="22"/>
                <w:szCs w:val="22"/>
              </w:rPr>
              <w:lastRenderedPageBreak/>
              <w:t>Ņemts vērā</w:t>
            </w:r>
          </w:p>
        </w:tc>
        <w:tc>
          <w:tcPr>
            <w:tcW w:w="3260" w:type="dxa"/>
            <w:tcBorders>
              <w:top w:val="single" w:sz="4" w:space="0" w:color="auto"/>
              <w:left w:val="single" w:sz="4" w:space="0" w:color="auto"/>
              <w:bottom w:val="single" w:sz="4" w:space="0" w:color="auto"/>
            </w:tcBorders>
          </w:tcPr>
          <w:p w14:paraId="21C058B8" w14:textId="3C3EDCE0" w:rsidR="00CB1F17" w:rsidRPr="00991241" w:rsidRDefault="00CB1F17" w:rsidP="00BD1B21">
            <w:pPr>
              <w:jc w:val="both"/>
              <w:rPr>
                <w:b/>
                <w:bCs/>
                <w:sz w:val="22"/>
                <w:szCs w:val="22"/>
              </w:rPr>
            </w:pPr>
            <w:r w:rsidRPr="00991241">
              <w:rPr>
                <w:b/>
                <w:bCs/>
                <w:sz w:val="22"/>
                <w:szCs w:val="22"/>
              </w:rPr>
              <w:t>Noteikumu projekts papildināts ar 10.punktu šādā redakcijā:</w:t>
            </w:r>
          </w:p>
          <w:p w14:paraId="1FB2A5AC" w14:textId="27846BD6" w:rsidR="00CB1F17" w:rsidRPr="00991241" w:rsidRDefault="00CB1F17" w:rsidP="00CB1F17">
            <w:pPr>
              <w:jc w:val="both"/>
              <w:rPr>
                <w:sz w:val="22"/>
                <w:szCs w:val="22"/>
              </w:rPr>
            </w:pPr>
            <w:r w:rsidRPr="00991241">
              <w:rPr>
                <w:sz w:val="22"/>
                <w:szCs w:val="22"/>
              </w:rPr>
              <w:t>“10.</w:t>
            </w:r>
            <w:r w:rsidRPr="00991241">
              <w:rPr>
                <w:sz w:val="22"/>
                <w:szCs w:val="22"/>
              </w:rPr>
              <w:tab/>
              <w:t>Papildināt noteikumus ar 87.</w:t>
            </w:r>
            <w:r w:rsidRPr="00991241">
              <w:rPr>
                <w:sz w:val="22"/>
                <w:szCs w:val="22"/>
                <w:vertAlign w:val="superscript"/>
              </w:rPr>
              <w:t>2</w:t>
            </w:r>
            <w:r w:rsidRPr="00991241">
              <w:rPr>
                <w:sz w:val="22"/>
                <w:szCs w:val="22"/>
              </w:rPr>
              <w:t xml:space="preserve"> apakšpunktu šādā redakcijā:</w:t>
            </w:r>
          </w:p>
          <w:p w14:paraId="50632834" w14:textId="238A6C76" w:rsidR="00CB1F17" w:rsidRPr="00991241" w:rsidRDefault="00CB1F17" w:rsidP="00CB1F17">
            <w:pPr>
              <w:jc w:val="both"/>
              <w:rPr>
                <w:b/>
                <w:bCs/>
                <w:sz w:val="22"/>
                <w:szCs w:val="22"/>
              </w:rPr>
            </w:pPr>
            <w:r w:rsidRPr="00991241">
              <w:rPr>
                <w:sz w:val="22"/>
                <w:szCs w:val="22"/>
              </w:rPr>
              <w:t>"87.</w:t>
            </w:r>
            <w:r w:rsidRPr="00991241">
              <w:rPr>
                <w:sz w:val="22"/>
                <w:szCs w:val="22"/>
                <w:vertAlign w:val="superscript"/>
              </w:rPr>
              <w:t>2</w:t>
            </w:r>
            <w:r w:rsidRPr="00991241">
              <w:rPr>
                <w:sz w:val="22"/>
                <w:szCs w:val="22"/>
              </w:rPr>
              <w:t xml:space="preserve"> Atbalstu šo noteikumu ietvaros nevar apvienot ar atbalstu, kuru atbilstoši Eiropas Komisijas</w:t>
            </w:r>
            <w:r w:rsidRPr="00991241">
              <w:rPr>
                <w:b/>
                <w:bCs/>
                <w:sz w:val="22"/>
                <w:szCs w:val="22"/>
              </w:rPr>
              <w:t xml:space="preserve"> </w:t>
            </w:r>
            <w:r w:rsidRPr="00991241">
              <w:rPr>
                <w:sz w:val="22"/>
                <w:szCs w:val="22"/>
              </w:rPr>
              <w:t xml:space="preserve">pieņemtajam lēmumam sabiebrība "Altum" sniedz saskaņā ar </w:t>
            </w:r>
            <w:r w:rsidRPr="00991241">
              <w:rPr>
                <w:sz w:val="22"/>
                <w:szCs w:val="22"/>
              </w:rPr>
              <w:lastRenderedPageBreak/>
              <w:t>Ministru kabineta noteikto kārtību par apgrozāmo līdzekļu aizdevumiem saimnieciskās darbības veicējiem, kuru darbību ietekmējusi Covid-19 izplatība, un saskaņā ar Ministru kabineta noteikto kārtību par garantijām saimnieciskās darbības veicējiem, kuru darbību ietekmējusi Covid-19 izplatība."”</w:t>
            </w:r>
          </w:p>
        </w:tc>
      </w:tr>
      <w:tr w:rsidR="00F65F26" w:rsidRPr="00991241" w14:paraId="148FCDA3" w14:textId="77777777" w:rsidTr="00F65F26">
        <w:tc>
          <w:tcPr>
            <w:tcW w:w="716" w:type="dxa"/>
            <w:tcBorders>
              <w:left w:val="single" w:sz="6" w:space="0" w:color="000000"/>
              <w:bottom w:val="single" w:sz="4" w:space="0" w:color="auto"/>
              <w:right w:val="single" w:sz="4" w:space="0" w:color="auto"/>
            </w:tcBorders>
          </w:tcPr>
          <w:p w14:paraId="2C4A3CB0" w14:textId="77777777" w:rsidR="00F65F26" w:rsidRPr="00991241" w:rsidRDefault="00F65F26"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3706FE5C" w14:textId="00979A56" w:rsidR="00F65F26" w:rsidRPr="00991241" w:rsidRDefault="00F65F26" w:rsidP="00CD3082">
            <w:pPr>
              <w:pStyle w:val="naisc"/>
              <w:jc w:val="both"/>
              <w:rPr>
                <w:b/>
                <w:sz w:val="22"/>
                <w:szCs w:val="22"/>
              </w:rPr>
            </w:pPr>
            <w:r w:rsidRPr="00991241">
              <w:rPr>
                <w:b/>
                <w:sz w:val="22"/>
                <w:szCs w:val="22"/>
              </w:rPr>
              <w:t>Noteikumu projekts</w:t>
            </w:r>
          </w:p>
        </w:tc>
        <w:tc>
          <w:tcPr>
            <w:tcW w:w="4554" w:type="dxa"/>
            <w:tcBorders>
              <w:left w:val="single" w:sz="4" w:space="0" w:color="auto"/>
              <w:bottom w:val="single" w:sz="4" w:space="0" w:color="auto"/>
              <w:right w:val="single" w:sz="6" w:space="0" w:color="000000"/>
            </w:tcBorders>
          </w:tcPr>
          <w:p w14:paraId="0FFB32FA" w14:textId="74E1CCD6" w:rsidR="00F65F26" w:rsidRPr="00991241" w:rsidRDefault="00F65F26" w:rsidP="00F65F26">
            <w:pPr>
              <w:widowControl w:val="0"/>
              <w:tabs>
                <w:tab w:val="left" w:pos="993"/>
              </w:tabs>
              <w:ind w:right="3"/>
              <w:jc w:val="both"/>
              <w:rPr>
                <w:b/>
                <w:bCs/>
                <w:sz w:val="22"/>
                <w:szCs w:val="22"/>
              </w:rPr>
            </w:pPr>
            <w:r w:rsidRPr="00991241">
              <w:rPr>
                <w:b/>
                <w:bCs/>
                <w:sz w:val="22"/>
                <w:szCs w:val="22"/>
              </w:rPr>
              <w:t>Finanšu ministrijas 14.04.2020. atzinuma 5.iebildums:</w:t>
            </w:r>
          </w:p>
          <w:p w14:paraId="45180BC6" w14:textId="71640D4D" w:rsidR="00F65F26" w:rsidRPr="00991241" w:rsidRDefault="00F65F26" w:rsidP="00F65F26">
            <w:pPr>
              <w:widowControl w:val="0"/>
              <w:tabs>
                <w:tab w:val="left" w:pos="993"/>
              </w:tabs>
              <w:ind w:right="3"/>
              <w:jc w:val="both"/>
              <w:rPr>
                <w:sz w:val="22"/>
                <w:szCs w:val="22"/>
              </w:rPr>
            </w:pPr>
            <w:r w:rsidRPr="00991241">
              <w:rPr>
                <w:sz w:val="22"/>
                <w:szCs w:val="22"/>
              </w:rPr>
              <w:t xml:space="preserve">“5.Ņemot vērā, ka MK noteikumu Nr.160 50.7.apakšpunktā minētie Ministru kabineta 2014.gada 2.decembra noteikumi Nr.740 “De minimis atbalsta uzskaites un piešķiršanas kārtība un uzskaites veidlapu paraugi” ir zaudējuši spēku, lūdzam izteikt minēto apakšpunktu šādā redakcijā: </w:t>
            </w:r>
          </w:p>
          <w:p w14:paraId="46888E82" w14:textId="77777777" w:rsidR="00F65F26" w:rsidRPr="00991241" w:rsidRDefault="00F65F26" w:rsidP="00F65F26">
            <w:pPr>
              <w:widowControl w:val="0"/>
              <w:tabs>
                <w:tab w:val="left" w:pos="993"/>
              </w:tabs>
              <w:ind w:right="3"/>
              <w:jc w:val="both"/>
              <w:rPr>
                <w:sz w:val="22"/>
                <w:szCs w:val="22"/>
              </w:rPr>
            </w:pPr>
            <w:r w:rsidRPr="00991241">
              <w:rPr>
                <w:sz w:val="22"/>
                <w:szCs w:val="22"/>
              </w:rPr>
              <w:t xml:space="preserve">“50.7. elektroniski uzskaites veidlapu par citu saņemto de minimis atbalstu vai norāda de minimis atbalsta uzskaites sistēmā izveidotās un apstiprinātās pretendenta veidlapas identifikācijas numuru saskaņā ar normatīvajiem aktiem par de minimis atbalsta uzskaites un piešķiršanas kārtību un de minimis atbalsta uzskaites veidlapu paraugiem, ja </w:t>
            </w:r>
            <w:r w:rsidRPr="00991241">
              <w:rPr>
                <w:sz w:val="22"/>
                <w:szCs w:val="22"/>
              </w:rPr>
              <w:lastRenderedPageBreak/>
              <w:t>energoefektivitātes paaugstināšanas pasākumu ietvaros tiek sniegts atbalsts, kas kvalificējams kā komercdarbības atbalsts.”</w:t>
            </w:r>
          </w:p>
          <w:p w14:paraId="2258E1C5" w14:textId="7404345E" w:rsidR="00F65F26" w:rsidRPr="00991241" w:rsidRDefault="00F65F26" w:rsidP="00F65F26">
            <w:pPr>
              <w:widowControl w:val="0"/>
              <w:tabs>
                <w:tab w:val="left" w:pos="993"/>
              </w:tabs>
              <w:ind w:right="3"/>
              <w:jc w:val="both"/>
              <w:rPr>
                <w:b/>
                <w:bCs/>
                <w:sz w:val="22"/>
                <w:szCs w:val="22"/>
              </w:rPr>
            </w:pPr>
            <w:r w:rsidRPr="00991241">
              <w:rPr>
                <w:sz w:val="22"/>
                <w:szCs w:val="22"/>
              </w:rPr>
              <w:t>Lūdzam atbilstoši papildināt anotācijas I sadaļas “Tiesību akta projekta izstrādes nepieciešamība” 2.punktu “Pašreizējā situācija un problēmas, kuru risināšanai tiesību akta projekts izstrādāts, tiesiskā regulējuma mērķis un būtība” (turpmāk – anotācijas I sadaļas 2.punkts).”</w:t>
            </w:r>
          </w:p>
        </w:tc>
        <w:tc>
          <w:tcPr>
            <w:tcW w:w="3402" w:type="dxa"/>
            <w:tcBorders>
              <w:left w:val="single" w:sz="6" w:space="0" w:color="000000"/>
              <w:bottom w:val="single" w:sz="4" w:space="0" w:color="auto"/>
              <w:right w:val="single" w:sz="6" w:space="0" w:color="000000"/>
            </w:tcBorders>
          </w:tcPr>
          <w:p w14:paraId="46DA0DF2" w14:textId="5A72F38C" w:rsidR="00F65F26" w:rsidRPr="00991241" w:rsidRDefault="00F65F26" w:rsidP="00CD3082">
            <w:pPr>
              <w:pStyle w:val="naisc"/>
              <w:spacing w:before="0" w:after="0"/>
              <w:rPr>
                <w:b/>
                <w:sz w:val="22"/>
                <w:szCs w:val="22"/>
              </w:rPr>
            </w:pPr>
            <w:r w:rsidRPr="00991241">
              <w:rPr>
                <w:b/>
                <w:sz w:val="22"/>
                <w:szCs w:val="22"/>
              </w:rPr>
              <w:lastRenderedPageBreak/>
              <w:t>Ņemts vērā</w:t>
            </w:r>
          </w:p>
        </w:tc>
        <w:tc>
          <w:tcPr>
            <w:tcW w:w="3260" w:type="dxa"/>
            <w:tcBorders>
              <w:top w:val="single" w:sz="4" w:space="0" w:color="auto"/>
              <w:left w:val="single" w:sz="4" w:space="0" w:color="auto"/>
              <w:bottom w:val="single" w:sz="4" w:space="0" w:color="auto"/>
            </w:tcBorders>
          </w:tcPr>
          <w:p w14:paraId="02209F48" w14:textId="5449EE59" w:rsidR="00F65F26" w:rsidRPr="00991241" w:rsidRDefault="00F65F26" w:rsidP="00BD1B21">
            <w:pPr>
              <w:jc w:val="both"/>
              <w:rPr>
                <w:b/>
                <w:bCs/>
                <w:sz w:val="22"/>
                <w:szCs w:val="22"/>
              </w:rPr>
            </w:pPr>
            <w:r w:rsidRPr="00991241">
              <w:rPr>
                <w:b/>
                <w:bCs/>
                <w:sz w:val="22"/>
                <w:szCs w:val="22"/>
              </w:rPr>
              <w:t xml:space="preserve">Noteikumu projekts papildināts ar </w:t>
            </w:r>
            <w:r w:rsidR="009A670A" w:rsidRPr="00991241">
              <w:rPr>
                <w:b/>
                <w:bCs/>
                <w:sz w:val="22"/>
                <w:szCs w:val="22"/>
              </w:rPr>
              <w:t>3</w:t>
            </w:r>
            <w:r w:rsidRPr="00991241">
              <w:rPr>
                <w:b/>
                <w:bCs/>
                <w:sz w:val="22"/>
                <w:szCs w:val="22"/>
              </w:rPr>
              <w:t>.punktu šādā redakcija:</w:t>
            </w:r>
          </w:p>
          <w:p w14:paraId="35A666D8" w14:textId="2BB7F4D0" w:rsidR="00F65F26" w:rsidRPr="00991241" w:rsidRDefault="00F65F26" w:rsidP="00F65F26">
            <w:pPr>
              <w:jc w:val="both"/>
              <w:rPr>
                <w:sz w:val="22"/>
                <w:szCs w:val="22"/>
              </w:rPr>
            </w:pPr>
            <w:r w:rsidRPr="00991241">
              <w:rPr>
                <w:sz w:val="22"/>
                <w:szCs w:val="22"/>
              </w:rPr>
              <w:t>“</w:t>
            </w:r>
            <w:r w:rsidR="009A670A" w:rsidRPr="00991241">
              <w:rPr>
                <w:sz w:val="22"/>
                <w:szCs w:val="22"/>
              </w:rPr>
              <w:t>3</w:t>
            </w:r>
            <w:r w:rsidRPr="00991241">
              <w:rPr>
                <w:sz w:val="22"/>
                <w:szCs w:val="22"/>
              </w:rPr>
              <w:t>.</w:t>
            </w:r>
            <w:r w:rsidRPr="00991241">
              <w:rPr>
                <w:sz w:val="22"/>
                <w:szCs w:val="22"/>
              </w:rPr>
              <w:tab/>
              <w:t>Izteikt 50.7. apakšpunktu šādā redakcijā:</w:t>
            </w:r>
          </w:p>
          <w:p w14:paraId="50FE922D" w14:textId="77777777" w:rsidR="00F65F26" w:rsidRPr="00991241" w:rsidRDefault="00F65F26" w:rsidP="00F65F26">
            <w:pPr>
              <w:jc w:val="both"/>
              <w:rPr>
                <w:sz w:val="22"/>
                <w:szCs w:val="22"/>
              </w:rPr>
            </w:pPr>
            <w:r w:rsidRPr="00991241">
              <w:rPr>
                <w:sz w:val="22"/>
                <w:szCs w:val="22"/>
              </w:rPr>
              <w:t xml:space="preserve">“50.7. elektroniski uzskaites veidlapu par citu saņemto de minimis atbalstu vai norāda de minimis atbalsta uzskaites sistēmā izveidotās un apstiprinātās pretendenta veidlapas identifikācijas numuru saskaņā ar normatīvajiem aktiem par de minimis atbalsta uzskaites un piešķiršanas kārtību un de minimis atbalsta uzskaites veidlapu paraugiem, ja energoefektivitātes paaugstināšanas pasākumu </w:t>
            </w:r>
            <w:r w:rsidRPr="00991241">
              <w:rPr>
                <w:sz w:val="22"/>
                <w:szCs w:val="22"/>
              </w:rPr>
              <w:lastRenderedPageBreak/>
              <w:t>ietvaros tiek sniegts atbalsts, kas kvalificējams kā komercdarbības atbalsts.””</w:t>
            </w:r>
          </w:p>
          <w:p w14:paraId="51335FB2" w14:textId="77777777" w:rsidR="00E360D8" w:rsidRPr="00991241" w:rsidRDefault="00E360D8" w:rsidP="00F65F26">
            <w:pPr>
              <w:jc w:val="both"/>
              <w:rPr>
                <w:sz w:val="22"/>
                <w:szCs w:val="22"/>
              </w:rPr>
            </w:pPr>
          </w:p>
          <w:p w14:paraId="3655CC6A" w14:textId="69240B7E" w:rsidR="00E360D8" w:rsidRPr="00991241" w:rsidRDefault="00E360D8" w:rsidP="00F65F26">
            <w:pPr>
              <w:jc w:val="both"/>
              <w:rPr>
                <w:b/>
                <w:bCs/>
                <w:sz w:val="22"/>
                <w:szCs w:val="22"/>
              </w:rPr>
            </w:pPr>
            <w:r w:rsidRPr="00991241">
              <w:rPr>
                <w:b/>
                <w:bCs/>
                <w:sz w:val="22"/>
                <w:szCs w:val="22"/>
              </w:rPr>
              <w:t>Atbilstoši</w:t>
            </w:r>
            <w:r w:rsidRPr="00991241">
              <w:rPr>
                <w:sz w:val="22"/>
                <w:szCs w:val="22"/>
              </w:rPr>
              <w:t xml:space="preserve"> </w:t>
            </w:r>
            <w:r w:rsidRPr="00991241">
              <w:rPr>
                <w:b/>
                <w:bCs/>
                <w:sz w:val="22"/>
                <w:szCs w:val="22"/>
              </w:rPr>
              <w:t>precizēta anotācija</w:t>
            </w:r>
          </w:p>
        </w:tc>
      </w:tr>
      <w:tr w:rsidR="00991241" w:rsidRPr="00991241" w14:paraId="7F6CB512" w14:textId="77777777" w:rsidTr="00E953FF">
        <w:tc>
          <w:tcPr>
            <w:tcW w:w="716" w:type="dxa"/>
            <w:tcBorders>
              <w:left w:val="single" w:sz="6" w:space="0" w:color="000000"/>
              <w:bottom w:val="single" w:sz="4" w:space="0" w:color="auto"/>
              <w:right w:val="single" w:sz="4" w:space="0" w:color="auto"/>
            </w:tcBorders>
          </w:tcPr>
          <w:p w14:paraId="58942BCD" w14:textId="77777777" w:rsidR="00991241" w:rsidRPr="00991241" w:rsidRDefault="00991241"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right w:val="single" w:sz="4" w:space="0" w:color="auto"/>
            </w:tcBorders>
          </w:tcPr>
          <w:p w14:paraId="47612EEA" w14:textId="5F292173" w:rsidR="00991241" w:rsidRPr="00991241" w:rsidRDefault="00991241" w:rsidP="0018304D">
            <w:pPr>
              <w:pStyle w:val="naisc"/>
              <w:spacing w:before="0"/>
              <w:jc w:val="both"/>
              <w:rPr>
                <w:b/>
                <w:sz w:val="22"/>
                <w:szCs w:val="22"/>
              </w:rPr>
            </w:pPr>
            <w:r w:rsidRPr="00991241">
              <w:rPr>
                <w:b/>
                <w:sz w:val="22"/>
                <w:szCs w:val="22"/>
              </w:rPr>
              <w:t xml:space="preserve">Noteikumu projekta 1. </w:t>
            </w:r>
            <w:r w:rsidR="009268C7">
              <w:rPr>
                <w:b/>
                <w:sz w:val="22"/>
                <w:szCs w:val="22"/>
              </w:rPr>
              <w:t xml:space="preserve">un </w:t>
            </w:r>
            <w:r w:rsidR="009268C7" w:rsidRPr="009268C7">
              <w:rPr>
                <w:b/>
                <w:sz w:val="22"/>
                <w:szCs w:val="22"/>
              </w:rPr>
              <w:t>7.punkts</w:t>
            </w:r>
          </w:p>
        </w:tc>
        <w:tc>
          <w:tcPr>
            <w:tcW w:w="4554" w:type="dxa"/>
            <w:tcBorders>
              <w:left w:val="single" w:sz="4" w:space="0" w:color="auto"/>
              <w:bottom w:val="single" w:sz="4" w:space="0" w:color="auto"/>
              <w:right w:val="single" w:sz="6" w:space="0" w:color="000000"/>
            </w:tcBorders>
          </w:tcPr>
          <w:p w14:paraId="3198F530" w14:textId="3BF4EF89" w:rsidR="00991241" w:rsidRPr="00991241" w:rsidRDefault="00991241" w:rsidP="0018304D">
            <w:pPr>
              <w:widowControl w:val="0"/>
              <w:tabs>
                <w:tab w:val="left" w:pos="993"/>
              </w:tabs>
              <w:ind w:right="3"/>
              <w:jc w:val="both"/>
              <w:rPr>
                <w:b/>
                <w:bCs/>
                <w:sz w:val="22"/>
                <w:szCs w:val="22"/>
              </w:rPr>
            </w:pPr>
            <w:r w:rsidRPr="00991241">
              <w:rPr>
                <w:b/>
                <w:bCs/>
                <w:sz w:val="22"/>
                <w:szCs w:val="22"/>
              </w:rPr>
              <w:t>Tieslietu ministrijas 09.04.2020. atzinuma 1.iebildums:</w:t>
            </w:r>
          </w:p>
          <w:p w14:paraId="0D5F0FFA" w14:textId="523037FB" w:rsidR="00991241" w:rsidRPr="00991241" w:rsidRDefault="00991241" w:rsidP="0018304D">
            <w:pPr>
              <w:widowControl w:val="0"/>
              <w:tabs>
                <w:tab w:val="left" w:pos="993"/>
              </w:tabs>
              <w:ind w:right="3"/>
              <w:jc w:val="both"/>
              <w:rPr>
                <w:sz w:val="22"/>
                <w:szCs w:val="22"/>
              </w:rPr>
            </w:pPr>
            <w:r w:rsidRPr="00991241">
              <w:rPr>
                <w:b/>
                <w:bCs/>
                <w:sz w:val="22"/>
                <w:szCs w:val="22"/>
              </w:rPr>
              <w:t>“</w:t>
            </w:r>
            <w:r w:rsidRPr="00991241">
              <w:rPr>
                <w:sz w:val="22"/>
                <w:szCs w:val="22"/>
              </w:rPr>
              <w:t>1. Ar noteikumu projekta 1. punktu paredzēts papildināt Ministru kabineta 2016. gada 15. marta noteikumu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noteikumi Nr. 160) 2.9. apakšpunktā ietverto "citu finansētāju" definīciju, norādot, ja dzīvokļu īpašniekiem tiek piešķirta šo noteikumu 62. punktā noteiktā garantija, tad citiem finansētājiem un sabiedrībai "Altum" papildus</w:t>
            </w:r>
            <w:r w:rsidRPr="00991241">
              <w:rPr>
                <w:b/>
                <w:bCs/>
                <w:sz w:val="22"/>
                <w:szCs w:val="22"/>
              </w:rPr>
              <w:t xml:space="preserve"> </w:t>
            </w:r>
            <w:r w:rsidRPr="00991241">
              <w:rPr>
                <w:sz w:val="22"/>
                <w:szCs w:val="22"/>
              </w:rPr>
              <w:t>nepieciešams noslēgt civiltiesiskus līgumus, lai vienotos par garantiju izsniegšanas kārtību, kompensāciju izmaksu un zaudējumu samazināšanas pasākumiem.</w:t>
            </w:r>
          </w:p>
          <w:p w14:paraId="76519FDF" w14:textId="2AF56A30" w:rsidR="00991241" w:rsidRPr="00991241" w:rsidRDefault="00991241" w:rsidP="0018304D">
            <w:pPr>
              <w:widowControl w:val="0"/>
              <w:tabs>
                <w:tab w:val="left" w:pos="993"/>
              </w:tabs>
              <w:ind w:right="3"/>
              <w:jc w:val="both"/>
              <w:rPr>
                <w:b/>
                <w:bCs/>
                <w:sz w:val="22"/>
                <w:szCs w:val="22"/>
              </w:rPr>
            </w:pPr>
            <w:r w:rsidRPr="00991241">
              <w:rPr>
                <w:sz w:val="22"/>
                <w:szCs w:val="22"/>
              </w:rPr>
              <w:t>Vēršam uzmanību, ka saskaņā ar Ministru kabineta 2009. gada 3. februāra noteikumu Nr. 108 "Normatīvo aktu projektu sagatavošanas noteikumi" 39. un 122. punktu terminu skaidro, minot tajā izteiktā jēdziena būtiskās pazīmes. Attiecīgi lūdzam izvērtēt un svītrot noteikumu projekta 1. punktā ietvertā termina "citi finansētāji" skaidrojumu, attiecīgajā skaidrojumā</w:t>
            </w:r>
            <w:r w:rsidRPr="00991241">
              <w:rPr>
                <w:b/>
                <w:bCs/>
                <w:sz w:val="22"/>
                <w:szCs w:val="22"/>
              </w:rPr>
              <w:t xml:space="preserve"> </w:t>
            </w:r>
            <w:r w:rsidRPr="00991241">
              <w:rPr>
                <w:sz w:val="22"/>
                <w:szCs w:val="22"/>
              </w:rPr>
              <w:t>ietverto nosacījumu atspoguļojot noteikumu projekta tekstā.”</w:t>
            </w:r>
          </w:p>
        </w:tc>
        <w:tc>
          <w:tcPr>
            <w:tcW w:w="3402" w:type="dxa"/>
            <w:tcBorders>
              <w:left w:val="single" w:sz="6" w:space="0" w:color="000000"/>
              <w:bottom w:val="single" w:sz="4" w:space="0" w:color="auto"/>
              <w:right w:val="single" w:sz="6" w:space="0" w:color="000000"/>
            </w:tcBorders>
          </w:tcPr>
          <w:p w14:paraId="346F1830" w14:textId="38524B07" w:rsidR="00991241" w:rsidRPr="00991241" w:rsidRDefault="00991241" w:rsidP="00CD3082">
            <w:pPr>
              <w:pStyle w:val="naisc"/>
              <w:spacing w:before="0" w:after="0"/>
              <w:rPr>
                <w:b/>
                <w:sz w:val="22"/>
                <w:szCs w:val="22"/>
              </w:rPr>
            </w:pPr>
            <w:r w:rsidRPr="00991241">
              <w:rPr>
                <w:b/>
                <w:sz w:val="22"/>
                <w:szCs w:val="22"/>
              </w:rPr>
              <w:t>Ņemts vērā</w:t>
            </w:r>
          </w:p>
        </w:tc>
        <w:tc>
          <w:tcPr>
            <w:tcW w:w="3260" w:type="dxa"/>
            <w:tcBorders>
              <w:top w:val="single" w:sz="4" w:space="0" w:color="auto"/>
              <w:left w:val="single" w:sz="4" w:space="0" w:color="auto"/>
            </w:tcBorders>
          </w:tcPr>
          <w:p w14:paraId="6F6A4332" w14:textId="58DC74FF" w:rsidR="00D813BF" w:rsidRPr="00D813BF" w:rsidRDefault="00991241" w:rsidP="00D813BF">
            <w:pPr>
              <w:jc w:val="both"/>
              <w:rPr>
                <w:b/>
                <w:bCs/>
                <w:sz w:val="22"/>
                <w:szCs w:val="22"/>
              </w:rPr>
            </w:pPr>
            <w:bookmarkStart w:id="0" w:name="_GoBack"/>
            <w:bookmarkEnd w:id="0"/>
            <w:r w:rsidRPr="00D813BF">
              <w:rPr>
                <w:b/>
                <w:bCs/>
                <w:sz w:val="22"/>
                <w:szCs w:val="22"/>
              </w:rPr>
              <w:t>Noteikumu projekta 7.punkts izteikts šādā redakcijā:</w:t>
            </w:r>
            <w:r w:rsidRPr="00D813BF">
              <w:rPr>
                <w:b/>
                <w:bCs/>
                <w:sz w:val="22"/>
                <w:szCs w:val="22"/>
              </w:rPr>
              <w:br/>
            </w:r>
          </w:p>
          <w:p w14:paraId="570B8AB0" w14:textId="77777777" w:rsidR="00D813BF" w:rsidRPr="00D813BF" w:rsidRDefault="00D813BF" w:rsidP="00D813BF">
            <w:pPr>
              <w:jc w:val="both"/>
              <w:rPr>
                <w:sz w:val="22"/>
                <w:szCs w:val="22"/>
              </w:rPr>
            </w:pPr>
            <w:r w:rsidRPr="00D813BF">
              <w:rPr>
                <w:sz w:val="22"/>
                <w:szCs w:val="22"/>
              </w:rPr>
              <w:t>7.</w:t>
            </w:r>
            <w:r w:rsidRPr="00D813BF">
              <w:rPr>
                <w:sz w:val="22"/>
                <w:szCs w:val="22"/>
              </w:rPr>
              <w:tab/>
              <w:t>Papildināt noteikumus ar 67.</w:t>
            </w:r>
            <w:r w:rsidRPr="00D813BF">
              <w:rPr>
                <w:sz w:val="22"/>
                <w:szCs w:val="22"/>
                <w:vertAlign w:val="superscript"/>
              </w:rPr>
              <w:t>1</w:t>
            </w:r>
            <w:r w:rsidRPr="00D813BF">
              <w:rPr>
                <w:sz w:val="22"/>
                <w:szCs w:val="22"/>
              </w:rPr>
              <w:t xml:space="preserve"> līdz 67.</w:t>
            </w:r>
            <w:r w:rsidRPr="00D813BF">
              <w:rPr>
                <w:sz w:val="22"/>
                <w:szCs w:val="22"/>
                <w:vertAlign w:val="superscript"/>
              </w:rPr>
              <w:t>6</w:t>
            </w:r>
            <w:r w:rsidRPr="00D813BF">
              <w:rPr>
                <w:sz w:val="22"/>
                <w:szCs w:val="22"/>
              </w:rPr>
              <w:t xml:space="preserve"> punktu šādā redakcijā:</w:t>
            </w:r>
          </w:p>
          <w:p w14:paraId="70D46E6E" w14:textId="77777777" w:rsidR="00D813BF" w:rsidRPr="00D813BF" w:rsidRDefault="00D813BF" w:rsidP="00D813BF">
            <w:pPr>
              <w:jc w:val="both"/>
              <w:rPr>
                <w:sz w:val="22"/>
                <w:szCs w:val="22"/>
              </w:rPr>
            </w:pPr>
          </w:p>
          <w:p w14:paraId="209D72C4"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Sabiedrība "Altum" var pagarināt garantijas termiņu nepārsniedzot šo noteikumu 67. punktā noteikto termiņu, ja:</w:t>
            </w:r>
          </w:p>
          <w:p w14:paraId="534885F8" w14:textId="77777777" w:rsidR="00D813BF" w:rsidRPr="00D813BF" w:rsidRDefault="00D813BF" w:rsidP="00D813BF">
            <w:pPr>
              <w:jc w:val="both"/>
              <w:rPr>
                <w:sz w:val="22"/>
                <w:szCs w:val="22"/>
              </w:rPr>
            </w:pPr>
          </w:p>
          <w:p w14:paraId="204860D9"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1. dzīvokļu īpašnieki ar pilnvarotās personas un cita finansētāja starpniecību iesniedz sabiedrībā "Altum" iesniegumu;</w:t>
            </w:r>
          </w:p>
          <w:p w14:paraId="13B831F0" w14:textId="77777777" w:rsidR="00D813BF" w:rsidRPr="00D813BF" w:rsidRDefault="00D813BF" w:rsidP="00D813BF">
            <w:pPr>
              <w:jc w:val="both"/>
              <w:rPr>
                <w:sz w:val="22"/>
                <w:szCs w:val="22"/>
              </w:rPr>
            </w:pPr>
          </w:p>
          <w:p w14:paraId="1C607425"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2. daudzdzīvokļu dzīvojamās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p>
          <w:p w14:paraId="3B546C82" w14:textId="77777777" w:rsidR="00D813BF" w:rsidRPr="00D813BF" w:rsidRDefault="00D813BF" w:rsidP="00D813BF">
            <w:pPr>
              <w:jc w:val="both"/>
              <w:rPr>
                <w:sz w:val="22"/>
                <w:szCs w:val="22"/>
              </w:rPr>
            </w:pPr>
          </w:p>
          <w:p w14:paraId="30D3927E" w14:textId="77777777" w:rsidR="00D813BF" w:rsidRPr="00D813BF" w:rsidRDefault="00D813BF" w:rsidP="00D813BF">
            <w:pPr>
              <w:jc w:val="both"/>
              <w:rPr>
                <w:sz w:val="22"/>
                <w:szCs w:val="22"/>
              </w:rPr>
            </w:pPr>
            <w:r w:rsidRPr="00D813BF">
              <w:rPr>
                <w:sz w:val="22"/>
                <w:szCs w:val="22"/>
              </w:rPr>
              <w:lastRenderedPageBreak/>
              <w:t>67.</w:t>
            </w:r>
            <w:r w:rsidRPr="00D813BF">
              <w:rPr>
                <w:sz w:val="22"/>
                <w:szCs w:val="22"/>
                <w:vertAlign w:val="superscript"/>
              </w:rPr>
              <w:t>2</w:t>
            </w:r>
            <w:r w:rsidRPr="00D813BF">
              <w:rPr>
                <w:sz w:val="22"/>
                <w:szCs w:val="22"/>
              </w:rPr>
              <w:t xml:space="preserve"> Sabiedrība "Altum" un citi finansētāji papildus noslēdz civiltiesiskus līgumus, lai vienotos par garantiju izsniegšanas kārtību, kompensāciju izmaksu un zaudējumu samazināšanas pasākumiem.</w:t>
            </w:r>
          </w:p>
          <w:p w14:paraId="3FA7A864" w14:textId="77777777" w:rsidR="00D813BF" w:rsidRPr="00D813BF" w:rsidRDefault="00D813BF" w:rsidP="00D813BF">
            <w:pPr>
              <w:jc w:val="both"/>
              <w:rPr>
                <w:sz w:val="22"/>
                <w:szCs w:val="22"/>
              </w:rPr>
            </w:pPr>
          </w:p>
          <w:p w14:paraId="1DF3DC26"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3</w:t>
            </w:r>
            <w:r w:rsidRPr="00D813BF">
              <w:rPr>
                <w:sz w:val="22"/>
                <w:szCs w:val="22"/>
              </w:rPr>
              <w:t xml:space="preserve"> Ja tiek pagarināts sabiedrības "Altum" iepriekš izsniegtas garantijas termiņš un dzīvokļa īpašniekam ir piemērojami šo noteikumu 79. punkta nosacījumi, garantijas pagarinājumu sabiedrība "Altum" vērtē kā jaunu de minimis atbalstu, no jauna izvērtējot un pārbaudot de minimis atbalsta nosacījumus.</w:t>
            </w:r>
          </w:p>
          <w:p w14:paraId="2F514CC9"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4</w:t>
            </w:r>
            <w:r w:rsidRPr="00D813BF">
              <w:rPr>
                <w:sz w:val="22"/>
                <w:szCs w:val="22"/>
              </w:rPr>
              <w:t xml:space="preserve"> Ja bruto subsīdijas ekvivalents tiek aprēķināts saskaņā ar Komisijas regulas Nr. 1407/2013 4. panta 6. punkta "b" apakšpunktu, garantijas summa nepārsniedz:</w:t>
            </w:r>
          </w:p>
          <w:p w14:paraId="5CFB9096"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4</w:t>
            </w:r>
            <w:r w:rsidRPr="00D813BF">
              <w:rPr>
                <w:sz w:val="22"/>
                <w:szCs w:val="22"/>
              </w:rPr>
              <w:t xml:space="preserve"> 1. 1 500 000 euro vai 750 000 euro, ja saimnieciskās darbības veicējs darbojas kravu autopārvadājumu nozarē, un garantijas termiņš nepārsniedz piecus gadus;</w:t>
            </w:r>
          </w:p>
          <w:p w14:paraId="39E6B4F7"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4</w:t>
            </w:r>
            <w:r w:rsidRPr="00D813BF">
              <w:rPr>
                <w:sz w:val="22"/>
                <w:szCs w:val="22"/>
              </w:rPr>
              <w:t xml:space="preserve"> 2. 750 000 euro vai 375 000 euro, ja saimnieciskās darbības veicējs darbojas kravu autopārvadājumu nozarē, un garantijas termiņš nepārsniedz 10 gadus.</w:t>
            </w:r>
          </w:p>
          <w:p w14:paraId="62B945D7"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5</w:t>
            </w:r>
            <w:r w:rsidRPr="00D813BF">
              <w:rPr>
                <w:sz w:val="22"/>
                <w:szCs w:val="22"/>
              </w:rPr>
              <w:t xml:space="preserve"> Šo noteikumu 64.</w:t>
            </w:r>
            <w:r w:rsidRPr="00D813BF">
              <w:rPr>
                <w:sz w:val="22"/>
                <w:szCs w:val="22"/>
                <w:vertAlign w:val="superscript"/>
              </w:rPr>
              <w:t>1</w:t>
            </w:r>
            <w:r w:rsidRPr="00D813BF">
              <w:rPr>
                <w:sz w:val="22"/>
                <w:szCs w:val="22"/>
              </w:rPr>
              <w:t xml:space="preserve"> 2. apakšpunktā noteiktajiem </w:t>
            </w:r>
            <w:r w:rsidRPr="00D813BF">
              <w:rPr>
                <w:sz w:val="22"/>
                <w:szCs w:val="22"/>
              </w:rPr>
              <w:lastRenderedPageBreak/>
              <w:t>garantijas saņēmējiem piemēro šo noteikumu 67.</w:t>
            </w:r>
            <w:r w:rsidRPr="00D813BF">
              <w:rPr>
                <w:sz w:val="22"/>
                <w:szCs w:val="22"/>
                <w:vertAlign w:val="superscript"/>
              </w:rPr>
              <w:t>4</w:t>
            </w:r>
            <w:r w:rsidRPr="00D813BF">
              <w:rPr>
                <w:sz w:val="22"/>
                <w:szCs w:val="22"/>
              </w:rPr>
              <w:t xml:space="preserve"> punktu.</w:t>
            </w:r>
          </w:p>
          <w:p w14:paraId="24FFABC0" w14:textId="78B92856" w:rsidR="00991241" w:rsidRPr="00D813BF" w:rsidRDefault="00D813BF" w:rsidP="00D813BF">
            <w:pPr>
              <w:jc w:val="both"/>
              <w:rPr>
                <w:sz w:val="22"/>
                <w:szCs w:val="22"/>
              </w:rPr>
            </w:pPr>
            <w:r w:rsidRPr="00D813BF">
              <w:rPr>
                <w:sz w:val="22"/>
                <w:szCs w:val="22"/>
              </w:rPr>
              <w:t>67.</w:t>
            </w:r>
            <w:r w:rsidRPr="00D813BF">
              <w:rPr>
                <w:sz w:val="22"/>
                <w:szCs w:val="22"/>
                <w:vertAlign w:val="superscript"/>
              </w:rPr>
              <w:t>6</w:t>
            </w:r>
            <w:r w:rsidRPr="00D813BF">
              <w:rPr>
                <w:sz w:val="22"/>
                <w:szCs w:val="22"/>
              </w:rPr>
              <w:t xml:space="preserve"> Šo noteikumu 64.</w:t>
            </w:r>
            <w:r w:rsidRPr="00D813BF">
              <w:rPr>
                <w:sz w:val="22"/>
                <w:szCs w:val="22"/>
                <w:vertAlign w:val="superscript"/>
              </w:rPr>
              <w:t>1</w:t>
            </w:r>
            <w:r w:rsidRPr="00D813BF">
              <w:rPr>
                <w:sz w:val="22"/>
                <w:szCs w:val="22"/>
              </w:rPr>
              <w:t xml:space="preserve"> 2. apakšpunktā noteiktie garantijas saņēmēji garantiju var saņemt, ja garantijas kredīta kvalitāte nav mazāka par šo noteikumu 2. pielikumā noteikto kredīta kvalitātes klasi "Maksātspēju varētu mazināt nelabvēlīgi apstākļi"."</w:t>
            </w:r>
          </w:p>
        </w:tc>
      </w:tr>
      <w:tr w:rsidR="00CB1F17" w:rsidRPr="00991241" w14:paraId="194456E8" w14:textId="77777777" w:rsidTr="008A4CAB">
        <w:tc>
          <w:tcPr>
            <w:tcW w:w="716" w:type="dxa"/>
            <w:tcBorders>
              <w:left w:val="single" w:sz="6" w:space="0" w:color="000000"/>
              <w:bottom w:val="single" w:sz="4" w:space="0" w:color="auto"/>
              <w:right w:val="single" w:sz="4" w:space="0" w:color="auto"/>
            </w:tcBorders>
          </w:tcPr>
          <w:p w14:paraId="541F1038" w14:textId="77777777" w:rsidR="00CB1F17" w:rsidRPr="00991241" w:rsidRDefault="00CB1F17"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46BE1B25" w14:textId="35DC0881" w:rsidR="00CB1F17" w:rsidRPr="00991241" w:rsidRDefault="00CB1F17" w:rsidP="0018304D">
            <w:pPr>
              <w:pStyle w:val="naisc"/>
              <w:spacing w:before="0"/>
              <w:jc w:val="both"/>
              <w:rPr>
                <w:b/>
                <w:sz w:val="22"/>
                <w:szCs w:val="22"/>
              </w:rPr>
            </w:pPr>
            <w:r w:rsidRPr="00991241">
              <w:rPr>
                <w:b/>
                <w:sz w:val="22"/>
                <w:szCs w:val="22"/>
              </w:rPr>
              <w:t>Noteikumu projekt</w:t>
            </w:r>
            <w:r w:rsidR="009268C7">
              <w:rPr>
                <w:b/>
                <w:sz w:val="22"/>
                <w:szCs w:val="22"/>
              </w:rPr>
              <w:t>a 1.</w:t>
            </w:r>
            <w:r w:rsidR="00A55986">
              <w:rPr>
                <w:b/>
                <w:sz w:val="22"/>
                <w:szCs w:val="22"/>
              </w:rPr>
              <w:t>punkts</w:t>
            </w:r>
          </w:p>
        </w:tc>
        <w:tc>
          <w:tcPr>
            <w:tcW w:w="4554" w:type="dxa"/>
            <w:tcBorders>
              <w:left w:val="single" w:sz="4" w:space="0" w:color="auto"/>
              <w:bottom w:val="single" w:sz="4" w:space="0" w:color="auto"/>
              <w:right w:val="single" w:sz="6" w:space="0" w:color="000000"/>
            </w:tcBorders>
          </w:tcPr>
          <w:p w14:paraId="3CCDC1E5" w14:textId="4822C72D" w:rsidR="00CB1F17" w:rsidRPr="00991241" w:rsidRDefault="00CB1F17" w:rsidP="0072392C">
            <w:pPr>
              <w:widowControl w:val="0"/>
              <w:tabs>
                <w:tab w:val="left" w:pos="993"/>
              </w:tabs>
              <w:ind w:right="3"/>
              <w:jc w:val="both"/>
              <w:rPr>
                <w:b/>
                <w:bCs/>
                <w:sz w:val="22"/>
                <w:szCs w:val="22"/>
              </w:rPr>
            </w:pPr>
            <w:r w:rsidRPr="00991241">
              <w:rPr>
                <w:b/>
                <w:bCs/>
                <w:sz w:val="22"/>
                <w:szCs w:val="22"/>
              </w:rPr>
              <w:t>Vides aizsardzības un reģionālās attīstības ministrijas 01.04.2020. atzinuma 2.priekšlikums:</w:t>
            </w:r>
          </w:p>
          <w:p w14:paraId="3C943A8B" w14:textId="7224E924" w:rsidR="00CB1F17" w:rsidRPr="00991241" w:rsidRDefault="00CB1F17" w:rsidP="0072392C">
            <w:pPr>
              <w:widowControl w:val="0"/>
              <w:tabs>
                <w:tab w:val="left" w:pos="993"/>
              </w:tabs>
              <w:ind w:right="3"/>
              <w:jc w:val="both"/>
              <w:rPr>
                <w:sz w:val="22"/>
                <w:szCs w:val="22"/>
              </w:rPr>
            </w:pPr>
            <w:r w:rsidRPr="00991241">
              <w:rPr>
                <w:sz w:val="22"/>
                <w:szCs w:val="22"/>
              </w:rPr>
              <w:t>“2. Papildus minētajam Ministrija rosina MK noteikumos veikt šādus tehniskus precizējumus:</w:t>
            </w:r>
          </w:p>
          <w:p w14:paraId="1D96C3DC" w14:textId="77777777" w:rsidR="00CB1F17" w:rsidRPr="00991241" w:rsidRDefault="00CB1F17" w:rsidP="0072392C">
            <w:pPr>
              <w:widowControl w:val="0"/>
              <w:tabs>
                <w:tab w:val="left" w:pos="993"/>
              </w:tabs>
              <w:ind w:right="3"/>
              <w:jc w:val="both"/>
              <w:rPr>
                <w:sz w:val="22"/>
                <w:szCs w:val="22"/>
              </w:rPr>
            </w:pPr>
            <w:r w:rsidRPr="00991241">
              <w:rPr>
                <w:sz w:val="22"/>
                <w:szCs w:val="22"/>
              </w:rPr>
              <w:t>2.1. grozījumiem noteikt pielikuma numuru un nosaukumu, jo esošajā redakcijā MK noteikumu Nr. 160 pielikums nav numurēts, savukārt, MK noteikumu projekta 9. punkts izsaka jaunu 2. pielikumu;</w:t>
            </w:r>
          </w:p>
          <w:p w14:paraId="06243C60" w14:textId="7B3B6CE7" w:rsidR="00CB1F17" w:rsidRPr="00991241" w:rsidRDefault="00CB1F17" w:rsidP="0072392C">
            <w:pPr>
              <w:widowControl w:val="0"/>
              <w:tabs>
                <w:tab w:val="left" w:pos="993"/>
              </w:tabs>
              <w:ind w:right="3"/>
              <w:jc w:val="both"/>
              <w:rPr>
                <w:b/>
                <w:bCs/>
                <w:sz w:val="22"/>
                <w:szCs w:val="22"/>
              </w:rPr>
            </w:pPr>
            <w:r w:rsidRPr="00991241">
              <w:rPr>
                <w:sz w:val="22"/>
                <w:szCs w:val="22"/>
              </w:rPr>
              <w:t>2.2. precizēt 2. punktā vārda "pielikums" galotni, jo MK noteikumu tekstā vārds lietots ar citu galotni "pielikumā".”</w:t>
            </w:r>
          </w:p>
        </w:tc>
        <w:tc>
          <w:tcPr>
            <w:tcW w:w="3402" w:type="dxa"/>
            <w:tcBorders>
              <w:left w:val="single" w:sz="6" w:space="0" w:color="000000"/>
              <w:bottom w:val="single" w:sz="4" w:space="0" w:color="auto"/>
              <w:right w:val="single" w:sz="6" w:space="0" w:color="000000"/>
            </w:tcBorders>
          </w:tcPr>
          <w:p w14:paraId="5040C5ED" w14:textId="77777777" w:rsidR="00CB1F17" w:rsidRPr="00991241" w:rsidRDefault="00CB1F17" w:rsidP="00CD3082">
            <w:pPr>
              <w:pStyle w:val="naisc"/>
              <w:spacing w:before="0" w:after="0"/>
              <w:rPr>
                <w:b/>
                <w:sz w:val="22"/>
                <w:szCs w:val="22"/>
              </w:rPr>
            </w:pPr>
            <w:r w:rsidRPr="00991241">
              <w:rPr>
                <w:b/>
                <w:sz w:val="22"/>
                <w:szCs w:val="22"/>
              </w:rPr>
              <w:t>Ņemts vērā</w:t>
            </w:r>
          </w:p>
          <w:p w14:paraId="372CF1DD" w14:textId="1C027F19" w:rsidR="00CB1F17" w:rsidRPr="00991241" w:rsidRDefault="00CB1F17" w:rsidP="001930C3">
            <w:pPr>
              <w:pStyle w:val="naisc"/>
              <w:spacing w:before="0" w:after="0"/>
              <w:jc w:val="both"/>
              <w:rPr>
                <w:bCs/>
                <w:sz w:val="22"/>
                <w:szCs w:val="22"/>
              </w:rPr>
            </w:pPr>
          </w:p>
        </w:tc>
        <w:tc>
          <w:tcPr>
            <w:tcW w:w="3260" w:type="dxa"/>
            <w:vMerge w:val="restart"/>
            <w:tcBorders>
              <w:top w:val="single" w:sz="4" w:space="0" w:color="auto"/>
              <w:left w:val="single" w:sz="4" w:space="0" w:color="auto"/>
            </w:tcBorders>
          </w:tcPr>
          <w:p w14:paraId="74E5D318" w14:textId="14FA7894" w:rsidR="00CB1F17" w:rsidRPr="00991241" w:rsidRDefault="00CB1F17" w:rsidP="00BD1B21">
            <w:pPr>
              <w:jc w:val="both"/>
              <w:rPr>
                <w:b/>
                <w:bCs/>
                <w:sz w:val="22"/>
                <w:szCs w:val="22"/>
              </w:rPr>
            </w:pPr>
            <w:r w:rsidRPr="00991241">
              <w:rPr>
                <w:b/>
                <w:bCs/>
                <w:sz w:val="22"/>
                <w:szCs w:val="22"/>
              </w:rPr>
              <w:t>Noteikumu projekta 1.punkts izteikts šādā redakcijā:</w:t>
            </w:r>
          </w:p>
          <w:p w14:paraId="17F88F2F" w14:textId="77777777" w:rsidR="00CB1F17" w:rsidRPr="00991241" w:rsidRDefault="00CB1F17" w:rsidP="00C17C0D">
            <w:pPr>
              <w:pStyle w:val="tv213"/>
              <w:shd w:val="clear" w:color="auto" w:fill="FFFFFF"/>
              <w:tabs>
                <w:tab w:val="left" w:pos="993"/>
              </w:tabs>
              <w:spacing w:before="0" w:beforeAutospacing="0" w:after="0" w:afterAutospacing="0" w:line="293" w:lineRule="atLeast"/>
              <w:jc w:val="both"/>
              <w:rPr>
                <w:sz w:val="22"/>
                <w:szCs w:val="22"/>
              </w:rPr>
            </w:pPr>
            <w:r w:rsidRPr="00991241">
              <w:rPr>
                <w:sz w:val="22"/>
                <w:szCs w:val="22"/>
              </w:rPr>
              <w:t>“</w:t>
            </w:r>
            <w:r w:rsidRPr="00991241">
              <w:t xml:space="preserve"> </w:t>
            </w:r>
            <w:r w:rsidRPr="00991241">
              <w:rPr>
                <w:sz w:val="22"/>
                <w:szCs w:val="22"/>
              </w:rPr>
              <w:t>1.</w:t>
            </w:r>
            <w:r w:rsidRPr="00991241">
              <w:rPr>
                <w:sz w:val="22"/>
                <w:szCs w:val="22"/>
              </w:rPr>
              <w:tab/>
              <w:t>Aizstāt 39.2.2. apakšpunktā vārdu "pielikumā" ar skaitli un vārdu "1. pielikumā".”</w:t>
            </w:r>
          </w:p>
          <w:p w14:paraId="686A8FC8" w14:textId="77777777" w:rsidR="00CB1F17" w:rsidRPr="00991241" w:rsidRDefault="00CB1F17" w:rsidP="00C17C0D">
            <w:pPr>
              <w:pStyle w:val="tv213"/>
              <w:shd w:val="clear" w:color="auto" w:fill="FFFFFF"/>
              <w:tabs>
                <w:tab w:val="left" w:pos="993"/>
              </w:tabs>
              <w:spacing w:before="0" w:beforeAutospacing="0" w:after="0" w:afterAutospacing="0" w:line="293" w:lineRule="atLeast"/>
              <w:jc w:val="both"/>
              <w:rPr>
                <w:sz w:val="22"/>
                <w:szCs w:val="22"/>
              </w:rPr>
            </w:pPr>
          </w:p>
          <w:p w14:paraId="52476D99" w14:textId="17E45CE4" w:rsidR="00CB1F17" w:rsidRPr="00991241" w:rsidRDefault="00CB1F17" w:rsidP="00C17C0D">
            <w:pPr>
              <w:pStyle w:val="tv213"/>
              <w:shd w:val="clear" w:color="auto" w:fill="FFFFFF"/>
              <w:tabs>
                <w:tab w:val="left" w:pos="993"/>
              </w:tabs>
              <w:spacing w:before="0" w:beforeAutospacing="0" w:after="0" w:afterAutospacing="0" w:line="293" w:lineRule="atLeast"/>
              <w:jc w:val="both"/>
              <w:rPr>
                <w:sz w:val="22"/>
                <w:szCs w:val="22"/>
              </w:rPr>
            </w:pPr>
          </w:p>
        </w:tc>
      </w:tr>
      <w:tr w:rsidR="00CB1F17" w:rsidRPr="00991241" w14:paraId="081D9BE7" w14:textId="77777777" w:rsidTr="008A4CAB">
        <w:tc>
          <w:tcPr>
            <w:tcW w:w="716" w:type="dxa"/>
            <w:tcBorders>
              <w:left w:val="single" w:sz="6" w:space="0" w:color="000000"/>
              <w:bottom w:val="single" w:sz="4" w:space="0" w:color="auto"/>
              <w:right w:val="single" w:sz="4" w:space="0" w:color="auto"/>
            </w:tcBorders>
          </w:tcPr>
          <w:p w14:paraId="402543F8" w14:textId="77777777" w:rsidR="00CB1F17" w:rsidRPr="00991241" w:rsidRDefault="00CB1F17"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bottom w:val="single" w:sz="4" w:space="0" w:color="auto"/>
              <w:right w:val="single" w:sz="4" w:space="0" w:color="auto"/>
            </w:tcBorders>
          </w:tcPr>
          <w:p w14:paraId="70AD5097" w14:textId="77777777" w:rsidR="00CB1F17" w:rsidRPr="00991241" w:rsidRDefault="00CB1F17" w:rsidP="0018304D">
            <w:pPr>
              <w:pStyle w:val="naisc"/>
              <w:spacing w:before="0"/>
              <w:jc w:val="both"/>
              <w:rPr>
                <w:b/>
                <w:sz w:val="22"/>
                <w:szCs w:val="22"/>
              </w:rPr>
            </w:pPr>
          </w:p>
        </w:tc>
        <w:tc>
          <w:tcPr>
            <w:tcW w:w="4554" w:type="dxa"/>
            <w:tcBorders>
              <w:left w:val="single" w:sz="4" w:space="0" w:color="auto"/>
              <w:bottom w:val="single" w:sz="4" w:space="0" w:color="auto"/>
              <w:right w:val="single" w:sz="6" w:space="0" w:color="000000"/>
            </w:tcBorders>
          </w:tcPr>
          <w:p w14:paraId="721891A5" w14:textId="77777777" w:rsidR="00CB1F17" w:rsidRPr="00991241" w:rsidRDefault="00CB1F17" w:rsidP="0072392C">
            <w:pPr>
              <w:widowControl w:val="0"/>
              <w:tabs>
                <w:tab w:val="left" w:pos="993"/>
              </w:tabs>
              <w:ind w:right="3"/>
              <w:jc w:val="both"/>
              <w:rPr>
                <w:b/>
                <w:bCs/>
                <w:sz w:val="22"/>
                <w:szCs w:val="22"/>
              </w:rPr>
            </w:pPr>
            <w:r w:rsidRPr="00991241">
              <w:rPr>
                <w:b/>
                <w:bCs/>
                <w:sz w:val="22"/>
                <w:szCs w:val="22"/>
              </w:rPr>
              <w:t>Tieslietu ministrijas 24.04.2020. atzinuma 1.priekšlikums:</w:t>
            </w:r>
          </w:p>
          <w:p w14:paraId="43F9A658" w14:textId="5BF17CE1" w:rsidR="00CB1F17" w:rsidRPr="00991241" w:rsidRDefault="00CB1F17" w:rsidP="0072392C">
            <w:pPr>
              <w:widowControl w:val="0"/>
              <w:tabs>
                <w:tab w:val="left" w:pos="993"/>
              </w:tabs>
              <w:ind w:right="3"/>
              <w:jc w:val="both"/>
              <w:rPr>
                <w:sz w:val="22"/>
                <w:szCs w:val="22"/>
              </w:rPr>
            </w:pPr>
            <w:r w:rsidRPr="00991241">
              <w:rPr>
                <w:sz w:val="22"/>
                <w:szCs w:val="22"/>
              </w:rPr>
              <w:t xml:space="preserve">“1.Aicinām nodrošināt secīgu noteikumu projektā ietverto grozījumu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noteikumi Nr. 160) secīgu izklāstu un noteikumu projekta 1. punktā paredzēto grozījumu noteikumu Nr. 160 pielikuma ietvert atsevišķā </w:t>
            </w:r>
            <w:r w:rsidRPr="00991241">
              <w:rPr>
                <w:sz w:val="22"/>
                <w:szCs w:val="22"/>
              </w:rPr>
              <w:lastRenderedPageBreak/>
              <w:t>punktā pēc noteikumu projekta 8. punkta.”</w:t>
            </w:r>
          </w:p>
        </w:tc>
        <w:tc>
          <w:tcPr>
            <w:tcW w:w="3402" w:type="dxa"/>
            <w:tcBorders>
              <w:left w:val="single" w:sz="6" w:space="0" w:color="000000"/>
              <w:bottom w:val="single" w:sz="4" w:space="0" w:color="auto"/>
              <w:right w:val="single" w:sz="6" w:space="0" w:color="000000"/>
            </w:tcBorders>
          </w:tcPr>
          <w:p w14:paraId="5B6F509D" w14:textId="0FE88A3E" w:rsidR="00CB1F17" w:rsidRPr="00991241" w:rsidRDefault="00CB1F17" w:rsidP="00CD3082">
            <w:pPr>
              <w:pStyle w:val="naisc"/>
              <w:spacing w:before="0" w:after="0"/>
              <w:rPr>
                <w:b/>
                <w:sz w:val="22"/>
                <w:szCs w:val="22"/>
              </w:rPr>
            </w:pPr>
            <w:r w:rsidRPr="00991241">
              <w:rPr>
                <w:b/>
                <w:sz w:val="22"/>
                <w:szCs w:val="22"/>
              </w:rPr>
              <w:lastRenderedPageBreak/>
              <w:t xml:space="preserve">Ņemts vērā </w:t>
            </w:r>
          </w:p>
        </w:tc>
        <w:tc>
          <w:tcPr>
            <w:tcW w:w="3260" w:type="dxa"/>
            <w:vMerge/>
            <w:tcBorders>
              <w:left w:val="single" w:sz="4" w:space="0" w:color="auto"/>
              <w:bottom w:val="single" w:sz="4" w:space="0" w:color="auto"/>
            </w:tcBorders>
          </w:tcPr>
          <w:p w14:paraId="58747E49" w14:textId="77777777" w:rsidR="00CB1F17" w:rsidRPr="00991241" w:rsidRDefault="00CB1F17" w:rsidP="00BD1B21">
            <w:pPr>
              <w:jc w:val="both"/>
              <w:rPr>
                <w:b/>
                <w:bCs/>
                <w:sz w:val="22"/>
                <w:szCs w:val="22"/>
              </w:rPr>
            </w:pPr>
          </w:p>
        </w:tc>
      </w:tr>
      <w:tr w:rsidR="00F22B95" w:rsidRPr="00991241" w14:paraId="36932C12" w14:textId="77777777" w:rsidTr="00414559">
        <w:tc>
          <w:tcPr>
            <w:tcW w:w="716" w:type="dxa"/>
            <w:vMerge w:val="restart"/>
            <w:tcBorders>
              <w:left w:val="single" w:sz="6" w:space="0" w:color="000000"/>
              <w:right w:val="single" w:sz="4" w:space="0" w:color="auto"/>
            </w:tcBorders>
          </w:tcPr>
          <w:p w14:paraId="6057B38C" w14:textId="77777777" w:rsidR="00F22B95" w:rsidRPr="00991241" w:rsidRDefault="00F22B95"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1F8FEDD5" w14:textId="6E454311" w:rsidR="00F22B95" w:rsidRPr="00991241" w:rsidRDefault="00F22B95" w:rsidP="00D239CC">
            <w:pPr>
              <w:pStyle w:val="naisc"/>
              <w:spacing w:before="0"/>
              <w:jc w:val="both"/>
              <w:rPr>
                <w:b/>
                <w:sz w:val="22"/>
                <w:szCs w:val="22"/>
              </w:rPr>
            </w:pPr>
            <w:r w:rsidRPr="00991241">
              <w:rPr>
                <w:b/>
                <w:sz w:val="22"/>
                <w:szCs w:val="22"/>
              </w:rPr>
              <w:t xml:space="preserve">Noteikumu projekta </w:t>
            </w:r>
            <w:r w:rsidR="009268C7">
              <w:rPr>
                <w:b/>
                <w:sz w:val="22"/>
                <w:szCs w:val="22"/>
              </w:rPr>
              <w:t>2</w:t>
            </w:r>
            <w:r w:rsidRPr="00991241">
              <w:rPr>
                <w:b/>
                <w:sz w:val="22"/>
                <w:szCs w:val="22"/>
              </w:rPr>
              <w:t>.punkts</w:t>
            </w:r>
          </w:p>
        </w:tc>
        <w:tc>
          <w:tcPr>
            <w:tcW w:w="4554" w:type="dxa"/>
            <w:tcBorders>
              <w:left w:val="single" w:sz="4" w:space="0" w:color="auto"/>
              <w:bottom w:val="single" w:sz="4" w:space="0" w:color="auto"/>
              <w:right w:val="single" w:sz="6" w:space="0" w:color="000000"/>
            </w:tcBorders>
          </w:tcPr>
          <w:p w14:paraId="772FAD3A" w14:textId="53A81354" w:rsidR="00F22B95" w:rsidRPr="00991241" w:rsidRDefault="00F22B95" w:rsidP="00B46770">
            <w:pPr>
              <w:widowControl w:val="0"/>
              <w:tabs>
                <w:tab w:val="left" w:pos="993"/>
              </w:tabs>
              <w:ind w:right="3"/>
              <w:jc w:val="both"/>
              <w:rPr>
                <w:b/>
                <w:bCs/>
                <w:sz w:val="22"/>
                <w:szCs w:val="22"/>
              </w:rPr>
            </w:pPr>
            <w:r w:rsidRPr="00991241">
              <w:rPr>
                <w:b/>
                <w:bCs/>
                <w:sz w:val="22"/>
                <w:szCs w:val="22"/>
              </w:rPr>
              <w:t>Finanšu ministrijas 14.04.2020. atzinuma 1.iebildums:</w:t>
            </w:r>
          </w:p>
          <w:p w14:paraId="38496E86" w14:textId="3AF22985" w:rsidR="00F22B95" w:rsidRPr="00991241" w:rsidRDefault="00F22B95" w:rsidP="00B46770">
            <w:pPr>
              <w:widowControl w:val="0"/>
              <w:tabs>
                <w:tab w:val="left" w:pos="993"/>
              </w:tabs>
              <w:ind w:right="3"/>
              <w:jc w:val="both"/>
              <w:rPr>
                <w:sz w:val="22"/>
                <w:szCs w:val="22"/>
              </w:rPr>
            </w:pPr>
            <w:r w:rsidRPr="00991241">
              <w:rPr>
                <w:sz w:val="22"/>
                <w:szCs w:val="22"/>
              </w:rPr>
              <w:t>“1.Ar noteikumu projekta 3.punktu, Ministru kabineta 2016.gada 15.marta noteikumu Nr.160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 (turpmāk – MK noteikumi Nr.160) tiek papildināti ar jaunu 41.2 punktu, kurā tiek paredzēts noteikt, ka izvēloties būvkomersantu, atlases nolikumā kā atlases kritēriju neiekļauj būvdarbu izpildes termiņu, un anotācijā, kā pamatojums šiem grozījumiem tiek noteikts, ka būvkomersantu atlasē viens no būvkomersanta izvēles kritērijiem tiek izvirzīts būvdarbu izpildes termiņš, kas 80% gadījumu tiek pagarināts, līdz ar to, īsa būvniecības termiņa piedāvājums un apstiprināšana var apdraudēt dzīvokļu īpašniekus un kvalitatīvu darbu pabeigšanu. Turklāt, vērtējot saimnieciski visizdevīgāko piedāvājumu, būvdarbu izpildes termiņi, tiek vērtēti izvēloties būvkomersantu.</w:t>
            </w:r>
          </w:p>
          <w:p w14:paraId="7B184CF4" w14:textId="2C1D117B" w:rsidR="00F22B95" w:rsidRPr="00991241" w:rsidRDefault="00F22B95" w:rsidP="00B46770">
            <w:pPr>
              <w:widowControl w:val="0"/>
              <w:tabs>
                <w:tab w:val="left" w:pos="993"/>
              </w:tabs>
              <w:ind w:right="3"/>
              <w:jc w:val="both"/>
              <w:rPr>
                <w:sz w:val="22"/>
                <w:szCs w:val="22"/>
              </w:rPr>
            </w:pPr>
            <w:r w:rsidRPr="00991241">
              <w:rPr>
                <w:sz w:val="22"/>
                <w:szCs w:val="22"/>
              </w:rPr>
              <w:t>Tomēr, grozījumos piedāvātās redakcijas, kurā ietverts termins “atlases kritērijs” nav skaidrs vai ir paredzēts noteikt, ka būvdarbiem termiņš vispār varētu netikt noteikts vai, ka tas netiek vērtēts. No anotācijā sniegtā pamatojuma izriet, ka ir paredzēts noteikt, ka nevērtē būvdarbu izpildes termiņu. Attiecībā uz vērtēšanas kritērijiem, Altum vadlīnijās tiek noteikts, ka “Nolikumā jānorāda vērtēšanas kritēriji un to īpatsvars nozīmīguma secībā”. Līdz ar to, lūdzam attiecīgi precizēt 41.2 punktu, nosakot, ka kā vērtēšanas kritēriju neiekļauj būvdarbu izpildes termiņu.”</w:t>
            </w:r>
          </w:p>
        </w:tc>
        <w:tc>
          <w:tcPr>
            <w:tcW w:w="3402" w:type="dxa"/>
            <w:tcBorders>
              <w:left w:val="single" w:sz="6" w:space="0" w:color="000000"/>
              <w:bottom w:val="single" w:sz="4" w:space="0" w:color="auto"/>
              <w:right w:val="single" w:sz="6" w:space="0" w:color="000000"/>
            </w:tcBorders>
          </w:tcPr>
          <w:p w14:paraId="221A2814" w14:textId="7B890FDC" w:rsidR="00F22B95" w:rsidRPr="00991241" w:rsidRDefault="00F22B95" w:rsidP="00CD3082">
            <w:pPr>
              <w:pStyle w:val="naisc"/>
              <w:spacing w:before="0" w:after="0"/>
              <w:rPr>
                <w:b/>
                <w:sz w:val="22"/>
                <w:szCs w:val="22"/>
              </w:rPr>
            </w:pPr>
            <w:r w:rsidRPr="00991241">
              <w:rPr>
                <w:b/>
                <w:sz w:val="22"/>
                <w:szCs w:val="22"/>
              </w:rPr>
              <w:t>Ņemts vērā</w:t>
            </w:r>
          </w:p>
        </w:tc>
        <w:tc>
          <w:tcPr>
            <w:tcW w:w="3260" w:type="dxa"/>
            <w:vMerge w:val="restart"/>
            <w:tcBorders>
              <w:top w:val="single" w:sz="4" w:space="0" w:color="auto"/>
              <w:left w:val="single" w:sz="4" w:space="0" w:color="auto"/>
            </w:tcBorders>
          </w:tcPr>
          <w:p w14:paraId="1DE83E61" w14:textId="5FABA210" w:rsidR="00F22B95" w:rsidRPr="00991241" w:rsidRDefault="00F22B95" w:rsidP="00BD1B21">
            <w:pPr>
              <w:jc w:val="both"/>
              <w:rPr>
                <w:b/>
                <w:bCs/>
                <w:sz w:val="22"/>
                <w:szCs w:val="22"/>
              </w:rPr>
            </w:pPr>
            <w:r w:rsidRPr="00991241">
              <w:rPr>
                <w:b/>
                <w:bCs/>
                <w:sz w:val="22"/>
                <w:szCs w:val="22"/>
              </w:rPr>
              <w:t>Noteikumu projekta 2.punkts izteikts šādā redakcijā:</w:t>
            </w:r>
          </w:p>
          <w:p w14:paraId="74B590F6" w14:textId="68656ACF" w:rsidR="00F22B95" w:rsidRPr="00991241" w:rsidRDefault="00F22B95" w:rsidP="00B46770">
            <w:pPr>
              <w:jc w:val="both"/>
              <w:rPr>
                <w:sz w:val="22"/>
                <w:szCs w:val="22"/>
              </w:rPr>
            </w:pPr>
            <w:r w:rsidRPr="00991241">
              <w:rPr>
                <w:sz w:val="22"/>
                <w:szCs w:val="22"/>
              </w:rPr>
              <w:t>“2. Papildināt noteikumus ar 41.</w:t>
            </w:r>
            <w:r w:rsidRPr="00AD740C">
              <w:rPr>
                <w:sz w:val="22"/>
                <w:szCs w:val="22"/>
                <w:vertAlign w:val="superscript"/>
              </w:rPr>
              <w:t>2</w:t>
            </w:r>
            <w:r w:rsidRPr="00991241">
              <w:rPr>
                <w:sz w:val="22"/>
                <w:szCs w:val="22"/>
              </w:rPr>
              <w:t xml:space="preserve"> punktu šādā redakcijā:</w:t>
            </w:r>
          </w:p>
          <w:p w14:paraId="608056EA" w14:textId="748726E6" w:rsidR="00F22B95" w:rsidRPr="00991241" w:rsidRDefault="00F22B95" w:rsidP="00B46770">
            <w:pPr>
              <w:jc w:val="both"/>
              <w:rPr>
                <w:b/>
                <w:bCs/>
                <w:sz w:val="22"/>
                <w:szCs w:val="22"/>
              </w:rPr>
            </w:pPr>
            <w:r w:rsidRPr="00991241">
              <w:rPr>
                <w:sz w:val="22"/>
                <w:szCs w:val="22"/>
              </w:rPr>
              <w:t>“41.</w:t>
            </w:r>
            <w:r w:rsidRPr="00991241">
              <w:rPr>
                <w:sz w:val="22"/>
                <w:szCs w:val="22"/>
                <w:vertAlign w:val="superscript"/>
              </w:rPr>
              <w:t>2</w:t>
            </w:r>
            <w:r w:rsidRPr="00991241">
              <w:rPr>
                <w:sz w:val="22"/>
                <w:szCs w:val="22"/>
              </w:rPr>
              <w:t xml:space="preserve"> Izvēloties būvkomersantu, atlases nolikumā kā vērtēšanas kritēriju neiekļauj būvdarbu izpildes termiņu.”</w:t>
            </w:r>
          </w:p>
        </w:tc>
      </w:tr>
      <w:tr w:rsidR="00F22B95" w:rsidRPr="00991241" w14:paraId="04B77AA6" w14:textId="77777777" w:rsidTr="00414559">
        <w:tc>
          <w:tcPr>
            <w:tcW w:w="716" w:type="dxa"/>
            <w:vMerge/>
            <w:tcBorders>
              <w:left w:val="single" w:sz="6" w:space="0" w:color="000000"/>
              <w:bottom w:val="single" w:sz="4" w:space="0" w:color="auto"/>
              <w:right w:val="single" w:sz="4" w:space="0" w:color="auto"/>
            </w:tcBorders>
          </w:tcPr>
          <w:p w14:paraId="1AB40C33" w14:textId="77777777" w:rsidR="00F22B95" w:rsidRPr="00991241" w:rsidRDefault="00F22B95" w:rsidP="00D239CC"/>
        </w:tc>
        <w:tc>
          <w:tcPr>
            <w:tcW w:w="3086" w:type="dxa"/>
            <w:vMerge/>
            <w:tcBorders>
              <w:left w:val="single" w:sz="4" w:space="0" w:color="auto"/>
              <w:right w:val="single" w:sz="4" w:space="0" w:color="auto"/>
            </w:tcBorders>
          </w:tcPr>
          <w:p w14:paraId="0844C517" w14:textId="77777777" w:rsidR="00F22B95" w:rsidRPr="00991241" w:rsidRDefault="00F22B95" w:rsidP="00CD3082">
            <w:pPr>
              <w:pStyle w:val="naisc"/>
              <w:jc w:val="both"/>
              <w:rPr>
                <w:b/>
                <w:sz w:val="22"/>
                <w:szCs w:val="22"/>
              </w:rPr>
            </w:pPr>
          </w:p>
        </w:tc>
        <w:tc>
          <w:tcPr>
            <w:tcW w:w="4554" w:type="dxa"/>
            <w:tcBorders>
              <w:left w:val="single" w:sz="4" w:space="0" w:color="auto"/>
              <w:bottom w:val="single" w:sz="4" w:space="0" w:color="auto"/>
              <w:right w:val="single" w:sz="6" w:space="0" w:color="000000"/>
            </w:tcBorders>
          </w:tcPr>
          <w:p w14:paraId="58011CFC" w14:textId="77777777" w:rsidR="00F22B95" w:rsidRPr="00991241" w:rsidRDefault="00F22B95" w:rsidP="00B46770">
            <w:pPr>
              <w:widowControl w:val="0"/>
              <w:tabs>
                <w:tab w:val="left" w:pos="993"/>
              </w:tabs>
              <w:ind w:right="3"/>
              <w:jc w:val="both"/>
              <w:rPr>
                <w:b/>
                <w:bCs/>
                <w:sz w:val="22"/>
                <w:szCs w:val="22"/>
              </w:rPr>
            </w:pPr>
            <w:r w:rsidRPr="00991241">
              <w:rPr>
                <w:b/>
                <w:bCs/>
                <w:sz w:val="22"/>
                <w:szCs w:val="22"/>
              </w:rPr>
              <w:t xml:space="preserve">Finanšu ministrija 14.04.2020. atzinuma </w:t>
            </w:r>
            <w:r w:rsidRPr="00991241">
              <w:rPr>
                <w:b/>
                <w:bCs/>
                <w:sz w:val="22"/>
                <w:szCs w:val="22"/>
              </w:rPr>
              <w:lastRenderedPageBreak/>
              <w:t>1.priekšlikums:</w:t>
            </w:r>
          </w:p>
          <w:p w14:paraId="5149BE8C" w14:textId="6737ED88" w:rsidR="00F22B95" w:rsidRPr="00991241" w:rsidRDefault="00F22B95" w:rsidP="00B46770">
            <w:pPr>
              <w:widowControl w:val="0"/>
              <w:tabs>
                <w:tab w:val="left" w:pos="993"/>
              </w:tabs>
              <w:ind w:right="3"/>
              <w:jc w:val="both"/>
              <w:rPr>
                <w:sz w:val="22"/>
                <w:szCs w:val="22"/>
              </w:rPr>
            </w:pPr>
            <w:r w:rsidRPr="00991241">
              <w:rPr>
                <w:sz w:val="22"/>
                <w:szCs w:val="22"/>
              </w:rPr>
              <w:t>“1.Aicinām atstāt kā izvēles iespēju izmantot būvdarbu izpildes termiņu, kā kritēriju būvkomersantu atlasē. Pamatojoties uz to, ka tā ir tikai laba prakse vērtēt būvdarbu izpildes termiņu, t.i., būvkomersantiem apzināties savas un konkurentu iespējas, līdz ar to apņemties īstenot projektu noteiktā periodā, jo 4.2.1.1. pasākuma galvenais mērķis ir kvalitatīva projekta īstenošana un pabeigšana, t.sk., neapdraudot dzīvokļu īpašniekus saņemt pakalpojumus no būvkomersanta pārredzamā laika periodā, atturot būvkomersantu no neapdomīgi/neobjektīvi īsa būvniecības termiņa piedāvājuma sniedzot finanšu un ekonomiskos aprēķinus atbilstoši esošai situācijai un projekta īstenošanas pamatojumam. Papildus vēršam uzmanību, ka valsts atbalsta programmas ieviešanu nosaka Ministru kabineta noteikumi, kuri apstiprināti Attīstības finanšu institūcijas likumā noteiktajā kārtībā un privātpersonām saistošs var būt tikai ārējais normatīvais regulējums”</w:t>
            </w:r>
          </w:p>
        </w:tc>
        <w:tc>
          <w:tcPr>
            <w:tcW w:w="3402" w:type="dxa"/>
            <w:tcBorders>
              <w:left w:val="single" w:sz="6" w:space="0" w:color="000000"/>
              <w:bottom w:val="single" w:sz="4" w:space="0" w:color="auto"/>
              <w:right w:val="single" w:sz="6" w:space="0" w:color="000000"/>
            </w:tcBorders>
          </w:tcPr>
          <w:p w14:paraId="2F9454E4" w14:textId="77777777" w:rsidR="00F22B95" w:rsidRPr="00991241" w:rsidRDefault="00F22B95" w:rsidP="00CD3082">
            <w:pPr>
              <w:pStyle w:val="naisc"/>
              <w:spacing w:before="0" w:after="0"/>
              <w:rPr>
                <w:b/>
                <w:sz w:val="22"/>
                <w:szCs w:val="22"/>
              </w:rPr>
            </w:pPr>
            <w:r w:rsidRPr="00991241">
              <w:rPr>
                <w:b/>
                <w:sz w:val="22"/>
                <w:szCs w:val="22"/>
              </w:rPr>
              <w:lastRenderedPageBreak/>
              <w:t>Netiek ņemts vērā</w:t>
            </w:r>
          </w:p>
          <w:p w14:paraId="151FEDBC" w14:textId="4A27E8C3" w:rsidR="00F22B95" w:rsidRPr="00991241" w:rsidRDefault="00F22B95" w:rsidP="00D93184">
            <w:pPr>
              <w:pStyle w:val="naisc"/>
              <w:spacing w:before="0" w:after="0"/>
              <w:jc w:val="both"/>
              <w:rPr>
                <w:bCs/>
                <w:sz w:val="22"/>
                <w:szCs w:val="22"/>
              </w:rPr>
            </w:pPr>
            <w:r w:rsidRPr="00991241">
              <w:rPr>
                <w:bCs/>
                <w:sz w:val="22"/>
                <w:szCs w:val="22"/>
              </w:rPr>
              <w:lastRenderedPageBreak/>
              <w:t>Lūdzam ņemt vērā, ka Finanšu ministrijas atzinuma 1.iebildumā neizsaka pretenzijas pret šādas normas iekļaušanu MK noteikumos Nr.160. Papildus arī informējam, ka anotācija ir papildināta ar skaidrojumiem.</w:t>
            </w:r>
          </w:p>
        </w:tc>
        <w:tc>
          <w:tcPr>
            <w:tcW w:w="3260" w:type="dxa"/>
            <w:vMerge/>
            <w:tcBorders>
              <w:left w:val="single" w:sz="4" w:space="0" w:color="auto"/>
            </w:tcBorders>
          </w:tcPr>
          <w:p w14:paraId="04EFF5DB" w14:textId="77777777" w:rsidR="00F22B95" w:rsidRPr="00991241" w:rsidRDefault="00F22B95" w:rsidP="00BD1B21">
            <w:pPr>
              <w:jc w:val="both"/>
              <w:rPr>
                <w:b/>
                <w:bCs/>
                <w:sz w:val="22"/>
                <w:szCs w:val="22"/>
              </w:rPr>
            </w:pPr>
          </w:p>
        </w:tc>
      </w:tr>
      <w:tr w:rsidR="00F22B95" w:rsidRPr="00991241" w14:paraId="18FB17F3" w14:textId="77777777" w:rsidTr="00414559">
        <w:tc>
          <w:tcPr>
            <w:tcW w:w="716" w:type="dxa"/>
            <w:tcBorders>
              <w:left w:val="single" w:sz="6" w:space="0" w:color="000000"/>
              <w:bottom w:val="single" w:sz="4" w:space="0" w:color="auto"/>
              <w:right w:val="single" w:sz="4" w:space="0" w:color="auto"/>
            </w:tcBorders>
          </w:tcPr>
          <w:p w14:paraId="6CE01331" w14:textId="77777777" w:rsidR="00F22B95" w:rsidRPr="00991241" w:rsidRDefault="00F22B95" w:rsidP="00D239CC">
            <w:bookmarkStart w:id="1" w:name="_Hlk38278215"/>
          </w:p>
        </w:tc>
        <w:tc>
          <w:tcPr>
            <w:tcW w:w="3086" w:type="dxa"/>
            <w:vMerge/>
            <w:tcBorders>
              <w:left w:val="single" w:sz="4" w:space="0" w:color="auto"/>
              <w:bottom w:val="single" w:sz="4" w:space="0" w:color="auto"/>
              <w:right w:val="single" w:sz="4" w:space="0" w:color="auto"/>
            </w:tcBorders>
          </w:tcPr>
          <w:p w14:paraId="6B4D3483" w14:textId="77777777" w:rsidR="00F22B95" w:rsidRPr="00991241" w:rsidRDefault="00F22B95" w:rsidP="00CD3082">
            <w:pPr>
              <w:pStyle w:val="naisc"/>
              <w:jc w:val="both"/>
              <w:rPr>
                <w:b/>
                <w:sz w:val="22"/>
                <w:szCs w:val="22"/>
              </w:rPr>
            </w:pPr>
          </w:p>
        </w:tc>
        <w:tc>
          <w:tcPr>
            <w:tcW w:w="4554" w:type="dxa"/>
            <w:tcBorders>
              <w:left w:val="single" w:sz="4" w:space="0" w:color="auto"/>
              <w:bottom w:val="single" w:sz="4" w:space="0" w:color="auto"/>
              <w:right w:val="single" w:sz="6" w:space="0" w:color="000000"/>
            </w:tcBorders>
          </w:tcPr>
          <w:p w14:paraId="402C3821" w14:textId="56F128E6" w:rsidR="00F22B95" w:rsidRPr="00991241" w:rsidRDefault="00F22B95" w:rsidP="00B27A44">
            <w:pPr>
              <w:widowControl w:val="0"/>
              <w:tabs>
                <w:tab w:val="left" w:pos="993"/>
              </w:tabs>
              <w:ind w:right="3"/>
              <w:jc w:val="both"/>
              <w:rPr>
                <w:b/>
                <w:bCs/>
                <w:sz w:val="22"/>
                <w:szCs w:val="22"/>
              </w:rPr>
            </w:pPr>
            <w:r w:rsidRPr="00991241">
              <w:rPr>
                <w:b/>
                <w:bCs/>
                <w:sz w:val="22"/>
                <w:szCs w:val="22"/>
              </w:rPr>
              <w:t>Tieslietu ministrijas 09.04.2020. atzinuma 2.iebildums:</w:t>
            </w:r>
          </w:p>
          <w:p w14:paraId="45E5CD3E" w14:textId="15933188" w:rsidR="00F22B95" w:rsidRPr="00991241" w:rsidRDefault="00F22B95" w:rsidP="00B27A44">
            <w:pPr>
              <w:widowControl w:val="0"/>
              <w:tabs>
                <w:tab w:val="left" w:pos="993"/>
              </w:tabs>
              <w:ind w:right="3"/>
              <w:jc w:val="both"/>
              <w:rPr>
                <w:sz w:val="22"/>
                <w:szCs w:val="22"/>
              </w:rPr>
            </w:pPr>
            <w:r w:rsidRPr="00991241">
              <w:rPr>
                <w:sz w:val="22"/>
                <w:szCs w:val="22"/>
              </w:rPr>
              <w:t>“2. Lūdzam saskaņā ar Ministru kabineta 2009. gada 15. decembra instrukcijas Nr. 19 "Tiesību akta projekta sākotnējās ietekmes izvērtēšanas kārtība" (turpmāk – instrukcija Nr. 19) 14. punktu noteikumu projekta anotācijas I sadaļas 2. punktā sniegt papildu skaidrojumu par noteikumu projekta 3. punkta, ar kuru noteikumi Nr. 160 papildināti ar 41.</w:t>
            </w:r>
            <w:r w:rsidRPr="00991241">
              <w:rPr>
                <w:sz w:val="22"/>
                <w:szCs w:val="22"/>
                <w:vertAlign w:val="superscript"/>
              </w:rPr>
              <w:t xml:space="preserve">2 </w:t>
            </w:r>
            <w:r w:rsidRPr="00991241">
              <w:rPr>
                <w:sz w:val="22"/>
                <w:szCs w:val="22"/>
              </w:rPr>
              <w:t xml:space="preserve">punktu, nepieciešamību un mērķi. Proti, lūdzam izvērtēt un skaidrot, vai, atlases nolikumā kā atlases kritēriju neiekļaujot būvdarbu izpildes termiņu, nepastāv riski vai negatīvas sekas, t.i., vai tādējādi netiks nepamatoti apdraudēta energoefektivitātes paaugstināšanas pasākumu efektīva un lietderīga īstenošana un vai attiecīgais risinājums </w:t>
            </w:r>
            <w:r w:rsidRPr="00991241">
              <w:rPr>
                <w:sz w:val="22"/>
                <w:szCs w:val="22"/>
              </w:rPr>
              <w:lastRenderedPageBreak/>
              <w:t>nepamatoti nesadārdzinās būvkomersantu piedāvājumus. Skaidrojumā, lai nodrošinātu noteikumu projekta anotācijā ietvertās informācijas vispusīgu atspoguļojumu, tai skaitā lūdzam arī norādīt apsvērumus, kādēļ risinājums – atlases nolikumā kā atlases kritēriju neiekļaut būvdarbu izpildes termiņu – netika paredzēts Ministru kabineta 2019. gada 5. februāra grozījumos Nr. 60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w:t>
            </w:r>
            <w:r w:rsidRPr="00991241">
              <w:rPr>
                <w:b/>
                <w:bCs/>
                <w:sz w:val="22"/>
                <w:szCs w:val="22"/>
              </w:rPr>
              <w:t xml:space="preserve"> </w:t>
            </w:r>
            <w:r w:rsidRPr="00991241">
              <w:rPr>
                <w:sz w:val="22"/>
                <w:szCs w:val="22"/>
              </w:rPr>
              <w:t>noteikumi", kur sākotnēji anotācijā jau bija uzrādīta problemātika, ka, lai tiktu izvēlēti par būvdarbu veicējiem, būvkomersanti piedāvā neobjektīvi ātrus izpildes termiņus, kas noved pie līguma izpildes termiņu pagarināšanas (kā risinājums minētai problemātikai sākotnēji bija paredzēts noteikt minimālo darbu izpildes termiņu, tāpat minēto Ministru kabineta noteikumu grozījumu saskaņošanas ietvaros no Finanšu ministrijas tika izvirzīts priekšlikums izvērtēt iespēju noteikt, ka būvkomersanta izvēlē termiņš nebūtu vērtējams) un kādēļ tas šobrīd uzskatāms par nepieciešamu un efektīvāko.</w:t>
            </w:r>
          </w:p>
          <w:p w14:paraId="1BFFA1C9" w14:textId="77777777" w:rsidR="00F22B95" w:rsidRPr="00991241" w:rsidRDefault="00F22B95" w:rsidP="00B27A44">
            <w:pPr>
              <w:widowControl w:val="0"/>
              <w:tabs>
                <w:tab w:val="left" w:pos="993"/>
              </w:tabs>
              <w:ind w:right="3"/>
              <w:jc w:val="both"/>
              <w:rPr>
                <w:sz w:val="22"/>
                <w:szCs w:val="22"/>
              </w:rPr>
            </w:pPr>
            <w:r w:rsidRPr="00991241">
              <w:rPr>
                <w:sz w:val="22"/>
                <w:szCs w:val="22"/>
              </w:rPr>
              <w:t xml:space="preserve">Papildus lūdzam izvērtēt un noteikumu projekta anotāciju papildināt ar informāciju par noteikumu projekta 3. punkta ietekmi uz izsludinātajām atlasēm par būvdarbu veikšanu, dzīvokļu īpašnieku pilnvarotajām personām un energoefektivitātes pakalpojuma sniedzējiem, kā pasūtītājiem, un būvkomersantiem. Uzsveram, ka minētais grozījums nevar ietekmēt tiesības, ar kurām minētās personas jau varēja rēķināties, un </w:t>
            </w:r>
            <w:r w:rsidRPr="00991241">
              <w:rPr>
                <w:sz w:val="22"/>
                <w:szCs w:val="22"/>
              </w:rPr>
              <w:lastRenderedPageBreak/>
              <w:t>iespējamie noteikumu grozījumi var attiekties tikai uz nākotnē izsludināmām atlasēm. Attiecīgi lūdzam noteikumu projekta anotāciju papildināt ar skaidrojumu par noteikumu projekta 3. punktā ietvertā regulējuma atbilstību tiesiskās paļāvības un tiesiskās noteiktības principam.</w:t>
            </w:r>
          </w:p>
          <w:p w14:paraId="0BE46D38" w14:textId="3A9793E0" w:rsidR="00F22B95" w:rsidRPr="00991241" w:rsidRDefault="00F22B95" w:rsidP="00B27A44">
            <w:pPr>
              <w:widowControl w:val="0"/>
              <w:tabs>
                <w:tab w:val="left" w:pos="993"/>
              </w:tabs>
              <w:ind w:right="3"/>
              <w:jc w:val="both"/>
              <w:rPr>
                <w:b/>
                <w:bCs/>
                <w:sz w:val="22"/>
                <w:szCs w:val="22"/>
              </w:rPr>
            </w:pPr>
            <w:r w:rsidRPr="00991241">
              <w:rPr>
                <w:sz w:val="22"/>
                <w:szCs w:val="22"/>
              </w:rPr>
              <w:t>Nepieciešamības gadījumā lūdzam precizēt noteikumu projekta 3. punktu.”</w:t>
            </w:r>
          </w:p>
        </w:tc>
        <w:tc>
          <w:tcPr>
            <w:tcW w:w="3402" w:type="dxa"/>
            <w:tcBorders>
              <w:left w:val="single" w:sz="6" w:space="0" w:color="000000"/>
              <w:bottom w:val="single" w:sz="4" w:space="0" w:color="auto"/>
              <w:right w:val="single" w:sz="6" w:space="0" w:color="000000"/>
            </w:tcBorders>
          </w:tcPr>
          <w:p w14:paraId="2E68E096" w14:textId="77777777" w:rsidR="00F22B95" w:rsidRPr="00991241" w:rsidRDefault="00F22B95" w:rsidP="00CD3082">
            <w:pPr>
              <w:pStyle w:val="naisc"/>
              <w:spacing w:before="0" w:after="0"/>
              <w:rPr>
                <w:b/>
                <w:sz w:val="22"/>
                <w:szCs w:val="22"/>
              </w:rPr>
            </w:pPr>
            <w:r w:rsidRPr="00991241">
              <w:rPr>
                <w:b/>
                <w:sz w:val="22"/>
                <w:szCs w:val="22"/>
              </w:rPr>
              <w:lastRenderedPageBreak/>
              <w:t>Ņemts vērā</w:t>
            </w:r>
          </w:p>
          <w:p w14:paraId="553EB8E9" w14:textId="3E533FD0" w:rsidR="00F22B95" w:rsidRPr="00991241" w:rsidRDefault="00F22B95" w:rsidP="00D93184">
            <w:pPr>
              <w:pStyle w:val="naisc"/>
              <w:spacing w:before="0" w:after="0"/>
              <w:jc w:val="both"/>
              <w:rPr>
                <w:bCs/>
                <w:sz w:val="22"/>
                <w:szCs w:val="22"/>
              </w:rPr>
            </w:pPr>
            <w:r w:rsidRPr="00991241">
              <w:rPr>
                <w:bCs/>
                <w:sz w:val="22"/>
                <w:szCs w:val="22"/>
              </w:rPr>
              <w:t>Anotācija papildināta ar skaidrojumu.</w:t>
            </w:r>
          </w:p>
        </w:tc>
        <w:tc>
          <w:tcPr>
            <w:tcW w:w="3260" w:type="dxa"/>
            <w:vMerge/>
            <w:tcBorders>
              <w:left w:val="single" w:sz="4" w:space="0" w:color="auto"/>
            </w:tcBorders>
          </w:tcPr>
          <w:p w14:paraId="6248ABFE" w14:textId="77777777" w:rsidR="00F22B95" w:rsidRPr="00991241" w:rsidRDefault="00F22B95" w:rsidP="00BD1B21">
            <w:pPr>
              <w:jc w:val="both"/>
              <w:rPr>
                <w:b/>
                <w:bCs/>
                <w:sz w:val="22"/>
                <w:szCs w:val="22"/>
              </w:rPr>
            </w:pPr>
          </w:p>
        </w:tc>
      </w:tr>
      <w:tr w:rsidR="00F22B95" w:rsidRPr="00991241" w14:paraId="5C528C39" w14:textId="77777777" w:rsidTr="006B3C57">
        <w:tc>
          <w:tcPr>
            <w:tcW w:w="716" w:type="dxa"/>
            <w:tcBorders>
              <w:left w:val="single" w:sz="6" w:space="0" w:color="000000"/>
              <w:bottom w:val="single" w:sz="4" w:space="0" w:color="auto"/>
              <w:right w:val="single" w:sz="4" w:space="0" w:color="auto"/>
            </w:tcBorders>
          </w:tcPr>
          <w:p w14:paraId="6832B93A" w14:textId="77777777" w:rsidR="00F22B95" w:rsidRPr="00991241" w:rsidRDefault="00F22B95" w:rsidP="00D239CC"/>
        </w:tc>
        <w:tc>
          <w:tcPr>
            <w:tcW w:w="3086" w:type="dxa"/>
            <w:tcBorders>
              <w:left w:val="single" w:sz="4" w:space="0" w:color="auto"/>
              <w:bottom w:val="single" w:sz="4" w:space="0" w:color="auto"/>
              <w:right w:val="single" w:sz="4" w:space="0" w:color="auto"/>
            </w:tcBorders>
          </w:tcPr>
          <w:p w14:paraId="7CF8D6FC" w14:textId="77777777" w:rsidR="00F22B95" w:rsidRPr="00991241" w:rsidRDefault="00F22B95" w:rsidP="00CD3082">
            <w:pPr>
              <w:pStyle w:val="naisc"/>
              <w:jc w:val="both"/>
              <w:rPr>
                <w:b/>
                <w:sz w:val="22"/>
                <w:szCs w:val="22"/>
              </w:rPr>
            </w:pPr>
          </w:p>
        </w:tc>
        <w:tc>
          <w:tcPr>
            <w:tcW w:w="4554" w:type="dxa"/>
            <w:tcBorders>
              <w:left w:val="single" w:sz="4" w:space="0" w:color="auto"/>
              <w:bottom w:val="single" w:sz="4" w:space="0" w:color="auto"/>
              <w:right w:val="single" w:sz="6" w:space="0" w:color="000000"/>
            </w:tcBorders>
          </w:tcPr>
          <w:p w14:paraId="03D1CE95" w14:textId="77777777" w:rsidR="00F22B95" w:rsidRPr="00991241" w:rsidRDefault="00F22B95" w:rsidP="00B27A44">
            <w:pPr>
              <w:widowControl w:val="0"/>
              <w:tabs>
                <w:tab w:val="left" w:pos="993"/>
              </w:tabs>
              <w:ind w:right="3"/>
              <w:jc w:val="both"/>
              <w:rPr>
                <w:b/>
                <w:bCs/>
                <w:sz w:val="22"/>
                <w:szCs w:val="22"/>
              </w:rPr>
            </w:pPr>
            <w:r w:rsidRPr="00991241">
              <w:rPr>
                <w:b/>
                <w:bCs/>
                <w:sz w:val="22"/>
                <w:szCs w:val="22"/>
              </w:rPr>
              <w:t>Vides aizsardzības un reģionālās attīstības ministrijas 01.04.2020. priekšlikums:</w:t>
            </w:r>
          </w:p>
          <w:p w14:paraId="7758AB79" w14:textId="77777777" w:rsidR="00F22B95" w:rsidRPr="00991241" w:rsidRDefault="00F22B95" w:rsidP="0072392C">
            <w:pPr>
              <w:widowControl w:val="0"/>
              <w:tabs>
                <w:tab w:val="left" w:pos="993"/>
              </w:tabs>
              <w:ind w:right="3"/>
              <w:jc w:val="both"/>
              <w:rPr>
                <w:sz w:val="22"/>
                <w:szCs w:val="22"/>
              </w:rPr>
            </w:pPr>
            <w:r w:rsidRPr="00991241">
              <w:rPr>
                <w:sz w:val="22"/>
                <w:szCs w:val="22"/>
              </w:rPr>
              <w:t>“1. Attiecībā uz MK noteikumu projekta 3. punktā (MK noteikumu Nr. 160  41.2. apkašpunkts) iekļauto normu, kas paredz, ka izvēloties būvkomersantu, atlases nolikumā kā atlases kritēriju neiekļauj būvdarbu izpildes termiņu. Ministrija norāda, ka šādas normas</w:t>
            </w:r>
            <w:r w:rsidRPr="00991241">
              <w:rPr>
                <w:b/>
                <w:bCs/>
                <w:sz w:val="22"/>
                <w:szCs w:val="22"/>
              </w:rPr>
              <w:t xml:space="preserve"> </w:t>
            </w:r>
            <w:r w:rsidRPr="00991241">
              <w:rPr>
                <w:sz w:val="22"/>
                <w:szCs w:val="22"/>
              </w:rPr>
              <w:t>izvirzīšana rada papildu administratīvo slogu finansējuma saņēmējiem, vienlaikus šādi ierobežojumi nav noteikti horizontālajos normatīvajos aktos.</w:t>
            </w:r>
          </w:p>
          <w:p w14:paraId="1FB74B80" w14:textId="77777777" w:rsidR="00F22B95" w:rsidRPr="00991241" w:rsidRDefault="00F22B95" w:rsidP="0072392C">
            <w:pPr>
              <w:widowControl w:val="0"/>
              <w:tabs>
                <w:tab w:val="left" w:pos="993"/>
              </w:tabs>
              <w:ind w:right="3"/>
              <w:jc w:val="both"/>
              <w:rPr>
                <w:sz w:val="22"/>
                <w:szCs w:val="22"/>
              </w:rPr>
            </w:pPr>
            <w:r w:rsidRPr="00991241">
              <w:rPr>
                <w:sz w:val="22"/>
                <w:szCs w:val="22"/>
              </w:rPr>
              <w:t>Savukārt MK noteikumu sākotnējās ietekmes novērtējuma ziņojuma (anotācija) I daļas 2. punkta 2. apakšpunktā šī norma pamatota ar to, ka būvkomersanti atlasē, lai tiktu izvēlēti par būvdarbu veicējiem, piedāvā neobjektīvi īsus izpildes termiņus. Tāpat norādīts, ka praksē 80 % gadījumos būvkomersanti lūdz pagarināt būvdarbu izpildes termiņu. Tomēr anotācijas skaidrojumā nav sniegta informācija, vai gadījumos, kad būvkomersanti lūdz pagarināt būvdarbu izpildes termiņu, atlasē ir bijis piemērots būvkomersantu atlases kritērijs par būvdarbu izpildes termiņu. Līdz ar to Ministrija uzskata, ka, iekļaujot MK noteikumos normu, kas paredz, ka izvēloties būvkomersantu, atlases nolikumā kā atlases kritēriju neiekļauj būvdarbu izpildes termiņu, kopumā var nesasniegt anotācijā norādīto mērķi – samazināt būvdarbu izpildes termiņu neizpildes gadījumu skaitu.</w:t>
            </w:r>
          </w:p>
          <w:p w14:paraId="55D841CB" w14:textId="77777777" w:rsidR="00F22B95" w:rsidRPr="00991241" w:rsidRDefault="00F22B95" w:rsidP="0072392C">
            <w:pPr>
              <w:widowControl w:val="0"/>
              <w:tabs>
                <w:tab w:val="left" w:pos="993"/>
              </w:tabs>
              <w:ind w:right="3"/>
              <w:jc w:val="both"/>
              <w:rPr>
                <w:sz w:val="22"/>
                <w:szCs w:val="22"/>
              </w:rPr>
            </w:pPr>
            <w:r w:rsidRPr="00991241">
              <w:rPr>
                <w:sz w:val="22"/>
                <w:szCs w:val="22"/>
              </w:rPr>
              <w:lastRenderedPageBreak/>
              <w:t>Ņemot vērā iepriekš minēto, Ministrija:</w:t>
            </w:r>
          </w:p>
          <w:p w14:paraId="6460EFD8" w14:textId="77777777" w:rsidR="00F22B95" w:rsidRPr="00991241" w:rsidRDefault="00F22B95" w:rsidP="0072392C">
            <w:pPr>
              <w:widowControl w:val="0"/>
              <w:tabs>
                <w:tab w:val="left" w:pos="993"/>
              </w:tabs>
              <w:ind w:right="3"/>
              <w:jc w:val="both"/>
              <w:rPr>
                <w:sz w:val="22"/>
                <w:szCs w:val="22"/>
              </w:rPr>
            </w:pPr>
            <w:r w:rsidRPr="00991241">
              <w:rPr>
                <w:sz w:val="22"/>
                <w:szCs w:val="22"/>
              </w:rPr>
              <w:t>1.1. ierosina pārvērtēt šādas normas pamatojumu un nepieciešamību;</w:t>
            </w:r>
          </w:p>
          <w:p w14:paraId="75DE2F45" w14:textId="77777777" w:rsidR="00F22B95" w:rsidRPr="00991241" w:rsidRDefault="00F22B95" w:rsidP="0072392C">
            <w:pPr>
              <w:widowControl w:val="0"/>
              <w:tabs>
                <w:tab w:val="left" w:pos="993"/>
              </w:tabs>
              <w:ind w:right="3"/>
              <w:jc w:val="both"/>
              <w:rPr>
                <w:sz w:val="22"/>
                <w:szCs w:val="22"/>
              </w:rPr>
            </w:pPr>
            <w:r w:rsidRPr="00991241">
              <w:rPr>
                <w:sz w:val="22"/>
                <w:szCs w:val="22"/>
              </w:rPr>
              <w:t>1.2. ierosina izvērtēt iespējas risināt problemātiku esošā regulējuma ietvaros, piemēram, papildinot ALTUM vadlīnijas par būvkomersantu atlasi. Pašlaik, 02.09.2019. 3.versijas “Norādījumi piegādātāju atlases veikšanas jomā” vadlīnijās Projektā iekļautā problemātika nav apskatīta (https://www.altum.lv/files/vadlinijas_3v.pdf );</w:t>
            </w:r>
          </w:p>
          <w:p w14:paraId="67C8694B" w14:textId="77777777" w:rsidR="00F22B95" w:rsidRPr="00991241" w:rsidRDefault="00F22B95" w:rsidP="0072392C">
            <w:pPr>
              <w:widowControl w:val="0"/>
              <w:tabs>
                <w:tab w:val="left" w:pos="993"/>
              </w:tabs>
              <w:ind w:right="3"/>
              <w:jc w:val="both"/>
              <w:rPr>
                <w:sz w:val="22"/>
                <w:szCs w:val="22"/>
              </w:rPr>
            </w:pPr>
            <w:r w:rsidRPr="00991241">
              <w:rPr>
                <w:sz w:val="22"/>
                <w:szCs w:val="22"/>
              </w:rPr>
              <w:t>1.3. ierosina papildināt anotācijas I daļas 2. punkta 2. apakšpunktu ar informāciju par to, cik daudz ir tādi gadījumi, kur būvkomersantu atlasei piemēroti kritēriji par būvdarbu izpildes termiņa samazinājumu, tomēr būvkomersanti lūdz pagarināt būvniecības līgumos sākotnēji noteikto termiņu, kā arī sniegt analīzi kāds ir šādu gadījumu skaits  pret kopējo būvniecības līgumu sākotnējo termiņu pagarinājumu skaitu;</w:t>
            </w:r>
          </w:p>
          <w:p w14:paraId="715C777B" w14:textId="0E7C4C93" w:rsidR="00F22B95" w:rsidRPr="00991241" w:rsidRDefault="00F22B95" w:rsidP="0072392C">
            <w:pPr>
              <w:widowControl w:val="0"/>
              <w:tabs>
                <w:tab w:val="left" w:pos="993"/>
              </w:tabs>
              <w:ind w:right="3"/>
              <w:jc w:val="both"/>
              <w:rPr>
                <w:b/>
                <w:bCs/>
                <w:sz w:val="22"/>
                <w:szCs w:val="22"/>
              </w:rPr>
            </w:pPr>
            <w:r w:rsidRPr="00991241">
              <w:rPr>
                <w:sz w:val="22"/>
                <w:szCs w:val="22"/>
              </w:rPr>
              <w:t>1.4. aicina sniegt finansējuma saņēmējiem plašāku informāciju par nepieciešamajām darbībām un iespējām piedzīt soda naudas no būvkomersantiem līguma termiņu neizpildes gadījumos.”</w:t>
            </w:r>
          </w:p>
        </w:tc>
        <w:tc>
          <w:tcPr>
            <w:tcW w:w="3402" w:type="dxa"/>
            <w:tcBorders>
              <w:left w:val="single" w:sz="6" w:space="0" w:color="000000"/>
              <w:bottom w:val="single" w:sz="4" w:space="0" w:color="auto"/>
              <w:right w:val="single" w:sz="6" w:space="0" w:color="000000"/>
            </w:tcBorders>
          </w:tcPr>
          <w:p w14:paraId="2ADB5E56" w14:textId="3CBEC470" w:rsidR="00F22B95" w:rsidRPr="00991241" w:rsidRDefault="00F22B95" w:rsidP="00CD3082">
            <w:pPr>
              <w:pStyle w:val="naisc"/>
              <w:spacing w:before="0" w:after="0"/>
              <w:rPr>
                <w:b/>
                <w:sz w:val="22"/>
                <w:szCs w:val="22"/>
              </w:rPr>
            </w:pPr>
            <w:r w:rsidRPr="00991241">
              <w:rPr>
                <w:b/>
                <w:sz w:val="22"/>
                <w:szCs w:val="22"/>
              </w:rPr>
              <w:lastRenderedPageBreak/>
              <w:t>Netiek ņemts vērā</w:t>
            </w:r>
          </w:p>
          <w:p w14:paraId="460B1C1D" w14:textId="334264AB" w:rsidR="00F22B95" w:rsidRPr="00991241" w:rsidRDefault="00F22B95" w:rsidP="00B4732A">
            <w:pPr>
              <w:widowControl w:val="0"/>
              <w:tabs>
                <w:tab w:val="left" w:pos="993"/>
              </w:tabs>
              <w:ind w:right="3"/>
              <w:jc w:val="both"/>
              <w:rPr>
                <w:sz w:val="22"/>
                <w:szCs w:val="22"/>
              </w:rPr>
            </w:pPr>
            <w:r w:rsidRPr="00991241">
              <w:rPr>
                <w:sz w:val="22"/>
                <w:szCs w:val="22"/>
              </w:rPr>
              <w:t xml:space="preserve">Ierosinājums ir rūpīgi izvērtēts un no Ekonomikas ministrijas, Finanšu ministrijas, CFLA un Altum puses atzīts kā optimālākais risinājums mazināt finanšu korekciju piemērošanas risku dzīvokļu īpašniekiem. Altum ikdienā komunicējot ar pilnvarotajām personām ir ilgstoši skaidrojis riskus nepamatoti īsu būvniecības termiņiem, vienlaikus sniedzot informāciju par nepieciešamajām darbībām, ja tiek pagarināti būvniecības termiņi. Anotācija ir papildināta ar skaidrojumu, ka Altum jau šobrīd rekomendē būvniecības termiņu neiekļaut kā vērtēšanas kritēriju, tomēr šobrīd Altum nav tiesību aizliegt šo kritēriju ietvert. Lai nodrošinātu vienotu un skaidru pieeju visiem projektu īstenotājiem, šo prasību ir nepieciešams noteikt MK noteikumos. </w:t>
            </w:r>
          </w:p>
          <w:p w14:paraId="01383AA8" w14:textId="220675F3" w:rsidR="00F22B95" w:rsidRPr="00991241" w:rsidRDefault="00F22B95" w:rsidP="00B4732A">
            <w:pPr>
              <w:widowControl w:val="0"/>
              <w:tabs>
                <w:tab w:val="left" w:pos="993"/>
              </w:tabs>
              <w:ind w:right="3"/>
              <w:jc w:val="both"/>
              <w:rPr>
                <w:sz w:val="22"/>
                <w:szCs w:val="22"/>
              </w:rPr>
            </w:pPr>
            <w:r w:rsidRPr="00991241">
              <w:rPr>
                <w:sz w:val="22"/>
                <w:szCs w:val="22"/>
              </w:rPr>
              <w:t xml:space="preserve">Vēršam uzmanību, ka Revīzijas iestāde ir norādījusi, ka 4.2.1.1.pasākumā lielāks neatbilstību risks pastāv tieši būvniecības termiņu pagarināšanas dēļ. Ekonomikas ministrijas ieskatā </w:t>
            </w:r>
            <w:r w:rsidRPr="00991241">
              <w:rPr>
                <w:sz w:val="22"/>
                <w:szCs w:val="22"/>
              </w:rPr>
              <w:lastRenderedPageBreak/>
              <w:t>ir nepieciešams veikt visas nepieciešamās darbības finanšu korekciju risku mazināšanai, jo šajā gadījumā vislielākie zaudējumi būs dzīvokļu īpašniekiem. Ekonomikas ieskatā efektīvāka pieeja ir izslēgt augsta riska nosacījumu, kas rada lielas finansiālās sekas īpašniekiem, nevis paļauties, ka dzīvokļu īpašnieki spēs izmantot līgumsodus finanšu korekciju piemērošanas gadījumā.</w:t>
            </w:r>
          </w:p>
          <w:p w14:paraId="50EC864A" w14:textId="7AA6B40C" w:rsidR="00F22B95" w:rsidRPr="00991241" w:rsidRDefault="00F22B95" w:rsidP="00871051">
            <w:pPr>
              <w:widowControl w:val="0"/>
              <w:tabs>
                <w:tab w:val="left" w:pos="993"/>
              </w:tabs>
              <w:ind w:right="3"/>
              <w:jc w:val="both"/>
              <w:rPr>
                <w:sz w:val="22"/>
                <w:szCs w:val="22"/>
              </w:rPr>
            </w:pPr>
            <w:r w:rsidRPr="00991241">
              <w:rPr>
                <w:sz w:val="22"/>
                <w:szCs w:val="22"/>
              </w:rPr>
              <w:t xml:space="preserve">Papildus skaidrojam, ka 4.2.1.1.pasākumā netiek piemēroti “kritēriji par būvdarbu izpildes termiņa samazinājumu”, bet gan būvkomersantiem ir jānorāda plānotais līguma izpildes termiņš, kas praksē bieži tiek norādīts nesamērīgi īss – sākot no 2 mēnešiem. Neskaitoties uz Altum norādījumiem, ka tik īsi termiņi rada ievērojamu risku, pilnvarotās personas akceptē šādu termiņu, no šobrīd tai ir tādas tiesības. </w:t>
            </w:r>
          </w:p>
          <w:p w14:paraId="0360A64B" w14:textId="039B728F" w:rsidR="00F22B95" w:rsidRPr="00991241" w:rsidRDefault="00F22B95" w:rsidP="00871051">
            <w:pPr>
              <w:widowControl w:val="0"/>
              <w:tabs>
                <w:tab w:val="left" w:pos="993"/>
              </w:tabs>
              <w:ind w:right="3"/>
              <w:jc w:val="both"/>
              <w:rPr>
                <w:sz w:val="22"/>
                <w:szCs w:val="22"/>
              </w:rPr>
            </w:pPr>
            <w:r w:rsidRPr="00991241">
              <w:rPr>
                <w:sz w:val="22"/>
                <w:szCs w:val="22"/>
              </w:rPr>
              <w:t>Papildus norādam, ka anotācijā ir skaidrots, ka aptuveni 80% projektu tiek pagarināti sākotnēji noteiktie t būvniecības termiņi.</w:t>
            </w:r>
          </w:p>
        </w:tc>
        <w:tc>
          <w:tcPr>
            <w:tcW w:w="3260" w:type="dxa"/>
            <w:vMerge/>
            <w:tcBorders>
              <w:left w:val="single" w:sz="4" w:space="0" w:color="auto"/>
            </w:tcBorders>
          </w:tcPr>
          <w:p w14:paraId="2DD8416C" w14:textId="77777777" w:rsidR="00F22B95" w:rsidRPr="00991241" w:rsidRDefault="00F22B95" w:rsidP="00BD1B21">
            <w:pPr>
              <w:jc w:val="both"/>
              <w:rPr>
                <w:b/>
                <w:bCs/>
                <w:sz w:val="22"/>
                <w:szCs w:val="22"/>
              </w:rPr>
            </w:pPr>
          </w:p>
        </w:tc>
      </w:tr>
      <w:bookmarkEnd w:id="1"/>
      <w:tr w:rsidR="00F22B95" w:rsidRPr="00991241" w14:paraId="7AF8238F" w14:textId="77777777" w:rsidTr="006B3C57">
        <w:tc>
          <w:tcPr>
            <w:tcW w:w="716" w:type="dxa"/>
            <w:tcBorders>
              <w:left w:val="single" w:sz="6" w:space="0" w:color="000000"/>
              <w:bottom w:val="single" w:sz="4" w:space="0" w:color="auto"/>
              <w:right w:val="single" w:sz="4" w:space="0" w:color="auto"/>
            </w:tcBorders>
          </w:tcPr>
          <w:p w14:paraId="62A896F8" w14:textId="77777777" w:rsidR="00F22B95" w:rsidRPr="00991241" w:rsidRDefault="00F22B95" w:rsidP="00D239CC"/>
        </w:tc>
        <w:tc>
          <w:tcPr>
            <w:tcW w:w="3086" w:type="dxa"/>
            <w:tcBorders>
              <w:left w:val="single" w:sz="4" w:space="0" w:color="auto"/>
              <w:bottom w:val="single" w:sz="4" w:space="0" w:color="auto"/>
              <w:right w:val="single" w:sz="4" w:space="0" w:color="auto"/>
            </w:tcBorders>
          </w:tcPr>
          <w:p w14:paraId="78B49809" w14:textId="054E8041" w:rsidR="00F22B95" w:rsidRPr="00991241" w:rsidRDefault="00F22B95" w:rsidP="00A34F98">
            <w:pPr>
              <w:pStyle w:val="naisc"/>
              <w:spacing w:before="0"/>
              <w:jc w:val="both"/>
              <w:rPr>
                <w:b/>
                <w:sz w:val="22"/>
                <w:szCs w:val="22"/>
              </w:rPr>
            </w:pPr>
            <w:r w:rsidRPr="00991241">
              <w:rPr>
                <w:b/>
                <w:sz w:val="22"/>
                <w:szCs w:val="22"/>
              </w:rPr>
              <w:t>Noteikumu projekta 4.punkts</w:t>
            </w:r>
          </w:p>
        </w:tc>
        <w:tc>
          <w:tcPr>
            <w:tcW w:w="4554" w:type="dxa"/>
            <w:tcBorders>
              <w:left w:val="single" w:sz="4" w:space="0" w:color="auto"/>
              <w:bottom w:val="single" w:sz="4" w:space="0" w:color="auto"/>
              <w:right w:val="single" w:sz="6" w:space="0" w:color="000000"/>
            </w:tcBorders>
          </w:tcPr>
          <w:p w14:paraId="4835785F" w14:textId="091CBE13" w:rsidR="00F22B95" w:rsidRPr="00991241" w:rsidRDefault="00F22B95" w:rsidP="00B46770">
            <w:pPr>
              <w:widowControl w:val="0"/>
              <w:tabs>
                <w:tab w:val="left" w:pos="993"/>
              </w:tabs>
              <w:ind w:right="3"/>
              <w:jc w:val="both"/>
              <w:rPr>
                <w:b/>
                <w:bCs/>
                <w:sz w:val="22"/>
                <w:szCs w:val="22"/>
              </w:rPr>
            </w:pPr>
            <w:r w:rsidRPr="00991241">
              <w:rPr>
                <w:b/>
                <w:bCs/>
                <w:sz w:val="22"/>
                <w:szCs w:val="22"/>
              </w:rPr>
              <w:t>Tieslietu ministrijas 09.04.2020. atzinuma 3.iebilduma daļa:</w:t>
            </w:r>
          </w:p>
          <w:p w14:paraId="43397958" w14:textId="1E674912" w:rsidR="00F22B95" w:rsidRPr="00991241" w:rsidRDefault="00F22B95" w:rsidP="00B46770">
            <w:pPr>
              <w:widowControl w:val="0"/>
              <w:tabs>
                <w:tab w:val="left" w:pos="993"/>
              </w:tabs>
              <w:ind w:right="3"/>
              <w:jc w:val="both"/>
              <w:rPr>
                <w:sz w:val="22"/>
                <w:szCs w:val="22"/>
              </w:rPr>
            </w:pPr>
            <w:r w:rsidRPr="00991241">
              <w:rPr>
                <w:sz w:val="22"/>
                <w:szCs w:val="22"/>
              </w:rPr>
              <w:t xml:space="preserve">“Tāpat līdzīgi lūdzam skaidrot noteikumu projekta 4. punktā izteiktā noteikumu Nr. 160 63.4. apakšpunkta nepieciešamību un mērķi, ciktāl no šī apakšpunkta izriet, ka energoefektivitātes pasākumu īstenošana ir ekonomiski pamatota, ja energoefektivitātes paaugstināšanas pasākumu iekšējās atdeves rādītājs 30 gadu periodā ir lielāks par 0 (šāds </w:t>
            </w:r>
            <w:r w:rsidRPr="00991241">
              <w:rPr>
                <w:sz w:val="22"/>
                <w:szCs w:val="22"/>
              </w:rPr>
              <w:lastRenderedPageBreak/>
              <w:t>nosacījums ekonomiskai pamatotībai no Ministru kabineta 2010. gada 26. oktobra noteikumiem Nr. 997 ''Noteikumi par garantijām komersantu un atbilstošu lauksaimniecības pakalpojumu kooperatīvo sabiedrību konkurētspējas uzlabošanai'' pirmšķietami neizriet).”</w:t>
            </w:r>
          </w:p>
        </w:tc>
        <w:tc>
          <w:tcPr>
            <w:tcW w:w="3402" w:type="dxa"/>
            <w:tcBorders>
              <w:left w:val="single" w:sz="6" w:space="0" w:color="000000"/>
              <w:bottom w:val="single" w:sz="4" w:space="0" w:color="auto"/>
              <w:right w:val="single" w:sz="6" w:space="0" w:color="000000"/>
            </w:tcBorders>
          </w:tcPr>
          <w:p w14:paraId="3DCE2E8D" w14:textId="41C3CB61" w:rsidR="00F22B95" w:rsidRPr="00991241" w:rsidRDefault="00F22B95" w:rsidP="00A34F98">
            <w:pPr>
              <w:pStyle w:val="naisc"/>
              <w:spacing w:before="0" w:after="0"/>
              <w:jc w:val="both"/>
              <w:rPr>
                <w:bCs/>
                <w:sz w:val="22"/>
                <w:szCs w:val="22"/>
              </w:rPr>
            </w:pPr>
            <w:r w:rsidRPr="00991241">
              <w:rPr>
                <w:bCs/>
                <w:sz w:val="22"/>
                <w:szCs w:val="22"/>
              </w:rPr>
              <w:lastRenderedPageBreak/>
              <w:t>Skaidrojam, ka Ministru kabineta 2010. gada 26. oktobra noteikumu Nr. 997 ''Noteikumi par garantijām komersantu un atbilstošu lauksaimniecības pakalpojumu kooperatīvo sabiedrību konkurētspējas uzlabošanai''</w:t>
            </w:r>
          </w:p>
          <w:p w14:paraId="40183762" w14:textId="77777777" w:rsidR="00F22B95" w:rsidRPr="00991241" w:rsidRDefault="00F22B95" w:rsidP="00A34F98">
            <w:pPr>
              <w:pStyle w:val="naisc"/>
              <w:spacing w:before="0" w:after="0"/>
              <w:jc w:val="both"/>
              <w:rPr>
                <w:bCs/>
                <w:sz w:val="22"/>
                <w:szCs w:val="22"/>
              </w:rPr>
            </w:pPr>
            <w:r w:rsidRPr="00991241">
              <w:rPr>
                <w:bCs/>
                <w:sz w:val="22"/>
                <w:szCs w:val="22"/>
              </w:rPr>
              <w:t>10.</w:t>
            </w:r>
            <w:r w:rsidRPr="00991241">
              <w:rPr>
                <w:bCs/>
                <w:sz w:val="22"/>
                <w:szCs w:val="22"/>
                <w:vertAlign w:val="superscript"/>
              </w:rPr>
              <w:t>2</w:t>
            </w:r>
            <w:r w:rsidRPr="00991241">
              <w:rPr>
                <w:bCs/>
                <w:sz w:val="22"/>
                <w:szCs w:val="22"/>
              </w:rPr>
              <w:t xml:space="preserve"> 7. apakšpunktā ir noteikts, ka:</w:t>
            </w:r>
          </w:p>
          <w:p w14:paraId="1318C6AB" w14:textId="17EEECE7" w:rsidR="00F22B95" w:rsidRPr="00991241" w:rsidRDefault="00F22B95" w:rsidP="00A34F98">
            <w:pPr>
              <w:pStyle w:val="naisc"/>
              <w:spacing w:before="0" w:after="0"/>
              <w:jc w:val="both"/>
              <w:rPr>
                <w:bCs/>
                <w:sz w:val="22"/>
                <w:szCs w:val="22"/>
              </w:rPr>
            </w:pPr>
            <w:r w:rsidRPr="00991241">
              <w:rPr>
                <w:bCs/>
                <w:sz w:val="22"/>
                <w:szCs w:val="22"/>
              </w:rPr>
              <w:t>“10.</w:t>
            </w:r>
            <w:r w:rsidRPr="00991241">
              <w:rPr>
                <w:bCs/>
                <w:sz w:val="22"/>
                <w:szCs w:val="22"/>
                <w:vertAlign w:val="superscript"/>
              </w:rPr>
              <w:t>2</w:t>
            </w:r>
            <w:r w:rsidRPr="00991241">
              <w:rPr>
                <w:bCs/>
                <w:sz w:val="22"/>
                <w:szCs w:val="22"/>
              </w:rPr>
              <w:t xml:space="preserve"> 7. energoefektivitātes paaugstināšanas pasākumu </w:t>
            </w:r>
            <w:r w:rsidRPr="00991241">
              <w:rPr>
                <w:bCs/>
                <w:sz w:val="22"/>
                <w:szCs w:val="22"/>
              </w:rPr>
              <w:lastRenderedPageBreak/>
              <w:t>īstenošana ir ekonomiski pamatota;”. MK noteikumos Nr.160 ir skaidrots, ka 4.2.1.1. pasākumā ietvaros projekts tiek uzskatīts par ekonomiski pamatotu, ka pasākumi atmaksājas 30 gadu periodā (MK noteikumu Nr.160 52.1.apakšpunlts, 55.punkts). 4.2.1.1. pasākuma garantijām nav pamatojuma nepiemērot šādu pieeju.</w:t>
            </w:r>
          </w:p>
          <w:p w14:paraId="0EF10A5A" w14:textId="4DC4721A" w:rsidR="00F22B95" w:rsidRPr="00991241" w:rsidRDefault="00F22B95" w:rsidP="00A34F98">
            <w:pPr>
              <w:pStyle w:val="naisc"/>
              <w:spacing w:before="0" w:after="0"/>
              <w:jc w:val="both"/>
              <w:rPr>
                <w:bCs/>
                <w:sz w:val="22"/>
                <w:szCs w:val="22"/>
              </w:rPr>
            </w:pPr>
            <w:r w:rsidRPr="00991241">
              <w:rPr>
                <w:bCs/>
                <w:sz w:val="22"/>
                <w:szCs w:val="22"/>
              </w:rPr>
              <w:t>Energoefektivitātes projekta ekonomiskais pamatojums ir jāpārbauda, piešķirot jebkuru atbalstu 4.2.1.1.pasākuma ietvaros, tāpēc šī norma ir jāiekļauj pie 4.2.1.1.pasākuma garantiju nosacījumiem.</w:t>
            </w:r>
          </w:p>
        </w:tc>
        <w:tc>
          <w:tcPr>
            <w:tcW w:w="3260" w:type="dxa"/>
            <w:vMerge/>
            <w:tcBorders>
              <w:left w:val="single" w:sz="4" w:space="0" w:color="auto"/>
              <w:bottom w:val="single" w:sz="4" w:space="0" w:color="auto"/>
            </w:tcBorders>
          </w:tcPr>
          <w:p w14:paraId="5026C8F4" w14:textId="77777777" w:rsidR="00F22B95" w:rsidRPr="00991241" w:rsidRDefault="00F22B95" w:rsidP="00BD1B21">
            <w:pPr>
              <w:jc w:val="both"/>
              <w:rPr>
                <w:b/>
                <w:bCs/>
                <w:sz w:val="22"/>
                <w:szCs w:val="22"/>
              </w:rPr>
            </w:pPr>
          </w:p>
        </w:tc>
      </w:tr>
      <w:tr w:rsidR="00991241" w:rsidRPr="00991241" w14:paraId="3DA694D3" w14:textId="77777777" w:rsidTr="00CD524A">
        <w:tc>
          <w:tcPr>
            <w:tcW w:w="716" w:type="dxa"/>
            <w:vMerge w:val="restart"/>
            <w:tcBorders>
              <w:top w:val="single" w:sz="4" w:space="0" w:color="auto"/>
              <w:left w:val="single" w:sz="4" w:space="0" w:color="auto"/>
              <w:right w:val="single" w:sz="4" w:space="0" w:color="auto"/>
            </w:tcBorders>
          </w:tcPr>
          <w:p w14:paraId="505EF469" w14:textId="77777777" w:rsidR="00991241" w:rsidRPr="00991241" w:rsidRDefault="00991241"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65D3430C" w14:textId="37C598B3" w:rsidR="00991241" w:rsidRPr="00991241" w:rsidRDefault="00991241" w:rsidP="00261284">
            <w:pPr>
              <w:pStyle w:val="naisc"/>
              <w:spacing w:before="0"/>
              <w:jc w:val="both"/>
              <w:rPr>
                <w:b/>
                <w:sz w:val="22"/>
                <w:szCs w:val="22"/>
              </w:rPr>
            </w:pPr>
            <w:r w:rsidRPr="00991241">
              <w:rPr>
                <w:b/>
                <w:sz w:val="22"/>
                <w:szCs w:val="22"/>
              </w:rPr>
              <w:t>Noteikumu projekta 7. punkts</w:t>
            </w:r>
          </w:p>
        </w:tc>
        <w:tc>
          <w:tcPr>
            <w:tcW w:w="4554" w:type="dxa"/>
            <w:tcBorders>
              <w:top w:val="single" w:sz="4" w:space="0" w:color="auto"/>
              <w:left w:val="single" w:sz="4" w:space="0" w:color="auto"/>
              <w:bottom w:val="single" w:sz="4" w:space="0" w:color="auto"/>
              <w:right w:val="single" w:sz="4" w:space="0" w:color="auto"/>
            </w:tcBorders>
          </w:tcPr>
          <w:p w14:paraId="56216ECD" w14:textId="77777777" w:rsidR="00991241" w:rsidRPr="00991241" w:rsidRDefault="00991241" w:rsidP="00B46770">
            <w:pPr>
              <w:widowControl w:val="0"/>
              <w:tabs>
                <w:tab w:val="left" w:pos="993"/>
              </w:tabs>
              <w:ind w:right="3"/>
              <w:jc w:val="both"/>
              <w:rPr>
                <w:b/>
                <w:bCs/>
                <w:sz w:val="22"/>
                <w:szCs w:val="22"/>
              </w:rPr>
            </w:pPr>
            <w:r w:rsidRPr="00991241">
              <w:rPr>
                <w:b/>
                <w:bCs/>
                <w:sz w:val="22"/>
                <w:szCs w:val="22"/>
              </w:rPr>
              <w:t>Finanšu ministrijas 14.04.2020. atzinuma 2. un 3.iebildums:</w:t>
            </w:r>
          </w:p>
          <w:p w14:paraId="02220D8E" w14:textId="45EA91C3" w:rsidR="00991241" w:rsidRPr="00991241" w:rsidRDefault="00991241" w:rsidP="00B46770">
            <w:pPr>
              <w:widowControl w:val="0"/>
              <w:tabs>
                <w:tab w:val="left" w:pos="993"/>
              </w:tabs>
              <w:ind w:right="3"/>
              <w:jc w:val="both"/>
              <w:rPr>
                <w:sz w:val="22"/>
                <w:szCs w:val="22"/>
              </w:rPr>
            </w:pPr>
            <w:r w:rsidRPr="00991241">
              <w:rPr>
                <w:sz w:val="22"/>
                <w:szCs w:val="22"/>
              </w:rPr>
              <w:t>“</w:t>
            </w:r>
            <w:r w:rsidRPr="00991241">
              <w:t xml:space="preserve"> </w:t>
            </w:r>
            <w:r w:rsidRPr="00991241">
              <w:rPr>
                <w:sz w:val="22"/>
                <w:szCs w:val="22"/>
              </w:rPr>
              <w:t>2.MK noteikumi Nr.160 nosaka, ka garantijas termiņš nepārsniedz 20 gadus, kā arī noteikumu projekta 7.punkts paredz iespēju pagarināt garantijas termiņu. Lūdzam ņemt vērā, ka minētie nosacījumi nav atbilstoši Komisijas regulas Nr.1407/201 4.panta 6.punkta "b" apakšpunkta nosacījumiem. Ievērojot minēto, lūdzam precizēt noteikumu projektu tā, lai tiktu nodrošināta Komisijas regulas Nr.1407/201 4.panta 6.punkta "b" apakšpunkta prasību ievērošana, ja garantijas bruto ekvivalenta aprēķinam tiek piemēroti Komisijas regulas Nr.1407/201 4.panta 6.punkta "b" apakšpunkta nosacījumi</w:t>
            </w:r>
            <w:r w:rsidRPr="00991241">
              <w:rPr>
                <w:b/>
                <w:bCs/>
                <w:sz w:val="22"/>
                <w:szCs w:val="22"/>
              </w:rPr>
              <w:t>.</w:t>
            </w:r>
          </w:p>
          <w:p w14:paraId="74C01A91" w14:textId="52E6C3E0" w:rsidR="00991241" w:rsidRPr="00991241" w:rsidRDefault="00991241" w:rsidP="00B46770">
            <w:pPr>
              <w:widowControl w:val="0"/>
              <w:tabs>
                <w:tab w:val="left" w:pos="993"/>
              </w:tabs>
              <w:ind w:right="3"/>
              <w:jc w:val="both"/>
              <w:rPr>
                <w:b/>
                <w:bCs/>
                <w:sz w:val="22"/>
                <w:szCs w:val="22"/>
              </w:rPr>
            </w:pPr>
            <w:r w:rsidRPr="00991241">
              <w:rPr>
                <w:sz w:val="22"/>
                <w:szCs w:val="22"/>
              </w:rPr>
              <w:t xml:space="preserve">3.Ievērojot to, ka noteikumu projekta 7.punkts paredz iespēju pagarināt garantijas termiņu, lūdzam papildināt noteikumu projektu ar nosacījumu, ka finanšu pakalpojuma termiņa pagarināšanas un/vai finanšu pakalpojuma summas palielināšanas gadījumā sabiedrība “Altum” no jauna izvērtēs un pārbaudīs, vai </w:t>
            </w:r>
            <w:r w:rsidRPr="00991241">
              <w:rPr>
                <w:sz w:val="22"/>
                <w:szCs w:val="22"/>
              </w:rPr>
              <w:lastRenderedPageBreak/>
              <w:t>sniegtais atbalsts ir atbilstošs tam, lai tam piemērotu Komisijas regulas Nr.1407/2013 nosacījumus. Skaidrojam, ka finanšu pakalpojuma termiņa pagarināšana un/vai finanšu pakalpojuma summas palielināšanas gadījums ir vērtējams kā jauns de minimis atbalsta piešķīrums. Vienlaicīgi, lūdzam ņemt vērā, ka pagarinot garantijas termiņu, kopējais garantijas termiņš nedrīkst pārsniegt termiņu, kas noteikts Komisijas regulas Nr.1407/2013 4.panta 6.punkta “b” apakšpunktā.”</w:t>
            </w:r>
          </w:p>
        </w:tc>
        <w:tc>
          <w:tcPr>
            <w:tcW w:w="3402" w:type="dxa"/>
            <w:tcBorders>
              <w:top w:val="single" w:sz="4" w:space="0" w:color="auto"/>
              <w:left w:val="single" w:sz="4" w:space="0" w:color="auto"/>
              <w:bottom w:val="single" w:sz="4" w:space="0" w:color="auto"/>
              <w:right w:val="single" w:sz="4" w:space="0" w:color="auto"/>
            </w:tcBorders>
          </w:tcPr>
          <w:p w14:paraId="0C3DF35F" w14:textId="77777777" w:rsidR="00991241" w:rsidRPr="00991241" w:rsidRDefault="00991241" w:rsidP="00CD3082">
            <w:pPr>
              <w:pStyle w:val="naisc"/>
              <w:spacing w:before="0" w:after="0"/>
              <w:rPr>
                <w:b/>
                <w:sz w:val="22"/>
                <w:szCs w:val="22"/>
              </w:rPr>
            </w:pPr>
            <w:r w:rsidRPr="00991241">
              <w:rPr>
                <w:b/>
                <w:sz w:val="22"/>
                <w:szCs w:val="22"/>
              </w:rPr>
              <w:lastRenderedPageBreak/>
              <w:t>Ņemts vērā</w:t>
            </w:r>
          </w:p>
          <w:p w14:paraId="08C82C82" w14:textId="4846B1F0" w:rsidR="00991241" w:rsidRPr="00991241" w:rsidRDefault="00991241" w:rsidP="00261284">
            <w:pPr>
              <w:pStyle w:val="naisc"/>
              <w:spacing w:before="0" w:after="0"/>
              <w:jc w:val="both"/>
              <w:rPr>
                <w:bCs/>
                <w:sz w:val="22"/>
                <w:szCs w:val="22"/>
              </w:rPr>
            </w:pPr>
            <w:r w:rsidRPr="00991241">
              <w:rPr>
                <w:bCs/>
                <w:sz w:val="22"/>
                <w:szCs w:val="22"/>
              </w:rPr>
              <w:t>Svītrota atsauce uz  Komisijas regulas Nr.1407/201 4.panta 6.punkta "b" apakšpunktu, jo garantijas 4.2.1.1.pasākuma ietvaros tiek sniegtas saskaņā ar  Komisijas regulas Nr.1407/2013 4.panta 6.punkta "c" apakšpunkta nosacījumiem.</w:t>
            </w:r>
          </w:p>
        </w:tc>
        <w:tc>
          <w:tcPr>
            <w:tcW w:w="3260" w:type="dxa"/>
            <w:vMerge w:val="restart"/>
            <w:tcBorders>
              <w:top w:val="single" w:sz="4" w:space="0" w:color="auto"/>
              <w:left w:val="single" w:sz="4" w:space="0" w:color="auto"/>
            </w:tcBorders>
          </w:tcPr>
          <w:p w14:paraId="05FF7FA2" w14:textId="77777777" w:rsidR="00991241" w:rsidRPr="00991241" w:rsidRDefault="00991241" w:rsidP="00916544">
            <w:pPr>
              <w:jc w:val="both"/>
              <w:rPr>
                <w:b/>
                <w:bCs/>
                <w:sz w:val="22"/>
                <w:szCs w:val="22"/>
              </w:rPr>
            </w:pPr>
            <w:r w:rsidRPr="00991241">
              <w:rPr>
                <w:b/>
                <w:bCs/>
                <w:sz w:val="22"/>
                <w:szCs w:val="22"/>
              </w:rPr>
              <w:t>Noteikumu projekta 7.punkts izteikts šādā redakcijā:</w:t>
            </w:r>
          </w:p>
          <w:p w14:paraId="137B2E66" w14:textId="77777777" w:rsidR="00D813BF" w:rsidRPr="00D813BF" w:rsidRDefault="00D813BF" w:rsidP="00D813BF">
            <w:pPr>
              <w:jc w:val="both"/>
              <w:rPr>
                <w:sz w:val="22"/>
                <w:szCs w:val="22"/>
              </w:rPr>
            </w:pPr>
          </w:p>
          <w:p w14:paraId="77AFC050" w14:textId="769BEC40" w:rsidR="00D813BF" w:rsidRPr="00D813BF" w:rsidRDefault="00D813BF" w:rsidP="00D813BF">
            <w:pPr>
              <w:jc w:val="both"/>
              <w:rPr>
                <w:sz w:val="22"/>
                <w:szCs w:val="22"/>
              </w:rPr>
            </w:pPr>
            <w:r>
              <w:rPr>
                <w:sz w:val="22"/>
                <w:szCs w:val="22"/>
              </w:rPr>
              <w:t>“</w:t>
            </w:r>
            <w:r w:rsidRPr="00D813BF">
              <w:rPr>
                <w:sz w:val="22"/>
                <w:szCs w:val="22"/>
              </w:rPr>
              <w:t>7.</w:t>
            </w:r>
            <w:r w:rsidRPr="00D813BF">
              <w:rPr>
                <w:sz w:val="22"/>
                <w:szCs w:val="22"/>
              </w:rPr>
              <w:tab/>
              <w:t>Papildināt noteikumus ar 67.</w:t>
            </w:r>
            <w:r w:rsidRPr="00D813BF">
              <w:rPr>
                <w:sz w:val="22"/>
                <w:szCs w:val="22"/>
                <w:vertAlign w:val="superscript"/>
              </w:rPr>
              <w:t>1</w:t>
            </w:r>
            <w:r w:rsidRPr="00D813BF">
              <w:rPr>
                <w:sz w:val="22"/>
                <w:szCs w:val="22"/>
              </w:rPr>
              <w:t xml:space="preserve"> līdz 67.</w:t>
            </w:r>
            <w:r w:rsidRPr="00D813BF">
              <w:rPr>
                <w:sz w:val="22"/>
                <w:szCs w:val="22"/>
                <w:vertAlign w:val="superscript"/>
              </w:rPr>
              <w:t>6</w:t>
            </w:r>
            <w:r w:rsidRPr="00D813BF">
              <w:rPr>
                <w:sz w:val="22"/>
                <w:szCs w:val="22"/>
              </w:rPr>
              <w:t xml:space="preserve"> punktu šādā redakcijā:</w:t>
            </w:r>
          </w:p>
          <w:p w14:paraId="2C71C549" w14:textId="77777777" w:rsidR="00D813BF" w:rsidRPr="00D813BF" w:rsidRDefault="00D813BF" w:rsidP="00D813BF">
            <w:pPr>
              <w:jc w:val="both"/>
              <w:rPr>
                <w:sz w:val="22"/>
                <w:szCs w:val="22"/>
              </w:rPr>
            </w:pPr>
          </w:p>
          <w:p w14:paraId="23AA3DB0"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Sabiedrība "Altum" var pagarināt garantijas termiņu nepārsniedzot šo noteikumu 67. punktā noteikto termiņu, ja:</w:t>
            </w:r>
          </w:p>
          <w:p w14:paraId="550D5D4E" w14:textId="77777777" w:rsidR="00D813BF" w:rsidRPr="00D813BF" w:rsidRDefault="00D813BF" w:rsidP="00D813BF">
            <w:pPr>
              <w:jc w:val="both"/>
              <w:rPr>
                <w:sz w:val="22"/>
                <w:szCs w:val="22"/>
              </w:rPr>
            </w:pPr>
          </w:p>
          <w:p w14:paraId="7CC16767"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1. dzīvokļu īpašnieki ar pilnvarotās personas un cita finansētāja starpniecību iesniedz sabiedrībā "Altum" iesniegumu;</w:t>
            </w:r>
          </w:p>
          <w:p w14:paraId="22A8D41B" w14:textId="77777777" w:rsidR="00D813BF" w:rsidRPr="00D813BF" w:rsidRDefault="00D813BF" w:rsidP="00D813BF">
            <w:pPr>
              <w:jc w:val="both"/>
              <w:rPr>
                <w:sz w:val="22"/>
                <w:szCs w:val="22"/>
              </w:rPr>
            </w:pPr>
          </w:p>
          <w:p w14:paraId="41DDC2AF"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1</w:t>
            </w:r>
            <w:r w:rsidRPr="00D813BF">
              <w:rPr>
                <w:sz w:val="22"/>
                <w:szCs w:val="22"/>
              </w:rPr>
              <w:t xml:space="preserve"> 2. daudzdzīvokļu dzīvojamās mājas parādsaistību apjoms par saņemtajiem pakalpojumiem (apsaimniekošanas, atkritumu apsaimniekošanas, siltumapgādes, </w:t>
            </w:r>
            <w:r w:rsidRPr="00D813BF">
              <w:rPr>
                <w:sz w:val="22"/>
                <w:szCs w:val="22"/>
              </w:rPr>
              <w:lastRenderedPageBreak/>
              <w:t>ūdensapgādes un kanalizācijas pakalpojumi), kas saistīti ar dzīvokļa īpašuma lietošanu, ir mazāks par 10 % no šo pakalpojumu rēķinu summas pēdējā gada laikā.</w:t>
            </w:r>
          </w:p>
          <w:p w14:paraId="73829A39" w14:textId="77777777" w:rsidR="00D813BF" w:rsidRPr="00D813BF" w:rsidRDefault="00D813BF" w:rsidP="00D813BF">
            <w:pPr>
              <w:jc w:val="both"/>
              <w:rPr>
                <w:sz w:val="22"/>
                <w:szCs w:val="22"/>
              </w:rPr>
            </w:pPr>
          </w:p>
          <w:p w14:paraId="74637710"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2</w:t>
            </w:r>
            <w:r w:rsidRPr="00D813BF">
              <w:rPr>
                <w:sz w:val="22"/>
                <w:szCs w:val="22"/>
              </w:rPr>
              <w:t xml:space="preserve"> Sabiedrība "Altum" un citi finansētāji papildus noslēdz civiltiesiskus līgumus, lai vienotos par garantiju izsniegšanas kārtību, kompensāciju izmaksu un zaudējumu samazināšanas pasākumiem.</w:t>
            </w:r>
          </w:p>
          <w:p w14:paraId="26DB927B" w14:textId="77777777" w:rsidR="00D813BF" w:rsidRPr="00D813BF" w:rsidRDefault="00D813BF" w:rsidP="00D813BF">
            <w:pPr>
              <w:jc w:val="both"/>
              <w:rPr>
                <w:sz w:val="22"/>
                <w:szCs w:val="22"/>
              </w:rPr>
            </w:pPr>
          </w:p>
          <w:p w14:paraId="508F414A"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3</w:t>
            </w:r>
            <w:r w:rsidRPr="00D813BF">
              <w:rPr>
                <w:sz w:val="22"/>
                <w:szCs w:val="22"/>
              </w:rPr>
              <w:t xml:space="preserve"> Ja tiek pagarināts sabiedrības "Altum" iepriekš izsniegtas garantijas termiņš un dzīvokļa īpašniekam ir piemērojami šo noteikumu 79. punkta nosacījumi, garantijas pagarinājumu sabiedrība "Altum" vērtē kā jaunu de minimis atbalstu, no jauna izvērtējot un pārbaudot de minimis atbalsta nosacījumus.</w:t>
            </w:r>
          </w:p>
          <w:p w14:paraId="22C88E19"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4</w:t>
            </w:r>
            <w:r w:rsidRPr="00D813BF">
              <w:rPr>
                <w:sz w:val="22"/>
                <w:szCs w:val="22"/>
              </w:rPr>
              <w:t xml:space="preserve"> Ja bruto subsīdijas ekvivalents tiek aprēķināts saskaņā ar Komisijas regulas Nr. 1407/2013 4. panta 6. punkta "b" apakšpunktu, garantijas summa nepārsniedz:</w:t>
            </w:r>
          </w:p>
          <w:p w14:paraId="0300233C"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 xml:space="preserve">4 </w:t>
            </w:r>
            <w:r w:rsidRPr="00D813BF">
              <w:rPr>
                <w:sz w:val="22"/>
                <w:szCs w:val="22"/>
              </w:rPr>
              <w:t>1. 1 500 000 euro vai 750 000 euro, ja saimnieciskās darbības veicējs darbojas kravu autopārvadājumu nozarē, un garantijas termiņš nepārsniedz piecus gadus;</w:t>
            </w:r>
          </w:p>
          <w:p w14:paraId="37547995"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4</w:t>
            </w:r>
            <w:r w:rsidRPr="00D813BF">
              <w:rPr>
                <w:sz w:val="22"/>
                <w:szCs w:val="22"/>
              </w:rPr>
              <w:t xml:space="preserve"> 2. 750 000 euro vai 375 000 euro, ja saimnieciskās darbības </w:t>
            </w:r>
            <w:r w:rsidRPr="00D813BF">
              <w:rPr>
                <w:sz w:val="22"/>
                <w:szCs w:val="22"/>
              </w:rPr>
              <w:lastRenderedPageBreak/>
              <w:t>veicējs darbojas kravu autopārvadājumu nozarē, un garantijas termiņš nepārsniedz 10 gadus.</w:t>
            </w:r>
          </w:p>
          <w:p w14:paraId="3EC9193B" w14:textId="77777777" w:rsidR="00D813BF" w:rsidRPr="00D813BF" w:rsidRDefault="00D813BF" w:rsidP="00D813BF">
            <w:pPr>
              <w:jc w:val="both"/>
              <w:rPr>
                <w:sz w:val="22"/>
                <w:szCs w:val="22"/>
              </w:rPr>
            </w:pPr>
            <w:r w:rsidRPr="00D813BF">
              <w:rPr>
                <w:sz w:val="22"/>
                <w:szCs w:val="22"/>
              </w:rPr>
              <w:t>67.</w:t>
            </w:r>
            <w:r w:rsidRPr="00D813BF">
              <w:rPr>
                <w:sz w:val="22"/>
                <w:szCs w:val="22"/>
                <w:vertAlign w:val="superscript"/>
              </w:rPr>
              <w:t>5</w:t>
            </w:r>
            <w:r w:rsidRPr="00D813BF">
              <w:rPr>
                <w:sz w:val="22"/>
                <w:szCs w:val="22"/>
              </w:rPr>
              <w:t xml:space="preserve"> Šo noteikumu 64.</w:t>
            </w:r>
            <w:r w:rsidRPr="00D813BF">
              <w:rPr>
                <w:sz w:val="22"/>
                <w:szCs w:val="22"/>
                <w:vertAlign w:val="superscript"/>
              </w:rPr>
              <w:t>1</w:t>
            </w:r>
            <w:r w:rsidRPr="00D813BF">
              <w:rPr>
                <w:sz w:val="22"/>
                <w:szCs w:val="22"/>
              </w:rPr>
              <w:t xml:space="preserve"> 2. apakšpunktā noteiktajiem garantijas saņēmējiem piemēro šo noteikumu 67.</w:t>
            </w:r>
            <w:r w:rsidRPr="00D813BF">
              <w:rPr>
                <w:sz w:val="22"/>
                <w:szCs w:val="22"/>
                <w:vertAlign w:val="superscript"/>
              </w:rPr>
              <w:t xml:space="preserve">4 </w:t>
            </w:r>
            <w:r w:rsidRPr="00D813BF">
              <w:rPr>
                <w:sz w:val="22"/>
                <w:szCs w:val="22"/>
              </w:rPr>
              <w:t>punktu.</w:t>
            </w:r>
          </w:p>
          <w:p w14:paraId="02602636" w14:textId="6048F976" w:rsidR="00991241" w:rsidRPr="00991241" w:rsidRDefault="00D813BF" w:rsidP="00D813BF">
            <w:pPr>
              <w:jc w:val="both"/>
              <w:rPr>
                <w:b/>
                <w:bCs/>
                <w:sz w:val="22"/>
                <w:szCs w:val="22"/>
              </w:rPr>
            </w:pPr>
            <w:r w:rsidRPr="00D813BF">
              <w:rPr>
                <w:sz w:val="22"/>
                <w:szCs w:val="22"/>
              </w:rPr>
              <w:t>67.</w:t>
            </w:r>
            <w:r w:rsidRPr="00D813BF">
              <w:rPr>
                <w:sz w:val="22"/>
                <w:szCs w:val="22"/>
                <w:vertAlign w:val="superscript"/>
              </w:rPr>
              <w:t>6</w:t>
            </w:r>
            <w:r w:rsidRPr="00D813BF">
              <w:rPr>
                <w:sz w:val="22"/>
                <w:szCs w:val="22"/>
              </w:rPr>
              <w:t xml:space="preserve"> Šo noteikumu 64.</w:t>
            </w:r>
            <w:r w:rsidRPr="00D813BF">
              <w:rPr>
                <w:sz w:val="22"/>
                <w:szCs w:val="22"/>
                <w:vertAlign w:val="superscript"/>
              </w:rPr>
              <w:t>1</w:t>
            </w:r>
            <w:r w:rsidRPr="00D813BF">
              <w:rPr>
                <w:sz w:val="22"/>
                <w:szCs w:val="22"/>
              </w:rPr>
              <w:t xml:space="preserve"> 2. apakšpunktā noteiktie garantijas saņēmēji garantiju var saņemt, ja garantijas kredīta kvalitāte nav mazāka par šo noteikumu 2. pielikumā noteikto kredīta kvalitātes klasi "Maksātspēju varētu mazināt nelabvēlīgi apstākļi".</w:t>
            </w:r>
            <w:r>
              <w:rPr>
                <w:sz w:val="22"/>
                <w:szCs w:val="22"/>
              </w:rPr>
              <w:t>”</w:t>
            </w:r>
          </w:p>
        </w:tc>
      </w:tr>
      <w:tr w:rsidR="00991241" w:rsidRPr="00991241" w14:paraId="7CAFAA4A" w14:textId="77777777" w:rsidTr="00D01F1E">
        <w:tc>
          <w:tcPr>
            <w:tcW w:w="716" w:type="dxa"/>
            <w:vMerge/>
            <w:tcBorders>
              <w:left w:val="single" w:sz="4" w:space="0" w:color="auto"/>
              <w:bottom w:val="single" w:sz="4" w:space="0" w:color="auto"/>
              <w:right w:val="single" w:sz="4" w:space="0" w:color="auto"/>
            </w:tcBorders>
          </w:tcPr>
          <w:p w14:paraId="3B0618E0" w14:textId="77777777" w:rsidR="00991241" w:rsidRPr="00991241" w:rsidRDefault="00991241" w:rsidP="00E360D8"/>
        </w:tc>
        <w:tc>
          <w:tcPr>
            <w:tcW w:w="3086" w:type="dxa"/>
            <w:vMerge/>
            <w:tcBorders>
              <w:left w:val="single" w:sz="4" w:space="0" w:color="auto"/>
              <w:right w:val="single" w:sz="4" w:space="0" w:color="auto"/>
            </w:tcBorders>
          </w:tcPr>
          <w:p w14:paraId="73F52635" w14:textId="77777777" w:rsidR="00991241" w:rsidRPr="00991241" w:rsidRDefault="00991241" w:rsidP="00CD3082">
            <w:pPr>
              <w:pStyle w:val="naisc"/>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09082717" w14:textId="77777777" w:rsidR="00991241" w:rsidRPr="00991241" w:rsidRDefault="00991241" w:rsidP="00B46770">
            <w:pPr>
              <w:widowControl w:val="0"/>
              <w:tabs>
                <w:tab w:val="left" w:pos="993"/>
              </w:tabs>
              <w:ind w:right="3"/>
              <w:jc w:val="both"/>
              <w:rPr>
                <w:b/>
                <w:bCs/>
                <w:sz w:val="22"/>
                <w:szCs w:val="22"/>
              </w:rPr>
            </w:pPr>
            <w:r w:rsidRPr="00991241">
              <w:rPr>
                <w:b/>
                <w:bCs/>
                <w:sz w:val="22"/>
                <w:szCs w:val="22"/>
              </w:rPr>
              <w:t>Finanšu ministrijas 14.04.2020. atzinuma 2.priekšlikums:</w:t>
            </w:r>
          </w:p>
          <w:p w14:paraId="1EC7C17B" w14:textId="73BB58D7" w:rsidR="00991241" w:rsidRPr="00991241" w:rsidRDefault="00991241" w:rsidP="00B46770">
            <w:pPr>
              <w:widowControl w:val="0"/>
              <w:tabs>
                <w:tab w:val="left" w:pos="993"/>
              </w:tabs>
              <w:ind w:right="3"/>
              <w:jc w:val="both"/>
              <w:rPr>
                <w:sz w:val="22"/>
                <w:szCs w:val="22"/>
              </w:rPr>
            </w:pPr>
            <w:r w:rsidRPr="00991241">
              <w:rPr>
                <w:sz w:val="22"/>
                <w:szCs w:val="22"/>
              </w:rPr>
              <w:t>“</w:t>
            </w:r>
            <w:r w:rsidRPr="00991241">
              <w:t xml:space="preserve"> </w:t>
            </w:r>
            <w:r w:rsidRPr="00991241">
              <w:rPr>
                <w:sz w:val="22"/>
                <w:szCs w:val="22"/>
              </w:rPr>
              <w:t>2.Lūdzam precizēt noteikumu projekta 7.punktā izteiktā jaunā 68.1 punkta numuru, jo MK noteikumos Nr.160 jau pastāv 68.1 punkts.”</w:t>
            </w:r>
          </w:p>
        </w:tc>
        <w:tc>
          <w:tcPr>
            <w:tcW w:w="3402" w:type="dxa"/>
            <w:tcBorders>
              <w:top w:val="single" w:sz="4" w:space="0" w:color="auto"/>
              <w:left w:val="single" w:sz="4" w:space="0" w:color="auto"/>
              <w:bottom w:val="single" w:sz="4" w:space="0" w:color="auto"/>
              <w:right w:val="single" w:sz="4" w:space="0" w:color="auto"/>
            </w:tcBorders>
          </w:tcPr>
          <w:p w14:paraId="705659D5" w14:textId="4A56DBC9" w:rsidR="00991241" w:rsidRPr="00991241" w:rsidRDefault="00991241" w:rsidP="00CD3082">
            <w:pPr>
              <w:pStyle w:val="naisc"/>
              <w:spacing w:before="0" w:after="0"/>
              <w:rPr>
                <w:b/>
                <w:sz w:val="22"/>
                <w:szCs w:val="22"/>
              </w:rPr>
            </w:pPr>
            <w:r w:rsidRPr="00991241">
              <w:rPr>
                <w:b/>
                <w:sz w:val="22"/>
                <w:szCs w:val="22"/>
              </w:rPr>
              <w:t>Ņemts vērā</w:t>
            </w:r>
          </w:p>
        </w:tc>
        <w:tc>
          <w:tcPr>
            <w:tcW w:w="3260" w:type="dxa"/>
            <w:vMerge/>
            <w:tcBorders>
              <w:left w:val="single" w:sz="4" w:space="0" w:color="auto"/>
            </w:tcBorders>
          </w:tcPr>
          <w:p w14:paraId="3BC12B87" w14:textId="77777777" w:rsidR="00991241" w:rsidRPr="00991241" w:rsidRDefault="00991241" w:rsidP="00BD1B21">
            <w:pPr>
              <w:jc w:val="both"/>
              <w:rPr>
                <w:b/>
                <w:bCs/>
                <w:sz w:val="22"/>
                <w:szCs w:val="22"/>
              </w:rPr>
            </w:pPr>
          </w:p>
        </w:tc>
      </w:tr>
      <w:tr w:rsidR="00991241" w:rsidRPr="00991241" w14:paraId="3266B979" w14:textId="77777777" w:rsidTr="00D01F1E">
        <w:tc>
          <w:tcPr>
            <w:tcW w:w="716" w:type="dxa"/>
            <w:tcBorders>
              <w:top w:val="single" w:sz="4" w:space="0" w:color="auto"/>
              <w:left w:val="single" w:sz="4" w:space="0" w:color="auto"/>
              <w:bottom w:val="single" w:sz="4" w:space="0" w:color="auto"/>
              <w:right w:val="single" w:sz="4" w:space="0" w:color="auto"/>
            </w:tcBorders>
          </w:tcPr>
          <w:p w14:paraId="7557343B" w14:textId="77777777" w:rsidR="00991241" w:rsidRPr="00991241" w:rsidRDefault="00991241"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right w:val="single" w:sz="4" w:space="0" w:color="auto"/>
            </w:tcBorders>
          </w:tcPr>
          <w:p w14:paraId="2D7BBEC9" w14:textId="77777777" w:rsidR="00991241" w:rsidRPr="00991241" w:rsidRDefault="00991241"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50ED01EB" w14:textId="4EC721F4" w:rsidR="00991241" w:rsidRPr="00991241" w:rsidRDefault="00991241" w:rsidP="00B46770">
            <w:pPr>
              <w:widowControl w:val="0"/>
              <w:tabs>
                <w:tab w:val="left" w:pos="993"/>
              </w:tabs>
              <w:ind w:right="3"/>
              <w:jc w:val="both"/>
              <w:rPr>
                <w:b/>
                <w:bCs/>
                <w:sz w:val="22"/>
                <w:szCs w:val="22"/>
              </w:rPr>
            </w:pPr>
            <w:r w:rsidRPr="00991241">
              <w:rPr>
                <w:b/>
                <w:bCs/>
                <w:sz w:val="22"/>
                <w:szCs w:val="22"/>
              </w:rPr>
              <w:t>Finanšu ministrijas 27.04.2020. atzinuma 1. un 2.iebildums:</w:t>
            </w:r>
          </w:p>
          <w:p w14:paraId="69879A66" w14:textId="77777777" w:rsidR="00991241" w:rsidRPr="00991241" w:rsidRDefault="00991241" w:rsidP="00B46770">
            <w:pPr>
              <w:widowControl w:val="0"/>
              <w:tabs>
                <w:tab w:val="left" w:pos="993"/>
              </w:tabs>
              <w:ind w:right="3"/>
              <w:jc w:val="both"/>
              <w:rPr>
                <w:sz w:val="22"/>
                <w:szCs w:val="22"/>
              </w:rPr>
            </w:pPr>
            <w:r w:rsidRPr="00991241">
              <w:rPr>
                <w:sz w:val="22"/>
                <w:szCs w:val="22"/>
              </w:rPr>
              <w:t xml:space="preserve">“1.Atkārtoti lūdzam ņemt vērā, ka, ievērojot to, ka noteikumu projekta 6.punkts paredz iespēju pagarināt garantijas termiņu un finanšu pakalpojuma termiņa pagarināšana un/vai finanšu pakalpojuma summas palielināšanas gadījums ir vērtējams kā jauns de minimis atbalsta piešķīrums, ievērojot minēto, lūdzam papildināt noteikumu projektu ar nosacījumu, ka finanšu pakalpojuma termiņa pagarināšanas un/vai finanšu pakalpojuma summas palielināšanas gadījumā sabiedrība “Altum” no jauna izvērtēs un pārbaudīs, vai sniegtais atbalsts ir atbilstošs tam, lai tam piemērotu Eiropas Komisijas 2013.gada 18.decembra Regulas (ES) Nr. 1407/2013 par Līguma par Eiropas Savienības darbību 107. un 108.panta piemērošanu de minimis atbalstam (turpmāk - Komisijas regula Nr.1407/2013), nosacījumus, proti, tad no jauna tiek izvērtēta un pārbaudīta atbilstība de minimis atbalsta nosacījumiem un tiek veikts subsīdijas ekvivalenta aprēķins. Vienlaikus lūdzam ar šo </w:t>
            </w:r>
            <w:r w:rsidRPr="00991241">
              <w:rPr>
                <w:sz w:val="22"/>
                <w:szCs w:val="22"/>
              </w:rPr>
              <w:lastRenderedPageBreak/>
              <w:t>informāciju arī papildināt anotāciju.</w:t>
            </w:r>
          </w:p>
          <w:p w14:paraId="7F52E887" w14:textId="6A677445" w:rsidR="00991241" w:rsidRPr="00991241" w:rsidRDefault="00991241" w:rsidP="00B46770">
            <w:pPr>
              <w:widowControl w:val="0"/>
              <w:tabs>
                <w:tab w:val="left" w:pos="993"/>
              </w:tabs>
              <w:ind w:right="3"/>
              <w:jc w:val="both"/>
              <w:rPr>
                <w:sz w:val="22"/>
                <w:szCs w:val="22"/>
              </w:rPr>
            </w:pPr>
            <w:r w:rsidRPr="00991241">
              <w:rPr>
                <w:sz w:val="22"/>
                <w:szCs w:val="22"/>
              </w:rPr>
              <w:t>2.Vēršam uzmanību, ka “Komisijas paziņojuma par EK līguma 87. un 88.panta piemērošanu valsts atbalstam garantiju veidā” (2008/C 155/02) 3.3.punkta nosacījumi nav piemērojami atbalsta saņēmējiem, kas nav uzskatāmi par maziem vai vidējiem uzņēmumiem. Ievērojot minēto, lūdzam pārskatīt un precizēt noteikumu projektu tā, lai būtu nepārprotami skaidrs, ka noteikumu projekta 8.punkta nosacījumi garantiju bruto dotācijas ekvivalenta aprēķinam tiks piemēroti tikai maziem un vidējiem komersantiem. Vienlaikus lūdzam noteikumu projektā iekļaut nosacījumus, kā garantijas bruto dotācijas ekvivalents tiks aprēķināts lielajiem uzņēmumiem. Gadījumā, ja tiks piemēroti Komisijas regulas Nr. 1407/2013 4.panta 6. b) punkta nosacījumi, lūdzam ņemt vērā, ka garantijas piešķiršanas termiņš nevar būt garāks par 10 gadiem.”</w:t>
            </w:r>
          </w:p>
        </w:tc>
        <w:tc>
          <w:tcPr>
            <w:tcW w:w="3402" w:type="dxa"/>
            <w:tcBorders>
              <w:top w:val="single" w:sz="4" w:space="0" w:color="auto"/>
              <w:left w:val="single" w:sz="4" w:space="0" w:color="auto"/>
              <w:bottom w:val="single" w:sz="4" w:space="0" w:color="auto"/>
              <w:right w:val="single" w:sz="4" w:space="0" w:color="auto"/>
            </w:tcBorders>
          </w:tcPr>
          <w:p w14:paraId="2AAF7622" w14:textId="6BDAF9EC" w:rsidR="00991241" w:rsidRPr="00991241" w:rsidRDefault="00991241" w:rsidP="007C30DD">
            <w:pPr>
              <w:pStyle w:val="naisc"/>
              <w:spacing w:before="0" w:after="0"/>
              <w:rPr>
                <w:b/>
                <w:sz w:val="22"/>
                <w:szCs w:val="22"/>
              </w:rPr>
            </w:pPr>
            <w:r w:rsidRPr="00991241">
              <w:rPr>
                <w:b/>
                <w:sz w:val="22"/>
                <w:szCs w:val="22"/>
              </w:rPr>
              <w:lastRenderedPageBreak/>
              <w:t>Ņemts vērā</w:t>
            </w:r>
          </w:p>
        </w:tc>
        <w:tc>
          <w:tcPr>
            <w:tcW w:w="3260" w:type="dxa"/>
            <w:vMerge/>
            <w:tcBorders>
              <w:left w:val="single" w:sz="4" w:space="0" w:color="auto"/>
            </w:tcBorders>
          </w:tcPr>
          <w:p w14:paraId="2853D031" w14:textId="77777777" w:rsidR="00991241" w:rsidRPr="00991241" w:rsidRDefault="00991241" w:rsidP="00BD1B21">
            <w:pPr>
              <w:jc w:val="both"/>
              <w:rPr>
                <w:b/>
                <w:bCs/>
                <w:sz w:val="22"/>
                <w:szCs w:val="22"/>
              </w:rPr>
            </w:pPr>
          </w:p>
        </w:tc>
      </w:tr>
      <w:tr w:rsidR="00991241" w:rsidRPr="00991241" w14:paraId="46C801B5" w14:textId="77777777" w:rsidTr="00542935">
        <w:tc>
          <w:tcPr>
            <w:tcW w:w="716" w:type="dxa"/>
            <w:tcBorders>
              <w:top w:val="single" w:sz="4" w:space="0" w:color="auto"/>
              <w:left w:val="single" w:sz="4" w:space="0" w:color="auto"/>
              <w:bottom w:val="single" w:sz="4" w:space="0" w:color="auto"/>
              <w:right w:val="single" w:sz="4" w:space="0" w:color="auto"/>
            </w:tcBorders>
          </w:tcPr>
          <w:p w14:paraId="0EEA6EC8" w14:textId="77777777" w:rsidR="00991241" w:rsidRPr="00991241" w:rsidRDefault="00991241"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right w:val="single" w:sz="4" w:space="0" w:color="auto"/>
            </w:tcBorders>
          </w:tcPr>
          <w:p w14:paraId="52A8AE92" w14:textId="77777777" w:rsidR="00991241" w:rsidRPr="00991241" w:rsidRDefault="00991241"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25BCBD06" w14:textId="77777777" w:rsidR="00991241" w:rsidRPr="00991241" w:rsidRDefault="00991241" w:rsidP="00B46770">
            <w:pPr>
              <w:widowControl w:val="0"/>
              <w:tabs>
                <w:tab w:val="left" w:pos="993"/>
              </w:tabs>
              <w:ind w:right="3"/>
              <w:jc w:val="both"/>
              <w:rPr>
                <w:b/>
                <w:bCs/>
                <w:sz w:val="22"/>
                <w:szCs w:val="22"/>
              </w:rPr>
            </w:pPr>
            <w:r w:rsidRPr="00991241">
              <w:rPr>
                <w:b/>
                <w:bCs/>
                <w:sz w:val="22"/>
                <w:szCs w:val="22"/>
              </w:rPr>
              <w:t>Finanšu ministrijas 27.04.2020. atzinuma 4.iebildums:</w:t>
            </w:r>
          </w:p>
          <w:p w14:paraId="2C3DEE8F" w14:textId="08352F30" w:rsidR="00991241" w:rsidRPr="00991241" w:rsidRDefault="00991241" w:rsidP="00B46770">
            <w:pPr>
              <w:widowControl w:val="0"/>
              <w:tabs>
                <w:tab w:val="left" w:pos="993"/>
              </w:tabs>
              <w:ind w:right="3"/>
              <w:jc w:val="both"/>
              <w:rPr>
                <w:sz w:val="22"/>
                <w:szCs w:val="22"/>
              </w:rPr>
            </w:pPr>
            <w:r w:rsidRPr="00991241">
              <w:rPr>
                <w:sz w:val="22"/>
                <w:szCs w:val="22"/>
              </w:rPr>
              <w:t>“4.Lai nodrošinātu to, ka ārējā normatīvajā aktā tiktu atrunāti valsts atbalsta pasākuma ieviešanas noteikumi, kas ir saistoši privātpersonām, lūdzam papildināt noteikumu projekta 6.punktu, ar kuru tiek papildināti noteikumi ar 67.1 punktu , ar kritērijiem, kuros gadījumos ir iespējams pagarināt iepriekš izsniegtās garantijas termiņu.”</w:t>
            </w:r>
          </w:p>
        </w:tc>
        <w:tc>
          <w:tcPr>
            <w:tcW w:w="3402" w:type="dxa"/>
            <w:tcBorders>
              <w:top w:val="single" w:sz="4" w:space="0" w:color="auto"/>
              <w:left w:val="single" w:sz="4" w:space="0" w:color="auto"/>
              <w:bottom w:val="single" w:sz="4" w:space="0" w:color="auto"/>
              <w:right w:val="single" w:sz="4" w:space="0" w:color="auto"/>
            </w:tcBorders>
          </w:tcPr>
          <w:p w14:paraId="5EF59D6B" w14:textId="50ECBDEC" w:rsidR="00991241" w:rsidRPr="00991241" w:rsidRDefault="00991241" w:rsidP="007C30DD">
            <w:pPr>
              <w:pStyle w:val="naisc"/>
              <w:spacing w:before="0" w:after="0"/>
              <w:rPr>
                <w:b/>
                <w:sz w:val="22"/>
                <w:szCs w:val="22"/>
              </w:rPr>
            </w:pPr>
            <w:r w:rsidRPr="00991241">
              <w:rPr>
                <w:b/>
                <w:sz w:val="22"/>
                <w:szCs w:val="22"/>
              </w:rPr>
              <w:t>Ņemts vērā</w:t>
            </w:r>
          </w:p>
        </w:tc>
        <w:tc>
          <w:tcPr>
            <w:tcW w:w="3260" w:type="dxa"/>
            <w:vMerge/>
            <w:tcBorders>
              <w:left w:val="single" w:sz="4" w:space="0" w:color="auto"/>
            </w:tcBorders>
          </w:tcPr>
          <w:p w14:paraId="0FA4F7ED" w14:textId="77777777" w:rsidR="00991241" w:rsidRPr="00991241" w:rsidRDefault="00991241" w:rsidP="00BD1B21">
            <w:pPr>
              <w:jc w:val="both"/>
              <w:rPr>
                <w:b/>
                <w:bCs/>
                <w:sz w:val="22"/>
                <w:szCs w:val="22"/>
              </w:rPr>
            </w:pPr>
          </w:p>
        </w:tc>
      </w:tr>
      <w:tr w:rsidR="00991241" w:rsidRPr="00991241" w14:paraId="32878A4D" w14:textId="77777777" w:rsidTr="00353CFF">
        <w:tc>
          <w:tcPr>
            <w:tcW w:w="716" w:type="dxa"/>
            <w:tcBorders>
              <w:top w:val="single" w:sz="4" w:space="0" w:color="auto"/>
              <w:left w:val="single" w:sz="4" w:space="0" w:color="auto"/>
              <w:bottom w:val="single" w:sz="4" w:space="0" w:color="auto"/>
              <w:right w:val="single" w:sz="4" w:space="0" w:color="auto"/>
            </w:tcBorders>
          </w:tcPr>
          <w:p w14:paraId="38B97B38" w14:textId="77777777" w:rsidR="00991241" w:rsidRPr="00991241" w:rsidRDefault="00991241"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right w:val="single" w:sz="4" w:space="0" w:color="auto"/>
            </w:tcBorders>
          </w:tcPr>
          <w:p w14:paraId="3EB8F6C6" w14:textId="77777777" w:rsidR="00991241" w:rsidRPr="00991241" w:rsidRDefault="00991241"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0F24FF4C" w14:textId="77777777" w:rsidR="00991241" w:rsidRPr="00D57348" w:rsidRDefault="00991241" w:rsidP="00991241">
            <w:pPr>
              <w:widowControl w:val="0"/>
              <w:tabs>
                <w:tab w:val="left" w:pos="993"/>
              </w:tabs>
              <w:ind w:right="3"/>
              <w:jc w:val="both"/>
              <w:rPr>
                <w:b/>
                <w:bCs/>
                <w:sz w:val="22"/>
                <w:szCs w:val="22"/>
              </w:rPr>
            </w:pPr>
            <w:r w:rsidRPr="00D57348">
              <w:rPr>
                <w:b/>
                <w:bCs/>
                <w:sz w:val="22"/>
                <w:szCs w:val="22"/>
              </w:rPr>
              <w:t>Finanšu ministrijas 30.04.2020. atzinuma 1. un 2. iebildums:</w:t>
            </w:r>
          </w:p>
          <w:p w14:paraId="1962D19E" w14:textId="77777777" w:rsidR="00991241" w:rsidRPr="00D57348" w:rsidRDefault="00991241" w:rsidP="00991241">
            <w:pPr>
              <w:widowControl w:val="0"/>
              <w:tabs>
                <w:tab w:val="left" w:pos="993"/>
              </w:tabs>
              <w:ind w:right="3"/>
              <w:jc w:val="both"/>
              <w:rPr>
                <w:sz w:val="22"/>
                <w:szCs w:val="22"/>
              </w:rPr>
            </w:pPr>
            <w:r w:rsidRPr="00D57348">
              <w:rPr>
                <w:sz w:val="22"/>
                <w:szCs w:val="22"/>
              </w:rPr>
              <w:t xml:space="preserve">“1.Ņemot vērā, ka saimnieciskās darbības veicējiem garantijas pagarinājums tiek vērtēts kā pilnīgi jauns de minimis atbalsts, ievērojot visus Eiropas Komisijas 2013. gada 18. decembra Regulas (ES) Nr. 1407/2013 par Līguma par Eiropas Savienības darbību 107. un 108. panta piemērošanu de minimis atbalstam (turpmāk – regula Nr.1407/2013), lūdzam noteikumu projekta 7.punktā iekļauto 67.3 punktu izteikt, </w:t>
            </w:r>
            <w:r w:rsidRPr="00D57348">
              <w:rPr>
                <w:sz w:val="22"/>
                <w:szCs w:val="22"/>
              </w:rPr>
              <w:lastRenderedPageBreak/>
              <w:t>piemēram, šādā redakcijā:</w:t>
            </w:r>
          </w:p>
          <w:p w14:paraId="7F10470D" w14:textId="77777777" w:rsidR="00991241" w:rsidRPr="00D57348" w:rsidRDefault="00991241" w:rsidP="00991241">
            <w:pPr>
              <w:widowControl w:val="0"/>
              <w:tabs>
                <w:tab w:val="left" w:pos="993"/>
              </w:tabs>
              <w:ind w:right="3"/>
              <w:jc w:val="both"/>
              <w:rPr>
                <w:sz w:val="22"/>
                <w:szCs w:val="22"/>
              </w:rPr>
            </w:pPr>
            <w:r w:rsidRPr="00D57348">
              <w:rPr>
                <w:sz w:val="22"/>
                <w:szCs w:val="22"/>
              </w:rPr>
              <w:t>“Ja tiek pagarināts sabiedrības "Altum" iepriekš izsniegtas garantijas termiņš un dzīvokļa īpašniekam ir piemērojami šo noteikumu 79.punkta nosacījumi, garantijas pagarinājumu sabiedrība "Altum" vērtē kā pilnīgi jaunu de minimis atbalstu, no jauna izvērtējot un pārbaudot de minimis atbalsta nosacījumus.”</w:t>
            </w:r>
          </w:p>
          <w:p w14:paraId="58DFE531" w14:textId="2E82C7D1" w:rsidR="00991241" w:rsidRPr="00D57348" w:rsidRDefault="00991241" w:rsidP="00991241">
            <w:pPr>
              <w:widowControl w:val="0"/>
              <w:tabs>
                <w:tab w:val="left" w:pos="993"/>
              </w:tabs>
              <w:ind w:right="3"/>
              <w:jc w:val="both"/>
              <w:rPr>
                <w:b/>
                <w:bCs/>
                <w:sz w:val="22"/>
                <w:szCs w:val="22"/>
              </w:rPr>
            </w:pPr>
            <w:r w:rsidRPr="00D57348">
              <w:rPr>
                <w:sz w:val="22"/>
                <w:szCs w:val="22"/>
              </w:rPr>
              <w:t>2.Ievērojot to, ka regulas Nr.1407/2013 4.panta 6.punkta a) apakšpunkts paredz nosacījumu, ka lielo uzņēmumu gadījumā, garantijas saņēmējam jābūt situācijā, kas pielīdzināma vismaz B- kredītreitingam, lūdzam pārskatīt un precizēt noteikumu projekta 7.punktā iekļauto 67.6 punktu, atsauci uz 64.1 1. apakšpunktu aizstājot ar atsauci uz 64.1 2. apakšpunktu.”</w:t>
            </w:r>
          </w:p>
        </w:tc>
        <w:tc>
          <w:tcPr>
            <w:tcW w:w="3402" w:type="dxa"/>
            <w:tcBorders>
              <w:top w:val="single" w:sz="4" w:space="0" w:color="auto"/>
              <w:left w:val="single" w:sz="4" w:space="0" w:color="auto"/>
              <w:bottom w:val="single" w:sz="4" w:space="0" w:color="auto"/>
              <w:right w:val="single" w:sz="4" w:space="0" w:color="auto"/>
            </w:tcBorders>
          </w:tcPr>
          <w:p w14:paraId="20686BC9" w14:textId="2779EB5A" w:rsidR="00991241" w:rsidRPr="00991241" w:rsidRDefault="00991241" w:rsidP="007C30DD">
            <w:pPr>
              <w:pStyle w:val="naisc"/>
              <w:spacing w:before="0" w:after="0"/>
              <w:rPr>
                <w:b/>
                <w:sz w:val="22"/>
                <w:szCs w:val="22"/>
              </w:rPr>
            </w:pPr>
            <w:r>
              <w:rPr>
                <w:b/>
                <w:sz w:val="22"/>
                <w:szCs w:val="22"/>
              </w:rPr>
              <w:lastRenderedPageBreak/>
              <w:t>Ņemts vērā</w:t>
            </w:r>
          </w:p>
        </w:tc>
        <w:tc>
          <w:tcPr>
            <w:tcW w:w="3260" w:type="dxa"/>
            <w:vMerge/>
            <w:tcBorders>
              <w:left w:val="single" w:sz="4" w:space="0" w:color="auto"/>
            </w:tcBorders>
          </w:tcPr>
          <w:p w14:paraId="60FBAF78" w14:textId="77777777" w:rsidR="00991241" w:rsidRPr="00991241" w:rsidRDefault="00991241" w:rsidP="00BD1B21">
            <w:pPr>
              <w:jc w:val="both"/>
              <w:rPr>
                <w:b/>
                <w:bCs/>
                <w:sz w:val="22"/>
                <w:szCs w:val="22"/>
              </w:rPr>
            </w:pPr>
          </w:p>
        </w:tc>
      </w:tr>
      <w:tr w:rsidR="00411271" w:rsidRPr="00991241" w14:paraId="2B4B6DDE" w14:textId="77777777" w:rsidTr="00CF5AE6">
        <w:tc>
          <w:tcPr>
            <w:tcW w:w="716" w:type="dxa"/>
            <w:tcBorders>
              <w:top w:val="single" w:sz="4" w:space="0" w:color="auto"/>
              <w:left w:val="single" w:sz="4" w:space="0" w:color="auto"/>
              <w:bottom w:val="single" w:sz="4" w:space="0" w:color="auto"/>
              <w:right w:val="single" w:sz="4" w:space="0" w:color="auto"/>
            </w:tcBorders>
          </w:tcPr>
          <w:p w14:paraId="6F43AC4F" w14:textId="77777777" w:rsidR="00411271" w:rsidRPr="00991241" w:rsidRDefault="00411271"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12363861" w14:textId="0DC5F37C" w:rsidR="00411271" w:rsidRPr="00991241" w:rsidRDefault="00411271" w:rsidP="00D239CC">
            <w:pPr>
              <w:pStyle w:val="naisc"/>
              <w:spacing w:before="0"/>
              <w:jc w:val="both"/>
              <w:rPr>
                <w:b/>
                <w:sz w:val="22"/>
                <w:szCs w:val="22"/>
              </w:rPr>
            </w:pPr>
            <w:r w:rsidRPr="00991241">
              <w:rPr>
                <w:b/>
                <w:sz w:val="22"/>
                <w:szCs w:val="22"/>
              </w:rPr>
              <w:t>Noteikumu projekta 8.punkts</w:t>
            </w:r>
          </w:p>
        </w:tc>
        <w:tc>
          <w:tcPr>
            <w:tcW w:w="4554" w:type="dxa"/>
            <w:tcBorders>
              <w:top w:val="single" w:sz="4" w:space="0" w:color="auto"/>
              <w:left w:val="single" w:sz="4" w:space="0" w:color="auto"/>
              <w:bottom w:val="single" w:sz="4" w:space="0" w:color="auto"/>
              <w:right w:val="single" w:sz="4" w:space="0" w:color="auto"/>
            </w:tcBorders>
          </w:tcPr>
          <w:p w14:paraId="75341BA7" w14:textId="77777777" w:rsidR="00411271" w:rsidRPr="00991241" w:rsidRDefault="00411271" w:rsidP="00B46770">
            <w:pPr>
              <w:widowControl w:val="0"/>
              <w:tabs>
                <w:tab w:val="left" w:pos="993"/>
              </w:tabs>
              <w:ind w:right="3"/>
              <w:jc w:val="both"/>
              <w:rPr>
                <w:b/>
                <w:bCs/>
                <w:sz w:val="22"/>
                <w:szCs w:val="22"/>
              </w:rPr>
            </w:pPr>
            <w:r w:rsidRPr="00991241">
              <w:rPr>
                <w:b/>
                <w:bCs/>
                <w:sz w:val="22"/>
                <w:szCs w:val="22"/>
              </w:rPr>
              <w:t>Finanšu ministrijas 14.04.2020. atzinuma 4.iebildums:</w:t>
            </w:r>
          </w:p>
          <w:p w14:paraId="451DA772" w14:textId="38DC00F4" w:rsidR="00411271" w:rsidRPr="00991241" w:rsidRDefault="00411271" w:rsidP="00B46770">
            <w:pPr>
              <w:widowControl w:val="0"/>
              <w:tabs>
                <w:tab w:val="left" w:pos="993"/>
              </w:tabs>
              <w:ind w:right="3"/>
              <w:jc w:val="both"/>
              <w:rPr>
                <w:sz w:val="22"/>
                <w:szCs w:val="22"/>
              </w:rPr>
            </w:pPr>
            <w:r w:rsidRPr="00991241">
              <w:rPr>
                <w:sz w:val="22"/>
                <w:szCs w:val="22"/>
              </w:rPr>
              <w:t xml:space="preserve">“4.Ievērojot to, ka noteikumu projekta 8.punkts paredz piemērot saimnieciskās darbības veicējiem garantiju subsīdijas ekvivalenta aprēķinu kā starpību starp atbilstošās kredīta kvalitātes klases gada drošās zonas prēmijas likmi (2. pielikums) un piemēroto gada prēmijas likmi naudas izteiksmē, kas atbilst Eiropas Komisijas 2013.gada 18.decembra Regulas (ES) Nr.1407/2013 par Līguma par Eiropas Savienības darbību 107. un 108.panta piemērošanu de minimis atbalstam (turpmāk - Komisijas regula Nr.1407/2013) 4.panta 6.punkta "c" apakšpunkta nosacījumiem vai piemērot Komisijas regulas Nr.1407/2013 4.panta 6.punkta "b" apakšpunktu, lūdzam papildināt noteikumu projektu ar nosacījumiem, kas būtu ievērojami katras konkrētās garantiju subsīdijas ekvivalenta aprēķina metodes piemērošanas gadījumā. Lūdzam noteikumu projektā nepārprotami norādīt, ka, piemērojot Komisijas regulas Nr.1407/2013 4.panta 6.punkta “b” apakšpunkta </w:t>
            </w:r>
            <w:r w:rsidRPr="00991241">
              <w:rPr>
                <w:sz w:val="22"/>
                <w:szCs w:val="22"/>
              </w:rPr>
              <w:lastRenderedPageBreak/>
              <w:t>nosacījumus tiks ievēroti garantijas apjoma un termiņa ierobežojumi, savukārt Komisijas regulas Nr.1407/2013 4.panta 6.punkta "c" apakšpunkta nosacījumi tiks piemēroti tikai maziem un vidējiem komersantiem.”</w:t>
            </w:r>
          </w:p>
        </w:tc>
        <w:tc>
          <w:tcPr>
            <w:tcW w:w="3402" w:type="dxa"/>
            <w:tcBorders>
              <w:top w:val="single" w:sz="4" w:space="0" w:color="auto"/>
              <w:left w:val="single" w:sz="4" w:space="0" w:color="auto"/>
              <w:bottom w:val="single" w:sz="4" w:space="0" w:color="auto"/>
              <w:right w:val="single" w:sz="4" w:space="0" w:color="auto"/>
            </w:tcBorders>
          </w:tcPr>
          <w:p w14:paraId="32BE3F43" w14:textId="77777777" w:rsidR="00411271" w:rsidRPr="00991241" w:rsidRDefault="00411271" w:rsidP="007C30DD">
            <w:pPr>
              <w:pStyle w:val="naisc"/>
              <w:spacing w:before="0" w:after="0"/>
              <w:rPr>
                <w:b/>
                <w:sz w:val="22"/>
                <w:szCs w:val="22"/>
              </w:rPr>
            </w:pPr>
            <w:r w:rsidRPr="00991241">
              <w:rPr>
                <w:b/>
                <w:sz w:val="22"/>
                <w:szCs w:val="22"/>
              </w:rPr>
              <w:lastRenderedPageBreak/>
              <w:t>Ņemts vērā</w:t>
            </w:r>
          </w:p>
          <w:p w14:paraId="1DADA1D3" w14:textId="5B252AEA" w:rsidR="00411271" w:rsidRPr="00991241" w:rsidRDefault="00411271" w:rsidP="007C30DD">
            <w:pPr>
              <w:pStyle w:val="naisc"/>
              <w:spacing w:before="0" w:after="0"/>
              <w:jc w:val="both"/>
              <w:rPr>
                <w:b/>
                <w:sz w:val="22"/>
                <w:szCs w:val="22"/>
              </w:rPr>
            </w:pPr>
            <w:r w:rsidRPr="00991241">
              <w:rPr>
                <w:bCs/>
                <w:sz w:val="22"/>
                <w:szCs w:val="22"/>
              </w:rPr>
              <w:t xml:space="preserve">Svītrota atsauce uz </w:t>
            </w:r>
            <w:r w:rsidRPr="00991241">
              <w:rPr>
                <w:bCs/>
              </w:rPr>
              <w:t xml:space="preserve"> </w:t>
            </w:r>
            <w:r w:rsidRPr="00991241">
              <w:rPr>
                <w:bCs/>
                <w:sz w:val="22"/>
                <w:szCs w:val="22"/>
              </w:rPr>
              <w:t xml:space="preserve">Komisijas regulas Nr.1407/201 4.panta 6.punkta "b" apakšpunktu, jo garantijas 4.2.1.1.pasākuma ietvaros tiek sniegtas saskaņā ar </w:t>
            </w:r>
            <w:r w:rsidRPr="00991241">
              <w:t xml:space="preserve"> </w:t>
            </w:r>
            <w:r w:rsidRPr="00991241">
              <w:rPr>
                <w:bCs/>
                <w:sz w:val="22"/>
                <w:szCs w:val="22"/>
              </w:rPr>
              <w:t>Komisijas regulas Nr.1407/2013 4.panta 6.punkta "c" apakšpunkta nosacījumiem.</w:t>
            </w:r>
          </w:p>
        </w:tc>
        <w:tc>
          <w:tcPr>
            <w:tcW w:w="3260" w:type="dxa"/>
            <w:vMerge w:val="restart"/>
            <w:tcBorders>
              <w:top w:val="single" w:sz="4" w:space="0" w:color="auto"/>
              <w:left w:val="single" w:sz="4" w:space="0" w:color="auto"/>
            </w:tcBorders>
          </w:tcPr>
          <w:p w14:paraId="758DF0CB" w14:textId="43256D88" w:rsidR="00411271" w:rsidRPr="00991241" w:rsidRDefault="00411271" w:rsidP="00BD1B21">
            <w:pPr>
              <w:jc w:val="both"/>
              <w:rPr>
                <w:b/>
                <w:bCs/>
                <w:sz w:val="22"/>
                <w:szCs w:val="22"/>
              </w:rPr>
            </w:pPr>
            <w:r w:rsidRPr="00991241">
              <w:rPr>
                <w:b/>
                <w:bCs/>
                <w:sz w:val="22"/>
                <w:szCs w:val="22"/>
              </w:rPr>
              <w:t xml:space="preserve">Noteikumu projekta </w:t>
            </w:r>
            <w:r w:rsidR="007544AA" w:rsidRPr="00991241">
              <w:rPr>
                <w:b/>
                <w:bCs/>
                <w:sz w:val="22"/>
                <w:szCs w:val="22"/>
              </w:rPr>
              <w:t>8</w:t>
            </w:r>
            <w:r w:rsidRPr="00991241">
              <w:rPr>
                <w:b/>
                <w:bCs/>
                <w:sz w:val="22"/>
                <w:szCs w:val="22"/>
              </w:rPr>
              <w:t>.punkts izteikts šādā redakcijā:</w:t>
            </w:r>
          </w:p>
          <w:p w14:paraId="6E1930F1" w14:textId="461F6E1B" w:rsidR="00411271" w:rsidRPr="00991241" w:rsidRDefault="00411271" w:rsidP="00E426C4">
            <w:pPr>
              <w:jc w:val="both"/>
              <w:rPr>
                <w:sz w:val="22"/>
                <w:szCs w:val="22"/>
              </w:rPr>
            </w:pPr>
            <w:r w:rsidRPr="00991241">
              <w:rPr>
                <w:sz w:val="22"/>
                <w:szCs w:val="22"/>
              </w:rPr>
              <w:t>“</w:t>
            </w:r>
            <w:r w:rsidR="007544AA" w:rsidRPr="00991241">
              <w:rPr>
                <w:sz w:val="22"/>
                <w:szCs w:val="22"/>
              </w:rPr>
              <w:t>8</w:t>
            </w:r>
            <w:r w:rsidRPr="00991241">
              <w:rPr>
                <w:sz w:val="22"/>
                <w:szCs w:val="22"/>
              </w:rPr>
              <w:t>.</w:t>
            </w:r>
            <w:r w:rsidRPr="00991241">
              <w:rPr>
                <w:sz w:val="22"/>
                <w:szCs w:val="22"/>
              </w:rPr>
              <w:tab/>
              <w:t>Izteikt 81.5. apakšpunktu šādā redakcijā:</w:t>
            </w:r>
          </w:p>
          <w:p w14:paraId="2925D43A" w14:textId="512BE1DF" w:rsidR="00411271" w:rsidRPr="00991241" w:rsidRDefault="00411271" w:rsidP="00E426C4">
            <w:pPr>
              <w:jc w:val="both"/>
              <w:rPr>
                <w:b/>
                <w:bCs/>
                <w:sz w:val="22"/>
                <w:szCs w:val="22"/>
              </w:rPr>
            </w:pPr>
            <w:r w:rsidRPr="00991241">
              <w:rPr>
                <w:sz w:val="22"/>
                <w:szCs w:val="22"/>
              </w:rPr>
              <w:t>“81.5. garantiju subsīdijas ekvivalentu saimnieciskās darbības veicējiem aprēķina kā starpību starp atbilstošās kredīta kvalitātes klases gada drošās zonas prēmijas likmi (2. pielikums) un piemēroto gada prēmijas likmi naudas izteiksmē. Ja garantijas ilgums pārsniedz gadu, starpība starp likmēm tiek diskontēta, izmantojot atsauces likmi.””</w:t>
            </w:r>
          </w:p>
        </w:tc>
      </w:tr>
      <w:tr w:rsidR="00411271" w:rsidRPr="00991241" w14:paraId="7B889015" w14:textId="77777777" w:rsidTr="00CF5AE6">
        <w:tc>
          <w:tcPr>
            <w:tcW w:w="716" w:type="dxa"/>
            <w:tcBorders>
              <w:top w:val="single" w:sz="4" w:space="0" w:color="auto"/>
              <w:left w:val="single" w:sz="4" w:space="0" w:color="auto"/>
              <w:bottom w:val="single" w:sz="4" w:space="0" w:color="auto"/>
              <w:right w:val="single" w:sz="4" w:space="0" w:color="auto"/>
            </w:tcBorders>
          </w:tcPr>
          <w:p w14:paraId="42787938" w14:textId="77777777" w:rsidR="00411271" w:rsidRPr="00991241" w:rsidRDefault="00411271"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bottom w:val="single" w:sz="4" w:space="0" w:color="auto"/>
              <w:right w:val="single" w:sz="4" w:space="0" w:color="auto"/>
            </w:tcBorders>
          </w:tcPr>
          <w:p w14:paraId="22CF26AC" w14:textId="77777777" w:rsidR="00411271" w:rsidRPr="00991241" w:rsidRDefault="00411271"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000B5959" w14:textId="0348BCAB" w:rsidR="00411271" w:rsidRPr="00991241" w:rsidRDefault="00411271" w:rsidP="00B46770">
            <w:pPr>
              <w:widowControl w:val="0"/>
              <w:tabs>
                <w:tab w:val="left" w:pos="993"/>
              </w:tabs>
              <w:ind w:right="3"/>
              <w:jc w:val="both"/>
              <w:rPr>
                <w:b/>
                <w:bCs/>
                <w:sz w:val="22"/>
                <w:szCs w:val="22"/>
              </w:rPr>
            </w:pPr>
            <w:r w:rsidRPr="00991241">
              <w:rPr>
                <w:b/>
                <w:bCs/>
                <w:sz w:val="22"/>
                <w:szCs w:val="22"/>
              </w:rPr>
              <w:t>Tieslietu ministrijas 09.04.2020. atzinuma priekšlikums:</w:t>
            </w:r>
            <w:r w:rsidRPr="00991241">
              <w:rPr>
                <w:b/>
                <w:bCs/>
                <w:sz w:val="22"/>
                <w:szCs w:val="22"/>
              </w:rPr>
              <w:br/>
            </w:r>
            <w:r w:rsidRPr="00991241">
              <w:rPr>
                <w:sz w:val="22"/>
                <w:szCs w:val="22"/>
              </w:rPr>
              <w:t>“Vienlaikus izsakām priekšlikumu tehniski precizēt noteikumu projekta 8. punktu, izlabojot tajā gramatikas kļūdu, proti, aprēķina nevis garantiju, bet gan garantijas subsīdijas ekvivalentu.”</w:t>
            </w:r>
          </w:p>
        </w:tc>
        <w:tc>
          <w:tcPr>
            <w:tcW w:w="3402" w:type="dxa"/>
            <w:tcBorders>
              <w:top w:val="single" w:sz="4" w:space="0" w:color="auto"/>
              <w:left w:val="single" w:sz="4" w:space="0" w:color="auto"/>
              <w:bottom w:val="single" w:sz="4" w:space="0" w:color="auto"/>
              <w:right w:val="single" w:sz="4" w:space="0" w:color="auto"/>
            </w:tcBorders>
          </w:tcPr>
          <w:p w14:paraId="4E6F5C09" w14:textId="1A31D057" w:rsidR="00411271" w:rsidRPr="00991241" w:rsidRDefault="00411271" w:rsidP="00CD3082">
            <w:pPr>
              <w:pStyle w:val="naisc"/>
              <w:spacing w:before="0" w:after="0"/>
              <w:rPr>
                <w:b/>
                <w:sz w:val="22"/>
                <w:szCs w:val="22"/>
              </w:rPr>
            </w:pPr>
            <w:r w:rsidRPr="00991241">
              <w:rPr>
                <w:b/>
                <w:sz w:val="22"/>
                <w:szCs w:val="22"/>
              </w:rPr>
              <w:t>Ņemts vērā</w:t>
            </w:r>
          </w:p>
        </w:tc>
        <w:tc>
          <w:tcPr>
            <w:tcW w:w="3260" w:type="dxa"/>
            <w:vMerge/>
            <w:tcBorders>
              <w:left w:val="single" w:sz="4" w:space="0" w:color="auto"/>
              <w:bottom w:val="single" w:sz="4" w:space="0" w:color="auto"/>
            </w:tcBorders>
          </w:tcPr>
          <w:p w14:paraId="212AA1A9" w14:textId="77777777" w:rsidR="00411271" w:rsidRPr="00991241" w:rsidRDefault="00411271" w:rsidP="00BD1B21">
            <w:pPr>
              <w:jc w:val="both"/>
              <w:rPr>
                <w:b/>
                <w:bCs/>
                <w:sz w:val="22"/>
                <w:szCs w:val="22"/>
              </w:rPr>
            </w:pPr>
          </w:p>
        </w:tc>
      </w:tr>
      <w:tr w:rsidR="00FB379D" w:rsidRPr="00991241" w14:paraId="3A3385AD" w14:textId="77777777" w:rsidTr="003D6D46">
        <w:tc>
          <w:tcPr>
            <w:tcW w:w="716" w:type="dxa"/>
            <w:tcBorders>
              <w:top w:val="single" w:sz="4" w:space="0" w:color="auto"/>
              <w:left w:val="single" w:sz="4" w:space="0" w:color="auto"/>
              <w:bottom w:val="single" w:sz="4" w:space="0" w:color="auto"/>
              <w:right w:val="single" w:sz="4" w:space="0" w:color="auto"/>
            </w:tcBorders>
          </w:tcPr>
          <w:p w14:paraId="55E5CCC3" w14:textId="77777777" w:rsidR="00FB379D" w:rsidRPr="00991241" w:rsidRDefault="00FB379D"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6BED3904" w14:textId="5F054AD5" w:rsidR="00FB379D" w:rsidRPr="00991241" w:rsidRDefault="00FB379D" w:rsidP="00D239CC">
            <w:pPr>
              <w:pStyle w:val="naisc"/>
              <w:spacing w:before="0"/>
              <w:jc w:val="both"/>
              <w:rPr>
                <w:b/>
                <w:sz w:val="22"/>
                <w:szCs w:val="22"/>
              </w:rPr>
            </w:pPr>
            <w:r w:rsidRPr="00991241">
              <w:rPr>
                <w:b/>
                <w:sz w:val="22"/>
                <w:szCs w:val="22"/>
              </w:rPr>
              <w:t xml:space="preserve">Noteikumu projekta anotācijas </w:t>
            </w:r>
            <w:r w:rsidRPr="00991241">
              <w:t xml:space="preserve"> </w:t>
            </w:r>
            <w:r w:rsidRPr="00991241">
              <w:rPr>
                <w:b/>
                <w:sz w:val="22"/>
                <w:szCs w:val="22"/>
              </w:rPr>
              <w:t>I sadaļas 2.punkts</w:t>
            </w:r>
          </w:p>
        </w:tc>
        <w:tc>
          <w:tcPr>
            <w:tcW w:w="4554" w:type="dxa"/>
            <w:tcBorders>
              <w:top w:val="single" w:sz="4" w:space="0" w:color="auto"/>
              <w:left w:val="single" w:sz="4" w:space="0" w:color="auto"/>
              <w:bottom w:val="single" w:sz="4" w:space="0" w:color="auto"/>
              <w:right w:val="single" w:sz="4" w:space="0" w:color="auto"/>
            </w:tcBorders>
          </w:tcPr>
          <w:p w14:paraId="35CA8B41" w14:textId="2B3C6052" w:rsidR="00FB379D" w:rsidRPr="00991241" w:rsidRDefault="00FB379D" w:rsidP="00B46770">
            <w:pPr>
              <w:widowControl w:val="0"/>
              <w:tabs>
                <w:tab w:val="left" w:pos="993"/>
              </w:tabs>
              <w:ind w:right="3"/>
              <w:jc w:val="both"/>
              <w:rPr>
                <w:b/>
                <w:bCs/>
                <w:sz w:val="22"/>
                <w:szCs w:val="22"/>
              </w:rPr>
            </w:pPr>
            <w:r w:rsidRPr="00991241">
              <w:rPr>
                <w:b/>
                <w:bCs/>
                <w:sz w:val="22"/>
                <w:szCs w:val="22"/>
              </w:rPr>
              <w:t>Finanšu ministrijas 14.04.2020. atzinuma 6. un 8.iebildums:</w:t>
            </w:r>
          </w:p>
          <w:p w14:paraId="14885F84" w14:textId="303A1001" w:rsidR="00FB379D" w:rsidRPr="00991241" w:rsidRDefault="00FB379D" w:rsidP="006752C9">
            <w:pPr>
              <w:widowControl w:val="0"/>
              <w:tabs>
                <w:tab w:val="left" w:pos="993"/>
              </w:tabs>
              <w:ind w:right="3"/>
              <w:jc w:val="both"/>
              <w:rPr>
                <w:sz w:val="22"/>
                <w:szCs w:val="22"/>
              </w:rPr>
            </w:pPr>
            <w:r w:rsidRPr="00991241">
              <w:rPr>
                <w:sz w:val="22"/>
                <w:szCs w:val="22"/>
              </w:rPr>
              <w:t>“</w:t>
            </w:r>
            <w:r w:rsidRPr="00991241">
              <w:t>”</w:t>
            </w:r>
            <w:r w:rsidRPr="00991241">
              <w:rPr>
                <w:sz w:val="22"/>
                <w:szCs w:val="22"/>
              </w:rPr>
              <w:t>6.Lūdzam papildināt anotācijas I sadaļas 2.punktu ar izvērtējumu par ierosināto grozījumu ietekmi uz finansējuma saņēmēju (sabiedrību Altum), projektu iesniedzējiem un gala labuma guvējiem, tai skaitā sniegt ierosināto grozījumu ietekmi uz:</w:t>
            </w:r>
          </w:p>
          <w:p w14:paraId="4EC50685" w14:textId="77777777" w:rsidR="00FB379D" w:rsidRPr="00991241" w:rsidRDefault="00FB379D" w:rsidP="006752C9">
            <w:pPr>
              <w:widowControl w:val="0"/>
              <w:tabs>
                <w:tab w:val="left" w:pos="993"/>
              </w:tabs>
              <w:ind w:right="3"/>
              <w:jc w:val="both"/>
              <w:rPr>
                <w:sz w:val="22"/>
                <w:szCs w:val="22"/>
              </w:rPr>
            </w:pPr>
            <w:r w:rsidRPr="00991241">
              <w:rPr>
                <w:sz w:val="22"/>
                <w:szCs w:val="22"/>
              </w:rPr>
              <w:t>a)</w:t>
            </w:r>
            <w:r w:rsidRPr="00991241">
              <w:rPr>
                <w:sz w:val="22"/>
                <w:szCs w:val="22"/>
              </w:rPr>
              <w:tab/>
              <w:t>īstenošanā esošajiem projektiem, t.i. vai būs nepieciešami grozījumi noslēgtajos līgumos;</w:t>
            </w:r>
          </w:p>
          <w:p w14:paraId="779805AA" w14:textId="77777777" w:rsidR="00FB379D" w:rsidRPr="00991241" w:rsidRDefault="00FB379D" w:rsidP="006752C9">
            <w:pPr>
              <w:widowControl w:val="0"/>
              <w:tabs>
                <w:tab w:val="left" w:pos="993"/>
              </w:tabs>
              <w:ind w:right="3"/>
              <w:jc w:val="both"/>
              <w:rPr>
                <w:sz w:val="22"/>
                <w:szCs w:val="22"/>
              </w:rPr>
            </w:pPr>
            <w:r w:rsidRPr="00991241">
              <w:rPr>
                <w:sz w:val="22"/>
                <w:szCs w:val="22"/>
              </w:rPr>
              <w:t>b)</w:t>
            </w:r>
            <w:r w:rsidRPr="00991241">
              <w:rPr>
                <w:sz w:val="22"/>
                <w:szCs w:val="22"/>
              </w:rPr>
              <w:tab/>
              <w:t>projektu iesniegumiem, kuri atrodas vērtēšanas procesā;</w:t>
            </w:r>
          </w:p>
          <w:p w14:paraId="4EF5F4D0" w14:textId="77777777" w:rsidR="00FB379D" w:rsidRPr="00991241" w:rsidRDefault="00FB379D" w:rsidP="006752C9">
            <w:pPr>
              <w:widowControl w:val="0"/>
              <w:tabs>
                <w:tab w:val="left" w:pos="993"/>
              </w:tabs>
              <w:ind w:right="3"/>
              <w:jc w:val="both"/>
              <w:rPr>
                <w:sz w:val="22"/>
                <w:szCs w:val="22"/>
              </w:rPr>
            </w:pPr>
            <w:r w:rsidRPr="00991241">
              <w:rPr>
                <w:sz w:val="22"/>
                <w:szCs w:val="22"/>
              </w:rPr>
              <w:t>c)</w:t>
            </w:r>
            <w:r w:rsidRPr="00991241">
              <w:rPr>
                <w:sz w:val="22"/>
                <w:szCs w:val="22"/>
              </w:rPr>
              <w:tab/>
              <w:t>iesniegtiem projektu iesniegumiem, kuru vērtēšana vēl nav uzsākta.”</w:t>
            </w:r>
          </w:p>
          <w:p w14:paraId="267CBF09" w14:textId="77777777" w:rsidR="00FB379D" w:rsidRPr="00991241" w:rsidRDefault="00FB379D" w:rsidP="006752C9">
            <w:pPr>
              <w:widowControl w:val="0"/>
              <w:tabs>
                <w:tab w:val="left" w:pos="993"/>
              </w:tabs>
              <w:ind w:right="3"/>
              <w:jc w:val="both"/>
              <w:rPr>
                <w:sz w:val="22"/>
                <w:szCs w:val="22"/>
              </w:rPr>
            </w:pPr>
          </w:p>
          <w:p w14:paraId="06B1490A" w14:textId="56A252DD" w:rsidR="00FB379D" w:rsidRPr="00991241" w:rsidRDefault="00FB379D" w:rsidP="006752C9">
            <w:pPr>
              <w:widowControl w:val="0"/>
              <w:tabs>
                <w:tab w:val="left" w:pos="993"/>
              </w:tabs>
              <w:ind w:right="3"/>
              <w:jc w:val="both"/>
              <w:rPr>
                <w:sz w:val="22"/>
                <w:szCs w:val="22"/>
              </w:rPr>
            </w:pPr>
            <w:r w:rsidRPr="00991241">
              <w:rPr>
                <w:sz w:val="22"/>
                <w:szCs w:val="22"/>
              </w:rPr>
              <w:t>“8.Lūdzam papildināt anotāciju ar atbilstošu skaidrojumu garantiju subsīdijas ekvivalenta aprēķina metožu piemērošanai, attiecīgi norādot kādi nosacījumi tiks piemēroti, aprēķinot garantijas subsīdijas ekvivalentu saskaņā ar Komisijas regulas Nr.1407/2013 4.panta 6.punkta "c" apakšpunkta nosacījumiem un/vai piemērojot Komisijas regulas Nr.1407/2013 4.panta 6.punkta "b" apakšpunktu.””</w:t>
            </w:r>
          </w:p>
        </w:tc>
        <w:tc>
          <w:tcPr>
            <w:tcW w:w="3402" w:type="dxa"/>
            <w:tcBorders>
              <w:top w:val="single" w:sz="4" w:space="0" w:color="auto"/>
              <w:left w:val="single" w:sz="4" w:space="0" w:color="auto"/>
              <w:bottom w:val="single" w:sz="4" w:space="0" w:color="auto"/>
              <w:right w:val="single" w:sz="4" w:space="0" w:color="auto"/>
            </w:tcBorders>
          </w:tcPr>
          <w:p w14:paraId="5A4BBE67" w14:textId="41A7B90B" w:rsidR="00FB379D" w:rsidRPr="00991241" w:rsidRDefault="00FB379D" w:rsidP="00CD3082">
            <w:pPr>
              <w:pStyle w:val="naisc"/>
              <w:spacing w:before="0" w:after="0"/>
              <w:rPr>
                <w:b/>
                <w:sz w:val="22"/>
                <w:szCs w:val="22"/>
              </w:rPr>
            </w:pPr>
            <w:r w:rsidRPr="00991241">
              <w:rPr>
                <w:b/>
                <w:sz w:val="22"/>
                <w:szCs w:val="22"/>
              </w:rPr>
              <w:t>Ņemts vērā</w:t>
            </w:r>
          </w:p>
        </w:tc>
        <w:tc>
          <w:tcPr>
            <w:tcW w:w="3260" w:type="dxa"/>
            <w:vMerge w:val="restart"/>
            <w:tcBorders>
              <w:top w:val="single" w:sz="4" w:space="0" w:color="auto"/>
              <w:left w:val="single" w:sz="4" w:space="0" w:color="auto"/>
            </w:tcBorders>
          </w:tcPr>
          <w:p w14:paraId="26D450FB" w14:textId="57B93706" w:rsidR="00FB379D" w:rsidRPr="00991241" w:rsidRDefault="00FB379D" w:rsidP="00BD1B21">
            <w:pPr>
              <w:jc w:val="both"/>
              <w:rPr>
                <w:b/>
                <w:bCs/>
                <w:sz w:val="22"/>
                <w:szCs w:val="22"/>
              </w:rPr>
            </w:pPr>
            <w:r w:rsidRPr="00991241">
              <w:rPr>
                <w:b/>
                <w:bCs/>
                <w:sz w:val="22"/>
                <w:szCs w:val="22"/>
              </w:rPr>
              <w:t>Anotācija papildināta ar skaidrojumiem</w:t>
            </w:r>
          </w:p>
        </w:tc>
      </w:tr>
      <w:tr w:rsidR="00FB379D" w:rsidRPr="00991241" w14:paraId="0FD9A440" w14:textId="77777777" w:rsidTr="00914E2C">
        <w:tc>
          <w:tcPr>
            <w:tcW w:w="716" w:type="dxa"/>
            <w:tcBorders>
              <w:top w:val="single" w:sz="4" w:space="0" w:color="auto"/>
              <w:left w:val="single" w:sz="4" w:space="0" w:color="auto"/>
              <w:bottom w:val="single" w:sz="4" w:space="0" w:color="auto"/>
              <w:right w:val="single" w:sz="4" w:space="0" w:color="auto"/>
            </w:tcBorders>
          </w:tcPr>
          <w:p w14:paraId="260B9DE6" w14:textId="77777777" w:rsidR="00FB379D" w:rsidRPr="00991241" w:rsidRDefault="00FB379D"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right w:val="single" w:sz="4" w:space="0" w:color="auto"/>
            </w:tcBorders>
          </w:tcPr>
          <w:p w14:paraId="26B53D2C" w14:textId="77777777" w:rsidR="00FB379D" w:rsidRPr="00991241" w:rsidRDefault="00FB379D"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4DE10EBC" w14:textId="4DFF25CD" w:rsidR="00FB379D" w:rsidRPr="00991241" w:rsidRDefault="00FB379D" w:rsidP="00411271">
            <w:pPr>
              <w:widowControl w:val="0"/>
              <w:tabs>
                <w:tab w:val="left" w:pos="993"/>
              </w:tabs>
              <w:ind w:right="3"/>
              <w:jc w:val="both"/>
              <w:rPr>
                <w:b/>
                <w:bCs/>
                <w:sz w:val="22"/>
                <w:szCs w:val="22"/>
              </w:rPr>
            </w:pPr>
            <w:r w:rsidRPr="00991241">
              <w:rPr>
                <w:b/>
                <w:bCs/>
                <w:sz w:val="22"/>
                <w:szCs w:val="22"/>
              </w:rPr>
              <w:t xml:space="preserve">Tieslietu ministrijas 3.iebildumā ietvertais </w:t>
            </w:r>
            <w:r w:rsidRPr="00991241">
              <w:rPr>
                <w:b/>
                <w:bCs/>
                <w:sz w:val="22"/>
                <w:szCs w:val="22"/>
              </w:rPr>
              <w:lastRenderedPageBreak/>
              <w:t>iebildums:</w:t>
            </w:r>
          </w:p>
          <w:p w14:paraId="11F898CE" w14:textId="31C24496" w:rsidR="00FB379D" w:rsidRPr="00991241" w:rsidRDefault="00FB379D" w:rsidP="00411271">
            <w:pPr>
              <w:widowControl w:val="0"/>
              <w:tabs>
                <w:tab w:val="left" w:pos="993"/>
              </w:tabs>
              <w:ind w:right="3"/>
              <w:jc w:val="both"/>
              <w:rPr>
                <w:sz w:val="22"/>
                <w:szCs w:val="22"/>
              </w:rPr>
            </w:pPr>
            <w:r w:rsidRPr="00991241">
              <w:rPr>
                <w:sz w:val="22"/>
                <w:szCs w:val="22"/>
              </w:rPr>
              <w:t>“3. Ņemot vērā, ka attiecīgais grozījums, iespējams, neaptveras ar noteikumu projekta anotācijas I sadaļas 2. punktā ietverto skaidrojumu, saskaņā ar instrukcijas Nr. 19 14. punktu lūdzam papildināt noteikumu projekta anotāciju ar skaidrojumu par noteikumu projekta 5. punktā paredzētā grozījuma nepieciešamību un mērķi.”</w:t>
            </w:r>
          </w:p>
        </w:tc>
        <w:tc>
          <w:tcPr>
            <w:tcW w:w="3402" w:type="dxa"/>
            <w:tcBorders>
              <w:top w:val="single" w:sz="4" w:space="0" w:color="auto"/>
              <w:left w:val="single" w:sz="4" w:space="0" w:color="auto"/>
              <w:bottom w:val="single" w:sz="4" w:space="0" w:color="auto"/>
              <w:right w:val="single" w:sz="4" w:space="0" w:color="auto"/>
            </w:tcBorders>
          </w:tcPr>
          <w:p w14:paraId="58483A4D" w14:textId="77777777" w:rsidR="00FB379D" w:rsidRPr="00991241" w:rsidRDefault="00FB379D" w:rsidP="00CD3082">
            <w:pPr>
              <w:pStyle w:val="naisc"/>
              <w:spacing w:before="0" w:after="0"/>
              <w:rPr>
                <w:b/>
                <w:sz w:val="22"/>
                <w:szCs w:val="22"/>
              </w:rPr>
            </w:pPr>
            <w:r w:rsidRPr="00991241">
              <w:rPr>
                <w:b/>
                <w:sz w:val="22"/>
                <w:szCs w:val="22"/>
              </w:rPr>
              <w:lastRenderedPageBreak/>
              <w:t>Netiek ņemts vērā</w:t>
            </w:r>
          </w:p>
          <w:p w14:paraId="090AC5D2" w14:textId="1883E2C1" w:rsidR="00FB379D" w:rsidRPr="00991241" w:rsidRDefault="00FB379D" w:rsidP="00B27A44">
            <w:pPr>
              <w:pStyle w:val="naisc"/>
              <w:spacing w:before="0" w:after="0"/>
              <w:jc w:val="both"/>
              <w:rPr>
                <w:bCs/>
                <w:sz w:val="22"/>
                <w:szCs w:val="22"/>
              </w:rPr>
            </w:pPr>
            <w:r w:rsidRPr="00991241">
              <w:rPr>
                <w:bCs/>
                <w:sz w:val="22"/>
                <w:szCs w:val="22"/>
              </w:rPr>
              <w:lastRenderedPageBreak/>
              <w:t>Skaidrojam, ka Noteikumu projekta 5.pun</w:t>
            </w:r>
            <w:r w:rsidR="006C6BBB">
              <w:rPr>
                <w:bCs/>
                <w:sz w:val="22"/>
                <w:szCs w:val="22"/>
              </w:rPr>
              <w:t>k</w:t>
            </w:r>
            <w:r w:rsidRPr="00991241">
              <w:rPr>
                <w:bCs/>
                <w:sz w:val="22"/>
                <w:szCs w:val="22"/>
              </w:rPr>
              <w:t>tā ir ietvertas MK noteikumu Nr.997 12.</w:t>
            </w:r>
            <w:r w:rsidRPr="00991241">
              <w:rPr>
                <w:bCs/>
                <w:sz w:val="22"/>
                <w:szCs w:val="22"/>
                <w:vertAlign w:val="superscript"/>
              </w:rPr>
              <w:t>2</w:t>
            </w:r>
            <w:r w:rsidRPr="00991241">
              <w:rPr>
                <w:bCs/>
                <w:sz w:val="22"/>
                <w:szCs w:val="22"/>
              </w:rPr>
              <w:t xml:space="preserve"> 5., 12.</w:t>
            </w:r>
            <w:r w:rsidRPr="00991241">
              <w:rPr>
                <w:bCs/>
                <w:sz w:val="22"/>
                <w:szCs w:val="22"/>
                <w:vertAlign w:val="superscript"/>
              </w:rPr>
              <w:t>2</w:t>
            </w:r>
            <w:r w:rsidRPr="00991241">
              <w:rPr>
                <w:bCs/>
                <w:sz w:val="22"/>
                <w:szCs w:val="22"/>
              </w:rPr>
              <w:t> 6. un 12.</w:t>
            </w:r>
            <w:r w:rsidRPr="00991241">
              <w:rPr>
                <w:bCs/>
                <w:sz w:val="22"/>
                <w:szCs w:val="22"/>
                <w:vertAlign w:val="superscript"/>
              </w:rPr>
              <w:t>2</w:t>
            </w:r>
            <w:r w:rsidRPr="00991241">
              <w:rPr>
                <w:bCs/>
                <w:sz w:val="22"/>
                <w:szCs w:val="22"/>
              </w:rPr>
              <w:t> 7.apakšpunktos ietvertās normas. Ņemot vērā, ka anotācijā ir jau skaidrots, kā šāds ir grozījumu mērķis, EM ieskatā nav nepieciešams aprakstīt tieši šīs normas.</w:t>
            </w:r>
          </w:p>
        </w:tc>
        <w:tc>
          <w:tcPr>
            <w:tcW w:w="3260" w:type="dxa"/>
            <w:vMerge/>
            <w:tcBorders>
              <w:left w:val="single" w:sz="4" w:space="0" w:color="auto"/>
            </w:tcBorders>
          </w:tcPr>
          <w:p w14:paraId="7D53B87E" w14:textId="77777777" w:rsidR="00FB379D" w:rsidRPr="00991241" w:rsidRDefault="00FB379D" w:rsidP="00BD1B21">
            <w:pPr>
              <w:jc w:val="both"/>
              <w:rPr>
                <w:b/>
                <w:bCs/>
                <w:sz w:val="22"/>
                <w:szCs w:val="22"/>
              </w:rPr>
            </w:pPr>
          </w:p>
        </w:tc>
      </w:tr>
      <w:tr w:rsidR="00FB379D" w:rsidRPr="00991241" w14:paraId="156C7679" w14:textId="77777777" w:rsidTr="00914E2C">
        <w:tc>
          <w:tcPr>
            <w:tcW w:w="716" w:type="dxa"/>
            <w:tcBorders>
              <w:top w:val="single" w:sz="4" w:space="0" w:color="auto"/>
              <w:left w:val="single" w:sz="4" w:space="0" w:color="auto"/>
              <w:bottom w:val="single" w:sz="4" w:space="0" w:color="auto"/>
              <w:right w:val="single" w:sz="4" w:space="0" w:color="auto"/>
            </w:tcBorders>
          </w:tcPr>
          <w:p w14:paraId="0C0D91F1" w14:textId="77777777" w:rsidR="00FB379D" w:rsidRPr="00991241" w:rsidRDefault="00FB379D"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right w:val="single" w:sz="4" w:space="0" w:color="auto"/>
            </w:tcBorders>
          </w:tcPr>
          <w:p w14:paraId="7FA48D4F" w14:textId="77777777" w:rsidR="00FB379D" w:rsidRPr="00991241" w:rsidRDefault="00FB379D"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4AF9" w14:textId="4814ABB2" w:rsidR="00FB379D" w:rsidRPr="00FB379D" w:rsidRDefault="00FB379D" w:rsidP="00991241">
            <w:pPr>
              <w:widowControl w:val="0"/>
              <w:tabs>
                <w:tab w:val="left" w:pos="993"/>
              </w:tabs>
              <w:ind w:right="3"/>
              <w:jc w:val="both"/>
              <w:rPr>
                <w:b/>
                <w:bCs/>
                <w:sz w:val="22"/>
                <w:szCs w:val="22"/>
              </w:rPr>
            </w:pPr>
            <w:r w:rsidRPr="00FB379D">
              <w:rPr>
                <w:b/>
                <w:bCs/>
                <w:sz w:val="22"/>
                <w:szCs w:val="22"/>
              </w:rPr>
              <w:t>Finanšu ministrijas 27.04.2020. atzinuma 5.iebildums:</w:t>
            </w:r>
          </w:p>
          <w:p w14:paraId="699F994A" w14:textId="20395110" w:rsidR="00FB379D" w:rsidRPr="00FB379D" w:rsidRDefault="00FB379D" w:rsidP="00991241">
            <w:pPr>
              <w:tabs>
                <w:tab w:val="left" w:pos="3226"/>
              </w:tabs>
              <w:jc w:val="both"/>
              <w:rPr>
                <w:sz w:val="22"/>
                <w:szCs w:val="22"/>
              </w:rPr>
            </w:pPr>
            <w:r w:rsidRPr="00FB379D">
              <w:rPr>
                <w:b/>
                <w:bCs/>
                <w:sz w:val="22"/>
                <w:szCs w:val="22"/>
              </w:rPr>
              <w:t>“</w:t>
            </w:r>
            <w:r w:rsidRPr="00FB379D">
              <w:rPr>
                <w:sz w:val="22"/>
                <w:szCs w:val="22"/>
              </w:rPr>
              <w:t>5. Anotācijas I sadaļas “Tiesību akta projekta izstrādes nepieciešamība” 2.punkta “Pašreizējā situācija un problēmas, kuru risināšanai tiesību akta projekts izstrādāts, tiesiskā regulējuma mērķis un būtība” (turpmāk – anotācijas I sadaļas 2.punkts) 2.apakšpunktā “</w:t>
            </w:r>
            <w:r w:rsidRPr="00FB379D">
              <w:rPr>
                <w:b/>
                <w:bCs/>
                <w:i/>
                <w:iCs/>
                <w:sz w:val="22"/>
                <w:szCs w:val="22"/>
                <w:u w:val="single"/>
              </w:rPr>
              <w:t>Noteikt, ka, izvēloties būvkomersantu, atlases nolikumā kā atlases kritēriju nedrīkst noteikt būvdarbu izpildes termiņu</w:t>
            </w:r>
            <w:r w:rsidRPr="00FB379D">
              <w:rPr>
                <w:sz w:val="22"/>
                <w:szCs w:val="22"/>
              </w:rPr>
              <w:t>” tiek norādīts, ka “</w:t>
            </w:r>
            <w:r w:rsidRPr="00FB379D">
              <w:rPr>
                <w:i/>
                <w:iCs/>
                <w:sz w:val="22"/>
                <w:szCs w:val="22"/>
              </w:rPr>
              <w:t xml:space="preserve">Ņemot vērā, ka 2018. gadā </w:t>
            </w:r>
            <w:r w:rsidRPr="00FB379D">
              <w:rPr>
                <w:i/>
                <w:iCs/>
                <w:sz w:val="22"/>
                <w:szCs w:val="22"/>
                <w:u w:val="single"/>
              </w:rPr>
              <w:t>Ekonomikas ministrijai un Finanšu ministrijai atšķīrās viedoklis par grozījumu būtību</w:t>
            </w:r>
            <w:r w:rsidRPr="00FB379D">
              <w:rPr>
                <w:i/>
                <w:iCs/>
                <w:sz w:val="22"/>
                <w:szCs w:val="22"/>
              </w:rPr>
              <w:t xml:space="preserve">, Ekonomikas ministrija izlēma grozījumus neveikt, bet gan vienoties ar Altum, ka tā turpinās aicināt pilnvarotās personas nesaskaņot nesamērīgi īsus būvniecības izpildes termiņus vai termiņus neiekļaut kā vērtēšanas kritēriju. Ņemot vērā, ka 2018 gadā konstatētās problēmas ar nesamērīgi īsiem būvniecības termiņiem nav mainījušās, kā arī 4.2.1.1. pasākumu auditējošās iestādes ir norādījušas, ka šis ir risks, kam nepieciešams formāls un nekavējošs risinājums, </w:t>
            </w:r>
            <w:r w:rsidRPr="00FB379D">
              <w:rPr>
                <w:i/>
                <w:iCs/>
                <w:sz w:val="22"/>
                <w:szCs w:val="22"/>
                <w:u w:val="single"/>
              </w:rPr>
              <w:t>Ekonomikas ministrija ierosina piemērot 2018. gadā piedāvāto Finanšu ministrijas pieeju</w:t>
            </w:r>
            <w:r w:rsidRPr="00FB379D">
              <w:rPr>
                <w:i/>
                <w:iCs/>
                <w:sz w:val="22"/>
                <w:szCs w:val="22"/>
              </w:rPr>
              <w:t>…”</w:t>
            </w:r>
            <w:r w:rsidRPr="00FB379D">
              <w:rPr>
                <w:sz w:val="22"/>
                <w:szCs w:val="22"/>
              </w:rPr>
              <w:t xml:space="preserve">. </w:t>
            </w:r>
          </w:p>
          <w:p w14:paraId="2AC8978E" w14:textId="77777777" w:rsidR="00FB379D" w:rsidRPr="00FB379D" w:rsidRDefault="00FB379D" w:rsidP="00991241">
            <w:pPr>
              <w:shd w:val="clear" w:color="auto" w:fill="FFFFFF" w:themeFill="background1"/>
              <w:tabs>
                <w:tab w:val="left" w:pos="3226"/>
              </w:tabs>
              <w:jc w:val="both"/>
              <w:rPr>
                <w:sz w:val="22"/>
                <w:szCs w:val="22"/>
              </w:rPr>
            </w:pPr>
            <w:r w:rsidRPr="00FB379D">
              <w:rPr>
                <w:sz w:val="22"/>
                <w:szCs w:val="22"/>
              </w:rPr>
              <w:t xml:space="preserve">Normatīvo aktu projektu un to grozījumu izstrāde ir nozaru ministriju kompetencē. Sniedzot atzinumu, Finanšu ministrija, savas kompetences ietvaros ir norādījusi uz piedāvāta risinājuma problēmām un aicinājusi izvērtēt iespējamos </w:t>
            </w:r>
            <w:r w:rsidRPr="00FB379D">
              <w:rPr>
                <w:sz w:val="22"/>
                <w:szCs w:val="22"/>
              </w:rPr>
              <w:lastRenderedPageBreak/>
              <w:t>risinājumus. Ņemot vērā, ka atbildīgā ministrija par noteikumu projektu un tā grozījumiem ir Ekonomikas ministrija, tai, virzot grozījumus, ar kuriem tiek noteikts risinājums, ka izvēloties būvkomersantu, atlases nolikumā kā vērtēšanas kritēriju neiekļauj būvdarbu izpildes termiņu, ir jābūt izvērtējušai piedāvātā risinājuma atbilstību un piemērotību identificētās problēmas risināšanai. Katra nozares ministrija ir atbildīga par savas nozares normatīvo aktu regulējuma atbilstību un ietekmi uz dažādām darbības jomām, kā arī tā piemērošanas tiesiskām sekām un tā efektivitāti. Līdz ar to, lūdzam no anotācijas I sadaļas 2.punkta 2.apakšpunktā svītrot iepriekšminēto informāciju.</w:t>
            </w:r>
          </w:p>
          <w:p w14:paraId="66CE09D5" w14:textId="6E0F9832" w:rsidR="00FB379D" w:rsidRPr="00FB379D" w:rsidRDefault="00FB379D" w:rsidP="00991241">
            <w:pPr>
              <w:shd w:val="clear" w:color="auto" w:fill="FFFFFF" w:themeFill="background1"/>
              <w:tabs>
                <w:tab w:val="left" w:pos="3226"/>
              </w:tabs>
              <w:jc w:val="both"/>
              <w:rPr>
                <w:sz w:val="22"/>
                <w:szCs w:val="22"/>
              </w:rPr>
            </w:pPr>
            <w:r w:rsidRPr="00FB379D">
              <w:rPr>
                <w:sz w:val="22"/>
                <w:szCs w:val="22"/>
              </w:rPr>
              <w:t>Vienlaicīgi lūdzam precizēt anotācijas I sadaļas 2.punkta 2. apakšpunkta nosaukumu, precizējot no “atlases nolikumā kā atlases kritēriju” uz “atlases nolikumā kā vērtēšanas kritēriju”.</w:t>
            </w:r>
            <w:r w:rsidRPr="00FB379D">
              <w:rPr>
                <w:b/>
                <w:bCs/>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95C0D38" w14:textId="6BC38B3A" w:rsidR="00FB379D" w:rsidRPr="00991241" w:rsidRDefault="00FB379D" w:rsidP="00CD3082">
            <w:pPr>
              <w:pStyle w:val="naisc"/>
              <w:spacing w:before="0" w:after="0"/>
              <w:rPr>
                <w:b/>
                <w:sz w:val="22"/>
                <w:szCs w:val="22"/>
              </w:rPr>
            </w:pPr>
            <w:r w:rsidRPr="00991241">
              <w:rPr>
                <w:b/>
                <w:sz w:val="22"/>
                <w:szCs w:val="22"/>
              </w:rPr>
              <w:lastRenderedPageBreak/>
              <w:t>Ņemts vērā</w:t>
            </w:r>
          </w:p>
        </w:tc>
        <w:tc>
          <w:tcPr>
            <w:tcW w:w="3260" w:type="dxa"/>
            <w:vMerge/>
            <w:tcBorders>
              <w:left w:val="single" w:sz="4" w:space="0" w:color="auto"/>
            </w:tcBorders>
          </w:tcPr>
          <w:p w14:paraId="2B73D2D8" w14:textId="77777777" w:rsidR="00FB379D" w:rsidRPr="00991241" w:rsidRDefault="00FB379D" w:rsidP="00BD1B21">
            <w:pPr>
              <w:jc w:val="both"/>
              <w:rPr>
                <w:b/>
                <w:bCs/>
                <w:sz w:val="22"/>
                <w:szCs w:val="22"/>
              </w:rPr>
            </w:pPr>
          </w:p>
        </w:tc>
      </w:tr>
      <w:tr w:rsidR="00FB379D" w:rsidRPr="00991241" w14:paraId="3B012BFF" w14:textId="77777777" w:rsidTr="00914E2C">
        <w:tc>
          <w:tcPr>
            <w:tcW w:w="716" w:type="dxa"/>
            <w:tcBorders>
              <w:top w:val="single" w:sz="4" w:space="0" w:color="auto"/>
              <w:left w:val="single" w:sz="4" w:space="0" w:color="auto"/>
              <w:bottom w:val="single" w:sz="4" w:space="0" w:color="auto"/>
              <w:right w:val="single" w:sz="4" w:space="0" w:color="auto"/>
            </w:tcBorders>
          </w:tcPr>
          <w:p w14:paraId="48766106" w14:textId="77777777" w:rsidR="00FB379D" w:rsidRPr="00991241" w:rsidRDefault="00FB379D"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bottom w:val="single" w:sz="4" w:space="0" w:color="auto"/>
              <w:right w:val="single" w:sz="4" w:space="0" w:color="auto"/>
            </w:tcBorders>
          </w:tcPr>
          <w:p w14:paraId="00750BA2" w14:textId="77777777" w:rsidR="00FB379D" w:rsidRPr="00991241" w:rsidRDefault="00FB379D"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6A3A23E4" w14:textId="34962564" w:rsidR="00FB379D" w:rsidRPr="00D57348" w:rsidRDefault="00FB379D" w:rsidP="006752C9">
            <w:pPr>
              <w:widowControl w:val="0"/>
              <w:tabs>
                <w:tab w:val="left" w:pos="993"/>
              </w:tabs>
              <w:ind w:right="3"/>
              <w:jc w:val="both"/>
              <w:rPr>
                <w:b/>
                <w:bCs/>
                <w:sz w:val="22"/>
                <w:szCs w:val="22"/>
              </w:rPr>
            </w:pPr>
            <w:r w:rsidRPr="00D57348">
              <w:rPr>
                <w:b/>
                <w:bCs/>
                <w:sz w:val="22"/>
                <w:szCs w:val="22"/>
              </w:rPr>
              <w:t>Finanšu ministrijas 30.04.2020. atzinuma 3. un 4.iebildums:</w:t>
            </w:r>
          </w:p>
          <w:p w14:paraId="7CF69E35" w14:textId="7CD46B81" w:rsidR="00FB379D" w:rsidRPr="00D57348" w:rsidRDefault="00FB379D" w:rsidP="00991241">
            <w:pPr>
              <w:widowControl w:val="0"/>
              <w:tabs>
                <w:tab w:val="left" w:pos="993"/>
              </w:tabs>
              <w:ind w:right="3"/>
              <w:jc w:val="both"/>
              <w:rPr>
                <w:sz w:val="22"/>
                <w:szCs w:val="22"/>
              </w:rPr>
            </w:pPr>
            <w:r w:rsidRPr="00D57348">
              <w:rPr>
                <w:sz w:val="22"/>
                <w:szCs w:val="22"/>
              </w:rPr>
              <w:t>“3.Anotācijas I sadaļas “Tiesību akta projekta izstrādes nepieciešamība” 2.punktā</w:t>
            </w:r>
            <w:r w:rsidRPr="00D57348">
              <w:rPr>
                <w:b/>
                <w:bCs/>
                <w:sz w:val="22"/>
                <w:szCs w:val="22"/>
              </w:rPr>
              <w:t xml:space="preserve"> “</w:t>
            </w:r>
            <w:r w:rsidRPr="00D57348">
              <w:rPr>
                <w:sz w:val="22"/>
                <w:szCs w:val="22"/>
              </w:rPr>
              <w:t>Pašreizējā situācija un problēmas, kuru risināšanai tiesību akta projekts izstrādāts, tiesiskā regulējuma mērķis un būtība” (turpmāk – anotācijas I sadaļas 2.punkts) ir norādīts, ka, “Ja garantija tiek izsniegta saskaņā ar Komisijas regulas Nr. 1407/2013 4. panta 6. punkta “c” apakšpunktu, noteikumu projekts paredz mazajiem un vidējiem uzņēmumiem (turpmāk – MVU) noteikt maksimālo garantijas termiņu 20 gadus, savukārt, ja garantija tiek sniegta saskaņā ar Komisijas regulas Nr. 1407/2013 4. panta 6. punkta “b” apakšpunktu, maksimālais termiņš ir noteikts Noteikumu projektā. Ja tiek lūgts pagarināt sabiedrības “Altum” iepriekš</w:t>
            </w:r>
            <w:r w:rsidRPr="00D57348">
              <w:rPr>
                <w:b/>
                <w:bCs/>
                <w:sz w:val="22"/>
                <w:szCs w:val="22"/>
              </w:rPr>
              <w:t xml:space="preserve"> </w:t>
            </w:r>
            <w:r w:rsidRPr="00D57348">
              <w:rPr>
                <w:sz w:val="22"/>
                <w:szCs w:val="22"/>
              </w:rPr>
              <w:t xml:space="preserve">izsniegtas garantijas termiņu, sabiedrība “Altum” no jauna izvērtē un pārbauda de minimis atbalsta nosacījumus, </w:t>
            </w:r>
            <w:r w:rsidRPr="00D57348">
              <w:rPr>
                <w:sz w:val="22"/>
                <w:szCs w:val="22"/>
              </w:rPr>
              <w:lastRenderedPageBreak/>
              <w:t>attiecīgi MVU piešķirot jaunu valsts atbalstu. Tādējādi, ja nepieciešams, saskaņā ar Kredītpolitiku un visu risku izvērtēšanu, garantijai, kas sniegta saskaņā Komisijas regulas Nr. 1407/2013 4. panta 6. punkta "b" apakšpunktu ir iespējams garāks termiņš kā Noteikumos noteiktais, t.i. 5 vai 10 gadi.” Taču noteikumu projekta 7.punktā iekļautais noteikumu 67.4 punkts, kas nosaka garantijas termiņu 5 vai 10 gadi attiecas tikai uz noteikumu 64.1 2. apakšpunktā noteiktajiem garantijas saņēmējiem – lielajiem komersantiem. Lai novērstu pretrunu, lūdzam atbilstoši plānotajam precizēt noteikumu projektu vai anotāciju.</w:t>
            </w:r>
          </w:p>
          <w:p w14:paraId="254C0146" w14:textId="6E423411" w:rsidR="00FB379D" w:rsidRPr="00D57348" w:rsidRDefault="00FB379D" w:rsidP="00991241">
            <w:pPr>
              <w:widowControl w:val="0"/>
              <w:tabs>
                <w:tab w:val="left" w:pos="993"/>
              </w:tabs>
              <w:ind w:right="3"/>
              <w:jc w:val="both"/>
              <w:rPr>
                <w:b/>
                <w:bCs/>
                <w:sz w:val="22"/>
                <w:szCs w:val="22"/>
              </w:rPr>
            </w:pPr>
            <w:r w:rsidRPr="00D57348">
              <w:rPr>
                <w:sz w:val="22"/>
                <w:szCs w:val="22"/>
              </w:rPr>
              <w:t>4.Lūdzam papildināt anotācijas I sadaļas 2.punktu ar skaidrojumu, ka arī attiecībā uz lielajiem saimnieciskās darbības veicējiem, garantijas pagarinājumu vērtējot kā pilnīgi jaunu de minimis atbalstu, ja nepieciešams, saskaņā ar Kredītpolitiku un visu risku izvērtēšanu, garantijai, kas sniegta saskaņā Komisijas regulas Nr. 1407/2013 4. panta 6. punkta "b" apakšpunktu ir iespējams garāks termiņš kā noteikumu projektā noteiktie 5 vai 10 gadi.”</w:t>
            </w:r>
          </w:p>
        </w:tc>
        <w:tc>
          <w:tcPr>
            <w:tcW w:w="3402" w:type="dxa"/>
            <w:tcBorders>
              <w:top w:val="single" w:sz="4" w:space="0" w:color="auto"/>
              <w:left w:val="single" w:sz="4" w:space="0" w:color="auto"/>
              <w:bottom w:val="single" w:sz="4" w:space="0" w:color="auto"/>
              <w:right w:val="single" w:sz="4" w:space="0" w:color="auto"/>
            </w:tcBorders>
          </w:tcPr>
          <w:p w14:paraId="6FD98F7A" w14:textId="72981607" w:rsidR="00FB379D" w:rsidRPr="00991241" w:rsidRDefault="00FB379D" w:rsidP="00CD3082">
            <w:pPr>
              <w:pStyle w:val="naisc"/>
              <w:spacing w:before="0" w:after="0"/>
              <w:rPr>
                <w:b/>
                <w:sz w:val="22"/>
                <w:szCs w:val="22"/>
              </w:rPr>
            </w:pPr>
            <w:r>
              <w:rPr>
                <w:b/>
                <w:sz w:val="22"/>
                <w:szCs w:val="22"/>
              </w:rPr>
              <w:lastRenderedPageBreak/>
              <w:t>Ņemts vērā</w:t>
            </w:r>
          </w:p>
        </w:tc>
        <w:tc>
          <w:tcPr>
            <w:tcW w:w="3260" w:type="dxa"/>
            <w:vMerge/>
            <w:tcBorders>
              <w:left w:val="single" w:sz="4" w:space="0" w:color="auto"/>
              <w:bottom w:val="single" w:sz="4" w:space="0" w:color="auto"/>
            </w:tcBorders>
          </w:tcPr>
          <w:p w14:paraId="086237BE" w14:textId="77777777" w:rsidR="00FB379D" w:rsidRPr="00991241" w:rsidRDefault="00FB379D" w:rsidP="00BD1B21">
            <w:pPr>
              <w:jc w:val="both"/>
              <w:rPr>
                <w:b/>
                <w:bCs/>
                <w:sz w:val="22"/>
                <w:szCs w:val="22"/>
              </w:rPr>
            </w:pPr>
          </w:p>
        </w:tc>
      </w:tr>
      <w:tr w:rsidR="006752C9" w:rsidRPr="00991241" w14:paraId="538BE0DA" w14:textId="77777777" w:rsidTr="00F65F26">
        <w:tc>
          <w:tcPr>
            <w:tcW w:w="716" w:type="dxa"/>
            <w:tcBorders>
              <w:top w:val="single" w:sz="4" w:space="0" w:color="auto"/>
              <w:left w:val="single" w:sz="4" w:space="0" w:color="auto"/>
              <w:bottom w:val="single" w:sz="4" w:space="0" w:color="auto"/>
              <w:right w:val="single" w:sz="4" w:space="0" w:color="auto"/>
            </w:tcBorders>
          </w:tcPr>
          <w:p w14:paraId="7668E3E2" w14:textId="77777777" w:rsidR="006752C9" w:rsidRPr="00991241" w:rsidRDefault="006752C9"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30FB498B" w14:textId="7A23E032" w:rsidR="006752C9" w:rsidRPr="00991241" w:rsidRDefault="006752C9" w:rsidP="00D239CC">
            <w:pPr>
              <w:pStyle w:val="naisc"/>
              <w:spacing w:before="0"/>
              <w:jc w:val="both"/>
              <w:rPr>
                <w:b/>
                <w:sz w:val="22"/>
                <w:szCs w:val="22"/>
              </w:rPr>
            </w:pPr>
            <w:r w:rsidRPr="00991241">
              <w:rPr>
                <w:b/>
                <w:sz w:val="22"/>
                <w:szCs w:val="22"/>
              </w:rPr>
              <w:t xml:space="preserve">Noteikumu projekta </w:t>
            </w:r>
            <w:r w:rsidRPr="00991241">
              <w:t xml:space="preserve"> </w:t>
            </w:r>
            <w:r w:rsidRPr="00991241">
              <w:rPr>
                <w:b/>
                <w:sz w:val="22"/>
                <w:szCs w:val="22"/>
              </w:rPr>
              <w:t>anotācijas IV sadaļa</w:t>
            </w:r>
          </w:p>
        </w:tc>
        <w:tc>
          <w:tcPr>
            <w:tcW w:w="4554" w:type="dxa"/>
            <w:tcBorders>
              <w:top w:val="single" w:sz="4" w:space="0" w:color="auto"/>
              <w:left w:val="single" w:sz="4" w:space="0" w:color="auto"/>
              <w:bottom w:val="single" w:sz="4" w:space="0" w:color="auto"/>
              <w:right w:val="single" w:sz="4" w:space="0" w:color="auto"/>
            </w:tcBorders>
          </w:tcPr>
          <w:p w14:paraId="411049B5" w14:textId="77777777" w:rsidR="006752C9" w:rsidRPr="00991241" w:rsidRDefault="006752C9" w:rsidP="006752C9">
            <w:pPr>
              <w:widowControl w:val="0"/>
              <w:tabs>
                <w:tab w:val="left" w:pos="993"/>
              </w:tabs>
              <w:ind w:right="3"/>
              <w:jc w:val="both"/>
              <w:rPr>
                <w:b/>
                <w:bCs/>
                <w:sz w:val="22"/>
                <w:szCs w:val="22"/>
              </w:rPr>
            </w:pPr>
            <w:r w:rsidRPr="00991241">
              <w:rPr>
                <w:b/>
                <w:bCs/>
                <w:sz w:val="22"/>
                <w:szCs w:val="22"/>
              </w:rPr>
              <w:t>Finanšu ministrijas 14.04.2020. atzinuma 7.iebildums:</w:t>
            </w:r>
          </w:p>
          <w:p w14:paraId="33411777" w14:textId="0E76D5A4" w:rsidR="006752C9" w:rsidRPr="00991241" w:rsidRDefault="006752C9" w:rsidP="006752C9">
            <w:pPr>
              <w:widowControl w:val="0"/>
              <w:tabs>
                <w:tab w:val="left" w:pos="993"/>
              </w:tabs>
              <w:ind w:right="3"/>
              <w:jc w:val="both"/>
              <w:rPr>
                <w:sz w:val="22"/>
                <w:szCs w:val="22"/>
              </w:rPr>
            </w:pPr>
            <w:r w:rsidRPr="00991241">
              <w:rPr>
                <w:sz w:val="22"/>
                <w:szCs w:val="22"/>
              </w:rPr>
              <w:t>“7.Lūdzam papildināt anotācijas IV sadaļas “Tiesību akta projekta ietekme uz spēkā esošo tiesību normu sistēmu” 1.punktu “Saistītie tiesību aktu projekti” ar informāciju, ka grozījumi MK noteikumos Nr.160 tiks virzīti apstiprināšanai Ministru kabinetā vienlaicīgi vai pēc Valsts sekretāru sanāksmē 2020.gada 2.janvārī izsludinātā Ministru kabineta noteikumu projekta “Noteikumi par garantijām saimnieciskās darbības veicējiem konkurētspējas uzlabošanai”(VSS-1284, prot.Nr.1, 7.§) apstiprināšanas”</w:t>
            </w:r>
          </w:p>
        </w:tc>
        <w:tc>
          <w:tcPr>
            <w:tcW w:w="3402" w:type="dxa"/>
            <w:tcBorders>
              <w:top w:val="single" w:sz="4" w:space="0" w:color="auto"/>
              <w:left w:val="single" w:sz="4" w:space="0" w:color="auto"/>
              <w:bottom w:val="single" w:sz="4" w:space="0" w:color="auto"/>
              <w:right w:val="single" w:sz="4" w:space="0" w:color="auto"/>
            </w:tcBorders>
          </w:tcPr>
          <w:p w14:paraId="632DEC05" w14:textId="06253F22" w:rsidR="006752C9" w:rsidRPr="00991241" w:rsidRDefault="006752C9" w:rsidP="00CD3082">
            <w:pPr>
              <w:pStyle w:val="naisc"/>
              <w:spacing w:before="0" w:after="0"/>
              <w:rPr>
                <w:b/>
                <w:sz w:val="22"/>
                <w:szCs w:val="22"/>
              </w:rPr>
            </w:pPr>
            <w:r w:rsidRPr="00991241">
              <w:rPr>
                <w:b/>
                <w:sz w:val="22"/>
                <w:szCs w:val="22"/>
              </w:rPr>
              <w:t>Ņemts vērā</w:t>
            </w:r>
          </w:p>
        </w:tc>
        <w:tc>
          <w:tcPr>
            <w:tcW w:w="3260" w:type="dxa"/>
            <w:tcBorders>
              <w:top w:val="single" w:sz="4" w:space="0" w:color="auto"/>
              <w:left w:val="single" w:sz="4" w:space="0" w:color="auto"/>
              <w:bottom w:val="single" w:sz="4" w:space="0" w:color="auto"/>
            </w:tcBorders>
          </w:tcPr>
          <w:p w14:paraId="73C47A11" w14:textId="06367B18" w:rsidR="006752C9" w:rsidRPr="00991241" w:rsidRDefault="001A36FC" w:rsidP="00BD1B21">
            <w:pPr>
              <w:jc w:val="both"/>
              <w:rPr>
                <w:b/>
                <w:bCs/>
                <w:sz w:val="22"/>
                <w:szCs w:val="22"/>
              </w:rPr>
            </w:pPr>
            <w:r w:rsidRPr="00991241">
              <w:rPr>
                <w:b/>
                <w:bCs/>
                <w:sz w:val="22"/>
                <w:szCs w:val="22"/>
              </w:rPr>
              <w:t>Anotācija papildināta ar skaidrojumu</w:t>
            </w:r>
          </w:p>
        </w:tc>
      </w:tr>
      <w:tr w:rsidR="00F61910" w:rsidRPr="00991241" w14:paraId="197027CE" w14:textId="77777777" w:rsidTr="00051FDB">
        <w:tc>
          <w:tcPr>
            <w:tcW w:w="716" w:type="dxa"/>
            <w:tcBorders>
              <w:top w:val="single" w:sz="4" w:space="0" w:color="auto"/>
              <w:left w:val="single" w:sz="4" w:space="0" w:color="auto"/>
              <w:bottom w:val="single" w:sz="4" w:space="0" w:color="auto"/>
              <w:right w:val="single" w:sz="4" w:space="0" w:color="auto"/>
            </w:tcBorders>
          </w:tcPr>
          <w:p w14:paraId="470415B6" w14:textId="77777777" w:rsidR="00F61910" w:rsidRPr="00991241" w:rsidRDefault="00F61910" w:rsidP="00BD1B21">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02C1CE86" w14:textId="41F4656C" w:rsidR="00F61910" w:rsidRPr="00991241" w:rsidRDefault="00F61910" w:rsidP="00D239CC">
            <w:pPr>
              <w:pStyle w:val="naisc"/>
              <w:spacing w:before="0"/>
              <w:jc w:val="both"/>
              <w:rPr>
                <w:b/>
                <w:sz w:val="22"/>
                <w:szCs w:val="22"/>
              </w:rPr>
            </w:pPr>
            <w:r w:rsidRPr="00991241">
              <w:rPr>
                <w:b/>
                <w:sz w:val="22"/>
                <w:szCs w:val="22"/>
              </w:rPr>
              <w:t xml:space="preserve">Noteikumu projekta </w:t>
            </w:r>
            <w:r w:rsidRPr="00991241">
              <w:t xml:space="preserve"> </w:t>
            </w:r>
            <w:r w:rsidRPr="00991241">
              <w:rPr>
                <w:b/>
                <w:sz w:val="22"/>
                <w:szCs w:val="22"/>
              </w:rPr>
              <w:t>anotācijas V sadaļu</w:t>
            </w:r>
          </w:p>
        </w:tc>
        <w:tc>
          <w:tcPr>
            <w:tcW w:w="4554" w:type="dxa"/>
            <w:tcBorders>
              <w:top w:val="single" w:sz="4" w:space="0" w:color="auto"/>
              <w:left w:val="single" w:sz="4" w:space="0" w:color="auto"/>
              <w:bottom w:val="single" w:sz="4" w:space="0" w:color="auto"/>
              <w:right w:val="single" w:sz="4" w:space="0" w:color="auto"/>
            </w:tcBorders>
          </w:tcPr>
          <w:p w14:paraId="1CC9BB02" w14:textId="77777777" w:rsidR="00F61910" w:rsidRPr="00991241" w:rsidRDefault="00F61910" w:rsidP="006752C9">
            <w:pPr>
              <w:widowControl w:val="0"/>
              <w:tabs>
                <w:tab w:val="left" w:pos="993"/>
              </w:tabs>
              <w:ind w:right="3"/>
              <w:jc w:val="both"/>
              <w:rPr>
                <w:b/>
                <w:bCs/>
                <w:sz w:val="22"/>
                <w:szCs w:val="22"/>
              </w:rPr>
            </w:pPr>
            <w:r w:rsidRPr="00991241">
              <w:rPr>
                <w:b/>
                <w:bCs/>
                <w:sz w:val="22"/>
                <w:szCs w:val="22"/>
              </w:rPr>
              <w:t xml:space="preserve">Finanšu ministrijas 14.04.2020. atzinuma </w:t>
            </w:r>
            <w:r w:rsidRPr="00991241">
              <w:rPr>
                <w:b/>
                <w:bCs/>
                <w:sz w:val="22"/>
                <w:szCs w:val="22"/>
              </w:rPr>
              <w:lastRenderedPageBreak/>
              <w:t>9.iebildums:</w:t>
            </w:r>
          </w:p>
          <w:p w14:paraId="601C9144" w14:textId="3E721243" w:rsidR="00F61910" w:rsidRPr="00991241" w:rsidRDefault="00F61910" w:rsidP="006752C9">
            <w:pPr>
              <w:widowControl w:val="0"/>
              <w:tabs>
                <w:tab w:val="left" w:pos="993"/>
              </w:tabs>
              <w:ind w:right="3"/>
              <w:jc w:val="both"/>
              <w:rPr>
                <w:sz w:val="22"/>
                <w:szCs w:val="22"/>
              </w:rPr>
            </w:pPr>
            <w:r w:rsidRPr="00991241">
              <w:rPr>
                <w:sz w:val="22"/>
                <w:szCs w:val="22"/>
              </w:rPr>
              <w:t>“9.Ievērojot to, ka ar noteikumu projekta 8.punktu tiek ieviestas Komisijas regulas Nr.1407/2013 normas, kas MK noteikumos Nr.160 līdz šim nav ieviestas, lūdzam aizpildīt anotācijas V sadaļu “Tiesību akta projekta atbilstība Latvijas Republikas starptautiskajām saistībām”, veicot noteikumu projekta normu izvērtējumu pret Komisijas regulu Nr.1407/2013.”</w:t>
            </w:r>
          </w:p>
        </w:tc>
        <w:tc>
          <w:tcPr>
            <w:tcW w:w="3402" w:type="dxa"/>
            <w:tcBorders>
              <w:top w:val="single" w:sz="4" w:space="0" w:color="auto"/>
              <w:left w:val="single" w:sz="4" w:space="0" w:color="auto"/>
              <w:bottom w:val="single" w:sz="4" w:space="0" w:color="auto"/>
              <w:right w:val="single" w:sz="4" w:space="0" w:color="auto"/>
            </w:tcBorders>
          </w:tcPr>
          <w:p w14:paraId="49FE30C5" w14:textId="77777777" w:rsidR="00F61910" w:rsidRPr="00991241" w:rsidRDefault="00F61910" w:rsidP="00710103">
            <w:pPr>
              <w:pStyle w:val="naisc"/>
              <w:spacing w:before="0" w:after="0"/>
              <w:rPr>
                <w:b/>
                <w:sz w:val="22"/>
                <w:szCs w:val="22"/>
              </w:rPr>
            </w:pPr>
            <w:r w:rsidRPr="00991241">
              <w:rPr>
                <w:b/>
                <w:sz w:val="22"/>
                <w:szCs w:val="22"/>
              </w:rPr>
              <w:lastRenderedPageBreak/>
              <w:t>Ņemts vērā</w:t>
            </w:r>
          </w:p>
          <w:p w14:paraId="42FDCC73" w14:textId="44D208CE" w:rsidR="00F61910" w:rsidRPr="00991241" w:rsidRDefault="00F61910" w:rsidP="00710103">
            <w:pPr>
              <w:pStyle w:val="naisc"/>
              <w:spacing w:before="0" w:after="0"/>
              <w:jc w:val="both"/>
              <w:rPr>
                <w:b/>
                <w:sz w:val="22"/>
                <w:szCs w:val="22"/>
              </w:rPr>
            </w:pPr>
          </w:p>
        </w:tc>
        <w:tc>
          <w:tcPr>
            <w:tcW w:w="3260" w:type="dxa"/>
            <w:vMerge w:val="restart"/>
            <w:tcBorders>
              <w:top w:val="single" w:sz="4" w:space="0" w:color="auto"/>
              <w:left w:val="single" w:sz="4" w:space="0" w:color="auto"/>
            </w:tcBorders>
          </w:tcPr>
          <w:p w14:paraId="1D993417" w14:textId="1B5724C6" w:rsidR="00F61910" w:rsidRPr="00991241" w:rsidRDefault="00F61910" w:rsidP="00BD1B21">
            <w:pPr>
              <w:jc w:val="both"/>
              <w:rPr>
                <w:b/>
                <w:bCs/>
                <w:sz w:val="22"/>
                <w:szCs w:val="22"/>
              </w:rPr>
            </w:pPr>
            <w:r w:rsidRPr="00991241">
              <w:rPr>
                <w:b/>
                <w:bCs/>
                <w:sz w:val="22"/>
                <w:szCs w:val="22"/>
              </w:rPr>
              <w:lastRenderedPageBreak/>
              <w:t>Anotācija atbilstoši precizēta</w:t>
            </w:r>
          </w:p>
        </w:tc>
      </w:tr>
      <w:tr w:rsidR="00F61910" w:rsidRPr="00991241" w14:paraId="282D01BE" w14:textId="77777777" w:rsidTr="00051FDB">
        <w:tc>
          <w:tcPr>
            <w:tcW w:w="716" w:type="dxa"/>
            <w:tcBorders>
              <w:top w:val="single" w:sz="4" w:space="0" w:color="auto"/>
              <w:left w:val="single" w:sz="4" w:space="0" w:color="auto"/>
              <w:bottom w:val="single" w:sz="4" w:space="0" w:color="auto"/>
              <w:right w:val="single" w:sz="4" w:space="0" w:color="auto"/>
            </w:tcBorders>
          </w:tcPr>
          <w:p w14:paraId="70E485B8" w14:textId="77777777" w:rsidR="00F61910" w:rsidRPr="00991241" w:rsidRDefault="00F61910" w:rsidP="00BD1B21">
            <w:pPr>
              <w:pStyle w:val="ListParagraph"/>
              <w:numPr>
                <w:ilvl w:val="0"/>
                <w:numId w:val="1"/>
              </w:numPr>
              <w:spacing w:after="0" w:line="240" w:lineRule="auto"/>
              <w:ind w:left="357" w:hanging="357"/>
              <w:rPr>
                <w:rFonts w:ascii="Times New Roman" w:hAnsi="Times New Roman"/>
              </w:rPr>
            </w:pPr>
          </w:p>
        </w:tc>
        <w:tc>
          <w:tcPr>
            <w:tcW w:w="3086" w:type="dxa"/>
            <w:vMerge/>
            <w:tcBorders>
              <w:left w:val="single" w:sz="4" w:space="0" w:color="auto"/>
              <w:right w:val="single" w:sz="4" w:space="0" w:color="auto"/>
            </w:tcBorders>
          </w:tcPr>
          <w:p w14:paraId="09EAC674" w14:textId="77777777" w:rsidR="00F61910" w:rsidRPr="00991241" w:rsidRDefault="00F61910"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tcPr>
          <w:p w14:paraId="53E3E246" w14:textId="686C84BF" w:rsidR="00F61910" w:rsidRPr="00D57348" w:rsidRDefault="00F61910" w:rsidP="006752C9">
            <w:pPr>
              <w:widowControl w:val="0"/>
              <w:tabs>
                <w:tab w:val="left" w:pos="993"/>
              </w:tabs>
              <w:ind w:right="3"/>
              <w:jc w:val="both"/>
              <w:rPr>
                <w:b/>
                <w:bCs/>
                <w:sz w:val="22"/>
                <w:szCs w:val="22"/>
              </w:rPr>
            </w:pPr>
            <w:r w:rsidRPr="00D57348">
              <w:rPr>
                <w:b/>
                <w:bCs/>
                <w:sz w:val="22"/>
                <w:szCs w:val="22"/>
              </w:rPr>
              <w:t>Tieslietu ministrijas 09.04.2020. atzinuma 5.iebildums:</w:t>
            </w:r>
          </w:p>
          <w:p w14:paraId="0ECC051E" w14:textId="6547A31F" w:rsidR="00F61910" w:rsidRPr="00D57348" w:rsidRDefault="00F61910" w:rsidP="006752C9">
            <w:pPr>
              <w:widowControl w:val="0"/>
              <w:tabs>
                <w:tab w:val="left" w:pos="993"/>
              </w:tabs>
              <w:ind w:right="3"/>
              <w:jc w:val="both"/>
              <w:rPr>
                <w:sz w:val="22"/>
                <w:szCs w:val="22"/>
              </w:rPr>
            </w:pPr>
            <w:r w:rsidRPr="00D57348">
              <w:rPr>
                <w:sz w:val="22"/>
                <w:szCs w:val="22"/>
              </w:rPr>
              <w:t xml:space="preserve">“5.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pārņemtas atbilstoši noteikumu projekta 8. punktā minētajai Eiropas Komisijas 2013. gada 18. decembra Regulai (ES) Nr. 1407/2013 par Līguma par Eiropas Savienības darbību 107. un 108. panta piemērošanu </w:t>
            </w:r>
            <w:r w:rsidRPr="00D57348">
              <w:rPr>
                <w:i/>
                <w:iCs/>
                <w:sz w:val="22"/>
                <w:szCs w:val="22"/>
              </w:rPr>
              <w:t>de minimis</w:t>
            </w:r>
            <w:r w:rsidRPr="00D57348">
              <w:rPr>
                <w:sz w:val="22"/>
                <w:szCs w:val="22"/>
              </w:rPr>
              <w:t xml:space="preserve"> atbalstam. Ņemot vērā minēto, Tieslietu ministrija varēs sniegt precīzu izvērtējumu par noteikumu projekta atbilstību minētajai regulai pēc anotācijas precizēšanas, aizpildot anotācijas V sadaļu, jo īpaši tās 1. tabulu atbilstoši instrukcijas Nr. 19 VI nodaļai.”</w:t>
            </w:r>
          </w:p>
        </w:tc>
        <w:tc>
          <w:tcPr>
            <w:tcW w:w="3402" w:type="dxa"/>
            <w:tcBorders>
              <w:top w:val="single" w:sz="4" w:space="0" w:color="auto"/>
              <w:left w:val="single" w:sz="4" w:space="0" w:color="auto"/>
              <w:bottom w:val="single" w:sz="4" w:space="0" w:color="auto"/>
              <w:right w:val="single" w:sz="4" w:space="0" w:color="auto"/>
            </w:tcBorders>
          </w:tcPr>
          <w:p w14:paraId="43ED137C" w14:textId="6A8001CC" w:rsidR="00F61910" w:rsidRPr="00991241" w:rsidRDefault="00F61910" w:rsidP="00710103">
            <w:pPr>
              <w:pStyle w:val="naisc"/>
              <w:spacing w:before="0" w:after="0"/>
              <w:rPr>
                <w:b/>
                <w:sz w:val="22"/>
                <w:szCs w:val="22"/>
              </w:rPr>
            </w:pPr>
            <w:r w:rsidRPr="00991241">
              <w:rPr>
                <w:b/>
                <w:sz w:val="22"/>
                <w:szCs w:val="22"/>
              </w:rPr>
              <w:t>Ņemts vērā</w:t>
            </w:r>
          </w:p>
        </w:tc>
        <w:tc>
          <w:tcPr>
            <w:tcW w:w="3260" w:type="dxa"/>
            <w:vMerge/>
            <w:tcBorders>
              <w:left w:val="single" w:sz="4" w:space="0" w:color="auto"/>
            </w:tcBorders>
          </w:tcPr>
          <w:p w14:paraId="79114FBD" w14:textId="77777777" w:rsidR="00F61910" w:rsidRPr="00991241" w:rsidRDefault="00F61910" w:rsidP="00BD1B21">
            <w:pPr>
              <w:jc w:val="both"/>
              <w:rPr>
                <w:b/>
                <w:bCs/>
                <w:sz w:val="22"/>
                <w:szCs w:val="22"/>
              </w:rPr>
            </w:pPr>
          </w:p>
        </w:tc>
      </w:tr>
      <w:tr w:rsidR="00F61910" w:rsidRPr="00991241" w14:paraId="4D252497" w14:textId="77777777" w:rsidTr="00D57348">
        <w:tc>
          <w:tcPr>
            <w:tcW w:w="716" w:type="dxa"/>
            <w:tcBorders>
              <w:top w:val="single" w:sz="4" w:space="0" w:color="auto"/>
              <w:left w:val="single" w:sz="4" w:space="0" w:color="auto"/>
              <w:bottom w:val="single" w:sz="4" w:space="0" w:color="auto"/>
              <w:right w:val="single" w:sz="4" w:space="0" w:color="auto"/>
            </w:tcBorders>
          </w:tcPr>
          <w:p w14:paraId="62C2C97C" w14:textId="77777777" w:rsidR="00F61910" w:rsidRPr="00991241" w:rsidRDefault="00F61910" w:rsidP="00BD1B21">
            <w:pPr>
              <w:pStyle w:val="ListParagraph"/>
              <w:numPr>
                <w:ilvl w:val="0"/>
                <w:numId w:val="1"/>
              </w:numPr>
              <w:spacing w:after="0" w:line="240" w:lineRule="auto"/>
              <w:ind w:left="357" w:hanging="357"/>
              <w:rPr>
                <w:rFonts w:ascii="Times New Roman" w:hAnsi="Times New Roman"/>
              </w:rPr>
            </w:pPr>
          </w:p>
        </w:tc>
        <w:tc>
          <w:tcPr>
            <w:tcW w:w="3086" w:type="dxa"/>
            <w:tcBorders>
              <w:left w:val="single" w:sz="4" w:space="0" w:color="auto"/>
              <w:bottom w:val="single" w:sz="4" w:space="0" w:color="auto"/>
              <w:right w:val="single" w:sz="4" w:space="0" w:color="auto"/>
            </w:tcBorders>
          </w:tcPr>
          <w:p w14:paraId="65B8874A" w14:textId="77777777" w:rsidR="00F61910" w:rsidRPr="00991241" w:rsidRDefault="00F61910" w:rsidP="00D239CC">
            <w:pPr>
              <w:pStyle w:val="naisc"/>
              <w:spacing w:before="0"/>
              <w:jc w:val="both"/>
              <w:rPr>
                <w:b/>
                <w:sz w:val="22"/>
                <w:szCs w:val="22"/>
              </w:rPr>
            </w:pPr>
          </w:p>
        </w:tc>
        <w:tc>
          <w:tcPr>
            <w:tcW w:w="4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4A320B" w14:textId="42D4A0BE" w:rsidR="00F61910" w:rsidRPr="00D57348" w:rsidRDefault="00F61910" w:rsidP="006752C9">
            <w:pPr>
              <w:widowControl w:val="0"/>
              <w:tabs>
                <w:tab w:val="left" w:pos="993"/>
              </w:tabs>
              <w:ind w:right="3"/>
              <w:jc w:val="both"/>
              <w:rPr>
                <w:b/>
                <w:bCs/>
                <w:sz w:val="22"/>
                <w:szCs w:val="22"/>
              </w:rPr>
            </w:pPr>
            <w:r w:rsidRPr="00D57348">
              <w:rPr>
                <w:b/>
                <w:bCs/>
                <w:sz w:val="22"/>
                <w:szCs w:val="22"/>
              </w:rPr>
              <w:t>Tieslietu ministrijas 24.04.2020. atzinuma 2.priekšlikums:</w:t>
            </w:r>
          </w:p>
          <w:p w14:paraId="732B1BA3" w14:textId="7A071159" w:rsidR="00F61910" w:rsidRPr="00D57348" w:rsidRDefault="00F61910" w:rsidP="006752C9">
            <w:pPr>
              <w:widowControl w:val="0"/>
              <w:tabs>
                <w:tab w:val="left" w:pos="993"/>
              </w:tabs>
              <w:ind w:right="3"/>
              <w:jc w:val="both"/>
              <w:rPr>
                <w:sz w:val="22"/>
                <w:szCs w:val="22"/>
              </w:rPr>
            </w:pPr>
            <w:r w:rsidRPr="00D57348">
              <w:rPr>
                <w:sz w:val="22"/>
                <w:szCs w:val="22"/>
              </w:rPr>
              <w:t xml:space="preserve">“2.Vēršam uzmanību, ja ar noteikumu projektu tiek ieviestas vadlīnijas, pamatnostādnes un </w:t>
            </w:r>
            <w:r w:rsidRPr="00D57348">
              <w:rPr>
                <w:sz w:val="22"/>
                <w:szCs w:val="22"/>
              </w:rPr>
              <w:lastRenderedPageBreak/>
              <w:t>paziņojumi, kas ir nevis tiesiski, bet politiski lēmumi, šo dokumentu pārņemšana noteikumu projekta anotācijā ir jānorāda ailītē "cita informācija", ievērojot Ministru kabineta 2009. gada 15. decembra instrukcijas Nr. 19 "Tiesību akta projekta sākotnējās ietekmes izvērtēšanas kārtība" 56. punkta prasības. Ievērojot minēto, aicinām informāciju par Komisijas paziņojuma par EK līguma 87. un 88. panta piemērošanu valsts atbalstam garantiju veidā ieviešanu ietvert noteikumu projekta anotācijas V sadaļas 1. tabulas ailē "cita informācija", nevis pirmajā rindā, turklāt norādot, kas konkrēti tiek ieviests.”</w:t>
            </w:r>
          </w:p>
        </w:tc>
        <w:tc>
          <w:tcPr>
            <w:tcW w:w="3402" w:type="dxa"/>
            <w:tcBorders>
              <w:top w:val="single" w:sz="4" w:space="0" w:color="auto"/>
              <w:left w:val="single" w:sz="4" w:space="0" w:color="auto"/>
              <w:bottom w:val="single" w:sz="4" w:space="0" w:color="auto"/>
              <w:right w:val="single" w:sz="4" w:space="0" w:color="auto"/>
            </w:tcBorders>
          </w:tcPr>
          <w:p w14:paraId="57D042C9" w14:textId="07169DE7" w:rsidR="00F61910" w:rsidRPr="00D57348" w:rsidRDefault="00F61910" w:rsidP="00710103">
            <w:pPr>
              <w:pStyle w:val="naisc"/>
              <w:spacing w:before="0" w:after="0"/>
              <w:rPr>
                <w:b/>
                <w:sz w:val="22"/>
                <w:szCs w:val="22"/>
              </w:rPr>
            </w:pPr>
            <w:r w:rsidRPr="00D57348">
              <w:rPr>
                <w:b/>
                <w:sz w:val="22"/>
                <w:szCs w:val="22"/>
              </w:rPr>
              <w:lastRenderedPageBreak/>
              <w:t xml:space="preserve">Ņemts vērā </w:t>
            </w:r>
          </w:p>
        </w:tc>
        <w:tc>
          <w:tcPr>
            <w:tcW w:w="3260" w:type="dxa"/>
            <w:vMerge/>
            <w:tcBorders>
              <w:left w:val="single" w:sz="4" w:space="0" w:color="auto"/>
              <w:bottom w:val="single" w:sz="4" w:space="0" w:color="auto"/>
            </w:tcBorders>
          </w:tcPr>
          <w:p w14:paraId="6B9EFB8C" w14:textId="77777777" w:rsidR="00F61910" w:rsidRPr="00991241" w:rsidRDefault="00F61910" w:rsidP="00BD1B21">
            <w:pPr>
              <w:jc w:val="both"/>
              <w:rPr>
                <w:b/>
                <w:bCs/>
                <w:sz w:val="22"/>
                <w:szCs w:val="22"/>
              </w:rPr>
            </w:pPr>
          </w:p>
        </w:tc>
      </w:tr>
    </w:tbl>
    <w:p w14:paraId="0FA95A41" w14:textId="77777777" w:rsidR="001C4923" w:rsidRPr="00991241" w:rsidRDefault="001C4923" w:rsidP="00726A02">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199"/>
      </w:tblGrid>
      <w:tr w:rsidR="001B797B" w:rsidRPr="00991241" w14:paraId="22185E2F" w14:textId="77777777" w:rsidTr="00917DA6">
        <w:trPr>
          <w:trHeight w:val="142"/>
        </w:trPr>
        <w:tc>
          <w:tcPr>
            <w:tcW w:w="8199" w:type="dxa"/>
            <w:tcBorders>
              <w:bottom w:val="single" w:sz="4" w:space="0" w:color="000000"/>
            </w:tcBorders>
          </w:tcPr>
          <w:p w14:paraId="089DA039" w14:textId="23F64E31" w:rsidR="001B797B" w:rsidRPr="00991241" w:rsidRDefault="001B797B" w:rsidP="006038FF">
            <w:pPr>
              <w:rPr>
                <w:sz w:val="22"/>
                <w:szCs w:val="22"/>
              </w:rPr>
            </w:pPr>
          </w:p>
        </w:tc>
      </w:tr>
      <w:tr w:rsidR="001B797B" w:rsidRPr="00991241" w14:paraId="5EF8CA84" w14:textId="77777777" w:rsidTr="008D5E41">
        <w:trPr>
          <w:trHeight w:val="385"/>
        </w:trPr>
        <w:tc>
          <w:tcPr>
            <w:tcW w:w="8199" w:type="dxa"/>
            <w:tcBorders>
              <w:top w:val="single" w:sz="4" w:space="0" w:color="000000"/>
            </w:tcBorders>
          </w:tcPr>
          <w:p w14:paraId="1BE202C0" w14:textId="77777777" w:rsidR="001B797B" w:rsidRPr="00D57348" w:rsidRDefault="001B797B" w:rsidP="001B797B">
            <w:pPr>
              <w:jc w:val="center"/>
              <w:rPr>
                <w:sz w:val="16"/>
                <w:szCs w:val="16"/>
              </w:rPr>
            </w:pPr>
            <w:r w:rsidRPr="00D57348">
              <w:rPr>
                <w:sz w:val="16"/>
                <w:szCs w:val="16"/>
              </w:rPr>
              <w:t>(par projektu atbildīgās amatpersonas vārds un uzvārds)</w:t>
            </w:r>
          </w:p>
          <w:p w14:paraId="489032C7" w14:textId="77777777" w:rsidR="001B797B" w:rsidRPr="00D57348" w:rsidRDefault="001B797B" w:rsidP="001B797B">
            <w:pPr>
              <w:jc w:val="center"/>
              <w:rPr>
                <w:sz w:val="16"/>
                <w:szCs w:val="16"/>
              </w:rPr>
            </w:pPr>
          </w:p>
        </w:tc>
      </w:tr>
      <w:tr w:rsidR="001B797B" w:rsidRPr="00991241" w14:paraId="4607AA84" w14:textId="77777777" w:rsidTr="008D5E41">
        <w:trPr>
          <w:trHeight w:val="187"/>
        </w:trPr>
        <w:tc>
          <w:tcPr>
            <w:tcW w:w="8199" w:type="dxa"/>
            <w:tcBorders>
              <w:bottom w:val="single" w:sz="4" w:space="0" w:color="000000"/>
            </w:tcBorders>
          </w:tcPr>
          <w:p w14:paraId="097E1C13" w14:textId="19493B22" w:rsidR="001B797B" w:rsidRPr="00D57348" w:rsidRDefault="001B797B" w:rsidP="006038FF">
            <w:pPr>
              <w:rPr>
                <w:sz w:val="16"/>
                <w:szCs w:val="16"/>
              </w:rPr>
            </w:pPr>
          </w:p>
        </w:tc>
      </w:tr>
      <w:tr w:rsidR="001B797B" w:rsidRPr="00991241" w14:paraId="5E2CA7FB" w14:textId="77777777" w:rsidTr="008D5E41">
        <w:trPr>
          <w:trHeight w:val="385"/>
        </w:trPr>
        <w:tc>
          <w:tcPr>
            <w:tcW w:w="8199" w:type="dxa"/>
            <w:tcBorders>
              <w:top w:val="single" w:sz="4" w:space="0" w:color="000000"/>
            </w:tcBorders>
          </w:tcPr>
          <w:p w14:paraId="2F256AD6" w14:textId="77777777" w:rsidR="001B797B" w:rsidRPr="00D57348" w:rsidRDefault="001B797B" w:rsidP="001B797B">
            <w:pPr>
              <w:jc w:val="center"/>
              <w:rPr>
                <w:sz w:val="16"/>
                <w:szCs w:val="16"/>
              </w:rPr>
            </w:pPr>
            <w:r w:rsidRPr="00D57348">
              <w:rPr>
                <w:sz w:val="16"/>
                <w:szCs w:val="16"/>
              </w:rPr>
              <w:t>(amats)</w:t>
            </w:r>
          </w:p>
          <w:p w14:paraId="49806843" w14:textId="77777777" w:rsidR="001B797B" w:rsidRPr="00D57348" w:rsidRDefault="001B797B" w:rsidP="001B797B">
            <w:pPr>
              <w:jc w:val="center"/>
              <w:rPr>
                <w:sz w:val="16"/>
                <w:szCs w:val="16"/>
              </w:rPr>
            </w:pPr>
          </w:p>
        </w:tc>
      </w:tr>
      <w:tr w:rsidR="001B797B" w:rsidRPr="00991241" w14:paraId="7EF0891C" w14:textId="77777777" w:rsidTr="00917DA6">
        <w:trPr>
          <w:trHeight w:val="80"/>
        </w:trPr>
        <w:tc>
          <w:tcPr>
            <w:tcW w:w="8199" w:type="dxa"/>
            <w:tcBorders>
              <w:bottom w:val="single" w:sz="4" w:space="0" w:color="000000"/>
            </w:tcBorders>
          </w:tcPr>
          <w:p w14:paraId="7235399F" w14:textId="3B226745" w:rsidR="001B797B" w:rsidRPr="00D57348" w:rsidRDefault="001B797B" w:rsidP="001B797B">
            <w:pPr>
              <w:jc w:val="center"/>
              <w:rPr>
                <w:sz w:val="16"/>
                <w:szCs w:val="16"/>
              </w:rPr>
            </w:pPr>
          </w:p>
        </w:tc>
      </w:tr>
      <w:tr w:rsidR="001B797B" w:rsidRPr="00991241" w14:paraId="2857CAAB" w14:textId="77777777" w:rsidTr="008D5E41">
        <w:trPr>
          <w:trHeight w:val="385"/>
        </w:trPr>
        <w:tc>
          <w:tcPr>
            <w:tcW w:w="8199" w:type="dxa"/>
            <w:tcBorders>
              <w:top w:val="single" w:sz="4" w:space="0" w:color="000000"/>
            </w:tcBorders>
          </w:tcPr>
          <w:p w14:paraId="6CC8FD37" w14:textId="77777777" w:rsidR="001B797B" w:rsidRPr="00D57348" w:rsidRDefault="001B797B" w:rsidP="001B797B">
            <w:pPr>
              <w:jc w:val="center"/>
              <w:rPr>
                <w:sz w:val="16"/>
                <w:szCs w:val="16"/>
              </w:rPr>
            </w:pPr>
            <w:r w:rsidRPr="00D57348">
              <w:rPr>
                <w:sz w:val="16"/>
                <w:szCs w:val="16"/>
              </w:rPr>
              <w:t>(tālruņa un faksa numurs)</w:t>
            </w:r>
          </w:p>
          <w:p w14:paraId="75A72588" w14:textId="77777777" w:rsidR="001B797B" w:rsidRPr="00D57348" w:rsidRDefault="001B797B" w:rsidP="001B797B">
            <w:pPr>
              <w:jc w:val="center"/>
              <w:rPr>
                <w:sz w:val="16"/>
                <w:szCs w:val="16"/>
              </w:rPr>
            </w:pPr>
          </w:p>
        </w:tc>
      </w:tr>
      <w:tr w:rsidR="001B797B" w:rsidRPr="00991241" w14:paraId="5E851CD1" w14:textId="77777777" w:rsidTr="008D5E41">
        <w:trPr>
          <w:trHeight w:val="197"/>
        </w:trPr>
        <w:tc>
          <w:tcPr>
            <w:tcW w:w="8199" w:type="dxa"/>
            <w:tcBorders>
              <w:bottom w:val="single" w:sz="4" w:space="0" w:color="000000"/>
            </w:tcBorders>
          </w:tcPr>
          <w:p w14:paraId="4B06CA20" w14:textId="129E6FE0" w:rsidR="001B797B" w:rsidRPr="00991241" w:rsidRDefault="001B797B" w:rsidP="00B46770">
            <w:pPr>
              <w:rPr>
                <w:sz w:val="22"/>
                <w:szCs w:val="22"/>
              </w:rPr>
            </w:pPr>
          </w:p>
        </w:tc>
      </w:tr>
      <w:tr w:rsidR="001B797B" w:rsidRPr="00D57348" w14:paraId="6BF72725" w14:textId="77777777" w:rsidTr="008D5E41">
        <w:trPr>
          <w:trHeight w:val="187"/>
        </w:trPr>
        <w:tc>
          <w:tcPr>
            <w:tcW w:w="8199" w:type="dxa"/>
            <w:tcBorders>
              <w:top w:val="single" w:sz="4" w:space="0" w:color="000000"/>
            </w:tcBorders>
          </w:tcPr>
          <w:p w14:paraId="33AF6D0C" w14:textId="77777777" w:rsidR="001B797B" w:rsidRPr="00D57348" w:rsidRDefault="001B797B" w:rsidP="001B797B">
            <w:pPr>
              <w:jc w:val="center"/>
              <w:rPr>
                <w:sz w:val="16"/>
                <w:szCs w:val="16"/>
              </w:rPr>
            </w:pPr>
            <w:r w:rsidRPr="00D57348">
              <w:rPr>
                <w:sz w:val="16"/>
                <w:szCs w:val="16"/>
              </w:rPr>
              <w:t>(e-pasta adrese)</w:t>
            </w:r>
          </w:p>
        </w:tc>
      </w:tr>
    </w:tbl>
    <w:p w14:paraId="03A5A2B8" w14:textId="77777777" w:rsidR="0088699C" w:rsidRPr="00D57348" w:rsidRDefault="0088699C" w:rsidP="001C4923">
      <w:pPr>
        <w:pStyle w:val="naisf"/>
        <w:tabs>
          <w:tab w:val="left" w:pos="6840"/>
        </w:tabs>
        <w:spacing w:before="0" w:after="0"/>
        <w:ind w:firstLine="0"/>
        <w:rPr>
          <w:sz w:val="16"/>
          <w:szCs w:val="16"/>
        </w:rPr>
      </w:pPr>
    </w:p>
    <w:p w14:paraId="04600C18" w14:textId="77777777" w:rsidR="0088699C" w:rsidRPr="00D57348" w:rsidRDefault="0088699C" w:rsidP="0088699C">
      <w:pPr>
        <w:rPr>
          <w:sz w:val="16"/>
          <w:szCs w:val="16"/>
        </w:rPr>
      </w:pPr>
    </w:p>
    <w:p w14:paraId="73BC9E60" w14:textId="77777777" w:rsidR="0088699C" w:rsidRPr="00D57348" w:rsidRDefault="0088699C" w:rsidP="0088699C">
      <w:pPr>
        <w:rPr>
          <w:sz w:val="16"/>
          <w:szCs w:val="16"/>
        </w:rPr>
      </w:pPr>
    </w:p>
    <w:p w14:paraId="2614C8C8" w14:textId="77777777" w:rsidR="0088699C" w:rsidRPr="00D57348" w:rsidRDefault="0088699C" w:rsidP="0088699C">
      <w:pPr>
        <w:rPr>
          <w:sz w:val="16"/>
          <w:szCs w:val="16"/>
        </w:rPr>
      </w:pPr>
    </w:p>
    <w:p w14:paraId="06675689" w14:textId="77777777" w:rsidR="0088699C" w:rsidRPr="00D57348" w:rsidRDefault="0088699C" w:rsidP="001C4923">
      <w:pPr>
        <w:pStyle w:val="naisf"/>
        <w:tabs>
          <w:tab w:val="left" w:pos="6840"/>
        </w:tabs>
        <w:spacing w:before="0" w:after="0"/>
        <w:ind w:firstLine="0"/>
        <w:rPr>
          <w:sz w:val="16"/>
          <w:szCs w:val="16"/>
        </w:rPr>
      </w:pPr>
    </w:p>
    <w:p w14:paraId="097C76C2" w14:textId="61197366" w:rsidR="001C4923" w:rsidRDefault="0088699C" w:rsidP="00C4513F">
      <w:pPr>
        <w:pStyle w:val="naisf"/>
        <w:tabs>
          <w:tab w:val="left" w:pos="6840"/>
        </w:tabs>
        <w:spacing w:before="0" w:after="0"/>
        <w:ind w:firstLine="0"/>
        <w:rPr>
          <w:sz w:val="16"/>
          <w:szCs w:val="16"/>
        </w:rPr>
      </w:pPr>
      <w:r w:rsidRPr="00D57348">
        <w:rPr>
          <w:sz w:val="16"/>
          <w:szCs w:val="16"/>
        </w:rPr>
        <w:br w:type="textWrapping" w:clear="all"/>
      </w:r>
    </w:p>
    <w:p w14:paraId="286CF476" w14:textId="76EB15A0" w:rsidR="00D57348" w:rsidRDefault="00D57348" w:rsidP="00C4513F">
      <w:pPr>
        <w:pStyle w:val="naisf"/>
        <w:tabs>
          <w:tab w:val="left" w:pos="6840"/>
        </w:tabs>
        <w:spacing w:before="0" w:after="0"/>
        <w:ind w:firstLine="0"/>
        <w:rPr>
          <w:sz w:val="16"/>
          <w:szCs w:val="16"/>
        </w:rPr>
      </w:pPr>
    </w:p>
    <w:p w14:paraId="33A99542" w14:textId="0BCFE1D1" w:rsidR="00D57348" w:rsidRDefault="00D57348" w:rsidP="00C4513F">
      <w:pPr>
        <w:pStyle w:val="naisf"/>
        <w:tabs>
          <w:tab w:val="left" w:pos="6840"/>
        </w:tabs>
        <w:spacing w:before="0" w:after="0"/>
        <w:ind w:firstLine="0"/>
        <w:rPr>
          <w:sz w:val="16"/>
          <w:szCs w:val="16"/>
        </w:rPr>
      </w:pPr>
    </w:p>
    <w:p w14:paraId="4116C46D" w14:textId="217A579A" w:rsidR="00D57348" w:rsidRDefault="00D57348" w:rsidP="00C4513F">
      <w:pPr>
        <w:pStyle w:val="naisf"/>
        <w:tabs>
          <w:tab w:val="left" w:pos="6840"/>
        </w:tabs>
        <w:spacing w:before="0" w:after="0"/>
        <w:ind w:firstLine="0"/>
        <w:rPr>
          <w:sz w:val="16"/>
          <w:szCs w:val="16"/>
        </w:rPr>
      </w:pPr>
    </w:p>
    <w:p w14:paraId="6D7F65CA" w14:textId="4B70F516" w:rsidR="00D57348" w:rsidRDefault="00D57348" w:rsidP="00C4513F">
      <w:pPr>
        <w:pStyle w:val="naisf"/>
        <w:tabs>
          <w:tab w:val="left" w:pos="6840"/>
        </w:tabs>
        <w:spacing w:before="0" w:after="0"/>
        <w:ind w:firstLine="0"/>
        <w:rPr>
          <w:sz w:val="16"/>
          <w:szCs w:val="16"/>
        </w:rPr>
      </w:pPr>
    </w:p>
    <w:p w14:paraId="47772CD3" w14:textId="41FF80B4" w:rsidR="00D57348" w:rsidRDefault="00D57348" w:rsidP="00C4513F">
      <w:pPr>
        <w:pStyle w:val="naisf"/>
        <w:tabs>
          <w:tab w:val="left" w:pos="6840"/>
        </w:tabs>
        <w:spacing w:before="0" w:after="0"/>
        <w:ind w:firstLine="0"/>
        <w:rPr>
          <w:sz w:val="16"/>
          <w:szCs w:val="16"/>
        </w:rPr>
      </w:pPr>
    </w:p>
    <w:p w14:paraId="01F9625F" w14:textId="573F75FB" w:rsidR="00D57348" w:rsidRDefault="00D57348" w:rsidP="00C4513F">
      <w:pPr>
        <w:pStyle w:val="naisf"/>
        <w:tabs>
          <w:tab w:val="left" w:pos="6840"/>
        </w:tabs>
        <w:spacing w:before="0" w:after="0"/>
        <w:ind w:firstLine="0"/>
        <w:rPr>
          <w:sz w:val="16"/>
          <w:szCs w:val="16"/>
        </w:rPr>
      </w:pPr>
    </w:p>
    <w:p w14:paraId="389E031D" w14:textId="20EA53B7" w:rsidR="00D57348" w:rsidRDefault="00D57348" w:rsidP="00C4513F">
      <w:pPr>
        <w:pStyle w:val="naisf"/>
        <w:tabs>
          <w:tab w:val="left" w:pos="6840"/>
        </w:tabs>
        <w:spacing w:before="0" w:after="0"/>
        <w:ind w:firstLine="0"/>
        <w:rPr>
          <w:sz w:val="16"/>
          <w:szCs w:val="16"/>
        </w:rPr>
      </w:pPr>
    </w:p>
    <w:p w14:paraId="589A67B3" w14:textId="36891E29" w:rsidR="00D57348" w:rsidRDefault="00D57348" w:rsidP="00C4513F">
      <w:pPr>
        <w:pStyle w:val="naisf"/>
        <w:tabs>
          <w:tab w:val="left" w:pos="6840"/>
        </w:tabs>
        <w:spacing w:before="0" w:after="0"/>
        <w:ind w:firstLine="0"/>
        <w:rPr>
          <w:sz w:val="16"/>
          <w:szCs w:val="16"/>
        </w:rPr>
      </w:pPr>
    </w:p>
    <w:p w14:paraId="4556E675" w14:textId="31D3EEFF" w:rsidR="00D57348" w:rsidRDefault="00D57348" w:rsidP="00C4513F">
      <w:pPr>
        <w:pStyle w:val="naisf"/>
        <w:tabs>
          <w:tab w:val="left" w:pos="6840"/>
        </w:tabs>
        <w:spacing w:before="0" w:after="0"/>
        <w:ind w:firstLine="0"/>
        <w:rPr>
          <w:sz w:val="16"/>
          <w:szCs w:val="16"/>
        </w:rPr>
      </w:pPr>
    </w:p>
    <w:p w14:paraId="2A8473F8" w14:textId="3661C7F0" w:rsidR="00D57348" w:rsidRDefault="00D57348" w:rsidP="00C4513F">
      <w:pPr>
        <w:pStyle w:val="naisf"/>
        <w:tabs>
          <w:tab w:val="left" w:pos="6840"/>
        </w:tabs>
        <w:spacing w:before="0" w:after="0"/>
        <w:ind w:firstLine="0"/>
        <w:rPr>
          <w:sz w:val="16"/>
          <w:szCs w:val="16"/>
        </w:rPr>
      </w:pPr>
    </w:p>
    <w:p w14:paraId="604009AB" w14:textId="13BFC9E7" w:rsidR="00D57348" w:rsidRDefault="00D57348" w:rsidP="00C4513F">
      <w:pPr>
        <w:pStyle w:val="naisf"/>
        <w:tabs>
          <w:tab w:val="left" w:pos="6840"/>
        </w:tabs>
        <w:spacing w:before="0" w:after="0"/>
        <w:ind w:firstLine="0"/>
        <w:rPr>
          <w:sz w:val="16"/>
          <w:szCs w:val="16"/>
        </w:rPr>
      </w:pPr>
    </w:p>
    <w:p w14:paraId="3FB16228" w14:textId="130F7E10" w:rsidR="00D57348" w:rsidRDefault="00D57348" w:rsidP="00C4513F">
      <w:pPr>
        <w:pStyle w:val="naisf"/>
        <w:tabs>
          <w:tab w:val="left" w:pos="6840"/>
        </w:tabs>
        <w:spacing w:before="0" w:after="0"/>
        <w:ind w:firstLine="0"/>
        <w:rPr>
          <w:sz w:val="16"/>
          <w:szCs w:val="16"/>
        </w:rPr>
      </w:pPr>
    </w:p>
    <w:p w14:paraId="5463E402" w14:textId="172F0369" w:rsidR="00D57348" w:rsidRDefault="00D57348" w:rsidP="00C4513F">
      <w:pPr>
        <w:pStyle w:val="naisf"/>
        <w:tabs>
          <w:tab w:val="left" w:pos="6840"/>
        </w:tabs>
        <w:spacing w:before="0" w:after="0"/>
        <w:ind w:firstLine="0"/>
        <w:rPr>
          <w:sz w:val="16"/>
          <w:szCs w:val="16"/>
        </w:rPr>
      </w:pPr>
    </w:p>
    <w:p w14:paraId="01A28F17" w14:textId="545824D2" w:rsidR="00D57348" w:rsidRDefault="00D57348" w:rsidP="00C4513F">
      <w:pPr>
        <w:pStyle w:val="naisf"/>
        <w:tabs>
          <w:tab w:val="left" w:pos="6840"/>
        </w:tabs>
        <w:spacing w:before="0" w:after="0"/>
        <w:ind w:firstLine="0"/>
        <w:rPr>
          <w:sz w:val="16"/>
          <w:szCs w:val="16"/>
        </w:rPr>
      </w:pPr>
    </w:p>
    <w:p w14:paraId="5489605C" w14:textId="35428715" w:rsidR="00D57348" w:rsidRDefault="00D57348" w:rsidP="00C4513F">
      <w:pPr>
        <w:pStyle w:val="naisf"/>
        <w:tabs>
          <w:tab w:val="left" w:pos="6840"/>
        </w:tabs>
        <w:spacing w:before="0" w:after="0"/>
        <w:ind w:firstLine="0"/>
        <w:rPr>
          <w:sz w:val="16"/>
          <w:szCs w:val="16"/>
        </w:rPr>
      </w:pPr>
    </w:p>
    <w:p w14:paraId="54450C6A" w14:textId="77FA2BE6" w:rsidR="00D57348" w:rsidRDefault="00D57348" w:rsidP="00C4513F">
      <w:pPr>
        <w:pStyle w:val="naisf"/>
        <w:tabs>
          <w:tab w:val="left" w:pos="6840"/>
        </w:tabs>
        <w:spacing w:before="0" w:after="0"/>
        <w:ind w:firstLine="0"/>
        <w:rPr>
          <w:sz w:val="16"/>
          <w:szCs w:val="16"/>
        </w:rPr>
      </w:pPr>
    </w:p>
    <w:p w14:paraId="53731E40" w14:textId="025C554B" w:rsidR="00D57348" w:rsidRDefault="00D57348" w:rsidP="00C4513F">
      <w:pPr>
        <w:pStyle w:val="naisf"/>
        <w:tabs>
          <w:tab w:val="left" w:pos="6840"/>
        </w:tabs>
        <w:spacing w:before="0" w:after="0"/>
        <w:ind w:firstLine="0"/>
        <w:rPr>
          <w:sz w:val="16"/>
          <w:szCs w:val="16"/>
        </w:rPr>
      </w:pPr>
    </w:p>
    <w:p w14:paraId="2B40E222" w14:textId="732FFB8E" w:rsidR="00D57348" w:rsidRDefault="00D57348" w:rsidP="00C4513F">
      <w:pPr>
        <w:pStyle w:val="naisf"/>
        <w:tabs>
          <w:tab w:val="left" w:pos="6840"/>
        </w:tabs>
        <w:spacing w:before="0" w:after="0"/>
        <w:ind w:firstLine="0"/>
        <w:rPr>
          <w:sz w:val="16"/>
          <w:szCs w:val="16"/>
        </w:rPr>
      </w:pPr>
    </w:p>
    <w:p w14:paraId="12D27930" w14:textId="2F7FF0FE" w:rsidR="00D57348" w:rsidRDefault="00D57348" w:rsidP="00C4513F">
      <w:pPr>
        <w:pStyle w:val="naisf"/>
        <w:tabs>
          <w:tab w:val="left" w:pos="6840"/>
        </w:tabs>
        <w:spacing w:before="0" w:after="0"/>
        <w:ind w:firstLine="0"/>
        <w:rPr>
          <w:sz w:val="16"/>
          <w:szCs w:val="16"/>
        </w:rPr>
      </w:pPr>
    </w:p>
    <w:p w14:paraId="5A4D0FD9" w14:textId="5965CDEC" w:rsidR="00D57348" w:rsidRDefault="00D57348" w:rsidP="00C4513F">
      <w:pPr>
        <w:pStyle w:val="naisf"/>
        <w:tabs>
          <w:tab w:val="left" w:pos="6840"/>
        </w:tabs>
        <w:spacing w:before="0" w:after="0"/>
        <w:ind w:firstLine="0"/>
        <w:rPr>
          <w:sz w:val="16"/>
          <w:szCs w:val="16"/>
        </w:rPr>
      </w:pPr>
    </w:p>
    <w:p w14:paraId="3199CBA0" w14:textId="77777777" w:rsidR="00D57348" w:rsidRPr="00D57348" w:rsidRDefault="00D57348" w:rsidP="00C4513F">
      <w:pPr>
        <w:pStyle w:val="naisf"/>
        <w:tabs>
          <w:tab w:val="left" w:pos="6840"/>
        </w:tabs>
        <w:spacing w:before="0" w:after="0"/>
        <w:ind w:firstLine="0"/>
        <w:rPr>
          <w:sz w:val="16"/>
          <w:szCs w:val="16"/>
        </w:rPr>
      </w:pPr>
    </w:p>
    <w:p w14:paraId="391772B5" w14:textId="77777777" w:rsidR="007544AA" w:rsidRPr="00991241" w:rsidRDefault="007544AA" w:rsidP="007544AA">
      <w:pPr>
        <w:jc w:val="both"/>
        <w:rPr>
          <w:sz w:val="22"/>
          <w:szCs w:val="22"/>
        </w:rPr>
      </w:pPr>
    </w:p>
    <w:p w14:paraId="53986457" w14:textId="77777777" w:rsidR="007544AA" w:rsidRPr="00D57348" w:rsidRDefault="007544AA" w:rsidP="007544AA">
      <w:pPr>
        <w:jc w:val="both"/>
        <w:rPr>
          <w:sz w:val="18"/>
          <w:szCs w:val="18"/>
        </w:rPr>
      </w:pPr>
      <w:r w:rsidRPr="00D57348">
        <w:rPr>
          <w:sz w:val="18"/>
          <w:szCs w:val="18"/>
        </w:rPr>
        <w:t>Ilze Grīnberga; 67013231</w:t>
      </w:r>
    </w:p>
    <w:p w14:paraId="29F3E5C7" w14:textId="5165A8A3" w:rsidR="0008746D" w:rsidRPr="00D57348" w:rsidRDefault="00852F7D" w:rsidP="007544AA">
      <w:pPr>
        <w:jc w:val="both"/>
        <w:rPr>
          <w:sz w:val="18"/>
          <w:szCs w:val="18"/>
        </w:rPr>
      </w:pPr>
      <w:hyperlink r:id="rId8" w:history="1">
        <w:r w:rsidR="007544AA" w:rsidRPr="00D57348">
          <w:rPr>
            <w:rStyle w:val="Hyperlink"/>
            <w:sz w:val="18"/>
            <w:szCs w:val="18"/>
          </w:rPr>
          <w:t>Ilze.Grinberga@em.gov.lv</w:t>
        </w:r>
      </w:hyperlink>
      <w:r w:rsidR="007544AA" w:rsidRPr="00D57348">
        <w:rPr>
          <w:sz w:val="18"/>
          <w:szCs w:val="18"/>
        </w:rPr>
        <w:t xml:space="preserve"> </w:t>
      </w:r>
    </w:p>
    <w:sectPr w:rsidR="0008746D" w:rsidRPr="00D57348" w:rsidSect="00D57348">
      <w:footerReference w:type="default" r:id="rId9"/>
      <w:pgSz w:w="16838" w:h="11906" w:orient="landscape" w:code="9"/>
      <w:pgMar w:top="993" w:right="1134" w:bottom="993"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5CF" w14:textId="77777777" w:rsidR="009C4F38" w:rsidRDefault="009C4F38" w:rsidP="001C4923">
      <w:r>
        <w:separator/>
      </w:r>
    </w:p>
  </w:endnote>
  <w:endnote w:type="continuationSeparator" w:id="0">
    <w:p w14:paraId="79A9AC09" w14:textId="77777777" w:rsidR="009C4F38" w:rsidRDefault="009C4F38"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9CA2" w14:textId="42EA72A6" w:rsidR="00A32F75" w:rsidRPr="00575597" w:rsidRDefault="00575597" w:rsidP="00575597">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17DA6">
      <w:rPr>
        <w:noProof/>
        <w:sz w:val="20"/>
        <w:szCs w:val="20"/>
      </w:rPr>
      <w:t>EMIzzina_05052020_Groz160.docx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AFAA" w14:textId="77777777" w:rsidR="009C4F38" w:rsidRDefault="009C4F38" w:rsidP="001C4923">
      <w:r>
        <w:separator/>
      </w:r>
    </w:p>
  </w:footnote>
  <w:footnote w:type="continuationSeparator" w:id="0">
    <w:p w14:paraId="2F294638" w14:textId="77777777" w:rsidR="009C4F38" w:rsidRDefault="009C4F38" w:rsidP="001C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75D2952"/>
    <w:multiLevelType w:val="hybridMultilevel"/>
    <w:tmpl w:val="821871B2"/>
    <w:lvl w:ilvl="0" w:tplc="8FE84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894DA8"/>
    <w:multiLevelType w:val="hybridMultilevel"/>
    <w:tmpl w:val="D4F0B66C"/>
    <w:lvl w:ilvl="0" w:tplc="02BC3D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A161F5"/>
    <w:multiLevelType w:val="hybridMultilevel"/>
    <w:tmpl w:val="45286508"/>
    <w:lvl w:ilvl="0" w:tplc="18245D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A62F72"/>
    <w:multiLevelType w:val="hybridMultilevel"/>
    <w:tmpl w:val="CE7600B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EE24DCA"/>
    <w:multiLevelType w:val="hybridMultilevel"/>
    <w:tmpl w:val="B7A4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9117375"/>
    <w:multiLevelType w:val="hybridMultilevel"/>
    <w:tmpl w:val="6B5634D2"/>
    <w:lvl w:ilvl="0" w:tplc="B3F0AB74">
      <w:start w:val="1"/>
      <w:numFmt w:val="decimal"/>
      <w:lvlText w:val="%1."/>
      <w:lvlJc w:val="left"/>
      <w:pPr>
        <w:ind w:left="2532" w:hanging="360"/>
      </w:pPr>
      <w:rPr>
        <w:rFonts w:ascii="Times New Roman" w:eastAsia="Calibri" w:hAnsi="Times New Roman" w:cs="Calibri"/>
      </w:rPr>
    </w:lvl>
    <w:lvl w:ilvl="1" w:tplc="04260019">
      <w:start w:val="1"/>
      <w:numFmt w:val="lowerLetter"/>
      <w:lvlText w:val="%2."/>
      <w:lvlJc w:val="left"/>
      <w:pPr>
        <w:ind w:left="3252" w:hanging="360"/>
      </w:pPr>
    </w:lvl>
    <w:lvl w:ilvl="2" w:tplc="0426001B">
      <w:start w:val="1"/>
      <w:numFmt w:val="lowerRoman"/>
      <w:lvlText w:val="%3."/>
      <w:lvlJc w:val="right"/>
      <w:pPr>
        <w:ind w:left="3972" w:hanging="180"/>
      </w:pPr>
    </w:lvl>
    <w:lvl w:ilvl="3" w:tplc="0426000F">
      <w:start w:val="1"/>
      <w:numFmt w:val="decimal"/>
      <w:lvlText w:val="%4."/>
      <w:lvlJc w:val="left"/>
      <w:pPr>
        <w:ind w:left="4692" w:hanging="360"/>
      </w:pPr>
    </w:lvl>
    <w:lvl w:ilvl="4" w:tplc="04260019">
      <w:start w:val="1"/>
      <w:numFmt w:val="lowerLetter"/>
      <w:lvlText w:val="%5."/>
      <w:lvlJc w:val="left"/>
      <w:pPr>
        <w:ind w:left="5412" w:hanging="360"/>
      </w:pPr>
    </w:lvl>
    <w:lvl w:ilvl="5" w:tplc="0426001B">
      <w:start w:val="1"/>
      <w:numFmt w:val="lowerRoman"/>
      <w:lvlText w:val="%6."/>
      <w:lvlJc w:val="right"/>
      <w:pPr>
        <w:ind w:left="6132" w:hanging="180"/>
      </w:pPr>
    </w:lvl>
    <w:lvl w:ilvl="6" w:tplc="0426000F">
      <w:start w:val="1"/>
      <w:numFmt w:val="decimal"/>
      <w:lvlText w:val="%7."/>
      <w:lvlJc w:val="left"/>
      <w:pPr>
        <w:ind w:left="6852" w:hanging="360"/>
      </w:pPr>
    </w:lvl>
    <w:lvl w:ilvl="7" w:tplc="04260019">
      <w:start w:val="1"/>
      <w:numFmt w:val="lowerLetter"/>
      <w:lvlText w:val="%8."/>
      <w:lvlJc w:val="left"/>
      <w:pPr>
        <w:ind w:left="7572" w:hanging="360"/>
      </w:pPr>
    </w:lvl>
    <w:lvl w:ilvl="8" w:tplc="0426001B">
      <w:start w:val="1"/>
      <w:numFmt w:val="lowerRoman"/>
      <w:lvlText w:val="%9."/>
      <w:lvlJc w:val="right"/>
      <w:pPr>
        <w:ind w:left="8292" w:hanging="180"/>
      </w:pPr>
    </w:lvl>
  </w:abstractNum>
  <w:abstractNum w:abstractNumId="11"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2143C66"/>
    <w:multiLevelType w:val="hybridMultilevel"/>
    <w:tmpl w:val="384E5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4645B"/>
    <w:multiLevelType w:val="hybridMultilevel"/>
    <w:tmpl w:val="71AC64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A962994"/>
    <w:multiLevelType w:val="hybridMultilevel"/>
    <w:tmpl w:val="CFE40B64"/>
    <w:lvl w:ilvl="0" w:tplc="6562D9C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9E1750"/>
    <w:multiLevelType w:val="hybridMultilevel"/>
    <w:tmpl w:val="8EFC03EE"/>
    <w:lvl w:ilvl="0" w:tplc="04B29836">
      <w:start w:val="1"/>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006C0"/>
    <w:multiLevelType w:val="hybridMultilevel"/>
    <w:tmpl w:val="663EF7C4"/>
    <w:lvl w:ilvl="0" w:tplc="2C30712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9B6BD8"/>
    <w:multiLevelType w:val="hybridMultilevel"/>
    <w:tmpl w:val="B04497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1" w15:restartNumberingAfterBreak="0">
    <w:nsid w:val="758B1833"/>
    <w:multiLevelType w:val="hybridMultilevel"/>
    <w:tmpl w:val="30661A7C"/>
    <w:lvl w:ilvl="0" w:tplc="76BEFC2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num>
  <w:num w:numId="2">
    <w:abstractNumId w:val="16"/>
  </w:num>
  <w:num w:numId="3">
    <w:abstractNumId w:val="15"/>
  </w:num>
  <w:num w:numId="4">
    <w:abstractNumId w:val="20"/>
  </w:num>
  <w:num w:numId="5">
    <w:abstractNumId w:val="11"/>
  </w:num>
  <w:num w:numId="6">
    <w:abstractNumId w:val="9"/>
  </w:num>
  <w:num w:numId="7">
    <w:abstractNumId w:val="0"/>
  </w:num>
  <w:num w:numId="8">
    <w:abstractNumId w:val="4"/>
  </w:num>
  <w:num w:numId="9">
    <w:abstractNumId w:val="14"/>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6"/>
  </w:num>
  <w:num w:numId="15">
    <w:abstractNumId w:val="7"/>
  </w:num>
  <w:num w:numId="16">
    <w:abstractNumId w:val="5"/>
  </w:num>
  <w:num w:numId="17">
    <w:abstractNumId w:val="18"/>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10C73"/>
    <w:rsid w:val="000278A6"/>
    <w:rsid w:val="00032D9C"/>
    <w:rsid w:val="00036780"/>
    <w:rsid w:val="00052ADF"/>
    <w:rsid w:val="000548B9"/>
    <w:rsid w:val="0005518D"/>
    <w:rsid w:val="00060469"/>
    <w:rsid w:val="00063366"/>
    <w:rsid w:val="000645DC"/>
    <w:rsid w:val="00065F94"/>
    <w:rsid w:val="00071BF3"/>
    <w:rsid w:val="00074C77"/>
    <w:rsid w:val="00075D0E"/>
    <w:rsid w:val="000771EE"/>
    <w:rsid w:val="00077F09"/>
    <w:rsid w:val="0008746D"/>
    <w:rsid w:val="000912BA"/>
    <w:rsid w:val="000A681E"/>
    <w:rsid w:val="000A73A5"/>
    <w:rsid w:val="000C01ED"/>
    <w:rsid w:val="000D7A30"/>
    <w:rsid w:val="000E1302"/>
    <w:rsid w:val="000E570F"/>
    <w:rsid w:val="000E741C"/>
    <w:rsid w:val="000F010E"/>
    <w:rsid w:val="000F289F"/>
    <w:rsid w:val="000F3715"/>
    <w:rsid w:val="000F387C"/>
    <w:rsid w:val="000F5C24"/>
    <w:rsid w:val="00100580"/>
    <w:rsid w:val="001017DF"/>
    <w:rsid w:val="001029EC"/>
    <w:rsid w:val="00107A0C"/>
    <w:rsid w:val="00114A41"/>
    <w:rsid w:val="0012078E"/>
    <w:rsid w:val="00122696"/>
    <w:rsid w:val="0012524F"/>
    <w:rsid w:val="00135CC1"/>
    <w:rsid w:val="00154B60"/>
    <w:rsid w:val="0015633E"/>
    <w:rsid w:val="00162509"/>
    <w:rsid w:val="00166B36"/>
    <w:rsid w:val="00170A59"/>
    <w:rsid w:val="00173597"/>
    <w:rsid w:val="00176059"/>
    <w:rsid w:val="0018304D"/>
    <w:rsid w:val="00185657"/>
    <w:rsid w:val="001870FA"/>
    <w:rsid w:val="001930C3"/>
    <w:rsid w:val="00195F27"/>
    <w:rsid w:val="001A10A4"/>
    <w:rsid w:val="001A11F3"/>
    <w:rsid w:val="001A36FC"/>
    <w:rsid w:val="001A53EF"/>
    <w:rsid w:val="001A616F"/>
    <w:rsid w:val="001B1A94"/>
    <w:rsid w:val="001B2E07"/>
    <w:rsid w:val="001B797B"/>
    <w:rsid w:val="001C26B9"/>
    <w:rsid w:val="001C4923"/>
    <w:rsid w:val="001C5E77"/>
    <w:rsid w:val="001C7175"/>
    <w:rsid w:val="001C720A"/>
    <w:rsid w:val="001D5DEE"/>
    <w:rsid w:val="001E1D3C"/>
    <w:rsid w:val="001E2FF8"/>
    <w:rsid w:val="001E5731"/>
    <w:rsid w:val="001E6B7E"/>
    <w:rsid w:val="001E7210"/>
    <w:rsid w:val="001E7427"/>
    <w:rsid w:val="001F6AAA"/>
    <w:rsid w:val="001F746B"/>
    <w:rsid w:val="002018AB"/>
    <w:rsid w:val="0020328C"/>
    <w:rsid w:val="00205C05"/>
    <w:rsid w:val="002134ED"/>
    <w:rsid w:val="00215CD9"/>
    <w:rsid w:val="00217079"/>
    <w:rsid w:val="00222483"/>
    <w:rsid w:val="00235BB0"/>
    <w:rsid w:val="0024580E"/>
    <w:rsid w:val="00250078"/>
    <w:rsid w:val="0025090B"/>
    <w:rsid w:val="00261284"/>
    <w:rsid w:val="00264315"/>
    <w:rsid w:val="00265075"/>
    <w:rsid w:val="002659D6"/>
    <w:rsid w:val="00271B24"/>
    <w:rsid w:val="00273D34"/>
    <w:rsid w:val="00280389"/>
    <w:rsid w:val="00280CD1"/>
    <w:rsid w:val="00285498"/>
    <w:rsid w:val="00297267"/>
    <w:rsid w:val="002A4E8D"/>
    <w:rsid w:val="002A7251"/>
    <w:rsid w:val="002B084D"/>
    <w:rsid w:val="002B2A99"/>
    <w:rsid w:val="002B5F82"/>
    <w:rsid w:val="002C0726"/>
    <w:rsid w:val="002C3042"/>
    <w:rsid w:val="002D6441"/>
    <w:rsid w:val="002E4411"/>
    <w:rsid w:val="002F4453"/>
    <w:rsid w:val="0030647B"/>
    <w:rsid w:val="0031007E"/>
    <w:rsid w:val="003104FB"/>
    <w:rsid w:val="0031175A"/>
    <w:rsid w:val="00312FB6"/>
    <w:rsid w:val="00316390"/>
    <w:rsid w:val="00332873"/>
    <w:rsid w:val="0033425C"/>
    <w:rsid w:val="00334E10"/>
    <w:rsid w:val="00335A6F"/>
    <w:rsid w:val="00350E39"/>
    <w:rsid w:val="00357706"/>
    <w:rsid w:val="003803FD"/>
    <w:rsid w:val="0038178A"/>
    <w:rsid w:val="003851A6"/>
    <w:rsid w:val="003852AB"/>
    <w:rsid w:val="00386B50"/>
    <w:rsid w:val="00390A5D"/>
    <w:rsid w:val="00390D50"/>
    <w:rsid w:val="00391172"/>
    <w:rsid w:val="0039439E"/>
    <w:rsid w:val="00396D50"/>
    <w:rsid w:val="003A1ECD"/>
    <w:rsid w:val="003A1F4F"/>
    <w:rsid w:val="003A332D"/>
    <w:rsid w:val="003A4196"/>
    <w:rsid w:val="003B1924"/>
    <w:rsid w:val="003B7844"/>
    <w:rsid w:val="003C2376"/>
    <w:rsid w:val="003C4FA2"/>
    <w:rsid w:val="003D1301"/>
    <w:rsid w:val="003D6D21"/>
    <w:rsid w:val="003E07F9"/>
    <w:rsid w:val="003E60E1"/>
    <w:rsid w:val="003E78D0"/>
    <w:rsid w:val="003F0AE1"/>
    <w:rsid w:val="003F16E7"/>
    <w:rsid w:val="003F306E"/>
    <w:rsid w:val="003F768C"/>
    <w:rsid w:val="00402E8B"/>
    <w:rsid w:val="00404EB6"/>
    <w:rsid w:val="00411271"/>
    <w:rsid w:val="0041134C"/>
    <w:rsid w:val="0041420C"/>
    <w:rsid w:val="00421272"/>
    <w:rsid w:val="004311E2"/>
    <w:rsid w:val="004323CC"/>
    <w:rsid w:val="00432580"/>
    <w:rsid w:val="00437CA6"/>
    <w:rsid w:val="0044307D"/>
    <w:rsid w:val="004432C2"/>
    <w:rsid w:val="00444385"/>
    <w:rsid w:val="004443C4"/>
    <w:rsid w:val="00450C8E"/>
    <w:rsid w:val="00453153"/>
    <w:rsid w:val="00456505"/>
    <w:rsid w:val="004705F5"/>
    <w:rsid w:val="00476CB0"/>
    <w:rsid w:val="00484D5A"/>
    <w:rsid w:val="00486FC6"/>
    <w:rsid w:val="00492D01"/>
    <w:rsid w:val="00495A75"/>
    <w:rsid w:val="00495F3F"/>
    <w:rsid w:val="004962A2"/>
    <w:rsid w:val="004B1E57"/>
    <w:rsid w:val="004B3B4C"/>
    <w:rsid w:val="004C2A11"/>
    <w:rsid w:val="004D074D"/>
    <w:rsid w:val="004D53E1"/>
    <w:rsid w:val="004D5D14"/>
    <w:rsid w:val="004E5FDC"/>
    <w:rsid w:val="004F3A9F"/>
    <w:rsid w:val="004F4413"/>
    <w:rsid w:val="004F5507"/>
    <w:rsid w:val="004F5CBD"/>
    <w:rsid w:val="00507206"/>
    <w:rsid w:val="00510426"/>
    <w:rsid w:val="0051088F"/>
    <w:rsid w:val="005126A1"/>
    <w:rsid w:val="00513B06"/>
    <w:rsid w:val="00522446"/>
    <w:rsid w:val="0052389E"/>
    <w:rsid w:val="00532141"/>
    <w:rsid w:val="00532A05"/>
    <w:rsid w:val="00533404"/>
    <w:rsid w:val="00550CBA"/>
    <w:rsid w:val="00554773"/>
    <w:rsid w:val="0056421D"/>
    <w:rsid w:val="00564BF2"/>
    <w:rsid w:val="005742CE"/>
    <w:rsid w:val="00575597"/>
    <w:rsid w:val="00581952"/>
    <w:rsid w:val="0058547F"/>
    <w:rsid w:val="00590833"/>
    <w:rsid w:val="0059171F"/>
    <w:rsid w:val="00596ED9"/>
    <w:rsid w:val="005A3528"/>
    <w:rsid w:val="005A45AD"/>
    <w:rsid w:val="005A6981"/>
    <w:rsid w:val="005A7968"/>
    <w:rsid w:val="005B3FA0"/>
    <w:rsid w:val="005B4365"/>
    <w:rsid w:val="005B4E81"/>
    <w:rsid w:val="005B6050"/>
    <w:rsid w:val="005C29D4"/>
    <w:rsid w:val="005C5640"/>
    <w:rsid w:val="005C6F7C"/>
    <w:rsid w:val="005D2A77"/>
    <w:rsid w:val="005F2B8D"/>
    <w:rsid w:val="005F5510"/>
    <w:rsid w:val="005F7C63"/>
    <w:rsid w:val="006038FF"/>
    <w:rsid w:val="00610015"/>
    <w:rsid w:val="0061630B"/>
    <w:rsid w:val="0063655B"/>
    <w:rsid w:val="00643887"/>
    <w:rsid w:val="00644094"/>
    <w:rsid w:val="00644A25"/>
    <w:rsid w:val="006523E0"/>
    <w:rsid w:val="006531C9"/>
    <w:rsid w:val="00653F87"/>
    <w:rsid w:val="006568F7"/>
    <w:rsid w:val="00662A5E"/>
    <w:rsid w:val="00662EB3"/>
    <w:rsid w:val="006752C9"/>
    <w:rsid w:val="00676B12"/>
    <w:rsid w:val="0068520B"/>
    <w:rsid w:val="00691997"/>
    <w:rsid w:val="006951BF"/>
    <w:rsid w:val="006A1448"/>
    <w:rsid w:val="006A3133"/>
    <w:rsid w:val="006A6139"/>
    <w:rsid w:val="006B13BF"/>
    <w:rsid w:val="006B7125"/>
    <w:rsid w:val="006C19FC"/>
    <w:rsid w:val="006C3EB1"/>
    <w:rsid w:val="006C6BBB"/>
    <w:rsid w:val="006C6EE2"/>
    <w:rsid w:val="006D775D"/>
    <w:rsid w:val="006E7C6C"/>
    <w:rsid w:val="006F6C8B"/>
    <w:rsid w:val="00700D73"/>
    <w:rsid w:val="007028B2"/>
    <w:rsid w:val="00705547"/>
    <w:rsid w:val="0070694A"/>
    <w:rsid w:val="00710103"/>
    <w:rsid w:val="00710FD0"/>
    <w:rsid w:val="00711F58"/>
    <w:rsid w:val="00713EA5"/>
    <w:rsid w:val="0072392C"/>
    <w:rsid w:val="007260A8"/>
    <w:rsid w:val="00726A02"/>
    <w:rsid w:val="00730B46"/>
    <w:rsid w:val="00732E2A"/>
    <w:rsid w:val="007344A9"/>
    <w:rsid w:val="00737C7F"/>
    <w:rsid w:val="00741E83"/>
    <w:rsid w:val="00742A13"/>
    <w:rsid w:val="00742B78"/>
    <w:rsid w:val="00742EF4"/>
    <w:rsid w:val="00751F8C"/>
    <w:rsid w:val="00753C66"/>
    <w:rsid w:val="007544AA"/>
    <w:rsid w:val="007558AF"/>
    <w:rsid w:val="0075679B"/>
    <w:rsid w:val="00773712"/>
    <w:rsid w:val="007774AA"/>
    <w:rsid w:val="0077772D"/>
    <w:rsid w:val="007918B9"/>
    <w:rsid w:val="007960E0"/>
    <w:rsid w:val="007B0871"/>
    <w:rsid w:val="007B5AA2"/>
    <w:rsid w:val="007B6614"/>
    <w:rsid w:val="007C259D"/>
    <w:rsid w:val="007C30DD"/>
    <w:rsid w:val="007C6858"/>
    <w:rsid w:val="007D111B"/>
    <w:rsid w:val="007D5C3B"/>
    <w:rsid w:val="007E5C23"/>
    <w:rsid w:val="007F25F7"/>
    <w:rsid w:val="008001FB"/>
    <w:rsid w:val="00801CD8"/>
    <w:rsid w:val="00810CB1"/>
    <w:rsid w:val="00814566"/>
    <w:rsid w:val="00815169"/>
    <w:rsid w:val="0082198F"/>
    <w:rsid w:val="00832B02"/>
    <w:rsid w:val="00832F88"/>
    <w:rsid w:val="008336A1"/>
    <w:rsid w:val="00835B42"/>
    <w:rsid w:val="00851E73"/>
    <w:rsid w:val="00852F7D"/>
    <w:rsid w:val="00861E2E"/>
    <w:rsid w:val="00871051"/>
    <w:rsid w:val="00874649"/>
    <w:rsid w:val="008763C5"/>
    <w:rsid w:val="00880D6B"/>
    <w:rsid w:val="00883D0B"/>
    <w:rsid w:val="0088699C"/>
    <w:rsid w:val="00890D23"/>
    <w:rsid w:val="00892EC5"/>
    <w:rsid w:val="00894EC2"/>
    <w:rsid w:val="00895024"/>
    <w:rsid w:val="00897D7F"/>
    <w:rsid w:val="008A39D0"/>
    <w:rsid w:val="008A4985"/>
    <w:rsid w:val="008A5492"/>
    <w:rsid w:val="008A5AC7"/>
    <w:rsid w:val="008B611D"/>
    <w:rsid w:val="008B73BA"/>
    <w:rsid w:val="008D2691"/>
    <w:rsid w:val="008D5E41"/>
    <w:rsid w:val="008E2CC2"/>
    <w:rsid w:val="008E5CEE"/>
    <w:rsid w:val="008F0DF6"/>
    <w:rsid w:val="008F5241"/>
    <w:rsid w:val="00902CB5"/>
    <w:rsid w:val="009061D7"/>
    <w:rsid w:val="00915EBA"/>
    <w:rsid w:val="00916544"/>
    <w:rsid w:val="00916CA3"/>
    <w:rsid w:val="00917DA6"/>
    <w:rsid w:val="009201CE"/>
    <w:rsid w:val="00922F66"/>
    <w:rsid w:val="00926040"/>
    <w:rsid w:val="009268C7"/>
    <w:rsid w:val="00926F31"/>
    <w:rsid w:val="00932A43"/>
    <w:rsid w:val="00935DF7"/>
    <w:rsid w:val="0093630C"/>
    <w:rsid w:val="00942F7C"/>
    <w:rsid w:val="009532BF"/>
    <w:rsid w:val="00956B9B"/>
    <w:rsid w:val="009642E8"/>
    <w:rsid w:val="00965634"/>
    <w:rsid w:val="00970A52"/>
    <w:rsid w:val="00971204"/>
    <w:rsid w:val="0097329B"/>
    <w:rsid w:val="00982BFA"/>
    <w:rsid w:val="00984439"/>
    <w:rsid w:val="009904C9"/>
    <w:rsid w:val="00991241"/>
    <w:rsid w:val="0099650E"/>
    <w:rsid w:val="009A2F4C"/>
    <w:rsid w:val="009A4DF6"/>
    <w:rsid w:val="009A670A"/>
    <w:rsid w:val="009A7B3F"/>
    <w:rsid w:val="009B603C"/>
    <w:rsid w:val="009B6E54"/>
    <w:rsid w:val="009C4058"/>
    <w:rsid w:val="009C4C02"/>
    <w:rsid w:val="009C4F38"/>
    <w:rsid w:val="009C7667"/>
    <w:rsid w:val="009D1AA4"/>
    <w:rsid w:val="009D2A50"/>
    <w:rsid w:val="009D2EFC"/>
    <w:rsid w:val="009D5A8B"/>
    <w:rsid w:val="009E0498"/>
    <w:rsid w:val="009F5AEF"/>
    <w:rsid w:val="009F7C65"/>
    <w:rsid w:val="00A0202F"/>
    <w:rsid w:val="00A04708"/>
    <w:rsid w:val="00A113C4"/>
    <w:rsid w:val="00A135BC"/>
    <w:rsid w:val="00A26A7D"/>
    <w:rsid w:val="00A32F75"/>
    <w:rsid w:val="00A34F98"/>
    <w:rsid w:val="00A35343"/>
    <w:rsid w:val="00A37A7A"/>
    <w:rsid w:val="00A422D6"/>
    <w:rsid w:val="00A42D9A"/>
    <w:rsid w:val="00A43D1D"/>
    <w:rsid w:val="00A45DBF"/>
    <w:rsid w:val="00A5128B"/>
    <w:rsid w:val="00A5466C"/>
    <w:rsid w:val="00A54716"/>
    <w:rsid w:val="00A55986"/>
    <w:rsid w:val="00A56414"/>
    <w:rsid w:val="00A57BF5"/>
    <w:rsid w:val="00A6050C"/>
    <w:rsid w:val="00A72F59"/>
    <w:rsid w:val="00A74722"/>
    <w:rsid w:val="00A90659"/>
    <w:rsid w:val="00A951D9"/>
    <w:rsid w:val="00A95EF8"/>
    <w:rsid w:val="00A97041"/>
    <w:rsid w:val="00A97AE8"/>
    <w:rsid w:val="00AB29DB"/>
    <w:rsid w:val="00AB392B"/>
    <w:rsid w:val="00AB6D35"/>
    <w:rsid w:val="00AC187D"/>
    <w:rsid w:val="00AC3FB0"/>
    <w:rsid w:val="00AC578C"/>
    <w:rsid w:val="00AD679B"/>
    <w:rsid w:val="00AD740C"/>
    <w:rsid w:val="00AE594C"/>
    <w:rsid w:val="00AF46CA"/>
    <w:rsid w:val="00AF4B52"/>
    <w:rsid w:val="00AF5B19"/>
    <w:rsid w:val="00B003E1"/>
    <w:rsid w:val="00B0564F"/>
    <w:rsid w:val="00B06ACF"/>
    <w:rsid w:val="00B10C8E"/>
    <w:rsid w:val="00B1124D"/>
    <w:rsid w:val="00B16F22"/>
    <w:rsid w:val="00B200D9"/>
    <w:rsid w:val="00B269FD"/>
    <w:rsid w:val="00B27A44"/>
    <w:rsid w:val="00B3443C"/>
    <w:rsid w:val="00B46770"/>
    <w:rsid w:val="00B4732A"/>
    <w:rsid w:val="00B671CE"/>
    <w:rsid w:val="00B67DB6"/>
    <w:rsid w:val="00B70727"/>
    <w:rsid w:val="00B71468"/>
    <w:rsid w:val="00B75494"/>
    <w:rsid w:val="00B8283C"/>
    <w:rsid w:val="00B83F6F"/>
    <w:rsid w:val="00B85DFA"/>
    <w:rsid w:val="00B87E8B"/>
    <w:rsid w:val="00B90BC7"/>
    <w:rsid w:val="00B9666F"/>
    <w:rsid w:val="00B970D3"/>
    <w:rsid w:val="00B976D8"/>
    <w:rsid w:val="00B977BD"/>
    <w:rsid w:val="00BA22B9"/>
    <w:rsid w:val="00BA728C"/>
    <w:rsid w:val="00BB6CC6"/>
    <w:rsid w:val="00BC18CC"/>
    <w:rsid w:val="00BD1B21"/>
    <w:rsid w:val="00BE3883"/>
    <w:rsid w:val="00BE3D2D"/>
    <w:rsid w:val="00BE474A"/>
    <w:rsid w:val="00BF0E97"/>
    <w:rsid w:val="00BF3988"/>
    <w:rsid w:val="00BF520A"/>
    <w:rsid w:val="00BF7778"/>
    <w:rsid w:val="00C07F10"/>
    <w:rsid w:val="00C17C0D"/>
    <w:rsid w:val="00C2192A"/>
    <w:rsid w:val="00C21CFB"/>
    <w:rsid w:val="00C444D2"/>
    <w:rsid w:val="00C4513F"/>
    <w:rsid w:val="00C63BF2"/>
    <w:rsid w:val="00C7064A"/>
    <w:rsid w:val="00C72944"/>
    <w:rsid w:val="00C7382B"/>
    <w:rsid w:val="00C779A5"/>
    <w:rsid w:val="00C828B4"/>
    <w:rsid w:val="00C937B7"/>
    <w:rsid w:val="00C97E9E"/>
    <w:rsid w:val="00CA3FDA"/>
    <w:rsid w:val="00CA7030"/>
    <w:rsid w:val="00CA7EAC"/>
    <w:rsid w:val="00CB1F17"/>
    <w:rsid w:val="00CB1F8C"/>
    <w:rsid w:val="00CB5ED5"/>
    <w:rsid w:val="00CB7801"/>
    <w:rsid w:val="00CC4FF7"/>
    <w:rsid w:val="00CD3082"/>
    <w:rsid w:val="00CE04B3"/>
    <w:rsid w:val="00CE2E2A"/>
    <w:rsid w:val="00CE3635"/>
    <w:rsid w:val="00CE5695"/>
    <w:rsid w:val="00CF1A93"/>
    <w:rsid w:val="00CF2463"/>
    <w:rsid w:val="00CF2715"/>
    <w:rsid w:val="00CF6F9F"/>
    <w:rsid w:val="00D00F6E"/>
    <w:rsid w:val="00D07CC0"/>
    <w:rsid w:val="00D1452F"/>
    <w:rsid w:val="00D15C94"/>
    <w:rsid w:val="00D232F7"/>
    <w:rsid w:val="00D239CC"/>
    <w:rsid w:val="00D27BBB"/>
    <w:rsid w:val="00D353C9"/>
    <w:rsid w:val="00D4576D"/>
    <w:rsid w:val="00D54FC4"/>
    <w:rsid w:val="00D57348"/>
    <w:rsid w:val="00D66262"/>
    <w:rsid w:val="00D67795"/>
    <w:rsid w:val="00D71493"/>
    <w:rsid w:val="00D74178"/>
    <w:rsid w:val="00D74F69"/>
    <w:rsid w:val="00D813BF"/>
    <w:rsid w:val="00D81E8C"/>
    <w:rsid w:val="00D824FB"/>
    <w:rsid w:val="00D91CB8"/>
    <w:rsid w:val="00D93184"/>
    <w:rsid w:val="00D93438"/>
    <w:rsid w:val="00D93B13"/>
    <w:rsid w:val="00D9400B"/>
    <w:rsid w:val="00DB128F"/>
    <w:rsid w:val="00DB77E1"/>
    <w:rsid w:val="00DC04FC"/>
    <w:rsid w:val="00DC192C"/>
    <w:rsid w:val="00DC4E0E"/>
    <w:rsid w:val="00DD1DB2"/>
    <w:rsid w:val="00DD5B99"/>
    <w:rsid w:val="00DE28F6"/>
    <w:rsid w:val="00DE737D"/>
    <w:rsid w:val="00DE75D6"/>
    <w:rsid w:val="00DF4897"/>
    <w:rsid w:val="00E01F1B"/>
    <w:rsid w:val="00E0718E"/>
    <w:rsid w:val="00E07287"/>
    <w:rsid w:val="00E147B7"/>
    <w:rsid w:val="00E206AE"/>
    <w:rsid w:val="00E20B8A"/>
    <w:rsid w:val="00E219A5"/>
    <w:rsid w:val="00E2285E"/>
    <w:rsid w:val="00E360D8"/>
    <w:rsid w:val="00E415E4"/>
    <w:rsid w:val="00E426C4"/>
    <w:rsid w:val="00E43376"/>
    <w:rsid w:val="00E4418C"/>
    <w:rsid w:val="00E46FFB"/>
    <w:rsid w:val="00E50135"/>
    <w:rsid w:val="00E5025C"/>
    <w:rsid w:val="00E646D0"/>
    <w:rsid w:val="00E704AC"/>
    <w:rsid w:val="00E71488"/>
    <w:rsid w:val="00E72571"/>
    <w:rsid w:val="00E75E11"/>
    <w:rsid w:val="00E80942"/>
    <w:rsid w:val="00E811DE"/>
    <w:rsid w:val="00E8197F"/>
    <w:rsid w:val="00E85005"/>
    <w:rsid w:val="00E90691"/>
    <w:rsid w:val="00E92199"/>
    <w:rsid w:val="00E92CF2"/>
    <w:rsid w:val="00E93D15"/>
    <w:rsid w:val="00E96631"/>
    <w:rsid w:val="00EA36D1"/>
    <w:rsid w:val="00EB0E49"/>
    <w:rsid w:val="00EB6A80"/>
    <w:rsid w:val="00EC72F0"/>
    <w:rsid w:val="00ED14D2"/>
    <w:rsid w:val="00ED2505"/>
    <w:rsid w:val="00ED45FC"/>
    <w:rsid w:val="00EE0083"/>
    <w:rsid w:val="00EE1B15"/>
    <w:rsid w:val="00EE2C7A"/>
    <w:rsid w:val="00EE3A74"/>
    <w:rsid w:val="00EE58AE"/>
    <w:rsid w:val="00EF1A26"/>
    <w:rsid w:val="00EF4569"/>
    <w:rsid w:val="00EF6703"/>
    <w:rsid w:val="00F01939"/>
    <w:rsid w:val="00F113BA"/>
    <w:rsid w:val="00F12BBB"/>
    <w:rsid w:val="00F153D9"/>
    <w:rsid w:val="00F155C5"/>
    <w:rsid w:val="00F2290E"/>
    <w:rsid w:val="00F22B95"/>
    <w:rsid w:val="00F31FB9"/>
    <w:rsid w:val="00F35FC3"/>
    <w:rsid w:val="00F37E19"/>
    <w:rsid w:val="00F40A77"/>
    <w:rsid w:val="00F501D8"/>
    <w:rsid w:val="00F60C5B"/>
    <w:rsid w:val="00F60E60"/>
    <w:rsid w:val="00F61910"/>
    <w:rsid w:val="00F62BE9"/>
    <w:rsid w:val="00F64E53"/>
    <w:rsid w:val="00F65F26"/>
    <w:rsid w:val="00F66677"/>
    <w:rsid w:val="00F67053"/>
    <w:rsid w:val="00F723A9"/>
    <w:rsid w:val="00F7262C"/>
    <w:rsid w:val="00F72E3C"/>
    <w:rsid w:val="00F84986"/>
    <w:rsid w:val="00F90AE7"/>
    <w:rsid w:val="00F9275C"/>
    <w:rsid w:val="00F92CB5"/>
    <w:rsid w:val="00F953B2"/>
    <w:rsid w:val="00FA0EC3"/>
    <w:rsid w:val="00FA1A54"/>
    <w:rsid w:val="00FA3ED3"/>
    <w:rsid w:val="00FA69FA"/>
    <w:rsid w:val="00FB1846"/>
    <w:rsid w:val="00FB379D"/>
    <w:rsid w:val="00FC20EA"/>
    <w:rsid w:val="00FC4A35"/>
    <w:rsid w:val="00FC7AA6"/>
    <w:rsid w:val="00FD36D0"/>
    <w:rsid w:val="00FD6813"/>
    <w:rsid w:val="00FE4FFC"/>
    <w:rsid w:val="00FE7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71B51"/>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Normal bullet 2,Bullet list,Saistīto dokumentu saraksts,Syle 1,Numurets,List Paragraph11,OBC Bullet,Bullet Style,L"/>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Normal bullet 2 Char,Bullet list Char,Saistīto dokumentu saraksts Char,Syle 1 Char,Numurets Char,List Paragraph11 Char,OBC Bullet Char,Bullet Style Char,L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B71468"/>
    <w:rPr>
      <w:sz w:val="16"/>
      <w:szCs w:val="16"/>
    </w:rPr>
  </w:style>
  <w:style w:type="paragraph" w:styleId="CommentText">
    <w:name w:val="annotation text"/>
    <w:basedOn w:val="Normal"/>
    <w:link w:val="CommentTextChar"/>
    <w:uiPriority w:val="99"/>
    <w:unhideWhenUsed/>
    <w:rsid w:val="00B71468"/>
    <w:rPr>
      <w:sz w:val="20"/>
      <w:szCs w:val="20"/>
    </w:rPr>
  </w:style>
  <w:style w:type="character" w:customStyle="1" w:styleId="CommentTextChar">
    <w:name w:val="Comment Text Char"/>
    <w:basedOn w:val="DefaultParagraphFont"/>
    <w:link w:val="CommentText"/>
    <w:uiPriority w:val="99"/>
    <w:rsid w:val="00B7146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71468"/>
    <w:rPr>
      <w:b/>
      <w:bCs/>
    </w:rPr>
  </w:style>
  <w:style w:type="character" w:customStyle="1" w:styleId="CommentSubjectChar">
    <w:name w:val="Comment Subject Char"/>
    <w:basedOn w:val="CommentTextChar"/>
    <w:link w:val="CommentSubject"/>
    <w:uiPriority w:val="99"/>
    <w:semiHidden/>
    <w:rsid w:val="00B71468"/>
    <w:rPr>
      <w:rFonts w:eastAsia="Times New Roman" w:cs="Times New Roman"/>
      <w:b/>
      <w:bCs/>
      <w:sz w:val="20"/>
      <w:szCs w:val="20"/>
      <w:lang w:eastAsia="lv-LV"/>
    </w:rPr>
  </w:style>
  <w:style w:type="paragraph" w:styleId="Revision">
    <w:name w:val="Revision"/>
    <w:hidden/>
    <w:uiPriority w:val="99"/>
    <w:semiHidden/>
    <w:rsid w:val="00DD5B99"/>
    <w:rPr>
      <w:rFonts w:eastAsia="Times New Roman" w:cs="Times New Roman"/>
      <w:sz w:val="24"/>
      <w:szCs w:val="24"/>
      <w:lang w:eastAsia="lv-LV"/>
    </w:rPr>
  </w:style>
  <w:style w:type="paragraph" w:customStyle="1" w:styleId="tv213">
    <w:name w:val="tv213"/>
    <w:basedOn w:val="Normal"/>
    <w:rsid w:val="00C7064A"/>
    <w:pPr>
      <w:spacing w:before="100" w:beforeAutospacing="1" w:after="100" w:afterAutospacing="1"/>
    </w:pPr>
  </w:style>
  <w:style w:type="character" w:styleId="UnresolvedMention">
    <w:name w:val="Unresolved Mention"/>
    <w:basedOn w:val="DefaultParagraphFont"/>
    <w:uiPriority w:val="99"/>
    <w:semiHidden/>
    <w:unhideWhenUsed/>
    <w:rsid w:val="00890D23"/>
    <w:rPr>
      <w:color w:val="605E5C"/>
      <w:shd w:val="clear" w:color="auto" w:fill="E1DFDD"/>
    </w:rPr>
  </w:style>
  <w:style w:type="paragraph" w:styleId="FootnoteText">
    <w:name w:val="footnote text"/>
    <w:basedOn w:val="Normal"/>
    <w:link w:val="FootnoteTextChar"/>
    <w:uiPriority w:val="99"/>
    <w:semiHidden/>
    <w:rsid w:val="00D9400B"/>
    <w:pPr>
      <w:jc w:val="both"/>
    </w:pPr>
    <w:rPr>
      <w:sz w:val="20"/>
      <w:szCs w:val="20"/>
      <w:lang w:eastAsia="en-US"/>
    </w:rPr>
  </w:style>
  <w:style w:type="character" w:customStyle="1" w:styleId="FootnoteTextChar">
    <w:name w:val="Footnote Text Char"/>
    <w:basedOn w:val="DefaultParagraphFont"/>
    <w:link w:val="FootnoteText"/>
    <w:uiPriority w:val="99"/>
    <w:semiHidden/>
    <w:rsid w:val="00D9400B"/>
    <w:rPr>
      <w:rFonts w:eastAsia="Times New Roman" w:cs="Times New Roman"/>
      <w:sz w:val="20"/>
      <w:szCs w:val="20"/>
    </w:rPr>
  </w:style>
  <w:style w:type="character" w:styleId="FootnoteReference">
    <w:name w:val="footnote reference"/>
    <w:basedOn w:val="DefaultParagraphFont"/>
    <w:uiPriority w:val="99"/>
    <w:semiHidden/>
    <w:unhideWhenUsed/>
    <w:rsid w:val="006531C9"/>
    <w:rPr>
      <w:vertAlign w:val="superscript"/>
    </w:rPr>
  </w:style>
  <w:style w:type="paragraph" w:customStyle="1" w:styleId="h2">
    <w:name w:val="h2"/>
    <w:basedOn w:val="Normal"/>
    <w:uiPriority w:val="99"/>
    <w:rsid w:val="00074C77"/>
    <w:pPr>
      <w:spacing w:before="100" w:beforeAutospacing="1" w:after="100" w:afterAutospacing="1"/>
    </w:pPr>
    <w:rPr>
      <w:color w:val="306060"/>
    </w:rPr>
  </w:style>
  <w:style w:type="table" w:styleId="TableGrid">
    <w:name w:val="Table Grid"/>
    <w:basedOn w:val="TableNormal"/>
    <w:uiPriority w:val="39"/>
    <w:rsid w:val="0074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0609">
      <w:bodyDiv w:val="1"/>
      <w:marLeft w:val="0"/>
      <w:marRight w:val="0"/>
      <w:marTop w:val="0"/>
      <w:marBottom w:val="0"/>
      <w:divBdr>
        <w:top w:val="none" w:sz="0" w:space="0" w:color="auto"/>
        <w:left w:val="none" w:sz="0" w:space="0" w:color="auto"/>
        <w:bottom w:val="none" w:sz="0" w:space="0" w:color="auto"/>
        <w:right w:val="none" w:sz="0" w:space="0" w:color="auto"/>
      </w:divBdr>
    </w:div>
    <w:div w:id="278725064">
      <w:bodyDiv w:val="1"/>
      <w:marLeft w:val="0"/>
      <w:marRight w:val="0"/>
      <w:marTop w:val="0"/>
      <w:marBottom w:val="0"/>
      <w:divBdr>
        <w:top w:val="none" w:sz="0" w:space="0" w:color="auto"/>
        <w:left w:val="none" w:sz="0" w:space="0" w:color="auto"/>
        <w:bottom w:val="none" w:sz="0" w:space="0" w:color="auto"/>
        <w:right w:val="none" w:sz="0" w:space="0" w:color="auto"/>
      </w:divBdr>
    </w:div>
    <w:div w:id="682821239">
      <w:bodyDiv w:val="1"/>
      <w:marLeft w:val="0"/>
      <w:marRight w:val="0"/>
      <w:marTop w:val="0"/>
      <w:marBottom w:val="0"/>
      <w:divBdr>
        <w:top w:val="none" w:sz="0" w:space="0" w:color="auto"/>
        <w:left w:val="none" w:sz="0" w:space="0" w:color="auto"/>
        <w:bottom w:val="none" w:sz="0" w:space="0" w:color="auto"/>
        <w:right w:val="none" w:sz="0" w:space="0" w:color="auto"/>
      </w:divBdr>
    </w:div>
    <w:div w:id="760685287">
      <w:bodyDiv w:val="1"/>
      <w:marLeft w:val="0"/>
      <w:marRight w:val="0"/>
      <w:marTop w:val="0"/>
      <w:marBottom w:val="0"/>
      <w:divBdr>
        <w:top w:val="none" w:sz="0" w:space="0" w:color="auto"/>
        <w:left w:val="none" w:sz="0" w:space="0" w:color="auto"/>
        <w:bottom w:val="none" w:sz="0" w:space="0" w:color="auto"/>
        <w:right w:val="none" w:sz="0" w:space="0" w:color="auto"/>
      </w:divBdr>
    </w:div>
    <w:div w:id="925577708">
      <w:bodyDiv w:val="1"/>
      <w:marLeft w:val="0"/>
      <w:marRight w:val="0"/>
      <w:marTop w:val="0"/>
      <w:marBottom w:val="0"/>
      <w:divBdr>
        <w:top w:val="none" w:sz="0" w:space="0" w:color="auto"/>
        <w:left w:val="none" w:sz="0" w:space="0" w:color="auto"/>
        <w:bottom w:val="none" w:sz="0" w:space="0" w:color="auto"/>
        <w:right w:val="none" w:sz="0" w:space="0" w:color="auto"/>
      </w:divBdr>
    </w:div>
    <w:div w:id="957638139">
      <w:bodyDiv w:val="1"/>
      <w:marLeft w:val="0"/>
      <w:marRight w:val="0"/>
      <w:marTop w:val="0"/>
      <w:marBottom w:val="0"/>
      <w:divBdr>
        <w:top w:val="none" w:sz="0" w:space="0" w:color="auto"/>
        <w:left w:val="none" w:sz="0" w:space="0" w:color="auto"/>
        <w:bottom w:val="none" w:sz="0" w:space="0" w:color="auto"/>
        <w:right w:val="none" w:sz="0" w:space="0" w:color="auto"/>
      </w:divBdr>
    </w:div>
    <w:div w:id="1453936696">
      <w:bodyDiv w:val="1"/>
      <w:marLeft w:val="0"/>
      <w:marRight w:val="0"/>
      <w:marTop w:val="0"/>
      <w:marBottom w:val="0"/>
      <w:divBdr>
        <w:top w:val="none" w:sz="0" w:space="0" w:color="auto"/>
        <w:left w:val="none" w:sz="0" w:space="0" w:color="auto"/>
        <w:bottom w:val="none" w:sz="0" w:space="0" w:color="auto"/>
        <w:right w:val="none" w:sz="0" w:space="0" w:color="auto"/>
      </w:divBdr>
    </w:div>
    <w:div w:id="1570460701">
      <w:bodyDiv w:val="1"/>
      <w:marLeft w:val="0"/>
      <w:marRight w:val="0"/>
      <w:marTop w:val="0"/>
      <w:marBottom w:val="0"/>
      <w:divBdr>
        <w:top w:val="none" w:sz="0" w:space="0" w:color="auto"/>
        <w:left w:val="none" w:sz="0" w:space="0" w:color="auto"/>
        <w:bottom w:val="none" w:sz="0" w:space="0" w:color="auto"/>
        <w:right w:val="none" w:sz="0" w:space="0" w:color="auto"/>
      </w:divBdr>
    </w:div>
    <w:div w:id="204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CE56-C031-4CE3-A0D0-6CA1818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25619</Words>
  <Characters>14604</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EMIzzina_30092019_Groz160.docx</vt:lpstr>
    </vt:vector>
  </TitlesOfParts>
  <Company>Ekonomikas ministrija</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EMIzzina_30092019_Groz160.docx</dc:title>
  <dc:subject>Izziņa par atzinumos sniegtajiem iebildumiem un priekšlikumiem</dc:subject>
  <dc:creator>Janis.Silins@em.gov.lv</dc:creator>
  <cp:keywords/>
  <dc:description>Iveta.Muceniece@em.gov.lv
67013161</dc:description>
  <cp:lastModifiedBy>Haralds Skarbnieks</cp:lastModifiedBy>
  <cp:revision>8</cp:revision>
  <cp:lastPrinted>2019-05-13T14:06:00Z</cp:lastPrinted>
  <dcterms:created xsi:type="dcterms:W3CDTF">2020-05-11T09:37:00Z</dcterms:created>
  <dcterms:modified xsi:type="dcterms:W3CDTF">2020-05-14T06:54:00Z</dcterms:modified>
</cp:coreProperties>
</file>