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5AC7" w14:textId="7AE99AF7" w:rsidR="00E543FA" w:rsidRPr="005F74CD" w:rsidRDefault="00E543FA" w:rsidP="000D3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AEF90" w14:textId="3D1CD3AF" w:rsidR="005F74CD" w:rsidRPr="005F74CD" w:rsidRDefault="005F74CD" w:rsidP="000D3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F1C7E7" w14:textId="0C8F143F" w:rsidR="005F74CD" w:rsidRPr="005F74CD" w:rsidRDefault="005F74CD" w:rsidP="000D3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087386" w14:textId="3BF19BA1" w:rsidR="005F74CD" w:rsidRPr="005F74CD" w:rsidRDefault="005F74CD" w:rsidP="000D3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EC479B" w14:textId="77777777" w:rsidR="005F74CD" w:rsidRPr="005F74CD" w:rsidRDefault="005F74CD" w:rsidP="000D30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23DA60" w14:textId="2485B823" w:rsidR="003831A7" w:rsidRPr="003831A7" w:rsidRDefault="003831A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1A7">
        <w:rPr>
          <w:rFonts w:ascii="Times New Roman" w:hAnsi="Times New Roman"/>
          <w:sz w:val="28"/>
          <w:szCs w:val="28"/>
        </w:rPr>
        <w:t xml:space="preserve">2020. gada </w:t>
      </w:r>
      <w:r w:rsidR="00446A7E">
        <w:rPr>
          <w:rFonts w:ascii="Times New Roman" w:eastAsia="Times New Roman" w:hAnsi="Times New Roman" w:cs="Times New Roman"/>
          <w:sz w:val="28"/>
          <w:szCs w:val="28"/>
        </w:rPr>
        <w:t>16. jūnijā</w:t>
      </w:r>
      <w:r w:rsidRPr="003831A7">
        <w:rPr>
          <w:rFonts w:ascii="Times New Roman" w:hAnsi="Times New Roman"/>
          <w:sz w:val="28"/>
          <w:szCs w:val="28"/>
        </w:rPr>
        <w:tab/>
        <w:t>Noteikumi Nr.</w:t>
      </w:r>
      <w:r w:rsidR="00446A7E">
        <w:rPr>
          <w:rFonts w:ascii="Times New Roman" w:hAnsi="Times New Roman"/>
          <w:sz w:val="28"/>
          <w:szCs w:val="28"/>
        </w:rPr>
        <w:t> 387</w:t>
      </w:r>
    </w:p>
    <w:p w14:paraId="157D6726" w14:textId="2E7209F4" w:rsidR="003831A7" w:rsidRPr="003831A7" w:rsidRDefault="003831A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31A7">
        <w:rPr>
          <w:rFonts w:ascii="Times New Roman" w:hAnsi="Times New Roman"/>
          <w:sz w:val="28"/>
          <w:szCs w:val="28"/>
        </w:rPr>
        <w:t>Rīgā</w:t>
      </w:r>
      <w:r w:rsidRPr="003831A7">
        <w:rPr>
          <w:rFonts w:ascii="Times New Roman" w:hAnsi="Times New Roman"/>
          <w:sz w:val="28"/>
          <w:szCs w:val="28"/>
        </w:rPr>
        <w:tab/>
        <w:t>(prot. Nr.</w:t>
      </w:r>
      <w:r w:rsidR="00446A7E">
        <w:rPr>
          <w:rFonts w:ascii="Times New Roman" w:hAnsi="Times New Roman"/>
          <w:sz w:val="28"/>
          <w:szCs w:val="28"/>
        </w:rPr>
        <w:t> 41 8</w:t>
      </w:r>
      <w:bookmarkStart w:id="0" w:name="_GoBack"/>
      <w:bookmarkEnd w:id="0"/>
      <w:r w:rsidRPr="003831A7">
        <w:rPr>
          <w:rFonts w:ascii="Times New Roman" w:hAnsi="Times New Roman"/>
          <w:sz w:val="28"/>
          <w:szCs w:val="28"/>
        </w:rPr>
        <w:t>. §)</w:t>
      </w:r>
    </w:p>
    <w:p w14:paraId="18EC5ACA" w14:textId="77777777" w:rsidR="00F7384B" w:rsidRPr="005F74CD" w:rsidRDefault="00F7384B" w:rsidP="000D3057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14:paraId="18EC5ACB" w14:textId="2532F8D7" w:rsidR="00D57623" w:rsidRPr="003831A7" w:rsidRDefault="00D57623" w:rsidP="000D305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</w:t>
      </w:r>
      <w:r w:rsidR="0060016A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2B7ECD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30</w:t>
      </w:r>
      <w:r w:rsidR="00D16F4C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60016A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D16F4C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jūnija</w:t>
      </w:r>
      <w:r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60016A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2B7ECD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D16F4C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="006E0534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561634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Latvijas būvnormatīvu LBN</w:t>
      </w:r>
      <w:r w:rsidR="0060016A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561634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B7ECD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08</w:t>
      </w:r>
      <w:r w:rsidR="00561634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-15 </w:t>
      </w:r>
      <w:r w:rsid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B7ECD" w:rsidRPr="003831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Publiskas būves</w:t>
      </w:r>
      <w:r w:rsidR="003831A7">
        <w:rPr>
          <w:rFonts w:ascii="Times New Roman" w:hAnsi="Times New Roman" w:cs="Times New Roman"/>
          <w:b/>
          <w:bCs/>
          <w:sz w:val="28"/>
          <w:szCs w:val="28"/>
        </w:rPr>
        <w:t>""</w:t>
      </w:r>
    </w:p>
    <w:p w14:paraId="18EC5ACC" w14:textId="77777777" w:rsidR="000D3057" w:rsidRPr="003831A7" w:rsidRDefault="000D3057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9815E7" w14:textId="77777777" w:rsidR="005F74CD" w:rsidRDefault="00D57623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</w:t>
      </w:r>
      <w:r w:rsidRPr="0038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saskaņā ar </w:t>
      </w:r>
    </w:p>
    <w:p w14:paraId="18EC5ACD" w14:textId="06DD732C" w:rsidR="00D57623" w:rsidRPr="003831A7" w:rsidRDefault="00D57623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Būvniecības likuma</w:t>
      </w:r>
      <w:r w:rsidRPr="0038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  <w:t>5.</w:t>
      </w:r>
      <w:r w:rsidR="0060016A" w:rsidRPr="0038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pirmās 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3.</w:t>
      </w:r>
      <w:r w:rsidR="0060016A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18EC5ACE" w14:textId="77777777" w:rsidR="000D3057" w:rsidRPr="003831A7" w:rsidRDefault="000D3057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EC5ACF" w14:textId="65756A49" w:rsidR="00D16F4C" w:rsidRPr="003831A7" w:rsidRDefault="00D57623" w:rsidP="000D305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2015.</w:t>
      </w:r>
      <w:r w:rsidR="001D2FB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2B7ECD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2FB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noteikumos Nr.</w:t>
      </w:r>
      <w:r w:rsidR="001D2FB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B7ECD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6163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163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Latvijas būvnormatīvu LBN 2</w:t>
      </w:r>
      <w:r w:rsidR="002B7ECD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08</w:t>
      </w:r>
      <w:r w:rsidR="0056163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-15 </w:t>
      </w:r>
      <w:r w:rsid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B7ECD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Publiskas būves</w:t>
      </w:r>
      <w:r w:rsidR="003831A7">
        <w:rPr>
          <w:rFonts w:ascii="Times New Roman" w:hAnsi="Times New Roman" w:cs="Times New Roman"/>
          <w:sz w:val="28"/>
          <w:szCs w:val="28"/>
        </w:rPr>
        <w:t>""</w:t>
      </w:r>
      <w:r w:rsidR="006E053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2015, 125. nr.</w:t>
      </w:r>
      <w:r w:rsidR="000D3057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84.</w:t>
      </w:r>
      <w:r w:rsidR="00D12727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D3057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</w:t>
      </w:r>
      <w:r w:rsidR="00D23C7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8EC5AD0" w14:textId="77777777" w:rsidR="000D3057" w:rsidRPr="003831A7" w:rsidRDefault="000D3057" w:rsidP="000D305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8EC5AD1" w14:textId="77777777" w:rsidR="004E49A4" w:rsidRPr="003831A7" w:rsidRDefault="001D2FBC" w:rsidP="000D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53E1B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E49A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AE030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65260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49A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8EC5AD2" w14:textId="77777777" w:rsidR="000D3057" w:rsidRPr="003831A7" w:rsidRDefault="000D3057" w:rsidP="000D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EC5AD3" w14:textId="3C0428C4" w:rsidR="00865260" w:rsidRPr="003831A7" w:rsidRDefault="003831A7" w:rsidP="000D305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030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E49A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2FB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1875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ieceres dokumentācij</w:t>
      </w:r>
      <w:r w:rsidR="00EA342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31875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EA34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</w:t>
      </w:r>
      <w:r w:rsidR="00C31875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F2C08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EA342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6F2C08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EA342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6F2C08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būvniecības jomā </w:t>
      </w:r>
      <w:r w:rsidR="00C31875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saskaņota (akceptēta) vai iesniegta saskaņošanai institūcijā, kas pilda būvvaldes funkcijas, </w:t>
      </w:r>
      <w:r w:rsidR="00D42968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</w:t>
      </w:r>
      <w:r w:rsidR="00AB487C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635B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F4B9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7635B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4B9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  <w:r w:rsidR="00D42968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9B0E43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nav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0E43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pārstrādā atbilstoši </w:t>
      </w:r>
      <w:r w:rsidR="00077E60" w:rsidRPr="003831A7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būvnormatīva LBN 2</w:t>
      </w:r>
      <w:r w:rsidR="00BF4B96" w:rsidRPr="003831A7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077E60" w:rsidRPr="00383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-15 </w:t>
      </w:r>
      <w:r w:rsidR="00BF4B9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89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7635B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4B9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un 89.</w:t>
      </w:r>
      <w:r w:rsidR="00BF4B96" w:rsidRPr="003831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F4B9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 p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5F74CD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noteiktajām</w:t>
      </w:r>
      <w:r w:rsidR="005B5E86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F7635B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8EC5AD4" w14:textId="77777777" w:rsidR="000D3057" w:rsidRPr="003831A7" w:rsidRDefault="000D3057" w:rsidP="000D3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EC5AD5" w14:textId="77777777" w:rsidR="00F71D35" w:rsidRPr="003831A7" w:rsidRDefault="001D2FBC" w:rsidP="000D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4E49A4" w:rsidRPr="003831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4E49A4" w:rsidRPr="003831A7">
        <w:rPr>
          <w:rFonts w:ascii="Times New Roman" w:hAnsi="Times New Roman" w:cs="Times New Roman"/>
          <w:sz w:val="28"/>
          <w:szCs w:val="28"/>
        </w:rPr>
        <w:t>būvnormatīv</w:t>
      </w:r>
      <w:r w:rsidR="00561634" w:rsidRPr="003831A7">
        <w:rPr>
          <w:rFonts w:ascii="Times New Roman" w:hAnsi="Times New Roman" w:cs="Times New Roman"/>
          <w:sz w:val="28"/>
          <w:szCs w:val="28"/>
        </w:rPr>
        <w:t>u ar 5.</w:t>
      </w:r>
      <w:r w:rsidR="00F71D35" w:rsidRPr="003831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53E1B" w:rsidRPr="003831A7">
        <w:rPr>
          <w:rFonts w:ascii="Times New Roman" w:hAnsi="Times New Roman" w:cs="Times New Roman"/>
          <w:sz w:val="28"/>
          <w:szCs w:val="28"/>
        </w:rPr>
        <w:t> </w:t>
      </w:r>
      <w:r w:rsidR="00D72DBA" w:rsidRPr="003831A7">
        <w:rPr>
          <w:rFonts w:ascii="Times New Roman" w:hAnsi="Times New Roman" w:cs="Times New Roman"/>
          <w:sz w:val="28"/>
          <w:szCs w:val="28"/>
        </w:rPr>
        <w:t>nodaļ</w:t>
      </w:r>
      <w:r w:rsidR="00F71D35" w:rsidRPr="003831A7">
        <w:rPr>
          <w:rFonts w:ascii="Times New Roman" w:hAnsi="Times New Roman" w:cs="Times New Roman"/>
          <w:sz w:val="28"/>
          <w:szCs w:val="28"/>
        </w:rPr>
        <w:t>u šādā redakcijā:</w:t>
      </w:r>
    </w:p>
    <w:p w14:paraId="18EC5AD6" w14:textId="77777777" w:rsidR="00D72DBA" w:rsidRPr="003831A7" w:rsidRDefault="00D72DBA" w:rsidP="000D305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EC5AD7" w14:textId="231EEBCB" w:rsidR="00D72DBA" w:rsidRPr="003831A7" w:rsidRDefault="003831A7" w:rsidP="000D305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2DBA" w:rsidRPr="003831A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D72DBA" w:rsidRPr="00383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517B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72DBA" w:rsidRPr="003831A7">
        <w:rPr>
          <w:rFonts w:ascii="Times New Roman" w:hAnsi="Times New Roman" w:cs="Times New Roman"/>
          <w:b/>
          <w:bCs/>
          <w:sz w:val="28"/>
          <w:szCs w:val="28"/>
        </w:rPr>
        <w:t xml:space="preserve">Prasības </w:t>
      </w:r>
      <w:proofErr w:type="spellStart"/>
      <w:r w:rsidR="00D72DBA" w:rsidRPr="003831A7">
        <w:rPr>
          <w:rFonts w:ascii="Times New Roman" w:hAnsi="Times New Roman" w:cs="Times New Roman"/>
          <w:b/>
          <w:bCs/>
          <w:sz w:val="28"/>
          <w:szCs w:val="28"/>
        </w:rPr>
        <w:t>elektromobilitātei</w:t>
      </w:r>
      <w:proofErr w:type="spellEnd"/>
    </w:p>
    <w:p w14:paraId="18EC5AD8" w14:textId="77777777" w:rsidR="00D72DBA" w:rsidRPr="003831A7" w:rsidRDefault="00D72DBA" w:rsidP="000D3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C5AD9" w14:textId="3072E326" w:rsidR="00D72DBA" w:rsidRPr="003831A7" w:rsidRDefault="00D72DBA" w:rsidP="000D305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A7">
        <w:rPr>
          <w:rFonts w:ascii="Times New Roman" w:hAnsi="Times New Roman" w:cs="Times New Roman"/>
          <w:sz w:val="28"/>
          <w:szCs w:val="28"/>
        </w:rPr>
        <w:t>89.</w:t>
      </w:r>
      <w:r w:rsidRPr="003831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31A7">
        <w:rPr>
          <w:rFonts w:ascii="Times New Roman" w:hAnsi="Times New Roman" w:cs="Times New Roman"/>
          <w:sz w:val="28"/>
          <w:szCs w:val="28"/>
        </w:rPr>
        <w:t xml:space="preserve"> Publiskās </w:t>
      </w:r>
      <w:r w:rsidR="00593185" w:rsidRPr="003831A7">
        <w:rPr>
          <w:rFonts w:ascii="Times New Roman" w:hAnsi="Times New Roman" w:cs="Times New Roman"/>
          <w:sz w:val="28"/>
          <w:szCs w:val="28"/>
        </w:rPr>
        <w:t>ēkā</w:t>
      </w:r>
      <w:r w:rsidRPr="003831A7">
        <w:rPr>
          <w:rFonts w:ascii="Times New Roman" w:hAnsi="Times New Roman" w:cs="Times New Roman"/>
          <w:sz w:val="28"/>
          <w:szCs w:val="28"/>
        </w:rPr>
        <w:t xml:space="preserve">s ar vairāk </w:t>
      </w:r>
      <w:r w:rsidR="005F74CD">
        <w:rPr>
          <w:rFonts w:ascii="Times New Roman" w:hAnsi="Times New Roman" w:cs="Times New Roman"/>
          <w:sz w:val="28"/>
          <w:szCs w:val="28"/>
        </w:rPr>
        <w:t>ne</w:t>
      </w:r>
      <w:r w:rsidRPr="003831A7">
        <w:rPr>
          <w:rFonts w:ascii="Times New Roman" w:hAnsi="Times New Roman" w:cs="Times New Roman"/>
          <w:sz w:val="28"/>
          <w:szCs w:val="28"/>
        </w:rPr>
        <w:t xml:space="preserve">kā </w:t>
      </w:r>
      <w:r w:rsidR="008555D3" w:rsidRPr="003831A7">
        <w:rPr>
          <w:rFonts w:ascii="Times New Roman" w:hAnsi="Times New Roman" w:cs="Times New Roman"/>
          <w:sz w:val="28"/>
          <w:szCs w:val="28"/>
        </w:rPr>
        <w:t xml:space="preserve">10 </w:t>
      </w:r>
      <w:r w:rsidRPr="003831A7">
        <w:rPr>
          <w:rFonts w:ascii="Times New Roman" w:hAnsi="Times New Roman" w:cs="Times New Roman"/>
          <w:sz w:val="28"/>
          <w:szCs w:val="28"/>
        </w:rPr>
        <w:t>autostāvvietām paredz vismaz vienu elektrot</w:t>
      </w:r>
      <w:r w:rsidR="00CE68F4" w:rsidRPr="003831A7">
        <w:rPr>
          <w:rFonts w:ascii="Times New Roman" w:hAnsi="Times New Roman" w:cs="Times New Roman"/>
          <w:sz w:val="28"/>
          <w:szCs w:val="28"/>
        </w:rPr>
        <w:t>ransportlīdzekļu uzlādes punktu, kā arī</w:t>
      </w:r>
      <w:r w:rsidRPr="003831A7">
        <w:rPr>
          <w:rFonts w:ascii="Times New Roman" w:hAnsi="Times New Roman" w:cs="Times New Roman"/>
          <w:sz w:val="28"/>
          <w:szCs w:val="28"/>
        </w:rPr>
        <w:t xml:space="preserve"> </w:t>
      </w:r>
      <w:r w:rsidR="00CE68F4" w:rsidRPr="003831A7">
        <w:rPr>
          <w:rFonts w:ascii="Times New Roman" w:hAnsi="Times New Roman" w:cs="Times New Roman"/>
          <w:sz w:val="28"/>
          <w:szCs w:val="28"/>
        </w:rPr>
        <w:t>k</w:t>
      </w:r>
      <w:r w:rsidRPr="003831A7">
        <w:rPr>
          <w:rFonts w:ascii="Times New Roman" w:hAnsi="Times New Roman" w:cs="Times New Roman"/>
          <w:sz w:val="28"/>
          <w:szCs w:val="28"/>
        </w:rPr>
        <w:t>atrai piektajai autostāvvietai paredz kanālus elektrības kabeļiem, lai</w:t>
      </w:r>
      <w:r w:rsidR="005F74CD">
        <w:rPr>
          <w:rFonts w:ascii="Times New Roman" w:hAnsi="Times New Roman" w:cs="Times New Roman"/>
          <w:sz w:val="28"/>
          <w:szCs w:val="28"/>
        </w:rPr>
        <w:t>, ja nepieciešams,</w:t>
      </w:r>
      <w:r w:rsidRPr="003831A7">
        <w:rPr>
          <w:rFonts w:ascii="Times New Roman" w:hAnsi="Times New Roman" w:cs="Times New Roman"/>
          <w:sz w:val="28"/>
          <w:szCs w:val="28"/>
        </w:rPr>
        <w:t xml:space="preserve"> varētu ierīkot elektrotransportlīdzekļu uzlādes punktus. </w:t>
      </w:r>
      <w:r w:rsidR="005F74CD">
        <w:rPr>
          <w:rFonts w:ascii="Times New Roman" w:hAnsi="Times New Roman" w:cs="Times New Roman"/>
          <w:sz w:val="28"/>
          <w:szCs w:val="28"/>
        </w:rPr>
        <w:t>Minētās</w:t>
      </w:r>
      <w:r w:rsidRPr="003831A7">
        <w:rPr>
          <w:rFonts w:ascii="Times New Roman" w:hAnsi="Times New Roman" w:cs="Times New Roman"/>
          <w:sz w:val="28"/>
          <w:szCs w:val="28"/>
        </w:rPr>
        <w:t xml:space="preserve"> prasības piemēro arī ar publisko </w:t>
      </w:r>
      <w:r w:rsidR="00593185" w:rsidRPr="003831A7">
        <w:rPr>
          <w:rFonts w:ascii="Times New Roman" w:hAnsi="Times New Roman" w:cs="Times New Roman"/>
          <w:sz w:val="28"/>
          <w:szCs w:val="28"/>
        </w:rPr>
        <w:t>ēku</w:t>
      </w:r>
      <w:r w:rsidRPr="003831A7">
        <w:rPr>
          <w:rFonts w:ascii="Times New Roman" w:hAnsi="Times New Roman" w:cs="Times New Roman"/>
          <w:sz w:val="28"/>
          <w:szCs w:val="28"/>
        </w:rPr>
        <w:t xml:space="preserve"> funkcionāli saistītu, bet ārpus šīs </w:t>
      </w:r>
      <w:r w:rsidR="00593185" w:rsidRPr="003831A7">
        <w:rPr>
          <w:rFonts w:ascii="Times New Roman" w:hAnsi="Times New Roman" w:cs="Times New Roman"/>
          <w:sz w:val="28"/>
          <w:szCs w:val="28"/>
        </w:rPr>
        <w:t>ēka</w:t>
      </w:r>
      <w:r w:rsidRPr="003831A7">
        <w:rPr>
          <w:rFonts w:ascii="Times New Roman" w:hAnsi="Times New Roman" w:cs="Times New Roman"/>
          <w:sz w:val="28"/>
          <w:szCs w:val="28"/>
        </w:rPr>
        <w:t xml:space="preserve">s esošu </w:t>
      </w:r>
      <w:r w:rsidR="008B7BEE" w:rsidRPr="003831A7">
        <w:rPr>
          <w:rFonts w:ascii="Times New Roman" w:hAnsi="Times New Roman" w:cs="Times New Roman"/>
          <w:sz w:val="28"/>
          <w:szCs w:val="28"/>
        </w:rPr>
        <w:t>auto</w:t>
      </w:r>
      <w:r w:rsidRPr="003831A7">
        <w:rPr>
          <w:rFonts w:ascii="Times New Roman" w:hAnsi="Times New Roman" w:cs="Times New Roman"/>
          <w:sz w:val="28"/>
          <w:szCs w:val="28"/>
        </w:rPr>
        <w:t>stāvvietu projektēšanai.</w:t>
      </w:r>
    </w:p>
    <w:p w14:paraId="18EC5ADA" w14:textId="4DFEA631" w:rsidR="005F74CD" w:rsidRDefault="005F74C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3D3A7A52" w14:textId="77777777" w:rsidR="00D72DBA" w:rsidRPr="003831A7" w:rsidRDefault="00D72DBA" w:rsidP="000D30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18EC5ADB" w14:textId="46ACEC2B" w:rsidR="00A974F3" w:rsidRPr="003831A7" w:rsidRDefault="00D72DBA" w:rsidP="000832C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3831A7">
        <w:rPr>
          <w:sz w:val="28"/>
          <w:szCs w:val="28"/>
        </w:rPr>
        <w:t>89.</w:t>
      </w:r>
      <w:r w:rsidRPr="003831A7">
        <w:rPr>
          <w:sz w:val="28"/>
          <w:szCs w:val="28"/>
          <w:vertAlign w:val="superscript"/>
        </w:rPr>
        <w:t>2</w:t>
      </w:r>
      <w:r w:rsidRPr="003831A7">
        <w:rPr>
          <w:sz w:val="28"/>
          <w:szCs w:val="28"/>
        </w:rPr>
        <w:t xml:space="preserve"> </w:t>
      </w:r>
      <w:r w:rsidR="005F74CD">
        <w:rPr>
          <w:sz w:val="28"/>
          <w:szCs w:val="28"/>
        </w:rPr>
        <w:t>Veicot pārbūvi,</w:t>
      </w:r>
      <w:r w:rsidR="000832C6" w:rsidRPr="003831A7">
        <w:rPr>
          <w:sz w:val="28"/>
          <w:szCs w:val="28"/>
        </w:rPr>
        <w:t xml:space="preserve"> </w:t>
      </w:r>
      <w:r w:rsidRPr="003831A7">
        <w:rPr>
          <w:sz w:val="28"/>
          <w:szCs w:val="28"/>
        </w:rPr>
        <w:t>š</w:t>
      </w:r>
      <w:r w:rsidR="005F74CD">
        <w:rPr>
          <w:sz w:val="28"/>
          <w:szCs w:val="28"/>
        </w:rPr>
        <w:t>ā</w:t>
      </w:r>
      <w:r w:rsidRPr="003831A7">
        <w:rPr>
          <w:sz w:val="28"/>
          <w:szCs w:val="28"/>
        </w:rPr>
        <w:t xml:space="preserve"> būvnormatīva 89.</w:t>
      </w:r>
      <w:r w:rsidRPr="003831A7">
        <w:rPr>
          <w:sz w:val="28"/>
          <w:szCs w:val="28"/>
          <w:vertAlign w:val="superscript"/>
        </w:rPr>
        <w:t>1</w:t>
      </w:r>
      <w:r w:rsidRPr="003831A7">
        <w:rPr>
          <w:sz w:val="28"/>
          <w:szCs w:val="28"/>
        </w:rPr>
        <w:t> punkt</w:t>
      </w:r>
      <w:r w:rsidR="005F74CD">
        <w:rPr>
          <w:sz w:val="28"/>
          <w:szCs w:val="28"/>
        </w:rPr>
        <w:t>ā noteiktās</w:t>
      </w:r>
      <w:r w:rsidRPr="003831A7">
        <w:rPr>
          <w:sz w:val="28"/>
          <w:szCs w:val="28"/>
        </w:rPr>
        <w:t xml:space="preserve"> prasības piemēro</w:t>
      </w:r>
      <w:r w:rsidR="000832C6" w:rsidRPr="003831A7">
        <w:rPr>
          <w:sz w:val="28"/>
          <w:szCs w:val="28"/>
        </w:rPr>
        <w:t xml:space="preserve"> attiecībā uz pārbūvējamo daļu, ja šī daļa ir paredzēta autostāvvietām.</w:t>
      </w:r>
      <w:r w:rsidR="003831A7">
        <w:rPr>
          <w:rStyle w:val="normaltextrun"/>
          <w:sz w:val="28"/>
          <w:szCs w:val="28"/>
        </w:rPr>
        <w:t>"</w:t>
      </w:r>
    </w:p>
    <w:p w14:paraId="18EC5ADC" w14:textId="77777777" w:rsidR="00153E1B" w:rsidRPr="003831A7" w:rsidRDefault="00153E1B" w:rsidP="000D30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18EC5ADD" w14:textId="5940A583" w:rsidR="00865260" w:rsidRDefault="00865260" w:rsidP="000D30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201A7785" w14:textId="77777777" w:rsidR="00517B7D" w:rsidRPr="003831A7" w:rsidRDefault="00517B7D" w:rsidP="000D30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1FCB50AE" w14:textId="77777777" w:rsidR="003831A7" w:rsidRPr="00DE283C" w:rsidRDefault="003831A7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E2F542" w14:textId="77777777" w:rsidR="003831A7" w:rsidRDefault="003831A7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E7BAD7" w14:textId="7955CCFE" w:rsidR="003831A7" w:rsidRDefault="003831A7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A615D8" w14:textId="77777777" w:rsidR="00517B7D" w:rsidRDefault="00517B7D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EC5AE1" w14:textId="414082CE" w:rsidR="004E49A4" w:rsidRPr="003831A7" w:rsidRDefault="003831A7" w:rsidP="003831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4E49A4" w:rsidRPr="003831A7" w:rsidSect="003831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5AEA" w14:textId="77777777" w:rsidR="00BD3F32" w:rsidRDefault="00BD3F32" w:rsidP="001D2FBC">
      <w:pPr>
        <w:spacing w:after="0" w:line="240" w:lineRule="auto"/>
      </w:pPr>
      <w:r>
        <w:separator/>
      </w:r>
    </w:p>
  </w:endnote>
  <w:endnote w:type="continuationSeparator" w:id="0">
    <w:p w14:paraId="18EC5AEB" w14:textId="77777777" w:rsidR="00BD3F32" w:rsidRDefault="00BD3F32" w:rsidP="001D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92E4" w14:textId="77777777" w:rsidR="00517B7D" w:rsidRPr="003831A7" w:rsidRDefault="00517B7D" w:rsidP="00517B7D">
    <w:pPr>
      <w:pStyle w:val="Footer"/>
      <w:rPr>
        <w:rFonts w:ascii="Times New Roman" w:hAnsi="Times New Roman" w:cs="Times New Roman"/>
        <w:sz w:val="16"/>
        <w:szCs w:val="16"/>
      </w:rPr>
    </w:pPr>
    <w:r w:rsidRPr="003831A7">
      <w:rPr>
        <w:rFonts w:ascii="Times New Roman" w:hAnsi="Times New Roman" w:cs="Times New Roman"/>
        <w:sz w:val="16"/>
        <w:szCs w:val="16"/>
      </w:rPr>
      <w:t>N0973_0</w:t>
    </w:r>
  </w:p>
  <w:p w14:paraId="18EC5AEE" w14:textId="5BAAB96E" w:rsidR="001D2FBC" w:rsidRPr="00517B7D" w:rsidRDefault="001D2FBC" w:rsidP="00517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3592" w14:textId="04AA70A3" w:rsidR="003831A7" w:rsidRPr="003831A7" w:rsidRDefault="003831A7">
    <w:pPr>
      <w:pStyle w:val="Footer"/>
      <w:rPr>
        <w:rFonts w:ascii="Times New Roman" w:hAnsi="Times New Roman" w:cs="Times New Roman"/>
        <w:sz w:val="16"/>
        <w:szCs w:val="16"/>
      </w:rPr>
    </w:pPr>
    <w:r w:rsidRPr="003831A7">
      <w:rPr>
        <w:rFonts w:ascii="Times New Roman" w:hAnsi="Times New Roman" w:cs="Times New Roman"/>
        <w:sz w:val="16"/>
        <w:szCs w:val="16"/>
      </w:rPr>
      <w:t>N0973_0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5AE8" w14:textId="77777777" w:rsidR="00BD3F32" w:rsidRDefault="00BD3F32" w:rsidP="001D2FBC">
      <w:pPr>
        <w:spacing w:after="0" w:line="240" w:lineRule="auto"/>
      </w:pPr>
      <w:r>
        <w:separator/>
      </w:r>
    </w:p>
  </w:footnote>
  <w:footnote w:type="continuationSeparator" w:id="0">
    <w:p w14:paraId="18EC5AE9" w14:textId="77777777" w:rsidR="00BD3F32" w:rsidRDefault="00BD3F32" w:rsidP="001D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993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EC5AEC" w14:textId="2724534B" w:rsidR="00624FBB" w:rsidRPr="00624FBB" w:rsidRDefault="000C3F3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FBB" w:rsidRPr="00624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EC5AED" w14:textId="77777777" w:rsidR="00624FBB" w:rsidRDefault="0062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A511" w14:textId="77777777" w:rsidR="003831A7" w:rsidRPr="003629D6" w:rsidRDefault="003831A7">
    <w:pPr>
      <w:pStyle w:val="Header"/>
    </w:pPr>
  </w:p>
  <w:p w14:paraId="2C489D62" w14:textId="0E92B7EB" w:rsidR="003831A7" w:rsidRDefault="003831A7">
    <w:pPr>
      <w:pStyle w:val="Header"/>
    </w:pPr>
    <w:r>
      <w:rPr>
        <w:noProof/>
      </w:rPr>
      <w:drawing>
        <wp:inline distT="0" distB="0" distL="0" distR="0" wp14:anchorId="7121D342" wp14:editId="39B277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0D"/>
    <w:multiLevelType w:val="hybridMultilevel"/>
    <w:tmpl w:val="4F2A7FA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736"/>
    <w:multiLevelType w:val="hybridMultilevel"/>
    <w:tmpl w:val="3DD2EE14"/>
    <w:lvl w:ilvl="0" w:tplc="EA183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9192F"/>
    <w:multiLevelType w:val="multilevel"/>
    <w:tmpl w:val="8C7A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1B6"/>
    <w:multiLevelType w:val="hybridMultilevel"/>
    <w:tmpl w:val="0072802A"/>
    <w:lvl w:ilvl="0" w:tplc="16006A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8026D3"/>
    <w:multiLevelType w:val="multilevel"/>
    <w:tmpl w:val="90A238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323B78"/>
    <w:multiLevelType w:val="hybridMultilevel"/>
    <w:tmpl w:val="271A8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1A6"/>
    <w:multiLevelType w:val="multilevel"/>
    <w:tmpl w:val="D50E2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23"/>
    <w:rsid w:val="0001110B"/>
    <w:rsid w:val="00046F31"/>
    <w:rsid w:val="00077E60"/>
    <w:rsid w:val="000832C6"/>
    <w:rsid w:val="00083CF8"/>
    <w:rsid w:val="000C3F37"/>
    <w:rsid w:val="000D3057"/>
    <w:rsid w:val="000E567C"/>
    <w:rsid w:val="000F08B2"/>
    <w:rsid w:val="00121A6B"/>
    <w:rsid w:val="00153E1B"/>
    <w:rsid w:val="00175A4A"/>
    <w:rsid w:val="00190BAE"/>
    <w:rsid w:val="001D2FBC"/>
    <w:rsid w:val="002408F7"/>
    <w:rsid w:val="002629E1"/>
    <w:rsid w:val="00274DA3"/>
    <w:rsid w:val="002A5127"/>
    <w:rsid w:val="002B7ECD"/>
    <w:rsid w:val="002F2771"/>
    <w:rsid w:val="00322035"/>
    <w:rsid w:val="003262CC"/>
    <w:rsid w:val="003831A7"/>
    <w:rsid w:val="003A4603"/>
    <w:rsid w:val="003C631B"/>
    <w:rsid w:val="003D6407"/>
    <w:rsid w:val="004258E2"/>
    <w:rsid w:val="00446A7E"/>
    <w:rsid w:val="00454266"/>
    <w:rsid w:val="004718B4"/>
    <w:rsid w:val="004B7A51"/>
    <w:rsid w:val="004C5519"/>
    <w:rsid w:val="004D5EF4"/>
    <w:rsid w:val="004E49A4"/>
    <w:rsid w:val="00502E05"/>
    <w:rsid w:val="00512B78"/>
    <w:rsid w:val="00517B7D"/>
    <w:rsid w:val="00561634"/>
    <w:rsid w:val="00593185"/>
    <w:rsid w:val="005A4D6E"/>
    <w:rsid w:val="005B5E86"/>
    <w:rsid w:val="005C6490"/>
    <w:rsid w:val="005D72D8"/>
    <w:rsid w:val="005F74CD"/>
    <w:rsid w:val="0060016A"/>
    <w:rsid w:val="00624FBB"/>
    <w:rsid w:val="00645F30"/>
    <w:rsid w:val="0067337B"/>
    <w:rsid w:val="00686213"/>
    <w:rsid w:val="006E0534"/>
    <w:rsid w:val="006E2F04"/>
    <w:rsid w:val="006F2C08"/>
    <w:rsid w:val="00760F63"/>
    <w:rsid w:val="00764641"/>
    <w:rsid w:val="0077582D"/>
    <w:rsid w:val="007B1B7A"/>
    <w:rsid w:val="007C5DE9"/>
    <w:rsid w:val="007E3EC4"/>
    <w:rsid w:val="008057DE"/>
    <w:rsid w:val="008254BB"/>
    <w:rsid w:val="008256C8"/>
    <w:rsid w:val="00827C5A"/>
    <w:rsid w:val="008454D7"/>
    <w:rsid w:val="00850CE0"/>
    <w:rsid w:val="008555D3"/>
    <w:rsid w:val="00865260"/>
    <w:rsid w:val="00894D28"/>
    <w:rsid w:val="008B0B91"/>
    <w:rsid w:val="008B7BEE"/>
    <w:rsid w:val="008E0498"/>
    <w:rsid w:val="008E6734"/>
    <w:rsid w:val="00937B1B"/>
    <w:rsid w:val="00963D12"/>
    <w:rsid w:val="00983B4A"/>
    <w:rsid w:val="009B0E43"/>
    <w:rsid w:val="00A87DB2"/>
    <w:rsid w:val="00A974F3"/>
    <w:rsid w:val="00AB487C"/>
    <w:rsid w:val="00AC27FB"/>
    <w:rsid w:val="00AE030C"/>
    <w:rsid w:val="00B3715D"/>
    <w:rsid w:val="00BA0573"/>
    <w:rsid w:val="00BC1BE3"/>
    <w:rsid w:val="00BD3F32"/>
    <w:rsid w:val="00BD7B54"/>
    <w:rsid w:val="00BE43D2"/>
    <w:rsid w:val="00BF4B96"/>
    <w:rsid w:val="00BF7FE5"/>
    <w:rsid w:val="00C15C46"/>
    <w:rsid w:val="00C31875"/>
    <w:rsid w:val="00C353D6"/>
    <w:rsid w:val="00C461A4"/>
    <w:rsid w:val="00CC4F11"/>
    <w:rsid w:val="00CE68F4"/>
    <w:rsid w:val="00D07C92"/>
    <w:rsid w:val="00D12727"/>
    <w:rsid w:val="00D16F4C"/>
    <w:rsid w:val="00D23C76"/>
    <w:rsid w:val="00D42968"/>
    <w:rsid w:val="00D57623"/>
    <w:rsid w:val="00D718DD"/>
    <w:rsid w:val="00D72DBA"/>
    <w:rsid w:val="00DE1E21"/>
    <w:rsid w:val="00DE62E5"/>
    <w:rsid w:val="00E20C77"/>
    <w:rsid w:val="00E36C78"/>
    <w:rsid w:val="00E543FA"/>
    <w:rsid w:val="00EA3424"/>
    <w:rsid w:val="00EB2347"/>
    <w:rsid w:val="00EC4259"/>
    <w:rsid w:val="00EE51B4"/>
    <w:rsid w:val="00F71D35"/>
    <w:rsid w:val="00F7384B"/>
    <w:rsid w:val="00F7635B"/>
    <w:rsid w:val="00FD16BB"/>
    <w:rsid w:val="00FE2F09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8EC5AC3"/>
  <w15:docId w15:val="{9C531117-C52A-483E-B7CE-0C549E2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E0534"/>
    <w:rPr>
      <w:color w:val="0000FF"/>
      <w:u w:val="single"/>
    </w:rPr>
  </w:style>
  <w:style w:type="character" w:customStyle="1" w:styleId="superscript">
    <w:name w:val="superscript"/>
    <w:basedOn w:val="DefaultParagraphFont"/>
    <w:rsid w:val="006E0534"/>
  </w:style>
  <w:style w:type="paragraph" w:styleId="ListParagraph">
    <w:name w:val="List Paragraph"/>
    <w:basedOn w:val="Normal"/>
    <w:uiPriority w:val="34"/>
    <w:qFormat/>
    <w:rsid w:val="00D23C76"/>
    <w:pPr>
      <w:ind w:left="720"/>
      <w:contextualSpacing/>
    </w:pPr>
  </w:style>
  <w:style w:type="paragraph" w:customStyle="1" w:styleId="paragraph">
    <w:name w:val="paragraph"/>
    <w:basedOn w:val="Normal"/>
    <w:rsid w:val="00F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71D35"/>
  </w:style>
  <w:style w:type="character" w:customStyle="1" w:styleId="spellingerror">
    <w:name w:val="spellingerror"/>
    <w:basedOn w:val="DefaultParagraphFont"/>
    <w:rsid w:val="00F71D35"/>
  </w:style>
  <w:style w:type="character" w:customStyle="1" w:styleId="eop">
    <w:name w:val="eop"/>
    <w:basedOn w:val="DefaultParagraphFont"/>
    <w:rsid w:val="00A974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7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C"/>
  </w:style>
  <w:style w:type="paragraph" w:styleId="Footer">
    <w:name w:val="footer"/>
    <w:basedOn w:val="Normal"/>
    <w:link w:val="Foot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C"/>
  </w:style>
  <w:style w:type="paragraph" w:styleId="BalloonText">
    <w:name w:val="Balloon Text"/>
    <w:basedOn w:val="Normal"/>
    <w:link w:val="BalloonTextChar"/>
    <w:uiPriority w:val="99"/>
    <w:semiHidden/>
    <w:unhideWhenUsed/>
    <w:rsid w:val="00E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831A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331 “Noteikumi par Latvijas būvnormatīvu LBN 208-15 “Publiskas būves”””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331 “Noteikumi par Latvijas būvnormatīvu LBN 208-15 “Publiskas būves”””</dc:title>
  <dc:subject/>
  <dc:creator>Marta.Bergmane@em.gov.lv</dc:creator>
  <cp:keywords>MK noteikumi</cp:keywords>
  <dc:description>67013041,
Marta.Bergmane@em.gov.lv</dc:description>
  <cp:lastModifiedBy>Leontine Babkina</cp:lastModifiedBy>
  <cp:revision>8</cp:revision>
  <cp:lastPrinted>2020-06-10T06:36:00Z</cp:lastPrinted>
  <dcterms:created xsi:type="dcterms:W3CDTF">2020-04-29T08:21:00Z</dcterms:created>
  <dcterms:modified xsi:type="dcterms:W3CDTF">2020-06-18T07:43:00Z</dcterms:modified>
</cp:coreProperties>
</file>