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9F48" w14:textId="77777777" w:rsidR="00E543FA" w:rsidRPr="00B12D85" w:rsidRDefault="00E543FA" w:rsidP="003A1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DE9F49" w14:textId="18179750" w:rsidR="00E543FA" w:rsidRDefault="00E543FA" w:rsidP="003A1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148B3D" w14:textId="77777777" w:rsidR="00B12D85" w:rsidRPr="00B12D85" w:rsidRDefault="00B12D85" w:rsidP="003A1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93C81A" w14:textId="6D67AF39" w:rsidR="00B12D85" w:rsidRPr="00A81F12" w:rsidRDefault="00B12D8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0B624E">
        <w:rPr>
          <w:rFonts w:ascii="Times New Roman" w:eastAsia="Times New Roman" w:hAnsi="Times New Roman" w:cs="Times New Roman"/>
          <w:sz w:val="28"/>
          <w:szCs w:val="28"/>
        </w:rPr>
        <w:t>16.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0B624E">
        <w:rPr>
          <w:rFonts w:ascii="Times New Roman" w:hAnsi="Times New Roman"/>
          <w:sz w:val="28"/>
          <w:szCs w:val="28"/>
        </w:rPr>
        <w:t> 385</w:t>
      </w:r>
    </w:p>
    <w:p w14:paraId="7170821B" w14:textId="01DAEEC2" w:rsidR="00B12D85" w:rsidRPr="00A81F12" w:rsidRDefault="00B12D8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0B624E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0B624E">
        <w:rPr>
          <w:rFonts w:ascii="Times New Roman" w:hAnsi="Times New Roman"/>
          <w:sz w:val="28"/>
          <w:szCs w:val="28"/>
        </w:rPr>
        <w:t>41 6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64DE9F4B" w14:textId="730D7022" w:rsidR="00E543FA" w:rsidRPr="00B12D85" w:rsidRDefault="00E543FA" w:rsidP="003A11DF">
      <w:pPr>
        <w:tabs>
          <w:tab w:val="left" w:pos="6237"/>
          <w:tab w:val="right" w:pos="90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4DE9F4E" w14:textId="10D131ED" w:rsidR="00D57623" w:rsidRPr="00B12D85" w:rsidRDefault="00D57623" w:rsidP="003A11D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</w:t>
      </w:r>
      <w:r w:rsidR="0060016A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D16F4C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16.</w:t>
      </w:r>
      <w:r w:rsidR="0060016A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D16F4C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jūnija</w:t>
      </w:r>
      <w:r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60016A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D16F4C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="003A4603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</w:t>
      </w:r>
      <w:r w:rsidR="006E0534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561634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Latvijas būvnormatīvu LBN</w:t>
      </w:r>
      <w:r w:rsidR="0060016A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61634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231-15 </w:t>
      </w:r>
      <w:r w:rsid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561634" w:rsidRPr="00B12D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Dzīvojamo un publisko ēku apkure un ventilācija</w:t>
      </w:r>
      <w:r w:rsidR="00B12D85">
        <w:rPr>
          <w:rFonts w:ascii="Times New Roman" w:hAnsi="Times New Roman" w:cs="Times New Roman"/>
          <w:b/>
          <w:bCs/>
          <w:sz w:val="28"/>
          <w:szCs w:val="28"/>
        </w:rPr>
        <w:t>""</w:t>
      </w:r>
    </w:p>
    <w:p w14:paraId="64DE9F50" w14:textId="77777777" w:rsidR="00312BEF" w:rsidRPr="00B12D85" w:rsidRDefault="00312BEF" w:rsidP="003A11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5E2681" w14:textId="77777777" w:rsidR="00AC566F" w:rsidRDefault="00D57623" w:rsidP="003A11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</w:t>
      </w:r>
      <w:r w:rsidRPr="00B12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saskaņā ar </w:t>
      </w:r>
    </w:p>
    <w:p w14:paraId="64DE9F51" w14:textId="05347AF8" w:rsidR="00D57623" w:rsidRPr="00B12D85" w:rsidRDefault="00D57623" w:rsidP="003A11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Būvniecības likuma</w:t>
      </w:r>
      <w:r w:rsidRPr="00B12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br/>
        <w:t>5.</w:t>
      </w:r>
      <w:r w:rsidR="0060016A" w:rsidRPr="00B12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panta pirmās 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3.</w:t>
      </w:r>
      <w:r w:rsidR="0060016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64DE9F53" w14:textId="77777777" w:rsidR="00312BEF" w:rsidRPr="00B12D85" w:rsidRDefault="00312BEF" w:rsidP="003A11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DE9F54" w14:textId="3497173F" w:rsidR="00D16F4C" w:rsidRPr="00B12D85" w:rsidRDefault="00D57623" w:rsidP="003A11D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2015.</w:t>
      </w:r>
      <w:r w:rsidR="001D2FBC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413BBF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D2FBC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noteikumos Nr.</w:t>
      </w:r>
      <w:r w:rsidR="001D2FBC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6163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A4603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6163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Latvijas būvnormatīvu LBN</w:t>
      </w:r>
      <w:r w:rsidR="007D388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6163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231-15 </w:t>
      </w:r>
      <w:r w:rsid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6163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Dzīvojamo un publisko ēku apkure un ventilācija</w:t>
      </w:r>
      <w:r w:rsidR="00B12D85">
        <w:rPr>
          <w:rFonts w:ascii="Times New Roman" w:hAnsi="Times New Roman" w:cs="Times New Roman"/>
          <w:sz w:val="28"/>
          <w:szCs w:val="28"/>
        </w:rPr>
        <w:t>""</w:t>
      </w:r>
      <w:r w:rsidR="006E053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(Latvijas Vēstnesis, 2015, </w:t>
      </w:r>
      <w:r w:rsidR="005A3B32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119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</w:t>
      </w:r>
      <w:r w:rsidR="00D23C7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4DE9F55" w14:textId="77777777" w:rsidR="00F075D2" w:rsidRPr="00B12D85" w:rsidRDefault="00F075D2" w:rsidP="003A11D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DE9F56" w14:textId="77777777" w:rsidR="004E49A4" w:rsidRPr="00B12D85" w:rsidRDefault="001D2FBC" w:rsidP="003A11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53E1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E49A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 w:rsidR="00F7384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E49A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65260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6.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E49A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4DE9F57" w14:textId="77777777" w:rsidR="00F075D2" w:rsidRPr="00B12D85" w:rsidRDefault="00F075D2" w:rsidP="003A1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DE9F58" w14:textId="69E38C62" w:rsidR="00865260" w:rsidRPr="00B12D85" w:rsidRDefault="00B12D85" w:rsidP="003A11D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65260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E49A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D2FBC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 ieceres dokumentācija, ka</w:t>
      </w:r>
      <w:r w:rsidR="007A5F1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A5F1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7A5F1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7A5F1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būvniecības jomā 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saskaņota (akceptēta) vai iesniegta saskaņošanai institūcijā, kas pilda būvvaldes funkcijas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202</w:t>
      </w:r>
      <w:r w:rsidR="005D72D8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5D72D8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D72D8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oktobrim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nav jāpārstrādā atbilstoši </w:t>
      </w:r>
      <w:r w:rsidR="00077E60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būvnormatīva LBN</w:t>
      </w:r>
      <w:r w:rsidR="007D388A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7E60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231-15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77E60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Dzīvojamo un publisko ēku apkure un ventilācija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15.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627A1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15.</w:t>
      </w:r>
      <w:r w:rsidR="00A627A1" w:rsidRPr="00B12D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A627A1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noteiktajām</w:t>
      </w:r>
      <w:r w:rsidR="005B5E86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DE9F59" w14:textId="77777777" w:rsidR="00963D12" w:rsidRPr="00B12D85" w:rsidRDefault="00963D12" w:rsidP="003A1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DE9F5A" w14:textId="7D5A49D0" w:rsidR="00865260" w:rsidRPr="00B12D85" w:rsidRDefault="00865260" w:rsidP="003A11D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1D2FBC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 ieceres dokumentācija, ka</w:t>
      </w:r>
      <w:r w:rsidR="007A5F1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AC566F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normatīvaj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AC566F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AC566F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būvniecības jomā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saskaņota (akceptēta) vai iesniegta saskaņošanai institūcijā, kas pilda būvvaldes funkcijas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2023.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janvārim, nav jāpārstrādā atbilstoši </w:t>
      </w:r>
      <w:r w:rsidR="00077E60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būvnormatīva LBN</w:t>
      </w:r>
      <w:r w:rsidR="007D388A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7E60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231-15 </w:t>
      </w:r>
      <w:r w:rsid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77E60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Dzīvojamo un publisko ēku apkure un ventilācija</w:t>
      </w:r>
      <w:r w:rsid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25.</w:t>
      </w:r>
      <w:r w:rsidRPr="00B12D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noteiktajām</w:t>
      </w: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</w:t>
      </w:r>
      <w:r w:rsidR="00F7635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C56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4DE9F5B" w14:textId="77777777" w:rsidR="00503024" w:rsidRPr="00B12D85" w:rsidRDefault="00503024" w:rsidP="005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DE9F5C" w14:textId="18A4AB31" w:rsidR="003A6ADA" w:rsidRPr="00B12D85" w:rsidRDefault="001D2FBC" w:rsidP="003A11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3A6AD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būvnormatīva 2.24.</w:t>
      </w:r>
      <w:r w:rsidR="0017196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A6ADA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64DE9F5D" w14:textId="77777777" w:rsidR="003A6ADA" w:rsidRPr="00B12D85" w:rsidRDefault="003A6ADA" w:rsidP="003A11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DE9F5E" w14:textId="63E2B372" w:rsidR="003A6ADA" w:rsidRPr="00B12D85" w:rsidRDefault="00B12D85" w:rsidP="003A11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6ADA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2.24.</w:t>
      </w:r>
      <w:r w:rsidR="003A6ADA" w:rsidRPr="00B12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6ADA" w:rsidRPr="00B12D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ugunsdrošs vārsts</w:t>
      </w:r>
      <w:r w:rsidR="003A6ADA" w:rsidRPr="00B12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6ADA" w:rsidRPr="00B12D85">
        <w:rPr>
          <w:rFonts w:ascii="Times New Roman" w:hAnsi="Times New Roman" w:cs="Times New Roman"/>
          <w:sz w:val="28"/>
          <w:szCs w:val="28"/>
          <w:shd w:val="clear" w:color="auto" w:fill="FFFFFF"/>
        </w:rPr>
        <w:t>– degtnespējīga ierīce vai konstrukcija ar normētu ugunsizturības robežu, kura nepieļauj uguns un dūmgāzu izplatīšanos pa gaisa vadiem starp ugunsdrošības nodalījumiem vai ugunsdroši atdalītām telpām;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A3B32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DE9F5F" w14:textId="77777777" w:rsidR="003A6ADA" w:rsidRPr="00B12D85" w:rsidRDefault="003A6ADA" w:rsidP="003A11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DE9F60" w14:textId="77777777" w:rsidR="00F71D35" w:rsidRPr="00B12D85" w:rsidRDefault="003A6ADA" w:rsidP="003A11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3. </w:t>
      </w:r>
      <w:r w:rsidR="004E49A4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4E49A4" w:rsidRPr="00B12D85">
        <w:rPr>
          <w:rFonts w:ascii="Times New Roman" w:hAnsi="Times New Roman" w:cs="Times New Roman"/>
          <w:sz w:val="28"/>
          <w:szCs w:val="28"/>
        </w:rPr>
        <w:t>būvnormatīv</w:t>
      </w:r>
      <w:r w:rsidR="00561634" w:rsidRPr="00B12D85">
        <w:rPr>
          <w:rFonts w:ascii="Times New Roman" w:hAnsi="Times New Roman" w:cs="Times New Roman"/>
          <w:sz w:val="28"/>
          <w:szCs w:val="28"/>
        </w:rPr>
        <w:t>u ar 15.</w:t>
      </w:r>
      <w:r w:rsidR="00F71D35" w:rsidRPr="00B12D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627A1" w:rsidRPr="00B12D85">
        <w:rPr>
          <w:rFonts w:ascii="Times New Roman" w:hAnsi="Times New Roman" w:cs="Times New Roman"/>
          <w:sz w:val="28"/>
          <w:szCs w:val="28"/>
        </w:rPr>
        <w:t xml:space="preserve"> un 15.</w:t>
      </w:r>
      <w:r w:rsidR="00A627A1" w:rsidRPr="00B12D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27A1" w:rsidRPr="00B12D85">
        <w:rPr>
          <w:rFonts w:ascii="Times New Roman" w:hAnsi="Times New Roman" w:cs="Times New Roman"/>
          <w:sz w:val="28"/>
          <w:szCs w:val="28"/>
        </w:rPr>
        <w:t> </w:t>
      </w:r>
      <w:r w:rsidR="00F71D35" w:rsidRPr="00B12D8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4DE9F61" w14:textId="77777777" w:rsidR="00F7635B" w:rsidRPr="00B12D85" w:rsidRDefault="00F7635B" w:rsidP="003A11D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64DE9F62" w14:textId="5BEE5882" w:rsidR="00781D9A" w:rsidRPr="00B12D85" w:rsidRDefault="00B12D85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"</w:t>
      </w:r>
      <w:r w:rsidR="00A974F3" w:rsidRPr="00B12D85">
        <w:rPr>
          <w:sz w:val="28"/>
          <w:szCs w:val="28"/>
        </w:rPr>
        <w:t>15.</w:t>
      </w:r>
      <w:r w:rsidR="00A974F3" w:rsidRPr="00B12D85">
        <w:rPr>
          <w:sz w:val="28"/>
          <w:szCs w:val="28"/>
          <w:vertAlign w:val="superscript"/>
        </w:rPr>
        <w:t>1</w:t>
      </w:r>
      <w:r w:rsidR="00A974F3" w:rsidRPr="00B12D85">
        <w:rPr>
          <w:sz w:val="28"/>
          <w:szCs w:val="28"/>
        </w:rPr>
        <w:t xml:space="preserve"> Centralizētai siltumapgādes sistēmai pievienotā</w:t>
      </w:r>
      <w:r w:rsidR="00077E60" w:rsidRPr="00B12D85">
        <w:rPr>
          <w:sz w:val="28"/>
          <w:szCs w:val="28"/>
        </w:rPr>
        <w:t>s</w:t>
      </w:r>
      <w:r w:rsidR="00A974F3" w:rsidRPr="00B12D85">
        <w:rPr>
          <w:sz w:val="28"/>
          <w:szCs w:val="28"/>
        </w:rPr>
        <w:t xml:space="preserve"> daudz</w:t>
      </w:r>
      <w:r w:rsidR="006C7348" w:rsidRPr="00B12D85">
        <w:rPr>
          <w:sz w:val="28"/>
          <w:szCs w:val="28"/>
        </w:rPr>
        <w:t>dz</w:t>
      </w:r>
      <w:r w:rsidR="00A974F3" w:rsidRPr="00B12D85">
        <w:rPr>
          <w:sz w:val="28"/>
          <w:szCs w:val="28"/>
        </w:rPr>
        <w:t>īvokļu</w:t>
      </w:r>
      <w:r w:rsidR="005B5E86" w:rsidRPr="00B12D85">
        <w:rPr>
          <w:sz w:val="28"/>
          <w:szCs w:val="28"/>
        </w:rPr>
        <w:t xml:space="preserve"> dzīvojamās </w:t>
      </w:r>
      <w:r w:rsidR="00A974F3" w:rsidRPr="00B12D85">
        <w:rPr>
          <w:sz w:val="28"/>
          <w:szCs w:val="28"/>
        </w:rPr>
        <w:t xml:space="preserve">ēkas </w:t>
      </w:r>
      <w:r w:rsidR="00A974F3" w:rsidRPr="00B12D85">
        <w:rPr>
          <w:rStyle w:val="normaltextrun"/>
          <w:sz w:val="28"/>
          <w:szCs w:val="28"/>
        </w:rPr>
        <w:t>katru dzīvojamo telpu grupu un nedzīvojam</w:t>
      </w:r>
      <w:r w:rsidR="00077E60" w:rsidRPr="00B12D85">
        <w:rPr>
          <w:rStyle w:val="normaltextrun"/>
          <w:sz w:val="28"/>
          <w:szCs w:val="28"/>
        </w:rPr>
        <w:t>o</w:t>
      </w:r>
      <w:r w:rsidR="00A974F3" w:rsidRPr="00B12D85">
        <w:rPr>
          <w:rStyle w:val="normaltextrun"/>
          <w:sz w:val="28"/>
          <w:szCs w:val="28"/>
        </w:rPr>
        <w:t xml:space="preserve"> telpu grupu aprīko ar </w:t>
      </w:r>
      <w:r w:rsidR="008254BB" w:rsidRPr="00B12D85">
        <w:rPr>
          <w:rStyle w:val="normaltextrun"/>
          <w:sz w:val="28"/>
          <w:szCs w:val="28"/>
        </w:rPr>
        <w:t xml:space="preserve">attālināti nolasāmiem </w:t>
      </w:r>
      <w:r w:rsidR="00A974F3" w:rsidRPr="00B12D85">
        <w:rPr>
          <w:rStyle w:val="spellingerror"/>
          <w:sz w:val="28"/>
          <w:szCs w:val="28"/>
        </w:rPr>
        <w:t>individuāliem</w:t>
      </w:r>
      <w:r w:rsidR="00A974F3" w:rsidRPr="00B12D85">
        <w:rPr>
          <w:rStyle w:val="normaltextrun"/>
          <w:sz w:val="28"/>
          <w:szCs w:val="28"/>
        </w:rPr>
        <w:t xml:space="preserve"> </w:t>
      </w:r>
      <w:r w:rsidR="006C7348" w:rsidRPr="00B12D85">
        <w:rPr>
          <w:rStyle w:val="normaltextrun"/>
          <w:sz w:val="28"/>
          <w:szCs w:val="28"/>
        </w:rPr>
        <w:t>siltumenerģijas patēriņa skaitītājiem</w:t>
      </w:r>
      <w:r w:rsidR="006C7348" w:rsidRPr="00B12D85">
        <w:rPr>
          <w:rStyle w:val="spellingerror"/>
          <w:sz w:val="28"/>
          <w:szCs w:val="28"/>
        </w:rPr>
        <w:t xml:space="preserve"> </w:t>
      </w:r>
      <w:r w:rsidR="006C7348" w:rsidRPr="00B12D85">
        <w:rPr>
          <w:rStyle w:val="normaltextrun"/>
          <w:sz w:val="28"/>
          <w:szCs w:val="28"/>
        </w:rPr>
        <w:t>vai</w:t>
      </w:r>
      <w:r w:rsidR="006C7348" w:rsidRPr="00B12D85">
        <w:rPr>
          <w:rStyle w:val="spellingerror"/>
          <w:sz w:val="28"/>
          <w:szCs w:val="28"/>
        </w:rPr>
        <w:t xml:space="preserve"> individuāliem</w:t>
      </w:r>
      <w:r w:rsidR="006C7348" w:rsidRPr="00B12D85">
        <w:rPr>
          <w:rStyle w:val="normaltextrun"/>
          <w:sz w:val="28"/>
          <w:szCs w:val="28"/>
        </w:rPr>
        <w:t xml:space="preserve"> siltuma maksas sadalītājiem katram </w:t>
      </w:r>
      <w:r w:rsidR="006C7348" w:rsidRPr="00B12D85">
        <w:rPr>
          <w:rStyle w:val="spellingerror"/>
          <w:sz w:val="28"/>
          <w:szCs w:val="28"/>
        </w:rPr>
        <w:t>sildelementam, ja individuālu siltumenerģijas patēriņa skaitītāju uzstādīšana nav tehniski iespējama vai nav ekonomiski pamatota</w:t>
      </w:r>
      <w:r w:rsidR="006C7348" w:rsidRPr="00B12D85">
        <w:rPr>
          <w:rStyle w:val="normaltextrun"/>
          <w:sz w:val="28"/>
          <w:szCs w:val="28"/>
        </w:rPr>
        <w:t>.</w:t>
      </w:r>
    </w:p>
    <w:p w14:paraId="64DE9F63" w14:textId="77777777" w:rsidR="00781D9A" w:rsidRPr="00B12D85" w:rsidRDefault="00781D9A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14:paraId="64DE9F64" w14:textId="42C05D4E" w:rsidR="00A974F3" w:rsidRPr="00B12D85" w:rsidRDefault="00781D9A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B12D85">
        <w:rPr>
          <w:rStyle w:val="normaltextrun"/>
          <w:sz w:val="28"/>
          <w:szCs w:val="28"/>
        </w:rPr>
        <w:t>15.</w:t>
      </w:r>
      <w:r w:rsidRPr="00B12D85">
        <w:rPr>
          <w:rStyle w:val="normaltextrun"/>
          <w:sz w:val="28"/>
          <w:szCs w:val="28"/>
          <w:vertAlign w:val="superscript"/>
        </w:rPr>
        <w:t>2</w:t>
      </w:r>
      <w:r w:rsidRPr="00B12D85">
        <w:rPr>
          <w:rStyle w:val="normaltextrun"/>
          <w:sz w:val="28"/>
          <w:szCs w:val="28"/>
        </w:rPr>
        <w:t> </w:t>
      </w:r>
      <w:r w:rsidRPr="00B12D85">
        <w:rPr>
          <w:sz w:val="28"/>
          <w:szCs w:val="28"/>
        </w:rPr>
        <w:t>Jaun</w:t>
      </w:r>
      <w:r w:rsidR="002311EC" w:rsidRPr="00B12D85">
        <w:rPr>
          <w:sz w:val="28"/>
          <w:szCs w:val="28"/>
        </w:rPr>
        <w:t>būvējam</w:t>
      </w:r>
      <w:r w:rsidRPr="00B12D85">
        <w:rPr>
          <w:sz w:val="28"/>
          <w:szCs w:val="28"/>
        </w:rPr>
        <w:t>as ēkas aprīko ar pašregulējošām ierīcēm gaisa temperatūras atsevišķai regulēšanai katrā telpā vai telpu grupā, ja tas ir</w:t>
      </w:r>
      <w:r w:rsidRPr="00B12D85">
        <w:rPr>
          <w:rStyle w:val="normaltextrun"/>
          <w:sz w:val="28"/>
          <w:szCs w:val="28"/>
        </w:rPr>
        <w:t xml:space="preserve"> tehniski iespējam</w:t>
      </w:r>
      <w:r w:rsidR="00A627A1" w:rsidRPr="00B12D85">
        <w:rPr>
          <w:rStyle w:val="normaltextrun"/>
          <w:sz w:val="28"/>
          <w:szCs w:val="28"/>
        </w:rPr>
        <w:t>i</w:t>
      </w:r>
      <w:r w:rsidRPr="00B12D85">
        <w:rPr>
          <w:rStyle w:val="normaltextrun"/>
          <w:sz w:val="28"/>
          <w:szCs w:val="28"/>
        </w:rPr>
        <w:t xml:space="preserve"> un ekonomiski pamatot</w:t>
      </w:r>
      <w:r w:rsidR="00A627A1" w:rsidRPr="00B12D85">
        <w:rPr>
          <w:rStyle w:val="normaltextrun"/>
          <w:sz w:val="28"/>
          <w:szCs w:val="28"/>
        </w:rPr>
        <w:t>i.</w:t>
      </w:r>
      <w:r w:rsidR="00B12D85">
        <w:rPr>
          <w:rStyle w:val="normaltextrun"/>
          <w:sz w:val="28"/>
          <w:szCs w:val="28"/>
        </w:rPr>
        <w:t>"</w:t>
      </w:r>
    </w:p>
    <w:p w14:paraId="64DE9F65" w14:textId="77777777" w:rsidR="00FF446C" w:rsidRPr="00B12D85" w:rsidRDefault="00FF446C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14:paraId="64DE9F66" w14:textId="6EC3BDD9" w:rsidR="00153E1B" w:rsidRPr="00B12D85" w:rsidRDefault="003A6ADA" w:rsidP="003A11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153E1B" w:rsidRPr="00B12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Papildināt </w:t>
      </w:r>
      <w:r w:rsidR="00153E1B" w:rsidRPr="00B12D85">
        <w:rPr>
          <w:rFonts w:ascii="Times New Roman" w:hAnsi="Times New Roman" w:cs="Times New Roman"/>
          <w:sz w:val="28"/>
          <w:szCs w:val="28"/>
        </w:rPr>
        <w:t>būvnormatīv</w:t>
      </w:r>
      <w:r w:rsidR="005A3B32" w:rsidRPr="00B12D85">
        <w:rPr>
          <w:rFonts w:ascii="Times New Roman" w:hAnsi="Times New Roman" w:cs="Times New Roman"/>
          <w:sz w:val="28"/>
          <w:szCs w:val="28"/>
        </w:rPr>
        <w:t>a 2.1.</w:t>
      </w:r>
      <w:r w:rsidR="0017196C">
        <w:rPr>
          <w:rFonts w:ascii="Times New Roman" w:hAnsi="Times New Roman" w:cs="Times New Roman"/>
          <w:sz w:val="28"/>
          <w:szCs w:val="28"/>
        </w:rPr>
        <w:t> </w:t>
      </w:r>
      <w:r w:rsidR="005A3B32" w:rsidRPr="00B12D85">
        <w:rPr>
          <w:rFonts w:ascii="Times New Roman" w:hAnsi="Times New Roman" w:cs="Times New Roman"/>
          <w:sz w:val="28"/>
          <w:szCs w:val="28"/>
        </w:rPr>
        <w:t>apakšnodaļu</w:t>
      </w:r>
      <w:r w:rsidR="00153E1B" w:rsidRPr="00B12D85">
        <w:rPr>
          <w:rFonts w:ascii="Times New Roman" w:hAnsi="Times New Roman" w:cs="Times New Roman"/>
          <w:sz w:val="28"/>
          <w:szCs w:val="28"/>
        </w:rPr>
        <w:t xml:space="preserve"> ar 25.</w:t>
      </w:r>
      <w:r w:rsidR="00153E1B" w:rsidRPr="00B12D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53E1B" w:rsidRPr="00B12D85">
        <w:rPr>
          <w:rFonts w:ascii="Times New Roman" w:hAnsi="Times New Roman" w:cs="Times New Roman"/>
          <w:sz w:val="28"/>
          <w:szCs w:val="28"/>
        </w:rPr>
        <w:t> punktu šādā redakcijā:</w:t>
      </w:r>
    </w:p>
    <w:p w14:paraId="64DE9F67" w14:textId="77777777" w:rsidR="00153E1B" w:rsidRPr="00B12D85" w:rsidRDefault="00153E1B" w:rsidP="003A11D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64DE9F68" w14:textId="6F70BAA1" w:rsidR="00A974F3" w:rsidRPr="00B12D85" w:rsidRDefault="00B12D85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  <w:r w:rsidR="00A974F3" w:rsidRPr="00B12D85">
        <w:rPr>
          <w:sz w:val="28"/>
          <w:szCs w:val="28"/>
        </w:rPr>
        <w:t>25.</w:t>
      </w:r>
      <w:r w:rsidR="00A974F3" w:rsidRPr="00B12D85">
        <w:rPr>
          <w:sz w:val="28"/>
          <w:szCs w:val="28"/>
          <w:vertAlign w:val="superscript"/>
        </w:rPr>
        <w:t>1</w:t>
      </w:r>
      <w:r w:rsidR="00153E1B" w:rsidRPr="00B12D85">
        <w:rPr>
          <w:sz w:val="28"/>
          <w:szCs w:val="28"/>
        </w:rPr>
        <w:t> </w:t>
      </w:r>
      <w:r w:rsidR="00A974F3" w:rsidRPr="00B12D85">
        <w:rPr>
          <w:rStyle w:val="normaltextrun"/>
          <w:sz w:val="28"/>
          <w:szCs w:val="28"/>
        </w:rPr>
        <w:t xml:space="preserve">Nedzīvojamo ēku, kuras lietderīgā nominālā jauda apkures sistēmas </w:t>
      </w:r>
      <w:r w:rsidR="002B6160" w:rsidRPr="00B12D85">
        <w:rPr>
          <w:rStyle w:val="normaltextrun"/>
          <w:sz w:val="28"/>
          <w:szCs w:val="28"/>
        </w:rPr>
        <w:t>(</w:t>
      </w:r>
      <w:r w:rsidR="00A974F3" w:rsidRPr="00B12D85">
        <w:rPr>
          <w:rStyle w:val="normaltextrun"/>
          <w:sz w:val="28"/>
          <w:szCs w:val="28"/>
        </w:rPr>
        <w:t>vai apvienotas apkures un ventilācijas sistēm</w:t>
      </w:r>
      <w:r w:rsidR="00077E60" w:rsidRPr="00B12D85">
        <w:rPr>
          <w:rStyle w:val="normaltextrun"/>
          <w:sz w:val="28"/>
          <w:szCs w:val="28"/>
        </w:rPr>
        <w:t>as</w:t>
      </w:r>
      <w:r w:rsidR="002B6160" w:rsidRPr="00B12D85">
        <w:rPr>
          <w:rStyle w:val="normaltextrun"/>
          <w:sz w:val="28"/>
          <w:szCs w:val="28"/>
        </w:rPr>
        <w:t>)</w:t>
      </w:r>
      <w:r w:rsidR="00077E60" w:rsidRPr="00B12D85">
        <w:rPr>
          <w:rStyle w:val="normaltextrun"/>
          <w:sz w:val="28"/>
          <w:szCs w:val="28"/>
        </w:rPr>
        <w:t xml:space="preserve"> vajadzīb</w:t>
      </w:r>
      <w:r w:rsidR="00A974F3" w:rsidRPr="00B12D85">
        <w:rPr>
          <w:rStyle w:val="normaltextrun"/>
          <w:sz w:val="28"/>
          <w:szCs w:val="28"/>
        </w:rPr>
        <w:t>ām</w:t>
      </w:r>
      <w:r w:rsidR="00077E60" w:rsidRPr="00B12D85">
        <w:rPr>
          <w:rStyle w:val="normaltextrun"/>
          <w:sz w:val="28"/>
          <w:szCs w:val="28"/>
        </w:rPr>
        <w:t xml:space="preserve"> vai kuras lietderīgā nominālā jauda gaisa kondicionēšanas sistēmas </w:t>
      </w:r>
      <w:r w:rsidR="008C6528" w:rsidRPr="00B12D85">
        <w:rPr>
          <w:rStyle w:val="normaltextrun"/>
          <w:sz w:val="28"/>
          <w:szCs w:val="28"/>
        </w:rPr>
        <w:t>(</w:t>
      </w:r>
      <w:r w:rsidR="00077E60" w:rsidRPr="00B12D85">
        <w:rPr>
          <w:rStyle w:val="normaltextrun"/>
          <w:sz w:val="28"/>
          <w:szCs w:val="28"/>
        </w:rPr>
        <w:t>vai apvienotas gaisa kondicionēšanas un ventilācijas sistēmas</w:t>
      </w:r>
      <w:r w:rsidR="008C6528" w:rsidRPr="00B12D85">
        <w:rPr>
          <w:rStyle w:val="normaltextrun"/>
          <w:sz w:val="28"/>
          <w:szCs w:val="28"/>
        </w:rPr>
        <w:t>)</w:t>
      </w:r>
      <w:r w:rsidR="00077E60" w:rsidRPr="00B12D85">
        <w:rPr>
          <w:rStyle w:val="normaltextrun"/>
          <w:sz w:val="28"/>
          <w:szCs w:val="28"/>
        </w:rPr>
        <w:t xml:space="preserve"> vajadzībām</w:t>
      </w:r>
      <w:r w:rsidR="00A974F3" w:rsidRPr="00B12D85">
        <w:rPr>
          <w:rStyle w:val="normaltextrun"/>
          <w:sz w:val="28"/>
          <w:szCs w:val="28"/>
        </w:rPr>
        <w:t xml:space="preserve"> pārsniedz 290 kilovatus,</w:t>
      </w:r>
      <w:r w:rsidR="0096734C" w:rsidRPr="00B12D85">
        <w:rPr>
          <w:rStyle w:val="normaltextrun"/>
          <w:sz w:val="28"/>
          <w:szCs w:val="28"/>
        </w:rPr>
        <w:t xml:space="preserve"> ja tas ir tehniski iespējami un ekonomiski pamatoti,</w:t>
      </w:r>
      <w:r w:rsidR="00A974F3" w:rsidRPr="00B12D85">
        <w:rPr>
          <w:rStyle w:val="FootnoteTextChar"/>
          <w:sz w:val="28"/>
          <w:szCs w:val="28"/>
        </w:rPr>
        <w:t xml:space="preserve"> </w:t>
      </w:r>
      <w:r w:rsidR="00A974F3" w:rsidRPr="00B12D85">
        <w:rPr>
          <w:rStyle w:val="normaltextrun"/>
          <w:sz w:val="28"/>
          <w:szCs w:val="28"/>
        </w:rPr>
        <w:t>aprīko ar ēkas automatizācijas un vadības sistēmu, kas nodrošina:</w:t>
      </w:r>
      <w:r w:rsidR="00A974F3" w:rsidRPr="00B12D85">
        <w:rPr>
          <w:rStyle w:val="eop"/>
          <w:sz w:val="28"/>
          <w:szCs w:val="28"/>
        </w:rPr>
        <w:t> </w:t>
      </w:r>
    </w:p>
    <w:p w14:paraId="64DE9F69" w14:textId="66571C63" w:rsidR="00A974F3" w:rsidRPr="00B12D85" w:rsidRDefault="00A974F3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B12D85">
        <w:rPr>
          <w:sz w:val="28"/>
          <w:szCs w:val="28"/>
        </w:rPr>
        <w:t>25.</w:t>
      </w:r>
      <w:r w:rsidR="00153E1B" w:rsidRPr="00B12D85">
        <w:rPr>
          <w:sz w:val="28"/>
          <w:szCs w:val="28"/>
          <w:vertAlign w:val="superscript"/>
        </w:rPr>
        <w:t>1</w:t>
      </w:r>
      <w:r w:rsidR="0017196C">
        <w:rPr>
          <w:sz w:val="28"/>
          <w:szCs w:val="28"/>
          <w:vertAlign w:val="superscript"/>
        </w:rPr>
        <w:t> </w:t>
      </w:r>
      <w:r w:rsidRPr="00B12D85">
        <w:rPr>
          <w:sz w:val="28"/>
          <w:szCs w:val="28"/>
        </w:rPr>
        <w:t>1</w:t>
      </w:r>
      <w:r w:rsidR="00865260" w:rsidRPr="00B12D85">
        <w:rPr>
          <w:sz w:val="28"/>
          <w:szCs w:val="28"/>
        </w:rPr>
        <w:t>.</w:t>
      </w:r>
      <w:r w:rsidR="00153E1B" w:rsidRPr="00B12D85">
        <w:rPr>
          <w:sz w:val="28"/>
          <w:szCs w:val="28"/>
        </w:rPr>
        <w:t> </w:t>
      </w:r>
      <w:r w:rsidRPr="00B12D85">
        <w:rPr>
          <w:rStyle w:val="normaltextrun"/>
          <w:sz w:val="28"/>
          <w:szCs w:val="28"/>
        </w:rPr>
        <w:t>iespēju pastāvīgi uzraudzīt, reģistrēt, analizēt un koriģēt ēkas enerģijas izmantošanu;</w:t>
      </w:r>
    </w:p>
    <w:p w14:paraId="64DE9F6A" w14:textId="36E8FDD2" w:rsidR="00A974F3" w:rsidRPr="00B12D85" w:rsidRDefault="00153E1B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12D85">
        <w:rPr>
          <w:sz w:val="28"/>
          <w:szCs w:val="28"/>
        </w:rPr>
        <w:t>25.</w:t>
      </w:r>
      <w:r w:rsidRPr="00B12D85">
        <w:rPr>
          <w:sz w:val="28"/>
          <w:szCs w:val="28"/>
          <w:vertAlign w:val="superscript"/>
        </w:rPr>
        <w:t>1</w:t>
      </w:r>
      <w:r w:rsidR="0017196C">
        <w:rPr>
          <w:sz w:val="28"/>
          <w:szCs w:val="28"/>
          <w:vertAlign w:val="superscript"/>
        </w:rPr>
        <w:t> </w:t>
      </w:r>
      <w:r w:rsidRPr="00B12D85">
        <w:rPr>
          <w:sz w:val="28"/>
          <w:szCs w:val="28"/>
        </w:rPr>
        <w:t>2. </w:t>
      </w:r>
      <w:r w:rsidR="00336398" w:rsidRPr="00B12D85">
        <w:rPr>
          <w:rStyle w:val="normaltextrun"/>
          <w:sz w:val="28"/>
          <w:szCs w:val="28"/>
        </w:rPr>
        <w:t>iespēju salīdzinoši novērtēt ēkas energoefektivitāti, atklāt ēkas inženiertehniskās sistēmas efektivitātes zudumus un informēt ēkas pārvaldītāju par ēkas energoefektivitātes uzlabošanas iespējām;</w:t>
      </w:r>
    </w:p>
    <w:p w14:paraId="64DE9F6B" w14:textId="235E44CC" w:rsidR="003A4603" w:rsidRPr="00B12D85" w:rsidRDefault="00153E1B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B12D85">
        <w:rPr>
          <w:sz w:val="28"/>
          <w:szCs w:val="28"/>
        </w:rPr>
        <w:t>25.</w:t>
      </w:r>
      <w:r w:rsidRPr="00B12D85">
        <w:rPr>
          <w:sz w:val="28"/>
          <w:szCs w:val="28"/>
          <w:vertAlign w:val="superscript"/>
        </w:rPr>
        <w:t>1</w:t>
      </w:r>
      <w:r w:rsidR="0017196C">
        <w:rPr>
          <w:sz w:val="28"/>
          <w:szCs w:val="28"/>
          <w:vertAlign w:val="superscript"/>
        </w:rPr>
        <w:t> </w:t>
      </w:r>
      <w:r w:rsidRPr="00B12D85">
        <w:rPr>
          <w:sz w:val="28"/>
          <w:szCs w:val="28"/>
        </w:rPr>
        <w:t>3. </w:t>
      </w:r>
      <w:r w:rsidR="00A974F3" w:rsidRPr="00B12D85">
        <w:rPr>
          <w:rStyle w:val="normaltextrun"/>
          <w:sz w:val="28"/>
          <w:szCs w:val="28"/>
        </w:rPr>
        <w:t>tiešsaisti ar ēkas inženiertehnisk</w:t>
      </w:r>
      <w:r w:rsidR="00624FBB" w:rsidRPr="00B12D85">
        <w:rPr>
          <w:rStyle w:val="normaltextrun"/>
          <w:sz w:val="28"/>
          <w:szCs w:val="28"/>
        </w:rPr>
        <w:t>o</w:t>
      </w:r>
      <w:r w:rsidR="00A974F3" w:rsidRPr="00B12D85">
        <w:rPr>
          <w:rStyle w:val="normaltextrun"/>
          <w:sz w:val="28"/>
          <w:szCs w:val="28"/>
        </w:rPr>
        <w:t xml:space="preserve"> sistēm</w:t>
      </w:r>
      <w:r w:rsidR="00624FBB" w:rsidRPr="00B12D85">
        <w:rPr>
          <w:rStyle w:val="normaltextrun"/>
          <w:sz w:val="28"/>
          <w:szCs w:val="28"/>
        </w:rPr>
        <w:t>u</w:t>
      </w:r>
      <w:r w:rsidR="00A974F3" w:rsidRPr="00B12D85">
        <w:rPr>
          <w:rStyle w:val="normaltextrun"/>
          <w:sz w:val="28"/>
          <w:szCs w:val="28"/>
        </w:rPr>
        <w:t xml:space="preserve"> un spēju veikt savas funkcijas neatkarīgi no inženiertehnisk</w:t>
      </w:r>
      <w:r w:rsidR="00624FBB" w:rsidRPr="00B12D85">
        <w:rPr>
          <w:rStyle w:val="normaltextrun"/>
          <w:sz w:val="28"/>
          <w:szCs w:val="28"/>
        </w:rPr>
        <w:t>ās</w:t>
      </w:r>
      <w:r w:rsidR="00A974F3" w:rsidRPr="00B12D85">
        <w:rPr>
          <w:rStyle w:val="normaltextrun"/>
          <w:sz w:val="28"/>
          <w:szCs w:val="28"/>
        </w:rPr>
        <w:t xml:space="preserve"> sistēm</w:t>
      </w:r>
      <w:r w:rsidR="00624FBB" w:rsidRPr="00B12D85">
        <w:rPr>
          <w:rStyle w:val="normaltextrun"/>
          <w:sz w:val="28"/>
          <w:szCs w:val="28"/>
        </w:rPr>
        <w:t>as</w:t>
      </w:r>
      <w:r w:rsidR="00A974F3" w:rsidRPr="00B12D85">
        <w:rPr>
          <w:rStyle w:val="normaltextrun"/>
          <w:sz w:val="28"/>
          <w:szCs w:val="28"/>
        </w:rPr>
        <w:t xml:space="preserve"> sastāvdaļu ražotāja.</w:t>
      </w:r>
      <w:r w:rsidR="00B12D85">
        <w:rPr>
          <w:rStyle w:val="eop"/>
          <w:sz w:val="28"/>
          <w:szCs w:val="28"/>
        </w:rPr>
        <w:t>"</w:t>
      </w:r>
    </w:p>
    <w:p w14:paraId="64DE9F6C" w14:textId="77777777" w:rsidR="00640FE8" w:rsidRPr="00B12D85" w:rsidRDefault="00640FE8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</w:p>
    <w:p w14:paraId="64DE9F6D" w14:textId="1BCD417A" w:rsidR="00640FE8" w:rsidRPr="00B12D85" w:rsidRDefault="003A6ADA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B12D85">
        <w:rPr>
          <w:rStyle w:val="eop"/>
          <w:sz w:val="28"/>
          <w:szCs w:val="28"/>
        </w:rPr>
        <w:t>5</w:t>
      </w:r>
      <w:r w:rsidR="00640FE8" w:rsidRPr="00B12D85">
        <w:rPr>
          <w:rStyle w:val="eop"/>
          <w:sz w:val="28"/>
          <w:szCs w:val="28"/>
        </w:rPr>
        <w:t>. Svītrot būvnor</w:t>
      </w:r>
      <w:r w:rsidRPr="00B12D85">
        <w:rPr>
          <w:rStyle w:val="eop"/>
          <w:sz w:val="28"/>
          <w:szCs w:val="28"/>
        </w:rPr>
        <w:t>matīva 123. punkta otro teikumu</w:t>
      </w:r>
      <w:r w:rsidR="00EC024E">
        <w:rPr>
          <w:rStyle w:val="eop"/>
          <w:sz w:val="28"/>
          <w:szCs w:val="28"/>
        </w:rPr>
        <w:t>.</w:t>
      </w:r>
    </w:p>
    <w:p w14:paraId="64DE9F6E" w14:textId="77777777" w:rsidR="003A6ADA" w:rsidRPr="00B12D85" w:rsidRDefault="003A6ADA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</w:p>
    <w:p w14:paraId="64DE9F6F" w14:textId="49CB9A3C" w:rsidR="003A6ADA" w:rsidRPr="00B12D85" w:rsidRDefault="003A6ADA" w:rsidP="003A11D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B12D85">
        <w:rPr>
          <w:rStyle w:val="eop"/>
          <w:sz w:val="28"/>
          <w:szCs w:val="28"/>
        </w:rPr>
        <w:t xml:space="preserve">6. Papildināt būvnormatīva 160. punktu aiz vārda </w:t>
      </w:r>
      <w:r w:rsidR="00B12D85">
        <w:rPr>
          <w:rStyle w:val="eop"/>
          <w:sz w:val="28"/>
          <w:szCs w:val="28"/>
        </w:rPr>
        <w:t>"</w:t>
      </w:r>
      <w:r w:rsidRPr="00B12D85">
        <w:rPr>
          <w:rStyle w:val="eop"/>
          <w:sz w:val="28"/>
          <w:szCs w:val="28"/>
        </w:rPr>
        <w:t>nodalījumiem</w:t>
      </w:r>
      <w:r w:rsidR="00B12D85">
        <w:rPr>
          <w:rStyle w:val="eop"/>
          <w:sz w:val="28"/>
          <w:szCs w:val="28"/>
        </w:rPr>
        <w:t>"</w:t>
      </w:r>
      <w:r w:rsidRPr="00B12D85">
        <w:rPr>
          <w:rStyle w:val="eop"/>
          <w:sz w:val="28"/>
          <w:szCs w:val="28"/>
        </w:rPr>
        <w:t xml:space="preserve"> ar vārdiem </w:t>
      </w:r>
      <w:r w:rsidR="00B12D85">
        <w:rPr>
          <w:rStyle w:val="eop"/>
          <w:sz w:val="28"/>
          <w:szCs w:val="28"/>
        </w:rPr>
        <w:t>"</w:t>
      </w:r>
      <w:r w:rsidRPr="00B12D85">
        <w:rPr>
          <w:rStyle w:val="eop"/>
          <w:sz w:val="28"/>
          <w:szCs w:val="28"/>
        </w:rPr>
        <w:t>vai ugunsdroši atdalītām telpām</w:t>
      </w:r>
      <w:r w:rsidR="00B12D85">
        <w:rPr>
          <w:rStyle w:val="eop"/>
          <w:sz w:val="28"/>
          <w:szCs w:val="28"/>
        </w:rPr>
        <w:t>"</w:t>
      </w:r>
      <w:r w:rsidRPr="00B12D85">
        <w:rPr>
          <w:rStyle w:val="eop"/>
          <w:sz w:val="28"/>
          <w:szCs w:val="28"/>
        </w:rPr>
        <w:t>.</w:t>
      </w:r>
    </w:p>
    <w:p w14:paraId="64DE9F70" w14:textId="77777777" w:rsidR="00F7384B" w:rsidRPr="00B12D85" w:rsidRDefault="00F7384B" w:rsidP="003A11D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64DE9F71" w14:textId="1C970D85" w:rsidR="00865260" w:rsidRDefault="00865260" w:rsidP="003A11D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69EE6AF9" w14:textId="77777777" w:rsidR="00B12D85" w:rsidRPr="00B12D85" w:rsidRDefault="00B12D85" w:rsidP="003A11D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21342E66" w14:textId="77777777" w:rsidR="00B12D85" w:rsidRPr="00DE283C" w:rsidRDefault="00B12D85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9E4C017" w14:textId="77777777" w:rsidR="00B12D85" w:rsidRDefault="00B12D8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AA25AD" w14:textId="77777777" w:rsidR="00B12D85" w:rsidRDefault="00B12D8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73FFDE" w14:textId="77777777" w:rsidR="00B12D85" w:rsidRDefault="00B12D8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DE9F77" w14:textId="61B84CEA" w:rsidR="004E49A4" w:rsidRPr="00B12D85" w:rsidRDefault="00B12D85" w:rsidP="00B12D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4E49A4" w:rsidRPr="00B12D85" w:rsidSect="00B12D8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9F82" w14:textId="77777777" w:rsidR="00A773BC" w:rsidRDefault="00A773BC" w:rsidP="001D2FBC">
      <w:pPr>
        <w:spacing w:after="0" w:line="240" w:lineRule="auto"/>
      </w:pPr>
      <w:r>
        <w:separator/>
      </w:r>
    </w:p>
  </w:endnote>
  <w:endnote w:type="continuationSeparator" w:id="0">
    <w:p w14:paraId="64DE9F83" w14:textId="77777777" w:rsidR="00A773BC" w:rsidRDefault="00A773BC" w:rsidP="001D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A8D8" w14:textId="3BE9D351" w:rsidR="00B12D85" w:rsidRPr="00B12D85" w:rsidRDefault="00B12D85">
    <w:pPr>
      <w:pStyle w:val="Footer"/>
      <w:rPr>
        <w:rFonts w:ascii="Times New Roman" w:hAnsi="Times New Roman" w:cs="Times New Roman"/>
        <w:sz w:val="16"/>
        <w:szCs w:val="16"/>
      </w:rPr>
    </w:pPr>
    <w:r w:rsidRPr="00B12D85">
      <w:rPr>
        <w:rFonts w:ascii="Times New Roman" w:hAnsi="Times New Roman" w:cs="Times New Roman"/>
        <w:sz w:val="16"/>
        <w:szCs w:val="16"/>
      </w:rPr>
      <w:t>N0969_0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42AE" w14:textId="5904A7FF" w:rsidR="00B12D85" w:rsidRPr="00B12D85" w:rsidRDefault="00B12D85">
    <w:pPr>
      <w:pStyle w:val="Footer"/>
      <w:rPr>
        <w:rFonts w:ascii="Times New Roman" w:hAnsi="Times New Roman" w:cs="Times New Roman"/>
        <w:sz w:val="16"/>
        <w:szCs w:val="16"/>
      </w:rPr>
    </w:pPr>
    <w:r w:rsidRPr="00B12D85">
      <w:rPr>
        <w:rFonts w:ascii="Times New Roman" w:hAnsi="Times New Roman" w:cs="Times New Roman"/>
        <w:sz w:val="16"/>
        <w:szCs w:val="16"/>
      </w:rPr>
      <w:t>N0969_0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9F80" w14:textId="77777777" w:rsidR="00A773BC" w:rsidRDefault="00A773BC" w:rsidP="001D2FBC">
      <w:pPr>
        <w:spacing w:after="0" w:line="240" w:lineRule="auto"/>
      </w:pPr>
      <w:r>
        <w:separator/>
      </w:r>
    </w:p>
  </w:footnote>
  <w:footnote w:type="continuationSeparator" w:id="0">
    <w:p w14:paraId="64DE9F81" w14:textId="77777777" w:rsidR="00A773BC" w:rsidRDefault="00A773BC" w:rsidP="001D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817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4DE9F84" w14:textId="06B5F297" w:rsidR="00624FBB" w:rsidRPr="00624FBB" w:rsidRDefault="00DC6D4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4FBB" w:rsidRPr="00624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4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2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4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EA9B" w14:textId="77777777" w:rsidR="00B12D85" w:rsidRPr="003629D6" w:rsidRDefault="00B12D85">
    <w:pPr>
      <w:pStyle w:val="Header"/>
    </w:pPr>
  </w:p>
  <w:p w14:paraId="6272E13B" w14:textId="4B83BDDD" w:rsidR="00B12D85" w:rsidRDefault="00B12D85">
    <w:pPr>
      <w:pStyle w:val="Header"/>
    </w:pPr>
    <w:r>
      <w:rPr>
        <w:noProof/>
      </w:rPr>
      <w:drawing>
        <wp:inline distT="0" distB="0" distL="0" distR="0" wp14:anchorId="0EFEA6AB" wp14:editId="5A4CB3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0D"/>
    <w:multiLevelType w:val="hybridMultilevel"/>
    <w:tmpl w:val="4F2A7FA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736"/>
    <w:multiLevelType w:val="hybridMultilevel"/>
    <w:tmpl w:val="3DD2EE14"/>
    <w:lvl w:ilvl="0" w:tplc="EA183E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B9192F"/>
    <w:multiLevelType w:val="multilevel"/>
    <w:tmpl w:val="8C7A8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1B6"/>
    <w:multiLevelType w:val="hybridMultilevel"/>
    <w:tmpl w:val="0072802A"/>
    <w:lvl w:ilvl="0" w:tplc="16006A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8026D3"/>
    <w:multiLevelType w:val="multilevel"/>
    <w:tmpl w:val="90A238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323B78"/>
    <w:multiLevelType w:val="hybridMultilevel"/>
    <w:tmpl w:val="271A8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1A6"/>
    <w:multiLevelType w:val="multilevel"/>
    <w:tmpl w:val="D50E2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23"/>
    <w:rsid w:val="00046F31"/>
    <w:rsid w:val="00063D74"/>
    <w:rsid w:val="000741E2"/>
    <w:rsid w:val="00077E60"/>
    <w:rsid w:val="000B624E"/>
    <w:rsid w:val="000E567C"/>
    <w:rsid w:val="000F08B2"/>
    <w:rsid w:val="00114662"/>
    <w:rsid w:val="00117271"/>
    <w:rsid w:val="00121A6B"/>
    <w:rsid w:val="00153E1B"/>
    <w:rsid w:val="0017196C"/>
    <w:rsid w:val="001C1225"/>
    <w:rsid w:val="001D2FBC"/>
    <w:rsid w:val="001E7CFB"/>
    <w:rsid w:val="00210C42"/>
    <w:rsid w:val="002174DD"/>
    <w:rsid w:val="002311EC"/>
    <w:rsid w:val="002A5127"/>
    <w:rsid w:val="002B6160"/>
    <w:rsid w:val="002E0A10"/>
    <w:rsid w:val="002F1A11"/>
    <w:rsid w:val="002F2771"/>
    <w:rsid w:val="00312BEF"/>
    <w:rsid w:val="00336398"/>
    <w:rsid w:val="00395B89"/>
    <w:rsid w:val="003A11DF"/>
    <w:rsid w:val="003A2E5B"/>
    <w:rsid w:val="003A4603"/>
    <w:rsid w:val="003A6ADA"/>
    <w:rsid w:val="003D6407"/>
    <w:rsid w:val="00413BBF"/>
    <w:rsid w:val="004258E2"/>
    <w:rsid w:val="00454266"/>
    <w:rsid w:val="00461674"/>
    <w:rsid w:val="004714BA"/>
    <w:rsid w:val="00482D1D"/>
    <w:rsid w:val="00490321"/>
    <w:rsid w:val="004D5EF4"/>
    <w:rsid w:val="004E49A4"/>
    <w:rsid w:val="00502E05"/>
    <w:rsid w:val="00503024"/>
    <w:rsid w:val="00511F62"/>
    <w:rsid w:val="00561634"/>
    <w:rsid w:val="005A3B32"/>
    <w:rsid w:val="005A3B86"/>
    <w:rsid w:val="005A4D6E"/>
    <w:rsid w:val="005B5E86"/>
    <w:rsid w:val="005D72D8"/>
    <w:rsid w:val="005F07B8"/>
    <w:rsid w:val="0060016A"/>
    <w:rsid w:val="00624FBB"/>
    <w:rsid w:val="00640FE8"/>
    <w:rsid w:val="00686213"/>
    <w:rsid w:val="006C7348"/>
    <w:rsid w:val="006E0534"/>
    <w:rsid w:val="006E2F04"/>
    <w:rsid w:val="00750841"/>
    <w:rsid w:val="0077582D"/>
    <w:rsid w:val="00781D9A"/>
    <w:rsid w:val="007A5F1A"/>
    <w:rsid w:val="007B1B7A"/>
    <w:rsid w:val="007D388A"/>
    <w:rsid w:val="007E3EC4"/>
    <w:rsid w:val="00820D94"/>
    <w:rsid w:val="008254BB"/>
    <w:rsid w:val="00827C5A"/>
    <w:rsid w:val="008454D7"/>
    <w:rsid w:val="00865260"/>
    <w:rsid w:val="008C6528"/>
    <w:rsid w:val="00963D12"/>
    <w:rsid w:val="0096734C"/>
    <w:rsid w:val="009F04D7"/>
    <w:rsid w:val="00A627A1"/>
    <w:rsid w:val="00A773BC"/>
    <w:rsid w:val="00A87DB2"/>
    <w:rsid w:val="00A974F3"/>
    <w:rsid w:val="00AC27FB"/>
    <w:rsid w:val="00AC566F"/>
    <w:rsid w:val="00AF3F31"/>
    <w:rsid w:val="00B0392F"/>
    <w:rsid w:val="00B12D85"/>
    <w:rsid w:val="00B81EDD"/>
    <w:rsid w:val="00BE43D2"/>
    <w:rsid w:val="00C07C5E"/>
    <w:rsid w:val="00C353D6"/>
    <w:rsid w:val="00C461A4"/>
    <w:rsid w:val="00C8342D"/>
    <w:rsid w:val="00D16F4C"/>
    <w:rsid w:val="00D23C76"/>
    <w:rsid w:val="00D57623"/>
    <w:rsid w:val="00D84F6B"/>
    <w:rsid w:val="00DC6D44"/>
    <w:rsid w:val="00DE1E21"/>
    <w:rsid w:val="00E20C77"/>
    <w:rsid w:val="00E36C78"/>
    <w:rsid w:val="00E543FA"/>
    <w:rsid w:val="00EC024E"/>
    <w:rsid w:val="00EC4259"/>
    <w:rsid w:val="00EC5D58"/>
    <w:rsid w:val="00EE51B4"/>
    <w:rsid w:val="00F075D2"/>
    <w:rsid w:val="00F13663"/>
    <w:rsid w:val="00F71D35"/>
    <w:rsid w:val="00F7384B"/>
    <w:rsid w:val="00F7635B"/>
    <w:rsid w:val="00FE50EA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DE9F46"/>
  <w15:docId w15:val="{8E61E414-A774-4A77-96CC-A909A01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6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E0534"/>
    <w:rPr>
      <w:color w:val="0000FF"/>
      <w:u w:val="single"/>
    </w:rPr>
  </w:style>
  <w:style w:type="character" w:customStyle="1" w:styleId="superscript">
    <w:name w:val="superscript"/>
    <w:basedOn w:val="DefaultParagraphFont"/>
    <w:rsid w:val="006E0534"/>
  </w:style>
  <w:style w:type="paragraph" w:styleId="ListParagraph">
    <w:name w:val="List Paragraph"/>
    <w:basedOn w:val="Normal"/>
    <w:uiPriority w:val="34"/>
    <w:qFormat/>
    <w:rsid w:val="00D23C76"/>
    <w:pPr>
      <w:ind w:left="720"/>
      <w:contextualSpacing/>
    </w:pPr>
  </w:style>
  <w:style w:type="paragraph" w:customStyle="1" w:styleId="paragraph">
    <w:name w:val="paragraph"/>
    <w:basedOn w:val="Normal"/>
    <w:rsid w:val="00F7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F71D35"/>
  </w:style>
  <w:style w:type="character" w:customStyle="1" w:styleId="spellingerror">
    <w:name w:val="spellingerror"/>
    <w:basedOn w:val="DefaultParagraphFont"/>
    <w:rsid w:val="00F71D35"/>
  </w:style>
  <w:style w:type="character" w:customStyle="1" w:styleId="eop">
    <w:name w:val="eop"/>
    <w:basedOn w:val="DefaultParagraphFont"/>
    <w:rsid w:val="00A974F3"/>
  </w:style>
  <w:style w:type="paragraph" w:styleId="FootnoteText">
    <w:name w:val="footnote text"/>
    <w:basedOn w:val="Normal"/>
    <w:link w:val="FootnoteTextChar"/>
    <w:uiPriority w:val="99"/>
    <w:semiHidden/>
    <w:unhideWhenUsed/>
    <w:rsid w:val="00A97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BC"/>
  </w:style>
  <w:style w:type="paragraph" w:styleId="Footer">
    <w:name w:val="footer"/>
    <w:basedOn w:val="Normal"/>
    <w:link w:val="Foot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BC"/>
  </w:style>
  <w:style w:type="paragraph" w:styleId="BalloonText">
    <w:name w:val="Balloon Text"/>
    <w:basedOn w:val="Normal"/>
    <w:link w:val="BalloonTextChar"/>
    <w:uiPriority w:val="99"/>
    <w:semiHidden/>
    <w:unhideWhenUsed/>
    <w:rsid w:val="00EE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A6ADA"/>
  </w:style>
  <w:style w:type="paragraph" w:customStyle="1" w:styleId="Body">
    <w:name w:val="Body"/>
    <w:rsid w:val="00B12D8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2015. gada 16. jūnija noteikumos Nr. 310 “Noteikumi par Latvijas būvnormatīvu LBN 231-15 “Dzīvojamo un publisko ēku apkure un ventilācija””"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16. jūnija noteikumos Nr. 310 “Noteikumi par Latvijas būvnormatīvu LBN 231-15 “Dzīvojamo un publisko ēku apkure un ventilācija””"</dc:title>
  <dc:subject/>
  <dc:creator>Marta.Bergmane@em.gov.lv</dc:creator>
  <cp:keywords>MK noteikumi</cp:keywords>
  <dc:description>67013041, marta.bergmane@em.gov.lv</dc:description>
  <cp:lastModifiedBy>Leontine Babkina</cp:lastModifiedBy>
  <cp:revision>7</cp:revision>
  <cp:lastPrinted>2020-06-10T11:11:00Z</cp:lastPrinted>
  <dcterms:created xsi:type="dcterms:W3CDTF">2020-04-30T08:27:00Z</dcterms:created>
  <dcterms:modified xsi:type="dcterms:W3CDTF">2020-06-18T07:33:00Z</dcterms:modified>
</cp:coreProperties>
</file>