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AB71B" w14:textId="77777777" w:rsidR="001B5526" w:rsidRPr="006A3310" w:rsidRDefault="001B5526" w:rsidP="00874075">
      <w:pPr>
        <w:spacing w:after="120"/>
        <w:jc w:val="center"/>
        <w:rPr>
          <w:rFonts w:ascii="Times New Roman" w:hAnsi="Times New Roman"/>
          <w:b/>
          <w:smallCaps/>
          <w:sz w:val="24"/>
          <w:szCs w:val="24"/>
        </w:rPr>
      </w:pPr>
      <w:r w:rsidRPr="006A3310">
        <w:rPr>
          <w:rFonts w:ascii="Times New Roman" w:hAnsi="Times New Roman"/>
          <w:b/>
          <w:smallCaps/>
          <w:sz w:val="24"/>
          <w:szCs w:val="24"/>
        </w:rPr>
        <w:t>Informatīvais ziņojums</w:t>
      </w:r>
    </w:p>
    <w:p w14:paraId="35CF5675" w14:textId="5819AA88" w:rsidR="001B5526" w:rsidRPr="006A3310" w:rsidRDefault="001B5526" w:rsidP="00874075">
      <w:pPr>
        <w:spacing w:after="0"/>
        <w:jc w:val="center"/>
        <w:rPr>
          <w:rFonts w:ascii="Times New Roman" w:hAnsi="Times New Roman"/>
          <w:b/>
          <w:sz w:val="24"/>
          <w:szCs w:val="24"/>
        </w:rPr>
      </w:pPr>
      <w:r w:rsidRPr="006A3310">
        <w:rPr>
          <w:rFonts w:ascii="Times New Roman" w:hAnsi="Times New Roman"/>
          <w:b/>
          <w:sz w:val="24"/>
          <w:szCs w:val="24"/>
        </w:rPr>
        <w:t xml:space="preserve">par Eiropas Savienības </w:t>
      </w:r>
      <w:r w:rsidR="00A507EE">
        <w:rPr>
          <w:rFonts w:ascii="Times New Roman" w:hAnsi="Times New Roman"/>
          <w:b/>
          <w:sz w:val="24"/>
          <w:szCs w:val="24"/>
        </w:rPr>
        <w:t>e</w:t>
      </w:r>
      <w:r w:rsidRPr="006A3310">
        <w:rPr>
          <w:rFonts w:ascii="Times New Roman" w:hAnsi="Times New Roman"/>
          <w:b/>
          <w:sz w:val="24"/>
          <w:szCs w:val="24"/>
        </w:rPr>
        <w:t>nerģētikas</w:t>
      </w:r>
      <w:r w:rsidR="00A507EE">
        <w:rPr>
          <w:rFonts w:ascii="Times New Roman" w:hAnsi="Times New Roman"/>
          <w:b/>
          <w:sz w:val="24"/>
          <w:szCs w:val="24"/>
        </w:rPr>
        <w:t xml:space="preserve"> </w:t>
      </w:r>
      <w:r>
        <w:rPr>
          <w:rFonts w:ascii="Times New Roman" w:hAnsi="Times New Roman"/>
          <w:b/>
          <w:sz w:val="24"/>
          <w:szCs w:val="24"/>
        </w:rPr>
        <w:t xml:space="preserve">ministru </w:t>
      </w:r>
      <w:r w:rsidR="00A507EE">
        <w:rPr>
          <w:rFonts w:ascii="Times New Roman" w:hAnsi="Times New Roman"/>
          <w:b/>
          <w:sz w:val="24"/>
          <w:szCs w:val="24"/>
        </w:rPr>
        <w:t>2020</w:t>
      </w:r>
      <w:r w:rsidR="00A507EE" w:rsidRPr="006A3310">
        <w:rPr>
          <w:rFonts w:ascii="Times New Roman" w:hAnsi="Times New Roman"/>
          <w:b/>
          <w:sz w:val="24"/>
          <w:szCs w:val="24"/>
        </w:rPr>
        <w:t>.</w:t>
      </w:r>
      <w:r w:rsidR="00A507EE">
        <w:rPr>
          <w:rFonts w:ascii="Times New Roman" w:hAnsi="Times New Roman"/>
          <w:b/>
          <w:sz w:val="24"/>
          <w:szCs w:val="24"/>
        </w:rPr>
        <w:t xml:space="preserve"> gada </w:t>
      </w:r>
      <w:r w:rsidR="00843FCB">
        <w:rPr>
          <w:rFonts w:ascii="Times New Roman" w:hAnsi="Times New Roman"/>
          <w:b/>
          <w:sz w:val="24"/>
          <w:szCs w:val="24"/>
        </w:rPr>
        <w:t>15</w:t>
      </w:r>
      <w:r w:rsidR="00A507EE" w:rsidRPr="006A3310">
        <w:rPr>
          <w:rFonts w:ascii="Times New Roman" w:hAnsi="Times New Roman"/>
          <w:b/>
          <w:sz w:val="24"/>
          <w:szCs w:val="24"/>
        </w:rPr>
        <w:t>.</w:t>
      </w:r>
      <w:r w:rsidR="00843FCB">
        <w:rPr>
          <w:rFonts w:ascii="Times New Roman" w:hAnsi="Times New Roman"/>
          <w:b/>
          <w:sz w:val="24"/>
          <w:szCs w:val="24"/>
        </w:rPr>
        <w:t xml:space="preserve"> jūnij</w:t>
      </w:r>
      <w:r w:rsidR="00A507EE">
        <w:rPr>
          <w:rFonts w:ascii="Times New Roman" w:hAnsi="Times New Roman"/>
          <w:b/>
          <w:sz w:val="24"/>
          <w:szCs w:val="24"/>
        </w:rPr>
        <w:t>a</w:t>
      </w:r>
      <w:r w:rsidR="00A507EE" w:rsidRPr="006A3310">
        <w:rPr>
          <w:rFonts w:ascii="Times New Roman" w:hAnsi="Times New Roman"/>
          <w:b/>
          <w:sz w:val="24"/>
          <w:szCs w:val="24"/>
        </w:rPr>
        <w:t xml:space="preserve"> </w:t>
      </w:r>
      <w:r w:rsidR="00A507EE">
        <w:rPr>
          <w:rFonts w:ascii="Times New Roman" w:hAnsi="Times New Roman"/>
          <w:b/>
          <w:sz w:val="24"/>
          <w:szCs w:val="24"/>
        </w:rPr>
        <w:t>videokonferencē</w:t>
      </w:r>
      <w:r w:rsidRPr="006A3310">
        <w:rPr>
          <w:rFonts w:ascii="Times New Roman" w:hAnsi="Times New Roman"/>
          <w:b/>
          <w:sz w:val="24"/>
          <w:szCs w:val="24"/>
        </w:rPr>
        <w:t xml:space="preserve"> izskatāmajiem jautājumiem</w:t>
      </w:r>
    </w:p>
    <w:p w14:paraId="6E34A390" w14:textId="77777777" w:rsidR="00071480" w:rsidRDefault="00071480"/>
    <w:p w14:paraId="7473BC14" w14:textId="77777777" w:rsidR="001B5526" w:rsidRPr="006A3310" w:rsidRDefault="001B5526" w:rsidP="001B5526">
      <w:pPr>
        <w:spacing w:before="120"/>
        <w:ind w:firstLine="567"/>
        <w:jc w:val="center"/>
        <w:rPr>
          <w:rFonts w:ascii="Times New Roman" w:hAnsi="Times New Roman"/>
          <w:b/>
          <w:sz w:val="24"/>
          <w:szCs w:val="24"/>
        </w:rPr>
      </w:pPr>
      <w:r w:rsidRPr="006A3310">
        <w:rPr>
          <w:rFonts w:ascii="Times New Roman" w:hAnsi="Times New Roman"/>
          <w:b/>
          <w:sz w:val="24"/>
          <w:szCs w:val="24"/>
        </w:rPr>
        <w:t>I. Sanāksmē izskatāmie jautājumi</w:t>
      </w:r>
    </w:p>
    <w:p w14:paraId="17033358" w14:textId="5995F832" w:rsidR="002E620F" w:rsidRDefault="00A507EE" w:rsidP="008B5FB8">
      <w:pPr>
        <w:spacing w:after="120"/>
        <w:ind w:firstLine="567"/>
        <w:jc w:val="both"/>
        <w:rPr>
          <w:rFonts w:ascii="Times New Roman" w:hAnsi="Times New Roman"/>
          <w:sz w:val="24"/>
          <w:szCs w:val="24"/>
        </w:rPr>
      </w:pPr>
      <w:r>
        <w:rPr>
          <w:rFonts w:ascii="Times New Roman" w:hAnsi="Times New Roman"/>
          <w:sz w:val="24"/>
          <w:szCs w:val="24"/>
        </w:rPr>
        <w:t>2020</w:t>
      </w:r>
      <w:r w:rsidR="00843FCB">
        <w:rPr>
          <w:rFonts w:ascii="Times New Roman" w:hAnsi="Times New Roman"/>
          <w:sz w:val="24"/>
          <w:szCs w:val="24"/>
        </w:rPr>
        <w:t>. gada 15</w:t>
      </w:r>
      <w:r w:rsidR="001B5526" w:rsidRPr="000475D9">
        <w:rPr>
          <w:rFonts w:ascii="Times New Roman" w:hAnsi="Times New Roman"/>
          <w:sz w:val="24"/>
          <w:szCs w:val="24"/>
        </w:rPr>
        <w:t>.</w:t>
      </w:r>
      <w:r w:rsidR="001B5526">
        <w:rPr>
          <w:rFonts w:ascii="Times New Roman" w:hAnsi="Times New Roman"/>
          <w:sz w:val="24"/>
          <w:szCs w:val="24"/>
        </w:rPr>
        <w:t xml:space="preserve"> </w:t>
      </w:r>
      <w:r w:rsidR="00843FCB">
        <w:rPr>
          <w:rFonts w:ascii="Times New Roman" w:hAnsi="Times New Roman"/>
          <w:sz w:val="24"/>
          <w:szCs w:val="24"/>
        </w:rPr>
        <w:t>jūnijā</w:t>
      </w:r>
      <w:r w:rsidR="001B5526" w:rsidRPr="000475D9">
        <w:rPr>
          <w:rFonts w:ascii="Times New Roman" w:hAnsi="Times New Roman"/>
          <w:sz w:val="24"/>
          <w:szCs w:val="24"/>
        </w:rPr>
        <w:t xml:space="preserve"> notiks Eiropas Savienības (turpmāk – ES) enerģētikas ministru </w:t>
      </w:r>
      <w:r>
        <w:rPr>
          <w:rFonts w:ascii="Times New Roman" w:hAnsi="Times New Roman"/>
          <w:sz w:val="24"/>
          <w:szCs w:val="24"/>
        </w:rPr>
        <w:t>neformālā augsta līmeņa videokonference</w:t>
      </w:r>
      <w:r w:rsidR="001B5526" w:rsidRPr="000475D9">
        <w:rPr>
          <w:rFonts w:ascii="Times New Roman" w:hAnsi="Times New Roman"/>
          <w:sz w:val="24"/>
          <w:szCs w:val="24"/>
        </w:rPr>
        <w:t>.</w:t>
      </w:r>
      <w:r w:rsidR="002E620F" w:rsidRPr="002E620F">
        <w:rPr>
          <w:rFonts w:ascii="Times New Roman" w:hAnsi="Times New Roman"/>
          <w:sz w:val="24"/>
          <w:szCs w:val="24"/>
        </w:rPr>
        <w:t xml:space="preserve"> Tās laikā </w:t>
      </w:r>
      <w:r w:rsidR="002E620F">
        <w:rPr>
          <w:rFonts w:ascii="Times New Roman" w:hAnsi="Times New Roman"/>
          <w:sz w:val="24"/>
          <w:szCs w:val="24"/>
        </w:rPr>
        <w:t>ministri</w:t>
      </w:r>
      <w:r w:rsidR="002E620F" w:rsidRPr="002E620F">
        <w:rPr>
          <w:rFonts w:ascii="Times New Roman" w:hAnsi="Times New Roman"/>
          <w:sz w:val="24"/>
          <w:szCs w:val="24"/>
        </w:rPr>
        <w:t xml:space="preserve"> tiks aicināti apmainīties ar viedokļiem par</w:t>
      </w:r>
      <w:r w:rsidR="00843FCB">
        <w:rPr>
          <w:rFonts w:ascii="Times New Roman" w:hAnsi="Times New Roman"/>
          <w:sz w:val="24"/>
          <w:szCs w:val="24"/>
        </w:rPr>
        <w:t xml:space="preserve"> enerģētikas nozares transformāciju, vienlaikus nodrošinot ekonomikas izaugsmi, ekonomikas atkopšanās un Eiropas Zaļo kursa kontekstā</w:t>
      </w:r>
      <w:r w:rsidR="002E620F">
        <w:rPr>
          <w:rFonts w:ascii="Times New Roman" w:hAnsi="Times New Roman"/>
          <w:sz w:val="24"/>
          <w:szCs w:val="24"/>
        </w:rPr>
        <w:t>.</w:t>
      </w:r>
      <w:r w:rsidR="002E620F" w:rsidRPr="002E620F">
        <w:rPr>
          <w:rFonts w:ascii="Times New Roman" w:hAnsi="Times New Roman"/>
          <w:sz w:val="24"/>
          <w:szCs w:val="24"/>
        </w:rPr>
        <w:t xml:space="preserve"> </w:t>
      </w:r>
      <w:r w:rsidR="002E620F">
        <w:rPr>
          <w:rFonts w:ascii="Times New Roman" w:hAnsi="Times New Roman"/>
          <w:sz w:val="24"/>
          <w:szCs w:val="24"/>
        </w:rPr>
        <w:t>Papildus Eiropas Komisijas</w:t>
      </w:r>
      <w:r w:rsidR="004C1998">
        <w:rPr>
          <w:rFonts w:ascii="Times New Roman" w:hAnsi="Times New Roman"/>
          <w:sz w:val="24"/>
          <w:szCs w:val="24"/>
        </w:rPr>
        <w:t xml:space="preserve"> (turpmāk – </w:t>
      </w:r>
      <w:r w:rsidR="00AD786F">
        <w:rPr>
          <w:rFonts w:ascii="Times New Roman" w:hAnsi="Times New Roman"/>
          <w:sz w:val="24"/>
          <w:szCs w:val="24"/>
        </w:rPr>
        <w:t>EK</w:t>
      </w:r>
      <w:r w:rsidR="004C1998">
        <w:rPr>
          <w:rFonts w:ascii="Times New Roman" w:hAnsi="Times New Roman"/>
          <w:sz w:val="24"/>
          <w:szCs w:val="24"/>
        </w:rPr>
        <w:t>)</w:t>
      </w:r>
      <w:r w:rsidR="002E620F">
        <w:rPr>
          <w:rFonts w:ascii="Times New Roman" w:hAnsi="Times New Roman"/>
          <w:sz w:val="24"/>
          <w:szCs w:val="24"/>
        </w:rPr>
        <w:t xml:space="preserve"> pārstāvji informēs par </w:t>
      </w:r>
      <w:r w:rsidR="00843FCB">
        <w:rPr>
          <w:rFonts w:ascii="Times New Roman" w:hAnsi="Times New Roman"/>
          <w:sz w:val="24"/>
          <w:szCs w:val="24"/>
        </w:rPr>
        <w:t xml:space="preserve">aktuālo </w:t>
      </w:r>
      <w:r w:rsidR="00583F81">
        <w:rPr>
          <w:rFonts w:ascii="Times New Roman" w:hAnsi="Times New Roman"/>
          <w:sz w:val="24"/>
          <w:szCs w:val="24"/>
        </w:rPr>
        <w:t>situāciju ar</w:t>
      </w:r>
      <w:r w:rsidR="002E620F" w:rsidRPr="002E620F">
        <w:rPr>
          <w:rFonts w:ascii="Times New Roman" w:hAnsi="Times New Roman"/>
          <w:sz w:val="24"/>
          <w:szCs w:val="24"/>
        </w:rPr>
        <w:t xml:space="preserve"> </w:t>
      </w:r>
      <w:r w:rsidR="00583F81">
        <w:rPr>
          <w:rFonts w:ascii="Times New Roman" w:hAnsi="Times New Roman"/>
          <w:sz w:val="24"/>
          <w:szCs w:val="24"/>
        </w:rPr>
        <w:t xml:space="preserve">dalībvalstu Nacionālajiem </w:t>
      </w:r>
      <w:r w:rsidR="002E620F" w:rsidRPr="002E620F">
        <w:rPr>
          <w:rFonts w:ascii="Times New Roman" w:hAnsi="Times New Roman"/>
          <w:sz w:val="24"/>
          <w:szCs w:val="24"/>
        </w:rPr>
        <w:t>enerģ</w:t>
      </w:r>
      <w:r w:rsidR="00F15672">
        <w:rPr>
          <w:rFonts w:ascii="Times New Roman" w:hAnsi="Times New Roman"/>
          <w:sz w:val="24"/>
          <w:szCs w:val="24"/>
        </w:rPr>
        <w:t>ētikas</w:t>
      </w:r>
      <w:r w:rsidR="002E620F" w:rsidRPr="002E620F">
        <w:rPr>
          <w:rFonts w:ascii="Times New Roman" w:hAnsi="Times New Roman"/>
          <w:sz w:val="24"/>
          <w:szCs w:val="24"/>
        </w:rPr>
        <w:t xml:space="preserve"> un klimata plāniem</w:t>
      </w:r>
      <w:r w:rsidR="00583F81">
        <w:rPr>
          <w:rFonts w:ascii="Times New Roman" w:hAnsi="Times New Roman"/>
          <w:sz w:val="24"/>
          <w:szCs w:val="24"/>
        </w:rPr>
        <w:t xml:space="preserve"> </w:t>
      </w:r>
      <w:r w:rsidR="00B34EE5">
        <w:rPr>
          <w:rFonts w:ascii="Times New Roman" w:hAnsi="Times New Roman"/>
          <w:sz w:val="24"/>
          <w:szCs w:val="24"/>
        </w:rPr>
        <w:t xml:space="preserve">(turpmāk – NEKP) </w:t>
      </w:r>
      <w:r w:rsidR="00583F81">
        <w:rPr>
          <w:rFonts w:ascii="Times New Roman" w:hAnsi="Times New Roman"/>
          <w:sz w:val="24"/>
          <w:szCs w:val="24"/>
        </w:rPr>
        <w:t>un Ilgtermiņa renovācijas stratēģijām</w:t>
      </w:r>
      <w:r w:rsidR="00843FCB">
        <w:rPr>
          <w:rFonts w:ascii="Times New Roman" w:hAnsi="Times New Roman"/>
          <w:sz w:val="24"/>
          <w:szCs w:val="24"/>
        </w:rPr>
        <w:t xml:space="preserve">, kā arī informēs par </w:t>
      </w:r>
      <w:r w:rsidR="00843FCB" w:rsidRPr="00843FCB">
        <w:rPr>
          <w:rFonts w:ascii="Times New Roman" w:hAnsi="Times New Roman"/>
          <w:sz w:val="24"/>
          <w:szCs w:val="24"/>
        </w:rPr>
        <w:t xml:space="preserve">plānotajām </w:t>
      </w:r>
      <w:r w:rsidR="00AD786F">
        <w:rPr>
          <w:rFonts w:ascii="Times New Roman" w:hAnsi="Times New Roman"/>
          <w:sz w:val="24"/>
          <w:szCs w:val="24"/>
        </w:rPr>
        <w:t>EK</w:t>
      </w:r>
      <w:r w:rsidR="00843FCB" w:rsidRPr="00843FCB">
        <w:rPr>
          <w:rFonts w:ascii="Times New Roman" w:hAnsi="Times New Roman"/>
          <w:sz w:val="24"/>
          <w:szCs w:val="24"/>
        </w:rPr>
        <w:t xml:space="preserve"> iniciatīvām, saskaņā ar precizēto </w:t>
      </w:r>
      <w:r w:rsidR="00AD786F">
        <w:rPr>
          <w:rFonts w:ascii="Times New Roman" w:hAnsi="Times New Roman"/>
          <w:sz w:val="24"/>
          <w:szCs w:val="24"/>
        </w:rPr>
        <w:t>EK</w:t>
      </w:r>
      <w:r w:rsidR="00843FCB" w:rsidRPr="00843FCB">
        <w:rPr>
          <w:rFonts w:ascii="Times New Roman" w:hAnsi="Times New Roman"/>
          <w:sz w:val="24"/>
          <w:szCs w:val="24"/>
        </w:rPr>
        <w:t xml:space="preserve"> darba programmu.</w:t>
      </w:r>
      <w:r w:rsidR="00843FCB">
        <w:rPr>
          <w:rFonts w:ascii="Times New Roman" w:hAnsi="Times New Roman"/>
          <w:sz w:val="24"/>
          <w:szCs w:val="24"/>
        </w:rPr>
        <w:t xml:space="preserve"> </w:t>
      </w:r>
      <w:r w:rsidR="00B34EE5">
        <w:rPr>
          <w:rFonts w:ascii="Times New Roman" w:hAnsi="Times New Roman"/>
          <w:sz w:val="24"/>
          <w:szCs w:val="24"/>
        </w:rPr>
        <w:t xml:space="preserve">Ienākošā Vācijas prezidentūra informēs par plānoto darba programmu 2020.gada otrajā pusgadā. </w:t>
      </w:r>
      <w:r w:rsidR="00843FCB">
        <w:rPr>
          <w:rFonts w:ascii="Times New Roman" w:hAnsi="Times New Roman"/>
          <w:sz w:val="24"/>
          <w:szCs w:val="24"/>
        </w:rPr>
        <w:t>P</w:t>
      </w:r>
      <w:r w:rsidR="002E41E8">
        <w:rPr>
          <w:rFonts w:ascii="Times New Roman" w:hAnsi="Times New Roman"/>
          <w:sz w:val="24"/>
          <w:szCs w:val="24"/>
        </w:rPr>
        <w:t xml:space="preserve">ie citiem jautājumiem </w:t>
      </w:r>
      <w:r w:rsidR="00843FCB">
        <w:rPr>
          <w:rFonts w:ascii="Times New Roman" w:hAnsi="Times New Roman"/>
          <w:sz w:val="24"/>
          <w:szCs w:val="24"/>
        </w:rPr>
        <w:t>Lietuvas pārstāvj</w:t>
      </w:r>
      <w:r w:rsidR="002E41E8">
        <w:rPr>
          <w:rFonts w:ascii="Times New Roman" w:hAnsi="Times New Roman"/>
          <w:sz w:val="24"/>
          <w:szCs w:val="24"/>
        </w:rPr>
        <w:t>i</w:t>
      </w:r>
      <w:r w:rsidR="00843FCB">
        <w:rPr>
          <w:rFonts w:ascii="Times New Roman" w:hAnsi="Times New Roman"/>
          <w:sz w:val="24"/>
          <w:szCs w:val="24"/>
        </w:rPr>
        <w:t xml:space="preserve"> </w:t>
      </w:r>
      <w:r w:rsidR="002E41E8">
        <w:rPr>
          <w:rFonts w:ascii="Times New Roman" w:hAnsi="Times New Roman"/>
          <w:sz w:val="24"/>
          <w:szCs w:val="24"/>
        </w:rPr>
        <w:t xml:space="preserve">aicinās </w:t>
      </w:r>
      <w:r w:rsidR="00F030E4">
        <w:rPr>
          <w:rFonts w:ascii="Times New Roman" w:hAnsi="Times New Roman"/>
          <w:sz w:val="24"/>
          <w:szCs w:val="24"/>
        </w:rPr>
        <w:t>diskutēt</w:t>
      </w:r>
      <w:r w:rsidR="002E41E8">
        <w:rPr>
          <w:rFonts w:ascii="Times New Roman" w:hAnsi="Times New Roman"/>
          <w:sz w:val="24"/>
          <w:szCs w:val="24"/>
        </w:rPr>
        <w:t xml:space="preserve"> par Baltkrievijas </w:t>
      </w:r>
      <w:proofErr w:type="spellStart"/>
      <w:r w:rsidR="002E41E8">
        <w:rPr>
          <w:rFonts w:ascii="Times New Roman" w:hAnsi="Times New Roman"/>
          <w:sz w:val="24"/>
          <w:szCs w:val="24"/>
        </w:rPr>
        <w:t>Astravjecas</w:t>
      </w:r>
      <w:proofErr w:type="spellEnd"/>
      <w:r w:rsidR="002E41E8">
        <w:rPr>
          <w:rFonts w:ascii="Times New Roman" w:hAnsi="Times New Roman"/>
          <w:sz w:val="24"/>
          <w:szCs w:val="24"/>
        </w:rPr>
        <w:t xml:space="preserve"> AES</w:t>
      </w:r>
      <w:r w:rsidR="002E41E8" w:rsidRPr="002E41E8">
        <w:rPr>
          <w:rFonts w:ascii="Times New Roman" w:hAnsi="Times New Roman"/>
          <w:sz w:val="24"/>
          <w:szCs w:val="24"/>
        </w:rPr>
        <w:t xml:space="preserve"> jautājumu</w:t>
      </w:r>
      <w:r w:rsidR="002E41E8">
        <w:rPr>
          <w:rFonts w:ascii="Times New Roman" w:hAnsi="Times New Roman"/>
          <w:sz w:val="24"/>
          <w:szCs w:val="24"/>
        </w:rPr>
        <w:t>.</w:t>
      </w:r>
    </w:p>
    <w:p w14:paraId="70D575FB" w14:textId="59CB4B1C" w:rsidR="00BC118A" w:rsidRPr="00BC118A" w:rsidRDefault="0040236E" w:rsidP="00BC118A">
      <w:pPr>
        <w:spacing w:before="240" w:after="60"/>
        <w:ind w:firstLine="567"/>
        <w:jc w:val="both"/>
        <w:rPr>
          <w:rFonts w:ascii="Times New Roman" w:hAnsi="Times New Roman"/>
          <w:i/>
          <w:iCs/>
          <w:sz w:val="24"/>
          <w:szCs w:val="24"/>
        </w:rPr>
      </w:pPr>
      <w:r w:rsidRPr="008B5FB8">
        <w:rPr>
          <w:rFonts w:ascii="Times New Roman" w:hAnsi="Times New Roman"/>
          <w:b/>
          <w:sz w:val="24"/>
          <w:szCs w:val="24"/>
        </w:rPr>
        <w:t>1. </w:t>
      </w:r>
      <w:r w:rsidR="00473E6B">
        <w:rPr>
          <w:rFonts w:ascii="Times New Roman" w:hAnsi="Times New Roman"/>
          <w:b/>
          <w:sz w:val="24"/>
          <w:szCs w:val="24"/>
        </w:rPr>
        <w:t xml:space="preserve">Ekonomikas atkopšanās un Eiropas Zaļais kurss: </w:t>
      </w:r>
      <w:r w:rsidR="00473E6B">
        <w:rPr>
          <w:rFonts w:ascii="Times New Roman" w:hAnsi="Times New Roman" w:cs="Times New Roman"/>
          <w:b/>
          <w:sz w:val="24"/>
          <w:szCs w:val="24"/>
        </w:rPr>
        <w:t>enerģētikas s</w:t>
      </w:r>
      <w:r w:rsidR="00A507EE">
        <w:rPr>
          <w:rFonts w:ascii="Times New Roman" w:hAnsi="Times New Roman" w:cs="Times New Roman"/>
          <w:b/>
          <w:sz w:val="24"/>
          <w:szCs w:val="24"/>
        </w:rPr>
        <w:t xml:space="preserve">ektora </w:t>
      </w:r>
      <w:r w:rsidR="00473E6B">
        <w:rPr>
          <w:rFonts w:ascii="Times New Roman" w:hAnsi="Times New Roman" w:cs="Times New Roman"/>
          <w:b/>
          <w:sz w:val="24"/>
          <w:szCs w:val="24"/>
        </w:rPr>
        <w:t xml:space="preserve">pārkārtošanās, vienlaikus nodrošinot izaugsmi </w:t>
      </w:r>
      <w:r w:rsidR="00BC118A" w:rsidRPr="00BC118A">
        <w:rPr>
          <w:rFonts w:ascii="Times New Roman" w:hAnsi="Times New Roman"/>
          <w:i/>
          <w:iCs/>
          <w:sz w:val="24"/>
          <w:szCs w:val="24"/>
        </w:rPr>
        <w:t>–</w:t>
      </w:r>
      <w:r w:rsidR="00473E6B">
        <w:rPr>
          <w:rFonts w:ascii="Times New Roman" w:hAnsi="Times New Roman"/>
          <w:i/>
          <w:iCs/>
          <w:sz w:val="24"/>
          <w:szCs w:val="24"/>
        </w:rPr>
        <w:t xml:space="preserve"> </w:t>
      </w:r>
      <w:r w:rsidR="00BC118A">
        <w:rPr>
          <w:rFonts w:ascii="Times New Roman" w:hAnsi="Times New Roman"/>
          <w:i/>
          <w:iCs/>
          <w:sz w:val="24"/>
          <w:szCs w:val="24"/>
        </w:rPr>
        <w:t>diskus</w:t>
      </w:r>
      <w:r w:rsidR="00BC118A" w:rsidRPr="00BC118A">
        <w:rPr>
          <w:rFonts w:ascii="Times New Roman" w:hAnsi="Times New Roman"/>
          <w:i/>
          <w:iCs/>
          <w:sz w:val="24"/>
          <w:szCs w:val="24"/>
        </w:rPr>
        <w:t>ija</w:t>
      </w:r>
    </w:p>
    <w:p w14:paraId="7E131F2B" w14:textId="547E34B8" w:rsidR="00473E6B" w:rsidRDefault="00473E6B" w:rsidP="008B5FB8">
      <w:pPr>
        <w:spacing w:before="120" w:after="120"/>
        <w:ind w:firstLine="720"/>
        <w:jc w:val="both"/>
        <w:rPr>
          <w:rFonts w:ascii="Times New Roman" w:hAnsi="Times New Roman"/>
          <w:noProof/>
          <w:sz w:val="24"/>
          <w:szCs w:val="24"/>
        </w:rPr>
      </w:pPr>
      <w:r>
        <w:rPr>
          <w:rFonts w:ascii="Times New Roman" w:hAnsi="Times New Roman"/>
          <w:noProof/>
          <w:sz w:val="24"/>
          <w:szCs w:val="24"/>
        </w:rPr>
        <w:t>M</w:t>
      </w:r>
      <w:r w:rsidR="00F52220">
        <w:rPr>
          <w:rFonts w:ascii="Times New Roman" w:hAnsi="Times New Roman"/>
          <w:noProof/>
          <w:sz w:val="24"/>
          <w:szCs w:val="24"/>
        </w:rPr>
        <w:t>inistr</w:t>
      </w:r>
      <w:r>
        <w:rPr>
          <w:rFonts w:ascii="Times New Roman" w:hAnsi="Times New Roman"/>
          <w:noProof/>
          <w:sz w:val="24"/>
          <w:szCs w:val="24"/>
        </w:rPr>
        <w:t xml:space="preserve">i tiek aicināti </w:t>
      </w:r>
      <w:r w:rsidR="00B15B11">
        <w:rPr>
          <w:rFonts w:ascii="Times New Roman" w:hAnsi="Times New Roman"/>
          <w:noProof/>
          <w:sz w:val="24"/>
          <w:szCs w:val="24"/>
        </w:rPr>
        <w:t xml:space="preserve">sniegt redzējumu par </w:t>
      </w:r>
      <w:r>
        <w:rPr>
          <w:rFonts w:ascii="Times New Roman" w:hAnsi="Times New Roman"/>
          <w:noProof/>
          <w:sz w:val="24"/>
          <w:szCs w:val="24"/>
        </w:rPr>
        <w:t xml:space="preserve">enerģētikas sektora pārkārtošanās iespējām, kas vienlaikus sniegs savu ieguldījumu gan ES </w:t>
      </w:r>
      <w:r w:rsidR="00561DCE">
        <w:rPr>
          <w:rFonts w:ascii="Times New Roman" w:hAnsi="Times New Roman"/>
          <w:noProof/>
          <w:sz w:val="24"/>
          <w:szCs w:val="24"/>
        </w:rPr>
        <w:t xml:space="preserve">ilgtermiņa </w:t>
      </w:r>
      <w:r>
        <w:rPr>
          <w:rFonts w:ascii="Times New Roman" w:hAnsi="Times New Roman"/>
          <w:noProof/>
          <w:sz w:val="24"/>
          <w:szCs w:val="24"/>
        </w:rPr>
        <w:t>klimata</w:t>
      </w:r>
      <w:r w:rsidR="00B8441E">
        <w:rPr>
          <w:rFonts w:ascii="Times New Roman" w:hAnsi="Times New Roman"/>
          <w:noProof/>
          <w:sz w:val="24"/>
          <w:szCs w:val="24"/>
        </w:rPr>
        <w:t xml:space="preserve"> </w:t>
      </w:r>
      <w:r>
        <w:rPr>
          <w:rFonts w:ascii="Times New Roman" w:hAnsi="Times New Roman"/>
          <w:noProof/>
          <w:sz w:val="24"/>
          <w:szCs w:val="24"/>
        </w:rPr>
        <w:t>mērķu sasniegšanā, gan nodrošinās ekonomikas atkopšanos no COVID-19 izraisītās krīzes un veicinās</w:t>
      </w:r>
      <w:r w:rsidR="00561DCE">
        <w:rPr>
          <w:rFonts w:ascii="Times New Roman" w:hAnsi="Times New Roman"/>
          <w:noProof/>
          <w:sz w:val="24"/>
          <w:szCs w:val="24"/>
        </w:rPr>
        <w:t xml:space="preserve"> ES ekonomisko</w:t>
      </w:r>
      <w:r>
        <w:rPr>
          <w:rFonts w:ascii="Times New Roman" w:hAnsi="Times New Roman"/>
          <w:noProof/>
          <w:sz w:val="24"/>
          <w:szCs w:val="24"/>
        </w:rPr>
        <w:t xml:space="preserve"> izaugsmi. Horvātijas prezidentūra aicina paust viedokli par inovatīvu tehnoloģiju nozīmi un to lomu šajā procesā.</w:t>
      </w:r>
    </w:p>
    <w:p w14:paraId="74D151DB" w14:textId="72D07945" w:rsidR="00C172B6" w:rsidRDefault="00C172B6" w:rsidP="00C172B6">
      <w:pPr>
        <w:spacing w:before="120" w:after="120"/>
        <w:ind w:firstLine="720"/>
        <w:jc w:val="both"/>
        <w:rPr>
          <w:rFonts w:ascii="Times New Roman" w:hAnsi="Times New Roman"/>
          <w:noProof/>
          <w:sz w:val="24"/>
          <w:szCs w:val="24"/>
        </w:rPr>
      </w:pPr>
      <w:r w:rsidRPr="00C172B6">
        <w:rPr>
          <w:rFonts w:ascii="Times New Roman" w:hAnsi="Times New Roman"/>
          <w:noProof/>
          <w:sz w:val="24"/>
          <w:szCs w:val="24"/>
        </w:rPr>
        <w:t xml:space="preserve">ES </w:t>
      </w:r>
      <w:r w:rsidR="00473E6B">
        <w:rPr>
          <w:rFonts w:ascii="Times New Roman" w:hAnsi="Times New Roman"/>
          <w:noProof/>
          <w:sz w:val="24"/>
          <w:szCs w:val="24"/>
        </w:rPr>
        <w:t xml:space="preserve">šobrīd notiek aktīvs darbs </w:t>
      </w:r>
      <w:r w:rsidR="00694B72">
        <w:rPr>
          <w:rFonts w:ascii="Times New Roman" w:hAnsi="Times New Roman"/>
          <w:noProof/>
          <w:sz w:val="24"/>
          <w:szCs w:val="24"/>
        </w:rPr>
        <w:t xml:space="preserve">pie </w:t>
      </w:r>
      <w:r w:rsidRPr="00DF3B33">
        <w:rPr>
          <w:rFonts w:ascii="Times New Roman" w:hAnsi="Times New Roman"/>
          <w:noProof/>
          <w:sz w:val="24"/>
          <w:szCs w:val="24"/>
        </w:rPr>
        <w:t>ekonomikas atlabšan</w:t>
      </w:r>
      <w:r w:rsidR="00694B72" w:rsidRPr="00DF3B33">
        <w:rPr>
          <w:rFonts w:ascii="Times New Roman" w:hAnsi="Times New Roman"/>
          <w:noProof/>
          <w:sz w:val="24"/>
          <w:szCs w:val="24"/>
        </w:rPr>
        <w:t>as</w:t>
      </w:r>
      <w:r w:rsidRPr="00C172B6">
        <w:rPr>
          <w:rFonts w:ascii="Times New Roman" w:hAnsi="Times New Roman"/>
          <w:noProof/>
          <w:sz w:val="24"/>
          <w:szCs w:val="24"/>
        </w:rPr>
        <w:t xml:space="preserve"> </w:t>
      </w:r>
      <w:r w:rsidR="00694B72">
        <w:rPr>
          <w:rFonts w:ascii="Times New Roman" w:hAnsi="Times New Roman"/>
          <w:noProof/>
          <w:sz w:val="24"/>
          <w:szCs w:val="24"/>
        </w:rPr>
        <w:t>otrā posm</w:t>
      </w:r>
      <w:r w:rsidR="00E17129">
        <w:rPr>
          <w:rFonts w:ascii="Times New Roman" w:hAnsi="Times New Roman"/>
          <w:noProof/>
          <w:sz w:val="24"/>
          <w:szCs w:val="24"/>
        </w:rPr>
        <w:t>a</w:t>
      </w:r>
      <w:r w:rsidR="00694B72">
        <w:rPr>
          <w:rFonts w:ascii="Times New Roman" w:hAnsi="Times New Roman"/>
          <w:noProof/>
          <w:sz w:val="24"/>
          <w:szCs w:val="24"/>
        </w:rPr>
        <w:t>. Eiropas Zaļa</w:t>
      </w:r>
      <w:r w:rsidR="009712BA">
        <w:rPr>
          <w:rFonts w:ascii="Times New Roman" w:hAnsi="Times New Roman"/>
          <w:noProof/>
          <w:sz w:val="24"/>
          <w:szCs w:val="24"/>
        </w:rPr>
        <w:t>is</w:t>
      </w:r>
      <w:r w:rsidR="00694B72">
        <w:rPr>
          <w:rFonts w:ascii="Times New Roman" w:hAnsi="Times New Roman"/>
          <w:noProof/>
          <w:sz w:val="24"/>
          <w:szCs w:val="24"/>
        </w:rPr>
        <w:t xml:space="preserve"> kurs</w:t>
      </w:r>
      <w:r w:rsidR="009712BA">
        <w:rPr>
          <w:rFonts w:ascii="Times New Roman" w:hAnsi="Times New Roman"/>
          <w:noProof/>
          <w:sz w:val="24"/>
          <w:szCs w:val="24"/>
        </w:rPr>
        <w:t>s</w:t>
      </w:r>
      <w:r w:rsidR="00E17129">
        <w:rPr>
          <w:rFonts w:ascii="Times New Roman" w:hAnsi="Times New Roman"/>
          <w:noProof/>
          <w:sz w:val="24"/>
          <w:szCs w:val="24"/>
        </w:rPr>
        <w:t xml:space="preserve"> </w:t>
      </w:r>
      <w:r w:rsidRPr="00C172B6">
        <w:rPr>
          <w:rFonts w:ascii="Times New Roman" w:hAnsi="Times New Roman"/>
          <w:noProof/>
          <w:sz w:val="24"/>
          <w:szCs w:val="24"/>
        </w:rPr>
        <w:t xml:space="preserve">kopā ar </w:t>
      </w:r>
      <w:r w:rsidR="00694B72">
        <w:rPr>
          <w:rFonts w:ascii="Times New Roman" w:hAnsi="Times New Roman"/>
          <w:noProof/>
          <w:sz w:val="24"/>
          <w:szCs w:val="24"/>
        </w:rPr>
        <w:t>dalīb</w:t>
      </w:r>
      <w:r w:rsidRPr="00C172B6">
        <w:rPr>
          <w:rFonts w:ascii="Times New Roman" w:hAnsi="Times New Roman"/>
          <w:noProof/>
          <w:sz w:val="24"/>
          <w:szCs w:val="24"/>
        </w:rPr>
        <w:t>valstu</w:t>
      </w:r>
      <w:r w:rsidR="005E784C">
        <w:rPr>
          <w:rFonts w:ascii="Times New Roman" w:hAnsi="Times New Roman"/>
          <w:noProof/>
          <w:sz w:val="24"/>
          <w:szCs w:val="24"/>
        </w:rPr>
        <w:t xml:space="preserve"> </w:t>
      </w:r>
      <w:r w:rsidR="00694B72">
        <w:rPr>
          <w:rFonts w:ascii="Times New Roman" w:hAnsi="Times New Roman"/>
          <w:noProof/>
          <w:sz w:val="24"/>
          <w:szCs w:val="24"/>
        </w:rPr>
        <w:t>NEKP var spēlēt nozīmīgu lomu ES ekonomikas ilgtspējīgas atveseļošanās nodrošināšanā</w:t>
      </w:r>
      <w:r w:rsidR="009712BA">
        <w:rPr>
          <w:rFonts w:ascii="Times New Roman" w:hAnsi="Times New Roman"/>
          <w:noProof/>
          <w:sz w:val="24"/>
          <w:szCs w:val="24"/>
        </w:rPr>
        <w:t xml:space="preserve"> un ārkārtas situācijas ietekmes uz sabiedrību mazināšanā</w:t>
      </w:r>
      <w:r w:rsidRPr="00C172B6">
        <w:rPr>
          <w:rFonts w:ascii="Times New Roman" w:hAnsi="Times New Roman"/>
          <w:noProof/>
          <w:sz w:val="24"/>
          <w:szCs w:val="24"/>
        </w:rPr>
        <w:t>. Koncentrēšanās uz tīrās enerģijas pā</w:t>
      </w:r>
      <w:r w:rsidR="00251BAE">
        <w:rPr>
          <w:rFonts w:ascii="Times New Roman" w:hAnsi="Times New Roman"/>
          <w:noProof/>
          <w:sz w:val="24"/>
          <w:szCs w:val="24"/>
        </w:rPr>
        <w:t>rkārtošanos</w:t>
      </w:r>
      <w:r w:rsidRPr="00C172B6">
        <w:rPr>
          <w:rFonts w:ascii="Times New Roman" w:hAnsi="Times New Roman"/>
          <w:noProof/>
          <w:sz w:val="24"/>
          <w:szCs w:val="24"/>
        </w:rPr>
        <w:t xml:space="preserve"> un nepieciešamo ekonomisko pārveidi videi nekaitīgas izaugsmes un klimata</w:t>
      </w:r>
      <w:r w:rsidR="00694B72">
        <w:rPr>
          <w:rFonts w:ascii="Times New Roman" w:hAnsi="Times New Roman"/>
          <w:noProof/>
          <w:sz w:val="24"/>
          <w:szCs w:val="24"/>
        </w:rPr>
        <w:t xml:space="preserve"> neitralitātes virzienā ir lieliska</w:t>
      </w:r>
      <w:r w:rsidRPr="00C172B6">
        <w:rPr>
          <w:rFonts w:ascii="Times New Roman" w:hAnsi="Times New Roman"/>
          <w:noProof/>
          <w:sz w:val="24"/>
          <w:szCs w:val="24"/>
        </w:rPr>
        <w:t xml:space="preserve"> iespēja dalībvalstu ekonomiku </w:t>
      </w:r>
      <w:r w:rsidR="00694B72">
        <w:rPr>
          <w:rFonts w:ascii="Times New Roman" w:hAnsi="Times New Roman"/>
          <w:noProof/>
          <w:sz w:val="24"/>
          <w:szCs w:val="24"/>
        </w:rPr>
        <w:t xml:space="preserve">stimulēšanai un </w:t>
      </w:r>
      <w:r w:rsidRPr="00C172B6">
        <w:rPr>
          <w:rFonts w:ascii="Times New Roman" w:hAnsi="Times New Roman"/>
          <w:noProof/>
          <w:sz w:val="24"/>
          <w:szCs w:val="24"/>
        </w:rPr>
        <w:t>Eiropas vadoš</w:t>
      </w:r>
      <w:r w:rsidR="00694B72">
        <w:rPr>
          <w:rFonts w:ascii="Times New Roman" w:hAnsi="Times New Roman"/>
          <w:noProof/>
          <w:sz w:val="24"/>
          <w:szCs w:val="24"/>
        </w:rPr>
        <w:t>ās</w:t>
      </w:r>
      <w:r w:rsidRPr="00C172B6">
        <w:rPr>
          <w:rFonts w:ascii="Times New Roman" w:hAnsi="Times New Roman"/>
          <w:noProof/>
          <w:sz w:val="24"/>
          <w:szCs w:val="24"/>
        </w:rPr>
        <w:t xml:space="preserve"> lom</w:t>
      </w:r>
      <w:r w:rsidR="00694B72">
        <w:rPr>
          <w:rFonts w:ascii="Times New Roman" w:hAnsi="Times New Roman"/>
          <w:noProof/>
          <w:sz w:val="24"/>
          <w:szCs w:val="24"/>
        </w:rPr>
        <w:t>as veicināšanai</w:t>
      </w:r>
      <w:r w:rsidRPr="00C172B6">
        <w:rPr>
          <w:rFonts w:ascii="Times New Roman" w:hAnsi="Times New Roman"/>
          <w:noProof/>
          <w:sz w:val="24"/>
          <w:szCs w:val="24"/>
        </w:rPr>
        <w:t xml:space="preserve"> tehnoloģiju jomā. Šajā ziņā ļoti svarīga ir iedzīvotāju un vietējo kopienu </w:t>
      </w:r>
      <w:r w:rsidR="00694B72">
        <w:rPr>
          <w:rFonts w:ascii="Times New Roman" w:hAnsi="Times New Roman"/>
          <w:noProof/>
          <w:sz w:val="24"/>
          <w:szCs w:val="24"/>
        </w:rPr>
        <w:t>(</w:t>
      </w:r>
      <w:r w:rsidRPr="00C172B6">
        <w:rPr>
          <w:rFonts w:ascii="Times New Roman" w:hAnsi="Times New Roman"/>
          <w:noProof/>
          <w:sz w:val="24"/>
          <w:szCs w:val="24"/>
        </w:rPr>
        <w:t xml:space="preserve">pilsētu, </w:t>
      </w:r>
      <w:r w:rsidR="00251BAE">
        <w:rPr>
          <w:rFonts w:ascii="Times New Roman" w:hAnsi="Times New Roman"/>
          <w:noProof/>
          <w:sz w:val="24"/>
          <w:szCs w:val="24"/>
        </w:rPr>
        <w:t xml:space="preserve">mazpilsētu </w:t>
      </w:r>
      <w:r w:rsidRPr="00C172B6">
        <w:rPr>
          <w:rFonts w:ascii="Times New Roman" w:hAnsi="Times New Roman"/>
          <w:noProof/>
          <w:sz w:val="24"/>
          <w:szCs w:val="24"/>
        </w:rPr>
        <w:t xml:space="preserve">un lauku </w:t>
      </w:r>
      <w:r w:rsidR="00251BAE">
        <w:rPr>
          <w:rFonts w:ascii="Times New Roman" w:hAnsi="Times New Roman"/>
          <w:noProof/>
          <w:sz w:val="24"/>
          <w:szCs w:val="24"/>
        </w:rPr>
        <w:t>teritoriju</w:t>
      </w:r>
      <w:r w:rsidR="00694B72">
        <w:rPr>
          <w:rFonts w:ascii="Times New Roman" w:hAnsi="Times New Roman"/>
          <w:noProof/>
          <w:sz w:val="24"/>
          <w:szCs w:val="24"/>
        </w:rPr>
        <w:t>)</w:t>
      </w:r>
      <w:r w:rsidR="00251BAE">
        <w:rPr>
          <w:rFonts w:ascii="Times New Roman" w:hAnsi="Times New Roman"/>
          <w:noProof/>
          <w:sz w:val="24"/>
          <w:szCs w:val="24"/>
        </w:rPr>
        <w:t xml:space="preserve"> mobilizācija, kā arī nepārtraukts</w:t>
      </w:r>
      <w:r w:rsidRPr="00C172B6">
        <w:rPr>
          <w:rFonts w:ascii="Times New Roman" w:hAnsi="Times New Roman"/>
          <w:noProof/>
          <w:sz w:val="24"/>
          <w:szCs w:val="24"/>
        </w:rPr>
        <w:t xml:space="preserve"> </w:t>
      </w:r>
      <w:r w:rsidR="00251BAE">
        <w:rPr>
          <w:rFonts w:ascii="Times New Roman" w:hAnsi="Times New Roman"/>
          <w:noProof/>
          <w:sz w:val="24"/>
          <w:szCs w:val="24"/>
        </w:rPr>
        <w:t>fokuss uz taisnīg</w:t>
      </w:r>
      <w:r w:rsidR="002312B7">
        <w:rPr>
          <w:rFonts w:ascii="Times New Roman" w:hAnsi="Times New Roman"/>
          <w:noProof/>
          <w:sz w:val="24"/>
          <w:szCs w:val="24"/>
        </w:rPr>
        <w:t>as</w:t>
      </w:r>
      <w:r w:rsidRPr="00C172B6">
        <w:rPr>
          <w:rFonts w:ascii="Times New Roman" w:hAnsi="Times New Roman"/>
          <w:noProof/>
          <w:sz w:val="24"/>
          <w:szCs w:val="24"/>
        </w:rPr>
        <w:t xml:space="preserve"> pā</w:t>
      </w:r>
      <w:r w:rsidR="00251BAE">
        <w:rPr>
          <w:rFonts w:ascii="Times New Roman" w:hAnsi="Times New Roman"/>
          <w:noProof/>
          <w:sz w:val="24"/>
          <w:szCs w:val="24"/>
        </w:rPr>
        <w:t>rkārtošan</w:t>
      </w:r>
      <w:r w:rsidR="002312B7">
        <w:rPr>
          <w:rFonts w:ascii="Times New Roman" w:hAnsi="Times New Roman"/>
          <w:noProof/>
          <w:sz w:val="24"/>
          <w:szCs w:val="24"/>
        </w:rPr>
        <w:t>ās veicināšanu</w:t>
      </w:r>
      <w:r w:rsidRPr="00C172B6">
        <w:rPr>
          <w:rFonts w:ascii="Times New Roman" w:hAnsi="Times New Roman"/>
          <w:noProof/>
          <w:sz w:val="24"/>
          <w:szCs w:val="24"/>
        </w:rPr>
        <w:t>.</w:t>
      </w:r>
    </w:p>
    <w:p w14:paraId="787D84D1" w14:textId="02B0F44F" w:rsidR="00B34EE5" w:rsidRPr="00753A6F" w:rsidRDefault="00B34EE5" w:rsidP="00B34EE5">
      <w:pPr>
        <w:snapToGrid w:val="0"/>
        <w:spacing w:after="120" w:line="240" w:lineRule="auto"/>
        <w:ind w:firstLine="360"/>
        <w:jc w:val="both"/>
        <w:rPr>
          <w:rFonts w:ascii="Times New Roman" w:eastAsia="Calibri" w:hAnsi="Times New Roman" w:cs="Times New Roman"/>
          <w:sz w:val="24"/>
          <w:szCs w:val="24"/>
        </w:rPr>
      </w:pPr>
      <w:r>
        <w:rPr>
          <w:rFonts w:ascii="Times New Roman" w:hAnsi="Times New Roman"/>
          <w:noProof/>
          <w:sz w:val="24"/>
          <w:szCs w:val="24"/>
        </w:rPr>
        <w:t>2020. gada</w:t>
      </w:r>
      <w:r w:rsidRPr="00C01759">
        <w:rPr>
          <w:rFonts w:ascii="Times New Roman" w:hAnsi="Times New Roman"/>
          <w:noProof/>
          <w:sz w:val="24"/>
          <w:szCs w:val="24"/>
        </w:rPr>
        <w:t xml:space="preserve"> maijā</w:t>
      </w:r>
      <w:r w:rsidR="00AD786F">
        <w:rPr>
          <w:rFonts w:ascii="Times New Roman" w:hAnsi="Times New Roman"/>
          <w:noProof/>
          <w:sz w:val="24"/>
          <w:szCs w:val="24"/>
        </w:rPr>
        <w:t xml:space="preserve"> EK</w:t>
      </w:r>
      <w:r w:rsidRPr="00C01759">
        <w:rPr>
          <w:rFonts w:ascii="Times New Roman" w:hAnsi="Times New Roman"/>
          <w:noProof/>
          <w:sz w:val="24"/>
          <w:szCs w:val="24"/>
        </w:rPr>
        <w:t xml:space="preserve"> publicēja Eiropas A</w:t>
      </w:r>
      <w:r>
        <w:rPr>
          <w:rFonts w:ascii="Times New Roman" w:hAnsi="Times New Roman"/>
          <w:noProof/>
          <w:sz w:val="24"/>
          <w:szCs w:val="24"/>
        </w:rPr>
        <w:t>tveseļošanas Plānu 1 850 mljrd. </w:t>
      </w:r>
      <w:r w:rsidRPr="00C01759">
        <w:rPr>
          <w:rFonts w:ascii="Times New Roman" w:hAnsi="Times New Roman"/>
          <w:noProof/>
          <w:sz w:val="24"/>
          <w:szCs w:val="24"/>
        </w:rPr>
        <w:t>EUR apmērā - atjaunotu priekšlikumu par ES daudzgadu bu</w:t>
      </w:r>
      <w:r>
        <w:rPr>
          <w:rFonts w:ascii="Times New Roman" w:hAnsi="Times New Roman"/>
          <w:noProof/>
          <w:sz w:val="24"/>
          <w:szCs w:val="24"/>
        </w:rPr>
        <w:t>džetu 2021.-2027. gadam (MFF) 1 </w:t>
      </w:r>
      <w:r w:rsidRPr="00C01759">
        <w:rPr>
          <w:rFonts w:ascii="Times New Roman" w:hAnsi="Times New Roman"/>
          <w:noProof/>
          <w:sz w:val="24"/>
          <w:szCs w:val="24"/>
        </w:rPr>
        <w:t>100</w:t>
      </w:r>
      <w:r>
        <w:rPr>
          <w:rFonts w:ascii="Times New Roman" w:hAnsi="Times New Roman"/>
          <w:noProof/>
          <w:sz w:val="24"/>
          <w:szCs w:val="24"/>
        </w:rPr>
        <w:t> </w:t>
      </w:r>
      <w:r w:rsidRPr="00C01759">
        <w:rPr>
          <w:rFonts w:ascii="Times New Roman" w:hAnsi="Times New Roman"/>
          <w:noProof/>
          <w:sz w:val="24"/>
          <w:szCs w:val="24"/>
        </w:rPr>
        <w:t>mljr</w:t>
      </w:r>
      <w:r>
        <w:rPr>
          <w:rFonts w:ascii="Times New Roman" w:hAnsi="Times New Roman"/>
          <w:noProof/>
          <w:sz w:val="24"/>
          <w:szCs w:val="24"/>
        </w:rPr>
        <w:t xml:space="preserve">d. EUR apmērā un jaunu ārkārtas Eiropas </w:t>
      </w:r>
      <w:r w:rsidRPr="00C01759">
        <w:rPr>
          <w:rFonts w:ascii="Times New Roman" w:hAnsi="Times New Roman"/>
          <w:noProof/>
          <w:sz w:val="24"/>
          <w:szCs w:val="24"/>
        </w:rPr>
        <w:t>Atveseļošanas instrumentu (</w:t>
      </w:r>
      <w:r w:rsidRPr="00C01759">
        <w:rPr>
          <w:rFonts w:ascii="Times New Roman" w:hAnsi="Times New Roman"/>
          <w:i/>
          <w:noProof/>
          <w:sz w:val="24"/>
          <w:szCs w:val="24"/>
        </w:rPr>
        <w:t xml:space="preserve">Next Generation EU, </w:t>
      </w:r>
      <w:r w:rsidR="00AD786F">
        <w:rPr>
          <w:rFonts w:ascii="Times New Roman" w:hAnsi="Times New Roman"/>
          <w:noProof/>
          <w:sz w:val="24"/>
          <w:szCs w:val="24"/>
        </w:rPr>
        <w:t xml:space="preserve">turpmāk – </w:t>
      </w:r>
      <w:r w:rsidRPr="00C01759">
        <w:rPr>
          <w:rFonts w:ascii="Times New Roman" w:hAnsi="Times New Roman"/>
          <w:i/>
          <w:noProof/>
          <w:sz w:val="24"/>
          <w:szCs w:val="24"/>
        </w:rPr>
        <w:t>NextGen</w:t>
      </w:r>
      <w:r>
        <w:rPr>
          <w:rFonts w:ascii="Times New Roman" w:hAnsi="Times New Roman"/>
          <w:noProof/>
          <w:sz w:val="24"/>
          <w:szCs w:val="24"/>
        </w:rPr>
        <w:t>) 750 mljrd. </w:t>
      </w:r>
      <w:r w:rsidRPr="00C01759">
        <w:rPr>
          <w:rFonts w:ascii="Times New Roman" w:hAnsi="Times New Roman"/>
          <w:noProof/>
          <w:sz w:val="24"/>
          <w:szCs w:val="24"/>
        </w:rPr>
        <w:t>EUR apmērā</w:t>
      </w:r>
      <w:r w:rsidRPr="00C01759">
        <w:rPr>
          <w:rFonts w:ascii="Times New Roman" w:hAnsi="Times New Roman"/>
          <w:noProof/>
          <w:sz w:val="24"/>
          <w:szCs w:val="24"/>
          <w:vertAlign w:val="superscript"/>
        </w:rPr>
        <w:footnoteReference w:id="1"/>
      </w:r>
      <w:r w:rsidRPr="00C01759">
        <w:rPr>
          <w:rFonts w:ascii="Times New Roman" w:hAnsi="Times New Roman"/>
          <w:noProof/>
          <w:sz w:val="24"/>
          <w:szCs w:val="24"/>
        </w:rPr>
        <w:t>.</w:t>
      </w:r>
      <w:r w:rsidR="000C598F">
        <w:rPr>
          <w:rFonts w:ascii="Times New Roman" w:hAnsi="Times New Roman"/>
          <w:noProof/>
          <w:sz w:val="24"/>
          <w:szCs w:val="24"/>
        </w:rPr>
        <w:t xml:space="preserve"> </w:t>
      </w:r>
      <w:r w:rsidRPr="00371817">
        <w:rPr>
          <w:rFonts w:ascii="Times New Roman" w:hAnsi="Times New Roman"/>
          <w:noProof/>
          <w:sz w:val="24"/>
          <w:szCs w:val="24"/>
        </w:rPr>
        <w:t xml:space="preserve">EK piedāvā </w:t>
      </w:r>
      <w:r w:rsidRPr="00371817">
        <w:rPr>
          <w:rFonts w:ascii="Times New Roman" w:hAnsi="Times New Roman"/>
          <w:i/>
          <w:noProof/>
          <w:sz w:val="24"/>
          <w:szCs w:val="24"/>
        </w:rPr>
        <w:t>NextGen</w:t>
      </w:r>
      <w:r>
        <w:rPr>
          <w:rFonts w:ascii="Times New Roman" w:hAnsi="Times New Roman"/>
          <w:noProof/>
          <w:sz w:val="24"/>
          <w:szCs w:val="24"/>
        </w:rPr>
        <w:t xml:space="preserve">, kas </w:t>
      </w:r>
      <w:r w:rsidRPr="00371817">
        <w:rPr>
          <w:rFonts w:ascii="Times New Roman" w:hAnsi="Times New Roman"/>
          <w:noProof/>
          <w:sz w:val="24"/>
          <w:szCs w:val="24"/>
        </w:rPr>
        <w:t>ar ES daudzgadu budžeta p</w:t>
      </w:r>
      <w:r>
        <w:rPr>
          <w:rFonts w:ascii="Times New Roman" w:hAnsi="Times New Roman"/>
          <w:noProof/>
          <w:sz w:val="24"/>
          <w:szCs w:val="24"/>
        </w:rPr>
        <w:t xml:space="preserve">rogrammu un fondu starpniecību </w:t>
      </w:r>
      <w:r w:rsidRPr="00371817">
        <w:rPr>
          <w:rFonts w:ascii="Times New Roman" w:hAnsi="Times New Roman"/>
          <w:noProof/>
          <w:sz w:val="24"/>
          <w:szCs w:val="24"/>
        </w:rPr>
        <w:t>nodrošinās papildus finanšu atb</w:t>
      </w:r>
      <w:r>
        <w:rPr>
          <w:rFonts w:ascii="Times New Roman" w:hAnsi="Times New Roman"/>
          <w:noProof/>
          <w:sz w:val="24"/>
          <w:szCs w:val="24"/>
        </w:rPr>
        <w:t>alstu visām ES dalībvalstīm 750 mljrd. </w:t>
      </w:r>
      <w:r w:rsidRPr="00371817">
        <w:rPr>
          <w:rFonts w:ascii="Times New Roman" w:hAnsi="Times New Roman"/>
          <w:noProof/>
          <w:sz w:val="24"/>
          <w:szCs w:val="24"/>
        </w:rPr>
        <w:t>EUR apmērā</w:t>
      </w:r>
      <w:r w:rsidR="00EE3DB3">
        <w:rPr>
          <w:rFonts w:ascii="Times New Roman" w:hAnsi="Times New Roman"/>
          <w:noProof/>
          <w:sz w:val="24"/>
          <w:szCs w:val="24"/>
        </w:rPr>
        <w:t xml:space="preserve"> (500 mljrd. grantu veidā un 250 mljrd. aizdevumos)</w:t>
      </w:r>
      <w:r w:rsidRPr="00371817">
        <w:rPr>
          <w:rFonts w:ascii="Times New Roman" w:hAnsi="Times New Roman"/>
          <w:noProof/>
          <w:sz w:val="24"/>
          <w:szCs w:val="24"/>
        </w:rPr>
        <w:t>, lai mazinātu COVID-19 krīzes radītās negatīvās sociālekonomiskās sekas</w:t>
      </w:r>
      <w:r>
        <w:rPr>
          <w:rFonts w:ascii="Times New Roman" w:hAnsi="Times New Roman"/>
          <w:noProof/>
          <w:sz w:val="24"/>
          <w:szCs w:val="24"/>
        </w:rPr>
        <w:t xml:space="preserve">. </w:t>
      </w:r>
      <w:proofErr w:type="spellStart"/>
      <w:r w:rsidRPr="00634A76">
        <w:rPr>
          <w:rFonts w:ascii="Times New Roman" w:eastAsia="Calibri" w:hAnsi="Times New Roman" w:cs="Times New Roman"/>
          <w:i/>
          <w:iCs/>
          <w:sz w:val="24"/>
          <w:szCs w:val="24"/>
        </w:rPr>
        <w:t>NextGen</w:t>
      </w:r>
      <w:proofErr w:type="spellEnd"/>
      <w:r>
        <w:rPr>
          <w:rFonts w:ascii="Times New Roman" w:eastAsia="Calibri" w:hAnsi="Times New Roman" w:cs="Times New Roman"/>
          <w:sz w:val="24"/>
          <w:szCs w:val="24"/>
        </w:rPr>
        <w:t xml:space="preserve"> sastāv no pasākumiem, kas sadalāmi 3 pīlāros:</w:t>
      </w:r>
    </w:p>
    <w:p w14:paraId="025D35F3" w14:textId="77777777" w:rsidR="00B34EE5" w:rsidRDefault="00B34EE5" w:rsidP="00B34EE5">
      <w:pPr>
        <w:pStyle w:val="ListParagraph"/>
        <w:numPr>
          <w:ilvl w:val="0"/>
          <w:numId w:val="13"/>
        </w:numPr>
        <w:snapToGrid w:val="0"/>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634A76">
        <w:rPr>
          <w:rFonts w:ascii="Times New Roman" w:eastAsia="Calibri" w:hAnsi="Times New Roman" w:cs="Times New Roman"/>
          <w:sz w:val="24"/>
          <w:szCs w:val="24"/>
        </w:rPr>
        <w:t>inanšu atbalsts ES dalībvalstu reformām un investīciju vajadzībām saistībā ar ekonomikas atveseļošanas pasākumiem pēc pandēmijas</w:t>
      </w:r>
      <w:r>
        <w:rPr>
          <w:rFonts w:ascii="Times New Roman" w:eastAsia="Calibri" w:hAnsi="Times New Roman" w:cs="Times New Roman"/>
          <w:sz w:val="24"/>
          <w:szCs w:val="24"/>
        </w:rPr>
        <w:t>.</w:t>
      </w:r>
    </w:p>
    <w:p w14:paraId="4CEB4DAB" w14:textId="346D3D93" w:rsidR="00B34EE5" w:rsidRPr="009430AB" w:rsidRDefault="00B34EE5" w:rsidP="00B34EE5">
      <w:pPr>
        <w:spacing w:before="120" w:after="120"/>
        <w:ind w:firstLine="360"/>
        <w:jc w:val="both"/>
        <w:rPr>
          <w:rFonts w:ascii="Times New Roman" w:hAnsi="Times New Roman" w:cs="Times New Roman"/>
          <w:sz w:val="24"/>
          <w:szCs w:val="24"/>
        </w:rPr>
      </w:pPr>
      <w:r w:rsidRPr="009430AB">
        <w:rPr>
          <w:rFonts w:ascii="Times New Roman" w:hAnsi="Times New Roman" w:cs="Times New Roman"/>
          <w:sz w:val="24"/>
          <w:szCs w:val="24"/>
        </w:rPr>
        <w:t>Jauns Atveseļošanas un noturības mehānisms (</w:t>
      </w:r>
      <w:proofErr w:type="spellStart"/>
      <w:r w:rsidRPr="009430AB">
        <w:rPr>
          <w:rFonts w:ascii="Times New Roman" w:hAnsi="Times New Roman" w:cs="Times New Roman"/>
          <w:i/>
          <w:sz w:val="24"/>
          <w:szCs w:val="24"/>
        </w:rPr>
        <w:t>Recovery</w:t>
      </w:r>
      <w:proofErr w:type="spellEnd"/>
      <w:r w:rsidRPr="009430AB">
        <w:rPr>
          <w:rFonts w:ascii="Times New Roman" w:hAnsi="Times New Roman" w:cs="Times New Roman"/>
          <w:i/>
          <w:sz w:val="24"/>
          <w:szCs w:val="24"/>
        </w:rPr>
        <w:t xml:space="preserve"> </w:t>
      </w:r>
      <w:proofErr w:type="spellStart"/>
      <w:r w:rsidRPr="009430AB">
        <w:rPr>
          <w:rFonts w:ascii="Times New Roman" w:hAnsi="Times New Roman" w:cs="Times New Roman"/>
          <w:i/>
          <w:sz w:val="24"/>
          <w:szCs w:val="24"/>
        </w:rPr>
        <w:t>and</w:t>
      </w:r>
      <w:proofErr w:type="spellEnd"/>
      <w:r w:rsidRPr="009430AB">
        <w:rPr>
          <w:rFonts w:ascii="Times New Roman" w:hAnsi="Times New Roman" w:cs="Times New Roman"/>
          <w:i/>
          <w:sz w:val="24"/>
          <w:szCs w:val="24"/>
        </w:rPr>
        <w:t xml:space="preserve"> </w:t>
      </w:r>
      <w:proofErr w:type="spellStart"/>
      <w:r w:rsidRPr="009430AB">
        <w:rPr>
          <w:rFonts w:ascii="Times New Roman" w:hAnsi="Times New Roman" w:cs="Times New Roman"/>
          <w:i/>
          <w:sz w:val="24"/>
          <w:szCs w:val="24"/>
        </w:rPr>
        <w:t>Resilience</w:t>
      </w:r>
      <w:proofErr w:type="spellEnd"/>
      <w:r w:rsidRPr="009430AB">
        <w:rPr>
          <w:rFonts w:ascii="Times New Roman" w:hAnsi="Times New Roman" w:cs="Times New Roman"/>
          <w:i/>
          <w:sz w:val="24"/>
          <w:szCs w:val="24"/>
        </w:rPr>
        <w:t xml:space="preserve"> </w:t>
      </w:r>
      <w:proofErr w:type="spellStart"/>
      <w:r w:rsidRPr="009430AB">
        <w:rPr>
          <w:rFonts w:ascii="Times New Roman" w:hAnsi="Times New Roman" w:cs="Times New Roman"/>
          <w:i/>
          <w:sz w:val="24"/>
          <w:szCs w:val="24"/>
        </w:rPr>
        <w:t>Facility</w:t>
      </w:r>
      <w:proofErr w:type="spellEnd"/>
      <w:r w:rsidRPr="009430AB">
        <w:rPr>
          <w:rFonts w:ascii="Times New Roman" w:hAnsi="Times New Roman" w:cs="Times New Roman"/>
          <w:i/>
          <w:sz w:val="24"/>
          <w:szCs w:val="24"/>
        </w:rPr>
        <w:t>,</w:t>
      </w:r>
      <w:r w:rsidRPr="00B34EE5">
        <w:rPr>
          <w:rFonts w:ascii="Times New Roman" w:hAnsi="Times New Roman" w:cs="Times New Roman"/>
          <w:sz w:val="24"/>
          <w:szCs w:val="24"/>
        </w:rPr>
        <w:t xml:space="preserve"> turpmāk</w:t>
      </w:r>
      <w:r>
        <w:rPr>
          <w:rFonts w:ascii="Times New Roman" w:hAnsi="Times New Roman" w:cs="Times New Roman"/>
          <w:i/>
          <w:sz w:val="24"/>
          <w:szCs w:val="24"/>
        </w:rPr>
        <w:t xml:space="preserve"> – </w:t>
      </w:r>
      <w:r w:rsidRPr="009430AB">
        <w:rPr>
          <w:rFonts w:ascii="Times New Roman" w:hAnsi="Times New Roman" w:cs="Times New Roman"/>
          <w:sz w:val="24"/>
          <w:szCs w:val="24"/>
        </w:rPr>
        <w:t xml:space="preserve">RRF), kas </w:t>
      </w:r>
      <w:r>
        <w:rPr>
          <w:rFonts w:ascii="Times New Roman" w:hAnsi="Times New Roman" w:cs="Times New Roman"/>
          <w:sz w:val="24"/>
          <w:szCs w:val="24"/>
        </w:rPr>
        <w:t>nodrošinās finanšu atbalstu 560 </w:t>
      </w:r>
      <w:r w:rsidRPr="009430AB">
        <w:rPr>
          <w:rFonts w:ascii="Times New Roman" w:hAnsi="Times New Roman" w:cs="Times New Roman"/>
          <w:sz w:val="24"/>
          <w:szCs w:val="24"/>
        </w:rPr>
        <w:t>mljrd.</w:t>
      </w:r>
      <w:r>
        <w:rPr>
          <w:rFonts w:ascii="Times New Roman" w:hAnsi="Times New Roman" w:cs="Times New Roman"/>
          <w:sz w:val="24"/>
          <w:szCs w:val="24"/>
        </w:rPr>
        <w:t> </w:t>
      </w:r>
      <w:r w:rsidRPr="009430AB">
        <w:rPr>
          <w:rFonts w:ascii="Times New Roman" w:hAnsi="Times New Roman" w:cs="Times New Roman"/>
          <w:sz w:val="24"/>
          <w:szCs w:val="24"/>
        </w:rPr>
        <w:t xml:space="preserve">EUR apmērā COVID-19 negatīvās ietekmes radīto ES dalībvalstu investīciju vajadzībām un sociālekonomisko reformu īstenošanai saskaņā </w:t>
      </w:r>
      <w:r w:rsidRPr="009430AB">
        <w:rPr>
          <w:rFonts w:ascii="Times New Roman" w:hAnsi="Times New Roman" w:cs="Times New Roman"/>
          <w:sz w:val="24"/>
          <w:szCs w:val="24"/>
        </w:rPr>
        <w:lastRenderedPageBreak/>
        <w:t>ar nacionālajiem Atveseļošanas un noturības plāniem (</w:t>
      </w:r>
      <w:proofErr w:type="spellStart"/>
      <w:r w:rsidRPr="009430AB">
        <w:rPr>
          <w:rFonts w:ascii="Times New Roman" w:hAnsi="Times New Roman" w:cs="Times New Roman"/>
          <w:i/>
          <w:sz w:val="24"/>
          <w:szCs w:val="24"/>
        </w:rPr>
        <w:t>Recovery</w:t>
      </w:r>
      <w:proofErr w:type="spellEnd"/>
      <w:r w:rsidRPr="009430AB">
        <w:rPr>
          <w:rFonts w:ascii="Times New Roman" w:hAnsi="Times New Roman" w:cs="Times New Roman"/>
          <w:i/>
          <w:sz w:val="24"/>
          <w:szCs w:val="24"/>
        </w:rPr>
        <w:t xml:space="preserve"> </w:t>
      </w:r>
      <w:proofErr w:type="spellStart"/>
      <w:r w:rsidRPr="009430AB">
        <w:rPr>
          <w:rFonts w:ascii="Times New Roman" w:hAnsi="Times New Roman" w:cs="Times New Roman"/>
          <w:i/>
          <w:sz w:val="24"/>
          <w:szCs w:val="24"/>
        </w:rPr>
        <w:t>and</w:t>
      </w:r>
      <w:proofErr w:type="spellEnd"/>
      <w:r w:rsidRPr="009430AB">
        <w:rPr>
          <w:rFonts w:ascii="Times New Roman" w:hAnsi="Times New Roman" w:cs="Times New Roman"/>
          <w:i/>
          <w:sz w:val="24"/>
          <w:szCs w:val="24"/>
        </w:rPr>
        <w:t xml:space="preserve"> </w:t>
      </w:r>
      <w:proofErr w:type="spellStart"/>
      <w:r w:rsidRPr="009430AB">
        <w:rPr>
          <w:rFonts w:ascii="Times New Roman" w:hAnsi="Times New Roman" w:cs="Times New Roman"/>
          <w:i/>
          <w:sz w:val="24"/>
          <w:szCs w:val="24"/>
        </w:rPr>
        <w:t>Resilience</w:t>
      </w:r>
      <w:proofErr w:type="spellEnd"/>
      <w:r w:rsidRPr="009430AB">
        <w:rPr>
          <w:rFonts w:ascii="Times New Roman" w:hAnsi="Times New Roman" w:cs="Times New Roman"/>
          <w:i/>
          <w:sz w:val="24"/>
          <w:szCs w:val="24"/>
        </w:rPr>
        <w:t xml:space="preserve"> </w:t>
      </w:r>
      <w:proofErr w:type="spellStart"/>
      <w:r w:rsidRPr="009430AB">
        <w:rPr>
          <w:rFonts w:ascii="Times New Roman" w:hAnsi="Times New Roman" w:cs="Times New Roman"/>
          <w:i/>
          <w:sz w:val="24"/>
          <w:szCs w:val="24"/>
        </w:rPr>
        <w:t>plans</w:t>
      </w:r>
      <w:proofErr w:type="spellEnd"/>
      <w:r w:rsidRPr="009430AB">
        <w:rPr>
          <w:rFonts w:ascii="Times New Roman" w:hAnsi="Times New Roman" w:cs="Times New Roman"/>
          <w:sz w:val="24"/>
          <w:szCs w:val="24"/>
        </w:rPr>
        <w:t xml:space="preserve">), kurus EK vērtēs, pamatojoties uz to ietekmi uz konkurētspējīgu ilgtspēju, ekonomisko un sociālo noturību, ilgtspējīgu izaugsmi, kā arī zaļo pārkārtošanos un digitālo pāreju dalībvalstīs. </w:t>
      </w:r>
    </w:p>
    <w:p w14:paraId="7A0F8145" w14:textId="2444E9D8" w:rsidR="00B34EE5" w:rsidRPr="009430AB" w:rsidRDefault="00B34EE5" w:rsidP="00B34EE5">
      <w:pPr>
        <w:spacing w:before="120" w:after="120"/>
        <w:ind w:firstLine="360"/>
        <w:jc w:val="both"/>
        <w:rPr>
          <w:rFonts w:ascii="Times New Roman" w:hAnsi="Times New Roman" w:cs="Times New Roman"/>
          <w:sz w:val="24"/>
          <w:szCs w:val="24"/>
        </w:rPr>
      </w:pPr>
      <w:r>
        <w:rPr>
          <w:rFonts w:ascii="Times New Roman" w:hAnsi="Times New Roman" w:cs="Times New Roman"/>
          <w:sz w:val="24"/>
          <w:szCs w:val="24"/>
        </w:rPr>
        <w:t>RRF paredz 310 </w:t>
      </w:r>
      <w:r w:rsidRPr="009430AB">
        <w:rPr>
          <w:rFonts w:ascii="Times New Roman" w:hAnsi="Times New Roman" w:cs="Times New Roman"/>
          <w:sz w:val="24"/>
          <w:szCs w:val="24"/>
        </w:rPr>
        <w:t>mljrd.</w:t>
      </w:r>
      <w:r>
        <w:rPr>
          <w:rFonts w:ascii="Times New Roman" w:hAnsi="Times New Roman" w:cs="Times New Roman"/>
          <w:sz w:val="24"/>
          <w:szCs w:val="24"/>
        </w:rPr>
        <w:t> </w:t>
      </w:r>
      <w:r w:rsidRPr="009430AB">
        <w:rPr>
          <w:rFonts w:ascii="Times New Roman" w:hAnsi="Times New Roman" w:cs="Times New Roman"/>
          <w:sz w:val="24"/>
          <w:szCs w:val="24"/>
        </w:rPr>
        <w:t>EU</w:t>
      </w:r>
      <w:r>
        <w:rPr>
          <w:rFonts w:ascii="Times New Roman" w:hAnsi="Times New Roman" w:cs="Times New Roman"/>
          <w:sz w:val="24"/>
          <w:szCs w:val="24"/>
        </w:rPr>
        <w:t xml:space="preserve">R piešķirt </w:t>
      </w:r>
      <w:proofErr w:type="spellStart"/>
      <w:r>
        <w:rPr>
          <w:rFonts w:ascii="Times New Roman" w:hAnsi="Times New Roman" w:cs="Times New Roman"/>
          <w:sz w:val="24"/>
          <w:szCs w:val="24"/>
        </w:rPr>
        <w:t>grantos</w:t>
      </w:r>
      <w:proofErr w:type="spellEnd"/>
      <w:r>
        <w:rPr>
          <w:rFonts w:ascii="Times New Roman" w:hAnsi="Times New Roman" w:cs="Times New Roman"/>
          <w:sz w:val="24"/>
          <w:szCs w:val="24"/>
        </w:rPr>
        <w:t xml:space="preserve"> un 250 </w:t>
      </w:r>
      <w:r w:rsidRPr="009430AB">
        <w:rPr>
          <w:rFonts w:ascii="Times New Roman" w:hAnsi="Times New Roman" w:cs="Times New Roman"/>
          <w:sz w:val="24"/>
          <w:szCs w:val="24"/>
        </w:rPr>
        <w:t>mljrd.</w:t>
      </w:r>
      <w:r>
        <w:rPr>
          <w:rFonts w:ascii="Times New Roman" w:hAnsi="Times New Roman" w:cs="Times New Roman"/>
          <w:sz w:val="24"/>
          <w:szCs w:val="24"/>
        </w:rPr>
        <w:t> </w:t>
      </w:r>
      <w:r w:rsidRPr="009430AB">
        <w:rPr>
          <w:rFonts w:ascii="Times New Roman" w:hAnsi="Times New Roman" w:cs="Times New Roman"/>
          <w:sz w:val="24"/>
          <w:szCs w:val="24"/>
        </w:rPr>
        <w:t xml:space="preserve">EUR aizdevumos, lai veicinātu ES dalībvalstu kohēziju, konverģenci, ekonomikas noturību pret satricinājumiem un ilgtspējīgu izaugsmi saskaņā ar ES daudzgadu budžeta prioritātēm </w:t>
      </w:r>
      <w:proofErr w:type="spellStart"/>
      <w:r w:rsidRPr="009430AB">
        <w:rPr>
          <w:rFonts w:ascii="Times New Roman" w:hAnsi="Times New Roman" w:cs="Times New Roman"/>
          <w:sz w:val="24"/>
          <w:szCs w:val="24"/>
        </w:rPr>
        <w:t>digitalizācijas</w:t>
      </w:r>
      <w:proofErr w:type="spellEnd"/>
      <w:r w:rsidRPr="009430AB">
        <w:rPr>
          <w:rFonts w:ascii="Times New Roman" w:hAnsi="Times New Roman" w:cs="Times New Roman"/>
          <w:sz w:val="24"/>
          <w:szCs w:val="24"/>
        </w:rPr>
        <w:t xml:space="preserve"> jomā un pārejai uz </w:t>
      </w:r>
      <w:proofErr w:type="spellStart"/>
      <w:r w:rsidRPr="009430AB">
        <w:rPr>
          <w:rFonts w:ascii="Times New Roman" w:hAnsi="Times New Roman" w:cs="Times New Roman"/>
          <w:sz w:val="24"/>
          <w:szCs w:val="24"/>
        </w:rPr>
        <w:t>klimatneitralitāti</w:t>
      </w:r>
      <w:proofErr w:type="spellEnd"/>
      <w:r w:rsidRPr="009430AB">
        <w:rPr>
          <w:rFonts w:ascii="Times New Roman" w:hAnsi="Times New Roman" w:cs="Times New Roman"/>
          <w:sz w:val="24"/>
          <w:szCs w:val="24"/>
        </w:rPr>
        <w:t xml:space="preserve"> pēc pandēmijas krīzes. Instrumenta darbī</w:t>
      </w:r>
      <w:r>
        <w:rPr>
          <w:rFonts w:ascii="Times New Roman" w:hAnsi="Times New Roman" w:cs="Times New Roman"/>
          <w:sz w:val="24"/>
          <w:szCs w:val="24"/>
        </w:rPr>
        <w:t>bas termiņš plānots 2021.-2024. </w:t>
      </w:r>
      <w:r w:rsidRPr="009430AB">
        <w:rPr>
          <w:rFonts w:ascii="Times New Roman" w:hAnsi="Times New Roman" w:cs="Times New Roman"/>
          <w:sz w:val="24"/>
          <w:szCs w:val="24"/>
        </w:rPr>
        <w:t xml:space="preserve">gadam. </w:t>
      </w:r>
    </w:p>
    <w:p w14:paraId="3FDF3757" w14:textId="0B8D8054" w:rsidR="00B34EE5" w:rsidRPr="00CB78BD" w:rsidRDefault="00B34EE5" w:rsidP="00B34EE5">
      <w:pPr>
        <w:spacing w:before="120" w:after="120"/>
        <w:ind w:firstLine="360"/>
        <w:jc w:val="both"/>
        <w:rPr>
          <w:rFonts w:ascii="Times New Roman" w:hAnsi="Times New Roman" w:cs="Times New Roman"/>
          <w:sz w:val="24"/>
          <w:szCs w:val="24"/>
        </w:rPr>
      </w:pPr>
      <w:r w:rsidRPr="009430AB">
        <w:rPr>
          <w:rFonts w:ascii="Times New Roman" w:hAnsi="Times New Roman" w:cs="Times New Roman"/>
          <w:sz w:val="24"/>
          <w:szCs w:val="24"/>
        </w:rPr>
        <w:t xml:space="preserve">No </w:t>
      </w:r>
      <w:proofErr w:type="spellStart"/>
      <w:r w:rsidRPr="009430AB">
        <w:rPr>
          <w:rFonts w:ascii="Times New Roman" w:hAnsi="Times New Roman" w:cs="Times New Roman"/>
          <w:i/>
          <w:sz w:val="24"/>
          <w:szCs w:val="24"/>
        </w:rPr>
        <w:t>NextGen</w:t>
      </w:r>
      <w:proofErr w:type="spellEnd"/>
      <w:r w:rsidRPr="009430AB">
        <w:rPr>
          <w:rFonts w:ascii="Times New Roman" w:hAnsi="Times New Roman" w:cs="Times New Roman"/>
          <w:sz w:val="24"/>
          <w:szCs w:val="24"/>
        </w:rPr>
        <w:t xml:space="preserve"> plānots piešķirt papildus 30</w:t>
      </w:r>
      <w:r>
        <w:rPr>
          <w:rFonts w:ascii="Times New Roman" w:hAnsi="Times New Roman" w:cs="Times New Roman"/>
          <w:sz w:val="24"/>
          <w:szCs w:val="24"/>
        </w:rPr>
        <w:t> </w:t>
      </w:r>
      <w:r w:rsidRPr="009430AB">
        <w:rPr>
          <w:rFonts w:ascii="Times New Roman" w:hAnsi="Times New Roman" w:cs="Times New Roman"/>
          <w:sz w:val="24"/>
          <w:szCs w:val="24"/>
        </w:rPr>
        <w:t>mljrd.</w:t>
      </w:r>
      <w:r>
        <w:rPr>
          <w:rFonts w:ascii="Times New Roman" w:hAnsi="Times New Roman" w:cs="Times New Roman"/>
          <w:sz w:val="24"/>
          <w:szCs w:val="24"/>
        </w:rPr>
        <w:t> </w:t>
      </w:r>
      <w:r w:rsidRPr="009430AB">
        <w:rPr>
          <w:rFonts w:ascii="Times New Roman" w:hAnsi="Times New Roman" w:cs="Times New Roman"/>
          <w:sz w:val="24"/>
          <w:szCs w:val="24"/>
        </w:rPr>
        <w:t xml:space="preserve">EUR Taisnīgas pārkārtošanās fonda grantiem ES </w:t>
      </w:r>
      <w:proofErr w:type="spellStart"/>
      <w:r w:rsidRPr="009430AB">
        <w:rPr>
          <w:rFonts w:ascii="Times New Roman" w:hAnsi="Times New Roman" w:cs="Times New Roman"/>
          <w:sz w:val="24"/>
          <w:szCs w:val="24"/>
        </w:rPr>
        <w:t>klimatneitralitātes</w:t>
      </w:r>
      <w:proofErr w:type="spellEnd"/>
      <w:r w:rsidRPr="009430AB">
        <w:rPr>
          <w:rFonts w:ascii="Times New Roman" w:hAnsi="Times New Roman" w:cs="Times New Roman"/>
          <w:sz w:val="24"/>
          <w:szCs w:val="24"/>
        </w:rPr>
        <w:t xml:space="preserve"> mērķu īstenošanai</w:t>
      </w:r>
      <w:r w:rsidRPr="009430AB">
        <w:rPr>
          <w:rStyle w:val="FootnoteReference"/>
          <w:rFonts w:ascii="Times New Roman" w:hAnsi="Times New Roman"/>
          <w:sz w:val="24"/>
          <w:szCs w:val="24"/>
        </w:rPr>
        <w:footnoteReference w:id="2"/>
      </w:r>
      <w:r w:rsidRPr="009430AB">
        <w:rPr>
          <w:rFonts w:ascii="Times New Roman" w:hAnsi="Times New Roman" w:cs="Times New Roman"/>
          <w:sz w:val="24"/>
          <w:szCs w:val="24"/>
        </w:rPr>
        <w:t xml:space="preserve">. </w:t>
      </w:r>
    </w:p>
    <w:p w14:paraId="715AE76F" w14:textId="77777777" w:rsidR="00B34EE5" w:rsidRDefault="00B34EE5" w:rsidP="00B34EE5">
      <w:pPr>
        <w:pStyle w:val="ListParagraph"/>
        <w:numPr>
          <w:ilvl w:val="0"/>
          <w:numId w:val="13"/>
        </w:numPr>
        <w:snapToGrid w:val="0"/>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634A76">
        <w:rPr>
          <w:rFonts w:ascii="Times New Roman" w:eastAsia="Calibri" w:hAnsi="Times New Roman" w:cs="Times New Roman"/>
          <w:sz w:val="24"/>
          <w:szCs w:val="24"/>
        </w:rPr>
        <w:t>ubliskā un privātā sektora investīciju mobilizācija uzņēmējdarbības atbalstam</w:t>
      </w:r>
      <w:r>
        <w:rPr>
          <w:rFonts w:ascii="Times New Roman" w:eastAsia="Calibri" w:hAnsi="Times New Roman" w:cs="Times New Roman"/>
          <w:sz w:val="24"/>
          <w:szCs w:val="24"/>
        </w:rPr>
        <w:t>.</w:t>
      </w:r>
    </w:p>
    <w:p w14:paraId="476D7D91" w14:textId="0F15FCA1" w:rsidR="00B34EE5" w:rsidRPr="00ED5663" w:rsidRDefault="00B34EE5" w:rsidP="00B34EE5">
      <w:pPr>
        <w:spacing w:before="120" w:after="120"/>
        <w:ind w:firstLine="360"/>
        <w:jc w:val="both"/>
        <w:rPr>
          <w:rFonts w:ascii="Times New Roman" w:eastAsia="Calibri" w:hAnsi="Times New Roman" w:cs="Times New Roman"/>
          <w:sz w:val="24"/>
          <w:szCs w:val="24"/>
        </w:rPr>
      </w:pPr>
      <w:bookmarkStart w:id="0" w:name="_Hlk42462177"/>
      <w:r w:rsidRPr="00ED5663">
        <w:rPr>
          <w:rFonts w:ascii="Times New Roman" w:eastAsia="Calibri" w:hAnsi="Times New Roman" w:cs="Times New Roman"/>
          <w:sz w:val="24"/>
          <w:szCs w:val="24"/>
        </w:rPr>
        <w:t>Atveseļošan</w:t>
      </w:r>
      <w:r w:rsidR="00B24A0B">
        <w:rPr>
          <w:rFonts w:ascii="Times New Roman" w:eastAsia="Calibri" w:hAnsi="Times New Roman" w:cs="Times New Roman"/>
          <w:sz w:val="24"/>
          <w:szCs w:val="24"/>
        </w:rPr>
        <w:t>a</w:t>
      </w:r>
      <w:r w:rsidRPr="00ED5663">
        <w:rPr>
          <w:rFonts w:ascii="Times New Roman" w:eastAsia="Calibri" w:hAnsi="Times New Roman" w:cs="Times New Roman"/>
          <w:sz w:val="24"/>
          <w:szCs w:val="24"/>
        </w:rPr>
        <w:t>s instrumenta iet</w:t>
      </w:r>
      <w:r>
        <w:rPr>
          <w:rFonts w:ascii="Times New Roman" w:eastAsia="Calibri" w:hAnsi="Times New Roman" w:cs="Times New Roman"/>
          <w:sz w:val="24"/>
          <w:szCs w:val="24"/>
        </w:rPr>
        <w:t>varos paredzēts nodrošināt 30,3 mljrd. </w:t>
      </w:r>
      <w:r w:rsidRPr="00ED5663">
        <w:rPr>
          <w:rFonts w:ascii="Times New Roman" w:eastAsia="Calibri" w:hAnsi="Times New Roman" w:cs="Times New Roman"/>
          <w:sz w:val="24"/>
          <w:szCs w:val="24"/>
        </w:rPr>
        <w:t xml:space="preserve">EUR </w:t>
      </w:r>
      <w:proofErr w:type="spellStart"/>
      <w:r w:rsidRPr="00ED5663">
        <w:rPr>
          <w:rFonts w:ascii="Times New Roman" w:eastAsia="Calibri" w:hAnsi="Times New Roman" w:cs="Times New Roman"/>
          <w:sz w:val="24"/>
          <w:szCs w:val="24"/>
        </w:rPr>
        <w:t>InvestEU</w:t>
      </w:r>
      <w:proofErr w:type="spellEnd"/>
      <w:r w:rsidRPr="00ED5663">
        <w:rPr>
          <w:rFonts w:ascii="Times New Roman" w:eastAsia="Calibri" w:hAnsi="Times New Roman" w:cs="Times New Roman"/>
          <w:sz w:val="24"/>
          <w:szCs w:val="24"/>
        </w:rPr>
        <w:t xml:space="preserve"> investīciju fonda ES budžeta garantijai. </w:t>
      </w:r>
      <w:proofErr w:type="spellStart"/>
      <w:r w:rsidRPr="00ED5663">
        <w:rPr>
          <w:rFonts w:ascii="Times New Roman" w:eastAsia="Calibri" w:hAnsi="Times New Roman" w:cs="Times New Roman"/>
          <w:sz w:val="24"/>
          <w:szCs w:val="24"/>
        </w:rPr>
        <w:t>InvestEU</w:t>
      </w:r>
      <w:proofErr w:type="spellEnd"/>
      <w:r w:rsidRPr="00ED5663">
        <w:rPr>
          <w:rFonts w:ascii="Times New Roman" w:eastAsia="Calibri" w:hAnsi="Times New Roman" w:cs="Times New Roman"/>
          <w:sz w:val="24"/>
          <w:szCs w:val="24"/>
        </w:rPr>
        <w:t xml:space="preserve"> programmas ietvaros paredzēts jauns stratēģisko investīciju mehānisms (</w:t>
      </w:r>
      <w:proofErr w:type="spellStart"/>
      <w:r w:rsidRPr="00B34EE5">
        <w:rPr>
          <w:rFonts w:ascii="Times New Roman" w:eastAsia="Calibri" w:hAnsi="Times New Roman" w:cs="Times New Roman"/>
          <w:i/>
          <w:sz w:val="24"/>
          <w:szCs w:val="24"/>
        </w:rPr>
        <w:t>Strategic</w:t>
      </w:r>
      <w:proofErr w:type="spellEnd"/>
      <w:r w:rsidRPr="00B34EE5">
        <w:rPr>
          <w:rFonts w:ascii="Times New Roman" w:eastAsia="Calibri" w:hAnsi="Times New Roman" w:cs="Times New Roman"/>
          <w:i/>
          <w:sz w:val="24"/>
          <w:szCs w:val="24"/>
        </w:rPr>
        <w:t xml:space="preserve"> </w:t>
      </w:r>
      <w:proofErr w:type="spellStart"/>
      <w:r w:rsidRPr="00B34EE5">
        <w:rPr>
          <w:rFonts w:ascii="Times New Roman" w:eastAsia="Calibri" w:hAnsi="Times New Roman" w:cs="Times New Roman"/>
          <w:i/>
          <w:sz w:val="24"/>
          <w:szCs w:val="24"/>
        </w:rPr>
        <w:t>Investment</w:t>
      </w:r>
      <w:proofErr w:type="spellEnd"/>
      <w:r w:rsidRPr="00B34EE5">
        <w:rPr>
          <w:rFonts w:ascii="Times New Roman" w:eastAsia="Calibri" w:hAnsi="Times New Roman" w:cs="Times New Roman"/>
          <w:i/>
          <w:sz w:val="24"/>
          <w:szCs w:val="24"/>
        </w:rPr>
        <w:t xml:space="preserve"> </w:t>
      </w:r>
      <w:proofErr w:type="spellStart"/>
      <w:r w:rsidRPr="00B34EE5">
        <w:rPr>
          <w:rFonts w:ascii="Times New Roman" w:eastAsia="Calibri" w:hAnsi="Times New Roman" w:cs="Times New Roman"/>
          <w:i/>
          <w:sz w:val="24"/>
          <w:szCs w:val="24"/>
        </w:rPr>
        <w:t>Facility</w:t>
      </w:r>
      <w:proofErr w:type="spellEnd"/>
      <w:r w:rsidRPr="00ED5663">
        <w:rPr>
          <w:rFonts w:ascii="Times New Roman" w:eastAsia="Calibri" w:hAnsi="Times New Roman" w:cs="Times New Roman"/>
          <w:sz w:val="24"/>
          <w:szCs w:val="24"/>
        </w:rPr>
        <w:t>,</w:t>
      </w:r>
      <w:r>
        <w:rPr>
          <w:rFonts w:ascii="Times New Roman" w:eastAsia="Calibri" w:hAnsi="Times New Roman" w:cs="Times New Roman"/>
          <w:sz w:val="24"/>
          <w:szCs w:val="24"/>
        </w:rPr>
        <w:t xml:space="preserve"> turpmāk - </w:t>
      </w:r>
      <w:r w:rsidRPr="00ED5663">
        <w:rPr>
          <w:rFonts w:ascii="Times New Roman" w:eastAsia="Calibri" w:hAnsi="Times New Roman" w:cs="Times New Roman"/>
          <w:sz w:val="24"/>
          <w:szCs w:val="24"/>
        </w:rPr>
        <w:t>SIF). SIF plānotā ES budžeta garantija piesaistīs privātos ieguldījumus 150 mljrd. EUR apmērā, lai veicinātu ES stratēģisko autonomiju svarīgas nozīmes piegādes ķēdēm.</w:t>
      </w:r>
    </w:p>
    <w:bookmarkEnd w:id="0"/>
    <w:p w14:paraId="4E770169" w14:textId="77777777" w:rsidR="00B34EE5" w:rsidRPr="00ED5663" w:rsidRDefault="00B34EE5" w:rsidP="00B34EE5">
      <w:pPr>
        <w:spacing w:before="120" w:after="120"/>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Vienlaikus, </w:t>
      </w:r>
      <w:r w:rsidRPr="00ED5663">
        <w:rPr>
          <w:rFonts w:ascii="Times New Roman" w:eastAsia="Calibri" w:hAnsi="Times New Roman" w:cs="Times New Roman"/>
          <w:sz w:val="24"/>
          <w:szCs w:val="24"/>
        </w:rPr>
        <w:t>SIF veicinās kritiskās infrastruktūras izaugsmi, zaļās tehnoloģijas, veselības sistēmu un pilnveidos ES stratēģisko autonomiju.</w:t>
      </w:r>
    </w:p>
    <w:p w14:paraId="467DFBE6" w14:textId="3EDEC178" w:rsidR="00B34EE5" w:rsidRPr="00CB78BD" w:rsidRDefault="00B34EE5" w:rsidP="00B34EE5">
      <w:pPr>
        <w:snapToGrid w:val="0"/>
        <w:spacing w:after="120" w:line="240" w:lineRule="auto"/>
        <w:ind w:firstLine="360"/>
        <w:jc w:val="both"/>
        <w:rPr>
          <w:rFonts w:ascii="Times New Roman" w:eastAsia="Calibri" w:hAnsi="Times New Roman" w:cs="Times New Roman"/>
          <w:sz w:val="24"/>
          <w:szCs w:val="24"/>
        </w:rPr>
      </w:pPr>
      <w:r w:rsidRPr="00ED5663">
        <w:rPr>
          <w:rFonts w:ascii="Times New Roman" w:eastAsia="Calibri" w:hAnsi="Times New Roman" w:cs="Times New Roman"/>
          <w:sz w:val="24"/>
          <w:szCs w:val="24"/>
        </w:rPr>
        <w:t>ES galvojums Eiropas Investīciju bankai un citiem atbilstīgiem ieviesējiem tiek palielināts līdz 75,2 m</w:t>
      </w:r>
      <w:r w:rsidR="000C598F">
        <w:rPr>
          <w:rFonts w:ascii="Times New Roman" w:eastAsia="Calibri" w:hAnsi="Times New Roman" w:cs="Times New Roman"/>
          <w:sz w:val="24"/>
          <w:szCs w:val="24"/>
        </w:rPr>
        <w:t>ljrd. EUR</w:t>
      </w:r>
      <w:r w:rsidRPr="00ED5663">
        <w:rPr>
          <w:rFonts w:ascii="Times New Roman" w:eastAsia="Calibri" w:hAnsi="Times New Roman" w:cs="Times New Roman"/>
          <w:sz w:val="24"/>
          <w:szCs w:val="24"/>
        </w:rPr>
        <w:t xml:space="preserve">, no kuriem 31,2 mljrd. EUR tiek iezīmēti investīcijām SIF atbilstošajām jomām. Atbilstīgās jomas tiek piedāvāts paplašināt uz kritisko veselības nodrošināšanu, kritisko infrastruktūru, preču un pakalpojumu piegādēm kritiskās infrastruktūras veidošanai, transformējošām tehnoloģijām un inovācijām, </w:t>
      </w:r>
      <w:r w:rsidR="00CB0F98">
        <w:rPr>
          <w:rFonts w:ascii="Times New Roman" w:eastAsia="Calibri" w:hAnsi="Times New Roman" w:cs="Times New Roman"/>
          <w:sz w:val="24"/>
          <w:szCs w:val="24"/>
        </w:rPr>
        <w:t xml:space="preserve">energoefektivitātes veicināšanai, </w:t>
      </w:r>
      <w:r w:rsidRPr="00ED5663">
        <w:rPr>
          <w:rFonts w:ascii="Times New Roman" w:eastAsia="Calibri" w:hAnsi="Times New Roman" w:cs="Times New Roman"/>
          <w:sz w:val="24"/>
          <w:szCs w:val="24"/>
        </w:rPr>
        <w:t xml:space="preserve">atjaunojamo enerģiju, </w:t>
      </w:r>
      <w:proofErr w:type="spellStart"/>
      <w:r w:rsidRPr="00ED5663">
        <w:rPr>
          <w:rFonts w:ascii="Times New Roman" w:eastAsia="Calibri" w:hAnsi="Times New Roman" w:cs="Times New Roman"/>
          <w:sz w:val="24"/>
          <w:szCs w:val="24"/>
        </w:rPr>
        <w:t>biomedicīnu</w:t>
      </w:r>
      <w:proofErr w:type="spellEnd"/>
      <w:r w:rsidRPr="00ED5663">
        <w:rPr>
          <w:rFonts w:ascii="Times New Roman" w:eastAsia="Calibri" w:hAnsi="Times New Roman" w:cs="Times New Roman"/>
          <w:sz w:val="24"/>
          <w:szCs w:val="24"/>
        </w:rPr>
        <w:t>, ES un dalībvalstu tehnoloģisko un piegāžu ķēžu drošību, kā arī līdzīgām jomām.</w:t>
      </w:r>
    </w:p>
    <w:p w14:paraId="6A358FD4" w14:textId="77777777" w:rsidR="00B34EE5" w:rsidRPr="00634A76" w:rsidRDefault="00B34EE5" w:rsidP="00B34EE5">
      <w:pPr>
        <w:pStyle w:val="ListParagraph"/>
        <w:numPr>
          <w:ilvl w:val="0"/>
          <w:numId w:val="13"/>
        </w:numPr>
        <w:snapToGrid w:val="0"/>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634A76">
        <w:rPr>
          <w:rFonts w:ascii="Times New Roman" w:eastAsia="Calibri" w:hAnsi="Times New Roman" w:cs="Times New Roman"/>
          <w:sz w:val="24"/>
          <w:szCs w:val="24"/>
        </w:rPr>
        <w:t>inanšu atbalsts pētniecības, veselības aprūpes un attīstības sadarbības jomā</w:t>
      </w:r>
      <w:r>
        <w:rPr>
          <w:rFonts w:ascii="Times New Roman" w:eastAsia="Calibri" w:hAnsi="Times New Roman" w:cs="Times New Roman"/>
          <w:sz w:val="24"/>
          <w:szCs w:val="24"/>
        </w:rPr>
        <w:t>.</w:t>
      </w:r>
    </w:p>
    <w:p w14:paraId="23DB99B9" w14:textId="77777777" w:rsidR="00B34EE5" w:rsidRPr="00D900FD" w:rsidRDefault="00B34EE5" w:rsidP="00B34EE5">
      <w:pPr>
        <w:spacing w:before="120" w:after="120"/>
        <w:ind w:firstLine="360"/>
        <w:jc w:val="both"/>
        <w:rPr>
          <w:rFonts w:ascii="Times New Roman" w:hAnsi="Times New Roman"/>
          <w:noProof/>
          <w:sz w:val="24"/>
          <w:szCs w:val="24"/>
        </w:rPr>
      </w:pPr>
      <w:bookmarkStart w:id="1" w:name="_Hlk42462415"/>
      <w:r>
        <w:rPr>
          <w:rFonts w:ascii="Times New Roman" w:hAnsi="Times New Roman"/>
          <w:noProof/>
          <w:sz w:val="24"/>
          <w:szCs w:val="24"/>
        </w:rPr>
        <w:t xml:space="preserve">Papildus veselības aprūpes sistēmas stiprināšanai, </w:t>
      </w:r>
      <w:r w:rsidRPr="00D900FD">
        <w:rPr>
          <w:rFonts w:ascii="Times New Roman" w:hAnsi="Times New Roman"/>
          <w:noProof/>
          <w:sz w:val="24"/>
          <w:szCs w:val="24"/>
        </w:rPr>
        <w:t xml:space="preserve">Atveseļošanas instruments nodrošinās papildu 13,5 mljrd. EUR grantiem </w:t>
      </w:r>
      <w:r w:rsidRPr="00D900FD">
        <w:rPr>
          <w:rFonts w:ascii="Times New Roman" w:hAnsi="Times New Roman"/>
          <w:i/>
          <w:noProof/>
          <w:sz w:val="24"/>
          <w:szCs w:val="24"/>
        </w:rPr>
        <w:t xml:space="preserve">Horizon Europe </w:t>
      </w:r>
      <w:r w:rsidRPr="00D900FD">
        <w:rPr>
          <w:rFonts w:ascii="Times New Roman" w:hAnsi="Times New Roman"/>
          <w:noProof/>
          <w:sz w:val="24"/>
          <w:szCs w:val="24"/>
        </w:rPr>
        <w:t>programmai, lai papildus plāniem pārejai uz digitalizāciju un klimatneitralitāti stiprinātu pētniecības un inovācijas pasākumus arī veselības nozarē.</w:t>
      </w:r>
    </w:p>
    <w:bookmarkEnd w:id="1"/>
    <w:p w14:paraId="40FC1EBC" w14:textId="52EF1726" w:rsidR="005038CF" w:rsidRDefault="005038CF" w:rsidP="005038CF">
      <w:pPr>
        <w:spacing w:before="120" w:after="120"/>
        <w:ind w:firstLine="709"/>
        <w:jc w:val="both"/>
        <w:rPr>
          <w:rFonts w:ascii="Times New Roman" w:hAnsi="Times New Roman"/>
          <w:noProof/>
          <w:sz w:val="24"/>
          <w:szCs w:val="24"/>
        </w:rPr>
      </w:pPr>
      <w:r w:rsidRPr="00977595">
        <w:rPr>
          <w:rFonts w:ascii="Times New Roman" w:hAnsi="Times New Roman"/>
          <w:noProof/>
          <w:sz w:val="24"/>
          <w:szCs w:val="24"/>
        </w:rPr>
        <w:t xml:space="preserve">Daudzas </w:t>
      </w:r>
      <w:r>
        <w:rPr>
          <w:rFonts w:ascii="Times New Roman" w:hAnsi="Times New Roman"/>
          <w:noProof/>
          <w:sz w:val="24"/>
          <w:szCs w:val="24"/>
        </w:rPr>
        <w:t xml:space="preserve">klimatneitralitātes </w:t>
      </w:r>
      <w:r w:rsidR="00F828D4">
        <w:rPr>
          <w:rFonts w:ascii="Times New Roman" w:hAnsi="Times New Roman"/>
          <w:noProof/>
          <w:sz w:val="24"/>
          <w:szCs w:val="24"/>
        </w:rPr>
        <w:t>sasniegšanai</w:t>
      </w:r>
      <w:r>
        <w:rPr>
          <w:rFonts w:ascii="Times New Roman" w:hAnsi="Times New Roman"/>
          <w:noProof/>
          <w:sz w:val="24"/>
          <w:szCs w:val="24"/>
        </w:rPr>
        <w:t xml:space="preserve"> nepieciešamās </w:t>
      </w:r>
      <w:r w:rsidRPr="00977595">
        <w:rPr>
          <w:rFonts w:ascii="Times New Roman" w:hAnsi="Times New Roman"/>
          <w:noProof/>
          <w:sz w:val="24"/>
          <w:szCs w:val="24"/>
        </w:rPr>
        <w:t>tehnoloģijas</w:t>
      </w:r>
      <w:r w:rsidR="00F828D4">
        <w:rPr>
          <w:rFonts w:ascii="Times New Roman" w:hAnsi="Times New Roman"/>
          <w:noProof/>
          <w:sz w:val="24"/>
          <w:szCs w:val="24"/>
        </w:rPr>
        <w:t xml:space="preserve"> šobrīd atrodas</w:t>
      </w:r>
      <w:r w:rsidR="00C623C2">
        <w:rPr>
          <w:rFonts w:ascii="Times New Roman" w:hAnsi="Times New Roman"/>
          <w:noProof/>
          <w:sz w:val="24"/>
          <w:szCs w:val="24"/>
        </w:rPr>
        <w:t xml:space="preserve"> pētniecības un izstrādes stadijā</w:t>
      </w:r>
      <w:r w:rsidRPr="00977595">
        <w:rPr>
          <w:rFonts w:ascii="Times New Roman" w:hAnsi="Times New Roman"/>
          <w:noProof/>
          <w:sz w:val="24"/>
          <w:szCs w:val="24"/>
        </w:rPr>
        <w:t xml:space="preserve">. </w:t>
      </w:r>
      <w:r w:rsidR="00441663">
        <w:rPr>
          <w:rFonts w:ascii="Times New Roman" w:hAnsi="Times New Roman"/>
          <w:noProof/>
          <w:sz w:val="24"/>
          <w:szCs w:val="24"/>
        </w:rPr>
        <w:t xml:space="preserve">Tāpēc </w:t>
      </w:r>
      <w:r w:rsidRPr="00977595">
        <w:rPr>
          <w:rFonts w:ascii="Times New Roman" w:hAnsi="Times New Roman"/>
          <w:noProof/>
          <w:sz w:val="24"/>
          <w:szCs w:val="24"/>
        </w:rPr>
        <w:t>E</w:t>
      </w:r>
      <w:r>
        <w:rPr>
          <w:rFonts w:ascii="Times New Roman" w:hAnsi="Times New Roman"/>
          <w:noProof/>
          <w:sz w:val="24"/>
          <w:szCs w:val="24"/>
        </w:rPr>
        <w:t>S</w:t>
      </w:r>
      <w:r w:rsidRPr="00977595">
        <w:rPr>
          <w:rFonts w:ascii="Times New Roman" w:hAnsi="Times New Roman"/>
          <w:noProof/>
          <w:sz w:val="24"/>
          <w:szCs w:val="24"/>
        </w:rPr>
        <w:t xml:space="preserve"> ir apņēmusies</w:t>
      </w:r>
      <w:r>
        <w:rPr>
          <w:rFonts w:ascii="Times New Roman" w:hAnsi="Times New Roman"/>
          <w:noProof/>
          <w:sz w:val="24"/>
          <w:szCs w:val="24"/>
        </w:rPr>
        <w:t xml:space="preserve"> turpmākajos gados palielināt investīcij</w:t>
      </w:r>
      <w:r w:rsidRPr="00977595">
        <w:rPr>
          <w:rFonts w:ascii="Times New Roman" w:hAnsi="Times New Roman"/>
          <w:noProof/>
          <w:sz w:val="24"/>
          <w:szCs w:val="24"/>
        </w:rPr>
        <w:t>u līmeni inovācijās. Tomēr šo iespēju var pilnībā izmantot tikai tad, ja piekļuve</w:t>
      </w:r>
      <w:r>
        <w:rPr>
          <w:rFonts w:ascii="Times New Roman" w:hAnsi="Times New Roman"/>
          <w:noProof/>
          <w:sz w:val="24"/>
          <w:szCs w:val="24"/>
        </w:rPr>
        <w:t xml:space="preserve"> tehnoloģiju attīstību veicinošiem resursiem un līdzekļiem </w:t>
      </w:r>
      <w:r w:rsidRPr="00977595">
        <w:rPr>
          <w:rFonts w:ascii="Times New Roman" w:hAnsi="Times New Roman"/>
          <w:noProof/>
          <w:sz w:val="24"/>
          <w:szCs w:val="24"/>
        </w:rPr>
        <w:t>ir vienlīdzīga visām dalībvalstīm. Jānodrošina atbalsts tīru tehnoloģiju izstrādei, kas veicina emisiju samazināšanu, kā arī dalībvalstu sadarbības stiprināšanai pētniecībā un inovācijā</w:t>
      </w:r>
      <w:r>
        <w:rPr>
          <w:rFonts w:ascii="Times New Roman" w:hAnsi="Times New Roman"/>
          <w:noProof/>
          <w:sz w:val="24"/>
          <w:szCs w:val="24"/>
        </w:rPr>
        <w:t>s</w:t>
      </w:r>
      <w:r w:rsidRPr="00977595">
        <w:rPr>
          <w:rFonts w:ascii="Times New Roman" w:hAnsi="Times New Roman"/>
          <w:noProof/>
          <w:sz w:val="24"/>
          <w:szCs w:val="24"/>
        </w:rPr>
        <w:t xml:space="preserve"> zemu emisiju tehnoloģiju jomā. Galvenā uzmanība jāpievērš materiālu un enerģijas neatkarību </w:t>
      </w:r>
      <w:r>
        <w:rPr>
          <w:rFonts w:ascii="Times New Roman" w:hAnsi="Times New Roman"/>
          <w:noProof/>
          <w:sz w:val="24"/>
          <w:szCs w:val="24"/>
        </w:rPr>
        <w:t xml:space="preserve">nodrošinošām </w:t>
      </w:r>
      <w:r w:rsidRPr="00977595">
        <w:rPr>
          <w:rFonts w:ascii="Times New Roman" w:hAnsi="Times New Roman"/>
          <w:noProof/>
          <w:sz w:val="24"/>
          <w:szCs w:val="24"/>
        </w:rPr>
        <w:t>tehno</w:t>
      </w:r>
      <w:r>
        <w:rPr>
          <w:rFonts w:ascii="Times New Roman" w:hAnsi="Times New Roman"/>
          <w:noProof/>
          <w:sz w:val="24"/>
          <w:szCs w:val="24"/>
        </w:rPr>
        <w:t>loģijām</w:t>
      </w:r>
      <w:r w:rsidRPr="00977595">
        <w:rPr>
          <w:rFonts w:ascii="Times New Roman" w:hAnsi="Times New Roman"/>
          <w:noProof/>
          <w:sz w:val="24"/>
          <w:szCs w:val="24"/>
        </w:rPr>
        <w:t xml:space="preserve">, </w:t>
      </w:r>
      <w:r>
        <w:rPr>
          <w:rFonts w:ascii="Times New Roman" w:hAnsi="Times New Roman"/>
          <w:noProof/>
          <w:sz w:val="24"/>
          <w:szCs w:val="24"/>
        </w:rPr>
        <w:t>ievēroj</w:t>
      </w:r>
      <w:r w:rsidRPr="00977595">
        <w:rPr>
          <w:rFonts w:ascii="Times New Roman" w:hAnsi="Times New Roman"/>
          <w:noProof/>
          <w:sz w:val="24"/>
          <w:szCs w:val="24"/>
        </w:rPr>
        <w:t>ot tehnoloģiskās neitralitātes princip</w:t>
      </w:r>
      <w:r>
        <w:rPr>
          <w:rFonts w:ascii="Times New Roman" w:hAnsi="Times New Roman"/>
          <w:noProof/>
          <w:sz w:val="24"/>
          <w:szCs w:val="24"/>
        </w:rPr>
        <w:t>u</w:t>
      </w:r>
      <w:r w:rsidRPr="00977595">
        <w:rPr>
          <w:rFonts w:ascii="Times New Roman" w:hAnsi="Times New Roman"/>
          <w:noProof/>
          <w:sz w:val="24"/>
          <w:szCs w:val="24"/>
        </w:rPr>
        <w:t>, t.i., ilgtspējīgam kurināmajam, ūdeņraža tehnoloģijām, elektromobilitātei, enerģijas uzkrāšanai u</w:t>
      </w:r>
      <w:r>
        <w:rPr>
          <w:rFonts w:ascii="Times New Roman" w:hAnsi="Times New Roman"/>
          <w:noProof/>
          <w:sz w:val="24"/>
          <w:szCs w:val="24"/>
        </w:rPr>
        <w:t>.c.</w:t>
      </w:r>
      <w:r w:rsidR="00E62BB8">
        <w:rPr>
          <w:rFonts w:ascii="Times New Roman" w:hAnsi="Times New Roman"/>
          <w:noProof/>
          <w:sz w:val="24"/>
          <w:szCs w:val="24"/>
        </w:rPr>
        <w:t xml:space="preserve"> Šie principi tiek ņemti vērā arī </w:t>
      </w:r>
      <w:r w:rsidR="00E62BB8" w:rsidRPr="00E62BB8">
        <w:rPr>
          <w:rFonts w:ascii="Times New Roman" w:hAnsi="Times New Roman"/>
          <w:noProof/>
          <w:sz w:val="24"/>
          <w:szCs w:val="24"/>
        </w:rPr>
        <w:t xml:space="preserve">ES </w:t>
      </w:r>
      <w:r w:rsidR="00955E97">
        <w:rPr>
          <w:rFonts w:ascii="Times New Roman" w:hAnsi="Times New Roman"/>
          <w:noProof/>
          <w:sz w:val="24"/>
          <w:szCs w:val="24"/>
        </w:rPr>
        <w:t>t</w:t>
      </w:r>
      <w:r w:rsidR="00E62BB8">
        <w:rPr>
          <w:rFonts w:ascii="Times New Roman" w:hAnsi="Times New Roman"/>
          <w:noProof/>
          <w:sz w:val="24"/>
          <w:szCs w:val="24"/>
        </w:rPr>
        <w:t>aksonomijas re</w:t>
      </w:r>
      <w:r w:rsidR="00955E97">
        <w:rPr>
          <w:rFonts w:ascii="Times New Roman" w:hAnsi="Times New Roman"/>
          <w:noProof/>
          <w:sz w:val="24"/>
          <w:szCs w:val="24"/>
        </w:rPr>
        <w:t>gulējumā, kura mērķis ir</w:t>
      </w:r>
      <w:r w:rsidR="00955E97" w:rsidRPr="00955E97">
        <w:rPr>
          <w:rFonts w:ascii="Times New Roman" w:hAnsi="Times New Roman"/>
          <w:noProof/>
          <w:sz w:val="24"/>
          <w:szCs w:val="24"/>
        </w:rPr>
        <w:t xml:space="preserve"> palīdzēt investoriem</w:t>
      </w:r>
      <w:r w:rsidR="00955E97">
        <w:rPr>
          <w:rFonts w:ascii="Times New Roman" w:hAnsi="Times New Roman"/>
          <w:noProof/>
          <w:sz w:val="24"/>
          <w:szCs w:val="24"/>
        </w:rPr>
        <w:t xml:space="preserve"> lēmumu pieņemšanā, marķējot</w:t>
      </w:r>
      <w:r w:rsidR="00955E97" w:rsidRPr="00955E97">
        <w:rPr>
          <w:rFonts w:ascii="Times New Roman" w:hAnsi="Times New Roman"/>
          <w:noProof/>
          <w:sz w:val="24"/>
          <w:szCs w:val="24"/>
        </w:rPr>
        <w:t xml:space="preserve"> </w:t>
      </w:r>
      <w:r w:rsidR="00955E97">
        <w:rPr>
          <w:rFonts w:ascii="Times New Roman" w:hAnsi="Times New Roman"/>
          <w:noProof/>
          <w:sz w:val="24"/>
          <w:szCs w:val="24"/>
        </w:rPr>
        <w:t>ilgtspējīgus, klimatam draudzīgu</w:t>
      </w:r>
      <w:r w:rsidR="00955E97" w:rsidRPr="00955E97">
        <w:rPr>
          <w:rFonts w:ascii="Times New Roman" w:hAnsi="Times New Roman"/>
          <w:noProof/>
          <w:sz w:val="24"/>
          <w:szCs w:val="24"/>
        </w:rPr>
        <w:t xml:space="preserve">s </w:t>
      </w:r>
      <w:r w:rsidR="00955E97">
        <w:rPr>
          <w:rFonts w:ascii="Times New Roman" w:hAnsi="Times New Roman"/>
          <w:noProof/>
          <w:sz w:val="24"/>
          <w:szCs w:val="24"/>
        </w:rPr>
        <w:t xml:space="preserve">risisinājumus un </w:t>
      </w:r>
      <w:r w:rsidR="00955E97" w:rsidRPr="00955E97">
        <w:rPr>
          <w:rFonts w:ascii="Times New Roman" w:hAnsi="Times New Roman"/>
          <w:noProof/>
          <w:sz w:val="24"/>
          <w:szCs w:val="24"/>
        </w:rPr>
        <w:t>aktivitāt</w:t>
      </w:r>
      <w:r w:rsidR="00955E97">
        <w:rPr>
          <w:rFonts w:ascii="Times New Roman" w:hAnsi="Times New Roman"/>
          <w:noProof/>
          <w:sz w:val="24"/>
          <w:szCs w:val="24"/>
        </w:rPr>
        <w:t>e</w:t>
      </w:r>
      <w:r w:rsidR="00955E97" w:rsidRPr="00955E97">
        <w:rPr>
          <w:rFonts w:ascii="Times New Roman" w:hAnsi="Times New Roman"/>
          <w:noProof/>
          <w:sz w:val="24"/>
          <w:szCs w:val="24"/>
        </w:rPr>
        <w:t>s.</w:t>
      </w:r>
    </w:p>
    <w:p w14:paraId="3ECBA180" w14:textId="77777777" w:rsidR="005F1B3C" w:rsidRPr="00A758AC" w:rsidRDefault="005F1B3C" w:rsidP="00874075">
      <w:pPr>
        <w:spacing w:before="100" w:beforeAutospacing="1" w:after="100" w:afterAutospacing="1"/>
        <w:ind w:firstLine="709"/>
        <w:jc w:val="both"/>
        <w:rPr>
          <w:rFonts w:ascii="Times New Roman" w:hAnsi="Times New Roman" w:cs="Times New Roman"/>
          <w:b/>
          <w:sz w:val="24"/>
          <w:szCs w:val="24"/>
          <w:u w:val="single"/>
        </w:rPr>
      </w:pPr>
      <w:r w:rsidRPr="00A758AC">
        <w:rPr>
          <w:rFonts w:ascii="Times New Roman" w:hAnsi="Times New Roman" w:cs="Times New Roman"/>
          <w:b/>
          <w:sz w:val="24"/>
          <w:szCs w:val="24"/>
          <w:u w:val="single"/>
        </w:rPr>
        <w:lastRenderedPageBreak/>
        <w:t>Latvijas nostāja:</w:t>
      </w:r>
    </w:p>
    <w:p w14:paraId="6D142D2B" w14:textId="74F3E2FC" w:rsidR="009712BA" w:rsidRPr="009712BA" w:rsidRDefault="009712BA" w:rsidP="009712BA">
      <w:pPr>
        <w:spacing w:before="120" w:after="120" w:line="240" w:lineRule="auto"/>
        <w:ind w:firstLine="709"/>
        <w:jc w:val="both"/>
        <w:rPr>
          <w:rFonts w:ascii="Times New Roman" w:hAnsi="Times New Roman"/>
          <w:noProof/>
          <w:sz w:val="24"/>
          <w:szCs w:val="24"/>
        </w:rPr>
      </w:pPr>
      <w:r w:rsidRPr="009712BA">
        <w:rPr>
          <w:rFonts w:ascii="Times New Roman" w:hAnsi="Times New Roman"/>
          <w:noProof/>
          <w:sz w:val="24"/>
          <w:szCs w:val="24"/>
        </w:rPr>
        <w:t>Ekonomiskās atkopšanās laikā ES līmenī ir nepieciešams izveidot instrumentus ne tikai taisnīgai sabiedrības pārkārtošanai, bet arī pilnīga</w:t>
      </w:r>
      <w:r w:rsidR="001D0E7C">
        <w:rPr>
          <w:rFonts w:ascii="Times New Roman" w:hAnsi="Times New Roman"/>
          <w:noProof/>
          <w:sz w:val="24"/>
          <w:szCs w:val="24"/>
        </w:rPr>
        <w:t xml:space="preserve">i komersantu pārorientācijai - </w:t>
      </w:r>
      <w:r w:rsidRPr="009712BA">
        <w:rPr>
          <w:rFonts w:ascii="Times New Roman" w:hAnsi="Times New Roman"/>
          <w:noProof/>
          <w:sz w:val="24"/>
          <w:szCs w:val="24"/>
        </w:rPr>
        <w:t>gan uz ilgtspējīgas enerģijas efektīvu patēriņu, t.sk.,</w:t>
      </w:r>
      <w:r w:rsidR="00E62BB8">
        <w:rPr>
          <w:rFonts w:ascii="Times New Roman" w:hAnsi="Times New Roman"/>
          <w:noProof/>
          <w:sz w:val="24"/>
          <w:szCs w:val="24"/>
        </w:rPr>
        <w:t xml:space="preserve"> veicinot decentralizēto m</w:t>
      </w:r>
      <w:r w:rsidR="002B4E1B">
        <w:rPr>
          <w:rFonts w:ascii="Times New Roman" w:hAnsi="Times New Roman"/>
          <w:noProof/>
          <w:sz w:val="24"/>
          <w:szCs w:val="24"/>
        </w:rPr>
        <w:t>a</w:t>
      </w:r>
      <w:r w:rsidR="00E62BB8">
        <w:rPr>
          <w:rFonts w:ascii="Times New Roman" w:hAnsi="Times New Roman"/>
          <w:noProof/>
          <w:sz w:val="24"/>
          <w:szCs w:val="24"/>
        </w:rPr>
        <w:t>kroģenerāciju un</w:t>
      </w:r>
      <w:r w:rsidRPr="009712BA">
        <w:rPr>
          <w:rFonts w:ascii="Times New Roman" w:hAnsi="Times New Roman"/>
          <w:noProof/>
          <w:sz w:val="24"/>
          <w:szCs w:val="24"/>
        </w:rPr>
        <w:t xml:space="preserve"> pašpatēriņu, gan iekļaušanos ES iekšējās tehnoloģiju ražošanas ķēdēs. </w:t>
      </w:r>
    </w:p>
    <w:p w14:paraId="105D7076" w14:textId="576045E2" w:rsidR="009712BA" w:rsidRPr="009712BA" w:rsidRDefault="009712BA" w:rsidP="009712BA">
      <w:pPr>
        <w:spacing w:before="120" w:after="120" w:line="240" w:lineRule="auto"/>
        <w:ind w:firstLine="709"/>
        <w:jc w:val="both"/>
        <w:rPr>
          <w:rFonts w:ascii="Times New Roman" w:hAnsi="Times New Roman"/>
          <w:b/>
          <w:bCs/>
          <w:noProof/>
          <w:sz w:val="24"/>
          <w:szCs w:val="24"/>
        </w:rPr>
      </w:pPr>
      <w:r w:rsidRPr="00214F90">
        <w:rPr>
          <w:rFonts w:ascii="Times New Roman" w:hAnsi="Times New Roman"/>
          <w:noProof/>
          <w:sz w:val="24"/>
          <w:szCs w:val="24"/>
        </w:rPr>
        <w:t>Īpaši svarīga šāda parorientēšana ir rūpniecībā un atjaunojamo energoresursu tehnoloģiju ražošanā.</w:t>
      </w:r>
      <w:r w:rsidR="00EE18A4" w:rsidRPr="00214F90">
        <w:rPr>
          <w:rFonts w:ascii="Times New Roman" w:hAnsi="Times New Roman"/>
          <w:noProof/>
          <w:sz w:val="24"/>
          <w:szCs w:val="24"/>
        </w:rPr>
        <w:t xml:space="preserve"> Liela nozīme ir inovatīvu tehnoloģiju attīstībai. </w:t>
      </w:r>
      <w:r w:rsidRPr="00214F90">
        <w:rPr>
          <w:rFonts w:ascii="Times New Roman" w:hAnsi="Times New Roman"/>
          <w:noProof/>
          <w:sz w:val="24"/>
          <w:szCs w:val="24"/>
        </w:rPr>
        <w:t xml:space="preserve">Latvijai ir būtiski enerģētikas sektorā veicināt </w:t>
      </w:r>
      <w:r w:rsidRPr="00214F90">
        <w:rPr>
          <w:rFonts w:ascii="Times New Roman" w:hAnsi="Times New Roman"/>
          <w:bCs/>
          <w:noProof/>
          <w:sz w:val="24"/>
          <w:szCs w:val="24"/>
        </w:rPr>
        <w:t>straujas investīcijas, kas veicina ekonomikas atveseļošanos</w:t>
      </w:r>
      <w:r w:rsidRPr="00214F90">
        <w:rPr>
          <w:rFonts w:ascii="Times New Roman" w:hAnsi="Times New Roman"/>
          <w:noProof/>
          <w:sz w:val="24"/>
          <w:szCs w:val="24"/>
        </w:rPr>
        <w:t xml:space="preserve">, tai skaitā nodarbinātību, vienlaikus samazinot energoresursu importa atkarību un nodrošinot virzību uz enerģētikas un klimata mērķu izpildi. </w:t>
      </w:r>
      <w:r w:rsidR="009331DE" w:rsidRPr="00214F90">
        <w:rPr>
          <w:rFonts w:ascii="Times New Roman" w:hAnsi="Times New Roman"/>
          <w:noProof/>
          <w:sz w:val="24"/>
          <w:szCs w:val="24"/>
        </w:rPr>
        <w:t>Svarīgi novirzīt finansējumu pasākumiem, kas veicinās ekonomikas atveseļošanos gan īstermiņā, gan dos stabilus ieguvumus dal</w:t>
      </w:r>
      <w:r w:rsidR="00EE18A4" w:rsidRPr="00214F90">
        <w:rPr>
          <w:rFonts w:ascii="Times New Roman" w:hAnsi="Times New Roman"/>
          <w:noProof/>
          <w:sz w:val="24"/>
          <w:szCs w:val="24"/>
        </w:rPr>
        <w:t>ībvalstu ekonomikai ilgtermiņā.</w:t>
      </w:r>
    </w:p>
    <w:p w14:paraId="20A21468" w14:textId="3977B81A" w:rsidR="00E05D4D" w:rsidRPr="00E05D4D" w:rsidRDefault="001D0E7C" w:rsidP="00E05D4D">
      <w:pPr>
        <w:spacing w:before="120" w:after="120" w:line="240" w:lineRule="auto"/>
        <w:ind w:firstLine="709"/>
        <w:jc w:val="both"/>
        <w:rPr>
          <w:rFonts w:ascii="Times New Roman" w:eastAsia="Calibri" w:hAnsi="Times New Roman" w:cs="Times New Roman"/>
          <w:sz w:val="24"/>
          <w:szCs w:val="24"/>
        </w:rPr>
      </w:pPr>
      <w:r w:rsidRPr="007C0BC6">
        <w:rPr>
          <w:rFonts w:ascii="Times New Roman" w:eastAsia="Calibri" w:hAnsi="Times New Roman" w:cs="Times New Roman"/>
          <w:sz w:val="24"/>
          <w:szCs w:val="24"/>
        </w:rPr>
        <w:t>Latvijas interesēs ir pēc iespējas ātrāk panākt vienošanos par EK piedāvāto</w:t>
      </w:r>
      <w:r w:rsidR="00EE18A4">
        <w:rPr>
          <w:rFonts w:ascii="Times New Roman" w:eastAsia="Calibri" w:hAnsi="Times New Roman" w:cs="Times New Roman"/>
          <w:sz w:val="24"/>
          <w:szCs w:val="24"/>
        </w:rPr>
        <w:t xml:space="preserve"> ES Atveseļošanās plāna </w:t>
      </w:r>
      <w:proofErr w:type="spellStart"/>
      <w:r w:rsidR="00EE18A4">
        <w:rPr>
          <w:rFonts w:ascii="Times New Roman" w:eastAsia="Calibri" w:hAnsi="Times New Roman" w:cs="Times New Roman"/>
          <w:sz w:val="24"/>
          <w:szCs w:val="24"/>
        </w:rPr>
        <w:t>pakotni</w:t>
      </w:r>
      <w:proofErr w:type="spellEnd"/>
      <w:r w:rsidRPr="007C0BC6">
        <w:rPr>
          <w:rFonts w:ascii="Times New Roman" w:eastAsia="Calibri" w:hAnsi="Times New Roman" w:cs="Times New Roman"/>
          <w:sz w:val="24"/>
          <w:szCs w:val="24"/>
        </w:rPr>
        <w:t xml:space="preserve"> (gan  ES daudzgadu budžets, gan </w:t>
      </w:r>
      <w:proofErr w:type="spellStart"/>
      <w:r w:rsidRPr="007C0BC6">
        <w:rPr>
          <w:rFonts w:ascii="Times New Roman" w:eastAsia="Calibri" w:hAnsi="Times New Roman" w:cs="Times New Roman"/>
          <w:sz w:val="24"/>
          <w:szCs w:val="24"/>
        </w:rPr>
        <w:t>NextGen</w:t>
      </w:r>
      <w:proofErr w:type="spellEnd"/>
      <w:r w:rsidRPr="007C0BC6">
        <w:rPr>
          <w:rFonts w:ascii="Times New Roman" w:eastAsia="Calibri" w:hAnsi="Times New Roman" w:cs="Times New Roman"/>
          <w:sz w:val="24"/>
          <w:szCs w:val="24"/>
        </w:rPr>
        <w:t xml:space="preserve">), lai izvairītos no pārrāvuma ES fondu investīciju ciklā un nodrošinātu strauju ekonomikas atkopšanos no ekonomiskās krīzes, ko izraisīja saistībā ar COVID-19 pandēmijas uzliesmojumu ieviestie ierobežojumi. Ņemot vērā dalībvalstu specifiskās vajadzības, kā arī nevienlīdzīgo ietekmi uz dažādām ekonomikas nozarēm, uzskatām, ka dalībvalstīm jāļauj piemērot maksimāli iespējamā elastība ekonomikas atveseļošanai paredzētā finansējuma izlietojumā, </w:t>
      </w:r>
      <w:r w:rsidR="00F25C0A">
        <w:rPr>
          <w:rFonts w:ascii="Times New Roman" w:eastAsia="Calibri" w:hAnsi="Times New Roman" w:cs="Times New Roman"/>
          <w:sz w:val="24"/>
          <w:szCs w:val="24"/>
        </w:rPr>
        <w:t>Taisnīgas pārkārtošanās mehānisma (</w:t>
      </w:r>
      <w:r w:rsidR="00F25C0A">
        <w:rPr>
          <w:rFonts w:ascii="Times New Roman" w:eastAsia="Calibri" w:hAnsi="Times New Roman" w:cs="Times New Roman"/>
          <w:i/>
          <w:sz w:val="24"/>
          <w:szCs w:val="24"/>
        </w:rPr>
        <w:t xml:space="preserve">Just </w:t>
      </w:r>
      <w:proofErr w:type="spellStart"/>
      <w:r w:rsidR="00F25C0A">
        <w:rPr>
          <w:rFonts w:ascii="Times New Roman" w:eastAsia="Calibri" w:hAnsi="Times New Roman" w:cs="Times New Roman"/>
          <w:i/>
          <w:sz w:val="24"/>
          <w:szCs w:val="24"/>
        </w:rPr>
        <w:t>Transition</w:t>
      </w:r>
      <w:proofErr w:type="spellEnd"/>
      <w:r w:rsidRPr="007C0BC6">
        <w:rPr>
          <w:rFonts w:ascii="Times New Roman" w:eastAsia="Calibri" w:hAnsi="Times New Roman" w:cs="Times New Roman"/>
          <w:sz w:val="24"/>
          <w:szCs w:val="24"/>
        </w:rPr>
        <w:t xml:space="preserve"> </w:t>
      </w:r>
      <w:proofErr w:type="spellStart"/>
      <w:r w:rsidRPr="00F25C0A">
        <w:rPr>
          <w:rFonts w:ascii="Times New Roman" w:eastAsia="Calibri" w:hAnsi="Times New Roman" w:cs="Times New Roman"/>
          <w:i/>
          <w:sz w:val="24"/>
          <w:szCs w:val="24"/>
        </w:rPr>
        <w:t>mechanism</w:t>
      </w:r>
      <w:proofErr w:type="spellEnd"/>
      <w:r w:rsidR="00F25C0A">
        <w:rPr>
          <w:rFonts w:ascii="Times New Roman" w:eastAsia="Calibri" w:hAnsi="Times New Roman" w:cs="Times New Roman"/>
          <w:sz w:val="24"/>
          <w:szCs w:val="24"/>
        </w:rPr>
        <w:t>)</w:t>
      </w:r>
      <w:r w:rsidRPr="007C0BC6">
        <w:rPr>
          <w:rFonts w:ascii="Times New Roman" w:eastAsia="Calibri" w:hAnsi="Times New Roman" w:cs="Times New Roman"/>
          <w:sz w:val="24"/>
          <w:szCs w:val="24"/>
        </w:rPr>
        <w:t xml:space="preserve"> izlietojumā, kā arī COVID-19 visvairāk skartajās jomās. Vienlaikus, uzskatām, ka </w:t>
      </w:r>
      <w:r w:rsidRPr="007C0BC6">
        <w:rPr>
          <w:rFonts w:ascii="Times New Roman" w:hAnsi="Times New Roman" w:cs="Times New Roman"/>
          <w:sz w:val="24"/>
          <w:szCs w:val="24"/>
        </w:rPr>
        <w:t>S</w:t>
      </w:r>
      <w:r w:rsidR="00F25C0A">
        <w:rPr>
          <w:rFonts w:ascii="Times New Roman" w:hAnsi="Times New Roman" w:cs="Times New Roman"/>
          <w:sz w:val="24"/>
          <w:szCs w:val="24"/>
        </w:rPr>
        <w:t xml:space="preserve">tratēģisko Investīciju mehānismam </w:t>
      </w:r>
      <w:r w:rsidRPr="007C0BC6">
        <w:rPr>
          <w:rFonts w:ascii="Times New Roman" w:hAnsi="Times New Roman" w:cs="Times New Roman"/>
          <w:sz w:val="24"/>
          <w:szCs w:val="24"/>
        </w:rPr>
        <w:t>jābūt vērstam uz to investīciju jomu atbalstīšanu, kas nepieciešamas Nacionālā ener</w:t>
      </w:r>
      <w:r w:rsidRPr="00214F90">
        <w:rPr>
          <w:rFonts w:ascii="Times New Roman" w:hAnsi="Times New Roman" w:cs="Times New Roman"/>
          <w:sz w:val="24"/>
          <w:szCs w:val="24"/>
        </w:rPr>
        <w:t xml:space="preserve">ģētikas un klimata plāna atjaunojamo </w:t>
      </w:r>
      <w:r w:rsidRPr="00214F90">
        <w:rPr>
          <w:rFonts w:ascii="Times New Roman" w:eastAsia="Calibri" w:hAnsi="Times New Roman" w:cs="Times New Roman"/>
          <w:sz w:val="24"/>
          <w:szCs w:val="24"/>
        </w:rPr>
        <w:t>energoresursu un energoefektivitātes mērķu sasniegšanā.</w:t>
      </w:r>
      <w:r w:rsidR="00214F90" w:rsidRPr="00214F90">
        <w:rPr>
          <w:rFonts w:ascii="Times New Roman" w:eastAsia="Calibri" w:hAnsi="Times New Roman" w:cs="Times New Roman"/>
          <w:sz w:val="24"/>
          <w:szCs w:val="24"/>
        </w:rPr>
        <w:t xml:space="preserve"> </w:t>
      </w:r>
      <w:r w:rsidR="00214F90" w:rsidRPr="00214F90">
        <w:rPr>
          <w:rFonts w:ascii="Times New Roman" w:hAnsi="Times New Roman" w:cs="Times New Roman"/>
          <w:sz w:val="24"/>
          <w:szCs w:val="24"/>
        </w:rPr>
        <w:t>Ņemot vērā Eiropas Savienības principu – energoefektivitāte pirmajā vietā, Latvijai ir īpaši svarīgi, lai pieejamais finansējums ļautu nodrošināt papildus finanšu resursus energoefektivitātes, jo īpaši dzīvojamo ēku energoefektivitātes jomā, vienlaicīgi veicinot enerģētiskās nabadzības samazināšanos.</w:t>
      </w:r>
    </w:p>
    <w:p w14:paraId="041501CE" w14:textId="63391C8F" w:rsidR="00E05D4D" w:rsidRDefault="00E05D4D" w:rsidP="00E05D4D">
      <w:pPr>
        <w:spacing w:before="120" w:after="120" w:line="240" w:lineRule="auto"/>
        <w:ind w:firstLine="709"/>
        <w:jc w:val="both"/>
        <w:rPr>
          <w:rFonts w:ascii="Times New Roman" w:eastAsia="Calibri" w:hAnsi="Times New Roman" w:cs="Times New Roman"/>
          <w:sz w:val="24"/>
          <w:szCs w:val="24"/>
        </w:rPr>
      </w:pPr>
      <w:r w:rsidRPr="00E05D4D">
        <w:rPr>
          <w:rFonts w:ascii="Times New Roman" w:eastAsia="Calibri" w:hAnsi="Times New Roman" w:cs="Times New Roman"/>
          <w:sz w:val="24"/>
          <w:szCs w:val="24"/>
        </w:rPr>
        <w:t xml:space="preserve">Latvija uzskata, ka pāreja uz </w:t>
      </w:r>
      <w:proofErr w:type="spellStart"/>
      <w:r w:rsidRPr="00E05D4D">
        <w:rPr>
          <w:rFonts w:ascii="Times New Roman" w:eastAsia="Calibri" w:hAnsi="Times New Roman" w:cs="Times New Roman"/>
          <w:sz w:val="24"/>
          <w:szCs w:val="24"/>
        </w:rPr>
        <w:t>klimatneitralitāti</w:t>
      </w:r>
      <w:proofErr w:type="spellEnd"/>
      <w:r w:rsidRPr="00E05D4D">
        <w:rPr>
          <w:rFonts w:ascii="Times New Roman" w:eastAsia="Calibri" w:hAnsi="Times New Roman" w:cs="Times New Roman"/>
          <w:sz w:val="24"/>
          <w:szCs w:val="24"/>
        </w:rPr>
        <w:t xml:space="preserve"> sniegs jaunus ekonomiskos stimulus un iespējas arī Latvija</w:t>
      </w:r>
      <w:r>
        <w:rPr>
          <w:rFonts w:ascii="Times New Roman" w:eastAsia="Calibri" w:hAnsi="Times New Roman" w:cs="Times New Roman"/>
          <w:sz w:val="24"/>
          <w:szCs w:val="24"/>
        </w:rPr>
        <w:t xml:space="preserve">s iedzīvotājiem un ekonomikai, tostarp radīs </w:t>
      </w:r>
      <w:r w:rsidRPr="00E05D4D">
        <w:rPr>
          <w:rFonts w:ascii="Times New Roman" w:eastAsia="Calibri" w:hAnsi="Times New Roman" w:cs="Times New Roman"/>
          <w:sz w:val="24"/>
          <w:szCs w:val="24"/>
        </w:rPr>
        <w:t xml:space="preserve">jaunas darba vietas, stimulēs inovatīvu </w:t>
      </w:r>
      <w:proofErr w:type="spellStart"/>
      <w:r w:rsidRPr="00E05D4D">
        <w:rPr>
          <w:rFonts w:ascii="Times New Roman" w:eastAsia="Calibri" w:hAnsi="Times New Roman" w:cs="Times New Roman"/>
          <w:sz w:val="24"/>
          <w:szCs w:val="24"/>
        </w:rPr>
        <w:t>mazemisiju</w:t>
      </w:r>
      <w:proofErr w:type="spellEnd"/>
      <w:r w:rsidRPr="00E05D4D">
        <w:rPr>
          <w:rFonts w:ascii="Times New Roman" w:eastAsia="Calibri" w:hAnsi="Times New Roman" w:cs="Times New Roman"/>
          <w:sz w:val="24"/>
          <w:szCs w:val="24"/>
        </w:rPr>
        <w:t xml:space="preserve"> tehnoloģiju un energoefektīvu risinājumu radīšanu un efektīvāko tirgū pieejamo tehnoloģiju ieviešanu. Tāpat pētniecības u</w:t>
      </w:r>
      <w:r>
        <w:rPr>
          <w:rFonts w:ascii="Times New Roman" w:eastAsia="Calibri" w:hAnsi="Times New Roman" w:cs="Times New Roman"/>
          <w:sz w:val="24"/>
          <w:szCs w:val="24"/>
        </w:rPr>
        <w:t>n inovāciju sistēmas attīstība</w:t>
      </w:r>
      <w:r w:rsidRPr="00E05D4D">
        <w:rPr>
          <w:rFonts w:ascii="Times New Roman" w:eastAsia="Calibri" w:hAnsi="Times New Roman" w:cs="Times New Roman"/>
          <w:sz w:val="24"/>
          <w:szCs w:val="24"/>
        </w:rPr>
        <w:t xml:space="preserve"> veicinās jaunu kompetenču, tehnoloģiju un augstākas pievienotās vērtības produktu un pakalpojumu attīstību un sekmēs</w:t>
      </w:r>
      <w:r>
        <w:rPr>
          <w:rFonts w:ascii="Times New Roman" w:eastAsia="Calibri" w:hAnsi="Times New Roman" w:cs="Times New Roman"/>
          <w:sz w:val="24"/>
          <w:szCs w:val="24"/>
        </w:rPr>
        <w:t xml:space="preserve"> Latvijas uzņēmumu eksportspēju</w:t>
      </w:r>
      <w:r w:rsidRPr="00E05D4D">
        <w:rPr>
          <w:rFonts w:ascii="Times New Roman" w:eastAsia="Calibri" w:hAnsi="Times New Roman" w:cs="Times New Roman"/>
          <w:sz w:val="24"/>
          <w:szCs w:val="24"/>
        </w:rPr>
        <w:t xml:space="preserve"> veicinot Latvijas un ES konkurētspēju un sadarbību starptautiskā mērogā.</w:t>
      </w:r>
    </w:p>
    <w:p w14:paraId="04042F1E" w14:textId="34436FA4" w:rsidR="00F25C0A" w:rsidRDefault="00F25C0A" w:rsidP="00955E97">
      <w:pPr>
        <w:snapToGrid w:val="0"/>
        <w:spacing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Latvija uzsver zaļajai pārkārtošanai nepieciešamo tehnoloģiju </w:t>
      </w:r>
      <w:r w:rsidR="00E05D4D">
        <w:rPr>
          <w:rFonts w:ascii="Times New Roman" w:eastAsia="Calibri" w:hAnsi="Times New Roman" w:cs="Times New Roman"/>
          <w:sz w:val="24"/>
          <w:szCs w:val="24"/>
        </w:rPr>
        <w:t xml:space="preserve">ražošanas </w:t>
      </w:r>
      <w:r>
        <w:rPr>
          <w:rFonts w:ascii="Times New Roman" w:eastAsia="Calibri" w:hAnsi="Times New Roman" w:cs="Times New Roman"/>
          <w:sz w:val="24"/>
          <w:szCs w:val="24"/>
        </w:rPr>
        <w:t xml:space="preserve">nozīmi ES. </w:t>
      </w:r>
      <w:r w:rsidRPr="003409F4">
        <w:rPr>
          <w:rFonts w:ascii="Times New Roman" w:eastAsia="Calibri" w:hAnsi="Times New Roman" w:cs="Times New Roman"/>
          <w:sz w:val="24"/>
          <w:szCs w:val="24"/>
        </w:rPr>
        <w:t>Stratēģiski svarīgi ir nodrošināt AER, kā arī uzglabāšanas iekārtu kompon</w:t>
      </w:r>
      <w:r>
        <w:rPr>
          <w:rFonts w:ascii="Times New Roman" w:eastAsia="Calibri" w:hAnsi="Times New Roman" w:cs="Times New Roman"/>
          <w:sz w:val="24"/>
          <w:szCs w:val="24"/>
        </w:rPr>
        <w:t xml:space="preserve">enšu ražošanu Eiropā, veicinot </w:t>
      </w:r>
      <w:r w:rsidRPr="003409F4">
        <w:rPr>
          <w:rFonts w:ascii="Times New Roman" w:eastAsia="Calibri" w:hAnsi="Times New Roman" w:cs="Times New Roman"/>
          <w:sz w:val="24"/>
          <w:szCs w:val="24"/>
        </w:rPr>
        <w:t>ES</w:t>
      </w:r>
      <w:r>
        <w:rPr>
          <w:rFonts w:ascii="Times New Roman" w:eastAsia="Calibri" w:hAnsi="Times New Roman" w:cs="Times New Roman"/>
          <w:sz w:val="24"/>
          <w:szCs w:val="24"/>
        </w:rPr>
        <w:t xml:space="preserve"> rūpniecības attīstību un mazinot atkarību no tehnoloģiju importa. </w:t>
      </w:r>
      <w:r w:rsidRPr="003409F4">
        <w:rPr>
          <w:rFonts w:ascii="Times New Roman" w:eastAsia="Calibri" w:hAnsi="Times New Roman" w:cs="Times New Roman"/>
          <w:sz w:val="24"/>
          <w:szCs w:val="24"/>
        </w:rPr>
        <w:t xml:space="preserve">Tādēļ </w:t>
      </w:r>
      <w:r>
        <w:rPr>
          <w:rFonts w:ascii="Times New Roman" w:eastAsia="Calibri" w:hAnsi="Times New Roman" w:cs="Times New Roman"/>
          <w:sz w:val="24"/>
          <w:szCs w:val="24"/>
        </w:rPr>
        <w:t xml:space="preserve">Latvijas ekonomikas ministrs </w:t>
      </w:r>
      <w:r w:rsidRPr="00214F90">
        <w:rPr>
          <w:rFonts w:ascii="Times New Roman" w:eastAsia="Calibri" w:hAnsi="Times New Roman" w:cs="Times New Roman"/>
          <w:sz w:val="24"/>
          <w:szCs w:val="24"/>
        </w:rPr>
        <w:t xml:space="preserve">kopā ar septiņu ES dalībvalstu (Lietuvas, Igaunijas, Austrijas, Polijas, Grieķijas, Spānijas un Luksemburgas) ministriem vērsās pie ES iekšējā tirgus komisāra </w:t>
      </w:r>
      <w:proofErr w:type="spellStart"/>
      <w:r w:rsidRPr="00214F90">
        <w:rPr>
          <w:rFonts w:ascii="Times New Roman" w:eastAsia="Calibri" w:hAnsi="Times New Roman" w:cs="Times New Roman"/>
          <w:sz w:val="24"/>
          <w:szCs w:val="24"/>
        </w:rPr>
        <w:t>Tjerī</w:t>
      </w:r>
      <w:proofErr w:type="spellEnd"/>
      <w:r w:rsidRPr="00214F90">
        <w:rPr>
          <w:rFonts w:ascii="Times New Roman" w:eastAsia="Calibri" w:hAnsi="Times New Roman" w:cs="Times New Roman"/>
          <w:sz w:val="24"/>
          <w:szCs w:val="24"/>
        </w:rPr>
        <w:t xml:space="preserve"> </w:t>
      </w:r>
      <w:proofErr w:type="spellStart"/>
      <w:r w:rsidRPr="00214F90">
        <w:rPr>
          <w:rFonts w:ascii="Times New Roman" w:eastAsia="Calibri" w:hAnsi="Times New Roman" w:cs="Times New Roman"/>
          <w:sz w:val="24"/>
          <w:szCs w:val="24"/>
        </w:rPr>
        <w:t>Bretona</w:t>
      </w:r>
      <w:proofErr w:type="spellEnd"/>
      <w:r w:rsidRPr="00214F90">
        <w:rPr>
          <w:rFonts w:ascii="Times New Roman" w:eastAsia="Calibri" w:hAnsi="Times New Roman" w:cs="Times New Roman"/>
          <w:sz w:val="24"/>
          <w:szCs w:val="24"/>
        </w:rPr>
        <w:t xml:space="preserve"> un ES enerģētikas komisāres Kadri </w:t>
      </w:r>
      <w:proofErr w:type="spellStart"/>
      <w:r w:rsidRPr="00214F90">
        <w:rPr>
          <w:rFonts w:ascii="Times New Roman" w:eastAsia="Calibri" w:hAnsi="Times New Roman" w:cs="Times New Roman"/>
          <w:sz w:val="24"/>
          <w:szCs w:val="24"/>
        </w:rPr>
        <w:t>Simsones</w:t>
      </w:r>
      <w:proofErr w:type="spellEnd"/>
      <w:r w:rsidRPr="00214F90">
        <w:rPr>
          <w:rFonts w:ascii="Times New Roman" w:eastAsia="Calibri" w:hAnsi="Times New Roman" w:cs="Times New Roman"/>
          <w:sz w:val="24"/>
          <w:szCs w:val="24"/>
        </w:rPr>
        <w:t xml:space="preserve">, aicinot ES atkopšanās plānā nozīmīgu vietu paredzēt atjaunojamo energoresursu industrijai. Vēstulē ministri rosina saules un vēja enerģijas ražošanas un uzglabāšanas tehnoloģijas iekļaut ES stratēģisko vērtību ķēžu sarakstā, palielinot ieguldījumus šajās nozarēs, stimulējot konkurētspējīgu videi nekaitīgas enerģijas ražošanas nozari ar augstu pievienoto vērtību. </w:t>
      </w:r>
      <w:r w:rsidR="00955E97">
        <w:rPr>
          <w:rFonts w:ascii="Times New Roman" w:eastAsia="Calibri" w:hAnsi="Times New Roman" w:cs="Times New Roman"/>
          <w:sz w:val="24"/>
          <w:szCs w:val="24"/>
        </w:rPr>
        <w:t>Tas cieši saskan ar ES A</w:t>
      </w:r>
      <w:r w:rsidR="00955E97" w:rsidRPr="00955E97">
        <w:rPr>
          <w:rFonts w:ascii="Times New Roman" w:eastAsia="Calibri" w:hAnsi="Times New Roman" w:cs="Times New Roman"/>
          <w:sz w:val="24"/>
          <w:szCs w:val="24"/>
        </w:rPr>
        <w:t xml:space="preserve">prites ekonomikas rīcības plānu, kas ir viens no galvenajiem Eiropas </w:t>
      </w:r>
      <w:r w:rsidR="00955E97">
        <w:rPr>
          <w:rFonts w:ascii="Times New Roman" w:eastAsia="Calibri" w:hAnsi="Times New Roman" w:cs="Times New Roman"/>
          <w:sz w:val="24"/>
          <w:szCs w:val="24"/>
        </w:rPr>
        <w:t>Z</w:t>
      </w:r>
      <w:r w:rsidR="00955E97" w:rsidRPr="00955E97">
        <w:rPr>
          <w:rFonts w:ascii="Times New Roman" w:eastAsia="Calibri" w:hAnsi="Times New Roman" w:cs="Times New Roman"/>
          <w:sz w:val="24"/>
          <w:szCs w:val="24"/>
        </w:rPr>
        <w:t xml:space="preserve">aļā </w:t>
      </w:r>
      <w:r w:rsidR="00955E97">
        <w:rPr>
          <w:rFonts w:ascii="Times New Roman" w:eastAsia="Calibri" w:hAnsi="Times New Roman" w:cs="Times New Roman"/>
          <w:sz w:val="24"/>
          <w:szCs w:val="24"/>
        </w:rPr>
        <w:t>kursa stūrakmeņiem. Plānā paredzēti pasākumi un ilgtspējīgu elementu ieviešana</w:t>
      </w:r>
      <w:r w:rsidR="00955E97" w:rsidRPr="00955E97">
        <w:rPr>
          <w:rFonts w:ascii="Times New Roman" w:eastAsia="Calibri" w:hAnsi="Times New Roman" w:cs="Times New Roman"/>
          <w:sz w:val="24"/>
          <w:szCs w:val="24"/>
        </w:rPr>
        <w:t xml:space="preserve"> </w:t>
      </w:r>
      <w:r w:rsidR="00955E97">
        <w:rPr>
          <w:rFonts w:ascii="Times New Roman" w:eastAsia="Calibri" w:hAnsi="Times New Roman" w:cs="Times New Roman"/>
          <w:sz w:val="24"/>
          <w:szCs w:val="24"/>
        </w:rPr>
        <w:t>v</w:t>
      </w:r>
      <w:r w:rsidR="00955E97" w:rsidRPr="00955E97">
        <w:rPr>
          <w:rFonts w:ascii="Times New Roman" w:eastAsia="Calibri" w:hAnsi="Times New Roman" w:cs="Times New Roman"/>
          <w:sz w:val="24"/>
          <w:szCs w:val="24"/>
        </w:rPr>
        <w:t xml:space="preserve">isā ražojumu aprites ciklā, un tā mērķis ir pielāgot ekonomiku zaļajai nākotnei un stiprināt konkurētspēju, vienlaikus aizsargājot vidi un nodrošinot patērētājiem jaunas tiesības. </w:t>
      </w:r>
      <w:r w:rsidRPr="00214F90">
        <w:rPr>
          <w:rFonts w:ascii="Times New Roman" w:eastAsia="Calibri" w:hAnsi="Times New Roman" w:cs="Times New Roman"/>
          <w:sz w:val="24"/>
          <w:szCs w:val="24"/>
        </w:rPr>
        <w:t xml:space="preserve">Latvijai ir būtiski arī atbalstīt aprites </w:t>
      </w:r>
      <w:proofErr w:type="spellStart"/>
      <w:r w:rsidRPr="00214F90">
        <w:rPr>
          <w:rFonts w:ascii="Times New Roman" w:eastAsia="Calibri" w:hAnsi="Times New Roman" w:cs="Times New Roman"/>
          <w:sz w:val="24"/>
          <w:szCs w:val="24"/>
        </w:rPr>
        <w:t>bioekonomikas</w:t>
      </w:r>
      <w:proofErr w:type="spellEnd"/>
      <w:r w:rsidRPr="00214F90">
        <w:rPr>
          <w:rFonts w:ascii="Times New Roman" w:eastAsia="Calibri" w:hAnsi="Times New Roman" w:cs="Times New Roman"/>
          <w:sz w:val="24"/>
          <w:szCs w:val="24"/>
        </w:rPr>
        <w:t xml:space="preserve"> vērtību ķēdes</w:t>
      </w:r>
      <w:r w:rsidR="00E62BB8">
        <w:rPr>
          <w:rFonts w:ascii="Times New Roman" w:eastAsia="Calibri" w:hAnsi="Times New Roman" w:cs="Times New Roman"/>
          <w:sz w:val="24"/>
          <w:szCs w:val="24"/>
        </w:rPr>
        <w:t xml:space="preserve">, </w:t>
      </w:r>
      <w:r w:rsidR="00E62BB8" w:rsidRPr="00E62BB8">
        <w:rPr>
          <w:rFonts w:ascii="Times New Roman" w:eastAsia="Calibri" w:hAnsi="Times New Roman" w:cs="Times New Roman"/>
          <w:sz w:val="24"/>
          <w:szCs w:val="24"/>
        </w:rPr>
        <w:t>jo īpaši mežsaimniecības un kokrūpniecības sektorā</w:t>
      </w:r>
      <w:r w:rsidRPr="00214F9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4DCA39E" w14:textId="77777777" w:rsidR="00ED6486" w:rsidRPr="00ED6486" w:rsidRDefault="00ED6486" w:rsidP="00ED6486">
      <w:pPr>
        <w:snapToGrid w:val="0"/>
        <w:spacing w:after="120" w:line="240" w:lineRule="auto"/>
        <w:ind w:firstLine="720"/>
        <w:jc w:val="both"/>
        <w:rPr>
          <w:rFonts w:ascii="Times New Roman" w:eastAsia="Calibri" w:hAnsi="Times New Roman" w:cs="Times New Roman"/>
          <w:sz w:val="24"/>
          <w:szCs w:val="24"/>
        </w:rPr>
      </w:pPr>
      <w:r w:rsidRPr="00ED6486">
        <w:rPr>
          <w:rFonts w:ascii="Times New Roman" w:eastAsia="Calibri" w:hAnsi="Times New Roman" w:cs="Times New Roman"/>
          <w:sz w:val="24"/>
          <w:szCs w:val="24"/>
        </w:rPr>
        <w:lastRenderedPageBreak/>
        <w:t>Latvijas ieskatā elektroenerģijas un dabasgāzes sektoru integrācijai ir būtiska loma dekarbonizācijas procesā ar skatu uz 2050.gadu. Ūdeņradis un līdzīgi oglekļa neitrālie energonesēji ir viena no alternatīvām, kas būtu jāvērtē. Lai to izdarītu, pirmkārt, ir nepieciešams finansējums pētījumiem nacionālajā un reģionālajā līmenī – jāvērtē esošā infrastruktūrā un sistēma, kā arī tehniski un sociāli-ekonomiskā ietekme. Būtiski ir arī izveidot atbilstošu regulējumu gan ES līmenī, gan nacionāli un reģionāli, izvērtējot standartus, definējot tirgus darbību un regulējot attiecības ar trešajām valstīm.</w:t>
      </w:r>
    </w:p>
    <w:p w14:paraId="0715758B" w14:textId="77777777" w:rsidR="00322429" w:rsidRPr="00DE724B" w:rsidRDefault="00322429" w:rsidP="00DE724B">
      <w:pPr>
        <w:snapToGrid w:val="0"/>
        <w:spacing w:after="120" w:line="240" w:lineRule="auto"/>
        <w:ind w:firstLine="720"/>
        <w:jc w:val="both"/>
        <w:rPr>
          <w:rFonts w:ascii="Times New Roman" w:eastAsia="Calibri" w:hAnsi="Times New Roman" w:cs="Times New Roman"/>
          <w:sz w:val="24"/>
          <w:szCs w:val="24"/>
        </w:rPr>
      </w:pPr>
    </w:p>
    <w:p w14:paraId="03C6718C" w14:textId="0612383D" w:rsidR="00BC118A" w:rsidRDefault="00DA34E6" w:rsidP="00BC118A">
      <w:pPr>
        <w:spacing w:before="240" w:after="60"/>
        <w:ind w:firstLine="567"/>
        <w:jc w:val="both"/>
        <w:rPr>
          <w:rFonts w:ascii="Times New Roman" w:hAnsi="Times New Roman"/>
          <w:b/>
          <w:sz w:val="24"/>
          <w:szCs w:val="24"/>
        </w:rPr>
      </w:pPr>
      <w:r w:rsidRPr="00217869">
        <w:rPr>
          <w:rFonts w:ascii="Times New Roman" w:hAnsi="Times New Roman"/>
          <w:b/>
          <w:sz w:val="24"/>
          <w:szCs w:val="24"/>
        </w:rPr>
        <w:t>2</w:t>
      </w:r>
      <w:r w:rsidR="00BC118A">
        <w:rPr>
          <w:rFonts w:ascii="Times New Roman" w:hAnsi="Times New Roman"/>
          <w:b/>
          <w:sz w:val="24"/>
          <w:szCs w:val="24"/>
        </w:rPr>
        <w:t>.Citi jautājumi</w:t>
      </w:r>
    </w:p>
    <w:p w14:paraId="6EFEBFD4" w14:textId="1B348D7A" w:rsidR="00BC118A" w:rsidRPr="00EE18A4" w:rsidRDefault="004F4545" w:rsidP="00EE18A4">
      <w:pPr>
        <w:pStyle w:val="ListParagraph"/>
        <w:numPr>
          <w:ilvl w:val="0"/>
          <w:numId w:val="14"/>
        </w:numPr>
        <w:spacing w:before="240" w:after="60"/>
        <w:jc w:val="both"/>
        <w:rPr>
          <w:rFonts w:ascii="Times New Roman" w:hAnsi="Times New Roman"/>
          <w:i/>
          <w:iCs/>
          <w:sz w:val="24"/>
          <w:szCs w:val="24"/>
        </w:rPr>
      </w:pPr>
      <w:r w:rsidRPr="00EE18A4">
        <w:rPr>
          <w:rFonts w:ascii="Times New Roman" w:hAnsi="Times New Roman"/>
          <w:b/>
          <w:sz w:val="24"/>
          <w:szCs w:val="24"/>
        </w:rPr>
        <w:t>S</w:t>
      </w:r>
      <w:r w:rsidR="001D0E7C" w:rsidRPr="00EE18A4">
        <w:rPr>
          <w:rFonts w:ascii="Times New Roman" w:hAnsi="Times New Roman"/>
          <w:b/>
          <w:sz w:val="24"/>
          <w:szCs w:val="24"/>
        </w:rPr>
        <w:t>ituācija</w:t>
      </w:r>
      <w:r w:rsidRPr="00EE18A4">
        <w:rPr>
          <w:rFonts w:ascii="Times New Roman" w:hAnsi="Times New Roman"/>
          <w:b/>
          <w:sz w:val="24"/>
          <w:szCs w:val="24"/>
        </w:rPr>
        <w:t xml:space="preserve"> ar dalībvalstu NEKP un </w:t>
      </w:r>
      <w:r w:rsidR="00E05D4D">
        <w:rPr>
          <w:rFonts w:ascii="Times New Roman" w:hAnsi="Times New Roman"/>
          <w:b/>
          <w:sz w:val="24"/>
          <w:szCs w:val="24"/>
        </w:rPr>
        <w:t>EK atjaunotais darba plāns</w:t>
      </w:r>
      <w:r w:rsidR="00BC118A" w:rsidRPr="00EE18A4">
        <w:rPr>
          <w:rFonts w:ascii="Times New Roman" w:hAnsi="Times New Roman"/>
          <w:b/>
          <w:sz w:val="24"/>
          <w:szCs w:val="24"/>
        </w:rPr>
        <w:t xml:space="preserve"> </w:t>
      </w:r>
      <w:r w:rsidR="00E05D4D">
        <w:rPr>
          <w:rFonts w:ascii="Times New Roman" w:hAnsi="Times New Roman"/>
          <w:i/>
          <w:iCs/>
          <w:sz w:val="24"/>
          <w:szCs w:val="24"/>
        </w:rPr>
        <w:t xml:space="preserve">– EK </w:t>
      </w:r>
      <w:r w:rsidR="00BC118A" w:rsidRPr="00EE18A4">
        <w:rPr>
          <w:rFonts w:ascii="Times New Roman" w:hAnsi="Times New Roman"/>
          <w:i/>
          <w:iCs/>
          <w:sz w:val="24"/>
          <w:szCs w:val="24"/>
        </w:rPr>
        <w:t>sniegta informācija</w:t>
      </w:r>
    </w:p>
    <w:p w14:paraId="3E121C28" w14:textId="2E0CD41F" w:rsidR="00F65E06" w:rsidRDefault="00E05D4D" w:rsidP="008B5FB8">
      <w:pPr>
        <w:spacing w:after="0"/>
        <w:ind w:firstLine="720"/>
        <w:jc w:val="both"/>
        <w:rPr>
          <w:rFonts w:ascii="Times New Roman" w:hAnsi="Times New Roman" w:cs="Times New Roman"/>
          <w:sz w:val="24"/>
          <w:szCs w:val="24"/>
        </w:rPr>
      </w:pPr>
      <w:r>
        <w:rPr>
          <w:rFonts w:ascii="Times New Roman" w:hAnsi="Times New Roman" w:cs="Times New Roman"/>
          <w:sz w:val="24"/>
          <w:szCs w:val="24"/>
        </w:rPr>
        <w:t>EK</w:t>
      </w:r>
      <w:r w:rsidR="003D3991" w:rsidRPr="00874075">
        <w:rPr>
          <w:rFonts w:ascii="Times New Roman" w:hAnsi="Times New Roman" w:cs="Times New Roman"/>
          <w:sz w:val="24"/>
          <w:szCs w:val="24"/>
        </w:rPr>
        <w:t xml:space="preserve"> </w:t>
      </w:r>
      <w:r w:rsidR="00D56E75" w:rsidRPr="00874075">
        <w:rPr>
          <w:rFonts w:ascii="Times New Roman" w:hAnsi="Times New Roman" w:cs="Times New Roman"/>
          <w:sz w:val="24"/>
          <w:szCs w:val="24"/>
        </w:rPr>
        <w:t xml:space="preserve">sniegs informāciju par </w:t>
      </w:r>
      <w:r w:rsidR="004F4545" w:rsidRPr="00874075">
        <w:rPr>
          <w:rFonts w:ascii="Times New Roman" w:hAnsi="Times New Roman" w:cs="Times New Roman"/>
          <w:sz w:val="24"/>
          <w:szCs w:val="24"/>
        </w:rPr>
        <w:t>šī</w:t>
      </w:r>
      <w:r w:rsidR="00F41135">
        <w:rPr>
          <w:rFonts w:ascii="Times New Roman" w:hAnsi="Times New Roman" w:cs="Times New Roman"/>
          <w:sz w:val="24"/>
          <w:szCs w:val="24"/>
        </w:rPr>
        <w:t xml:space="preserve"> </w:t>
      </w:r>
      <w:bookmarkStart w:id="2" w:name="_GoBack"/>
      <w:bookmarkEnd w:id="2"/>
      <w:r w:rsidR="004F4545" w:rsidRPr="00874075">
        <w:rPr>
          <w:rFonts w:ascii="Times New Roman" w:hAnsi="Times New Roman" w:cs="Times New Roman"/>
          <w:sz w:val="24"/>
          <w:szCs w:val="24"/>
        </w:rPr>
        <w:t xml:space="preserve">brīža situāciju ar </w:t>
      </w:r>
      <w:r w:rsidR="004F4545" w:rsidRPr="00874075">
        <w:rPr>
          <w:rFonts w:ascii="Times New Roman" w:hAnsi="Times New Roman"/>
          <w:sz w:val="24"/>
          <w:szCs w:val="24"/>
        </w:rPr>
        <w:t xml:space="preserve">situāciju ar dalībvalstu NEKP un </w:t>
      </w:r>
      <w:r>
        <w:rPr>
          <w:rFonts w:ascii="Times New Roman" w:hAnsi="Times New Roman"/>
          <w:sz w:val="24"/>
          <w:szCs w:val="24"/>
        </w:rPr>
        <w:t>atjaunoto EK darba plānu</w:t>
      </w:r>
      <w:r w:rsidR="00F65E06" w:rsidRPr="00874075">
        <w:rPr>
          <w:rFonts w:ascii="Times New Roman" w:hAnsi="Times New Roman" w:cs="Times New Roman"/>
          <w:sz w:val="24"/>
          <w:szCs w:val="24"/>
        </w:rPr>
        <w:t>.</w:t>
      </w:r>
    </w:p>
    <w:p w14:paraId="4A579366" w14:textId="47996C19" w:rsidR="00E62BB8" w:rsidRPr="00874075" w:rsidRDefault="00E62BB8" w:rsidP="008B5FB8">
      <w:pPr>
        <w:spacing w:after="0"/>
        <w:ind w:firstLine="720"/>
        <w:jc w:val="both"/>
        <w:rPr>
          <w:rFonts w:ascii="Times New Roman" w:hAnsi="Times New Roman" w:cs="Times New Roman"/>
          <w:sz w:val="24"/>
          <w:szCs w:val="24"/>
        </w:rPr>
      </w:pPr>
      <w:r w:rsidRPr="00874075">
        <w:rPr>
          <w:rFonts w:ascii="Times New Roman" w:hAnsi="Times New Roman" w:cs="Times New Roman"/>
          <w:sz w:val="24"/>
          <w:szCs w:val="24"/>
        </w:rPr>
        <w:t>Latvija ir iesniegusi EK savu NEKP 2020.gada februārī. Gaidām Komisijas vērtējumu par dalībvalstu NEKP un ES 2030.gada atjaunojamās enerģijas un energoefektivitātes mērķiem.</w:t>
      </w:r>
    </w:p>
    <w:p w14:paraId="5D0AA33E" w14:textId="728E18B4" w:rsidR="001D0E7C" w:rsidRPr="00EE18A4" w:rsidRDefault="001D0E7C" w:rsidP="00EE18A4">
      <w:pPr>
        <w:pStyle w:val="ListParagraph"/>
        <w:numPr>
          <w:ilvl w:val="0"/>
          <w:numId w:val="14"/>
        </w:numPr>
        <w:spacing w:before="240" w:after="60"/>
        <w:ind w:left="1281" w:hanging="357"/>
        <w:contextualSpacing w:val="0"/>
        <w:jc w:val="both"/>
        <w:rPr>
          <w:rFonts w:ascii="Times New Roman" w:hAnsi="Times New Roman"/>
          <w:i/>
          <w:iCs/>
          <w:sz w:val="24"/>
          <w:szCs w:val="24"/>
        </w:rPr>
      </w:pPr>
      <w:r w:rsidRPr="00EE18A4">
        <w:rPr>
          <w:rFonts w:ascii="Times New Roman" w:hAnsi="Times New Roman"/>
          <w:b/>
          <w:sz w:val="24"/>
          <w:szCs w:val="24"/>
        </w:rPr>
        <w:t xml:space="preserve">Ienākošā Vācijas prezidentūras plānotā darba programma </w:t>
      </w:r>
      <w:r w:rsidRPr="00EE18A4">
        <w:rPr>
          <w:rFonts w:ascii="Times New Roman" w:hAnsi="Times New Roman"/>
          <w:i/>
          <w:iCs/>
          <w:sz w:val="24"/>
          <w:szCs w:val="24"/>
        </w:rPr>
        <w:t>– Vācijas sniegta informācija</w:t>
      </w:r>
    </w:p>
    <w:p w14:paraId="4253D7C2" w14:textId="6639EEB9" w:rsidR="001D0E7C" w:rsidRPr="00EE18A4" w:rsidRDefault="001D0E7C" w:rsidP="00EE18A4">
      <w:pPr>
        <w:pStyle w:val="ListParagraph"/>
        <w:numPr>
          <w:ilvl w:val="0"/>
          <w:numId w:val="14"/>
        </w:numPr>
        <w:spacing w:before="240" w:after="120"/>
        <w:ind w:left="1281" w:hanging="357"/>
        <w:contextualSpacing w:val="0"/>
        <w:jc w:val="both"/>
        <w:rPr>
          <w:rFonts w:ascii="Times New Roman" w:hAnsi="Times New Roman"/>
          <w:i/>
          <w:sz w:val="24"/>
          <w:szCs w:val="24"/>
        </w:rPr>
      </w:pPr>
      <w:r w:rsidRPr="00EE18A4">
        <w:rPr>
          <w:rFonts w:ascii="Times New Roman" w:hAnsi="Times New Roman"/>
          <w:b/>
          <w:sz w:val="24"/>
          <w:szCs w:val="24"/>
        </w:rPr>
        <w:t xml:space="preserve">Baltkrievijas </w:t>
      </w:r>
      <w:proofErr w:type="spellStart"/>
      <w:r w:rsidRPr="00EE18A4">
        <w:rPr>
          <w:rFonts w:ascii="Times New Roman" w:hAnsi="Times New Roman"/>
          <w:b/>
          <w:sz w:val="24"/>
          <w:szCs w:val="24"/>
        </w:rPr>
        <w:t>Astravjecas</w:t>
      </w:r>
      <w:proofErr w:type="spellEnd"/>
      <w:r w:rsidRPr="00EE18A4">
        <w:rPr>
          <w:rFonts w:ascii="Times New Roman" w:hAnsi="Times New Roman"/>
          <w:b/>
          <w:sz w:val="24"/>
          <w:szCs w:val="24"/>
        </w:rPr>
        <w:t xml:space="preserve"> AES</w:t>
      </w:r>
      <w:r w:rsidR="00652DB4" w:rsidRPr="00EE18A4">
        <w:rPr>
          <w:rFonts w:ascii="Times New Roman" w:hAnsi="Times New Roman"/>
          <w:b/>
          <w:sz w:val="24"/>
          <w:szCs w:val="24"/>
        </w:rPr>
        <w:t xml:space="preserve"> </w:t>
      </w:r>
      <w:r w:rsidR="00652DB4" w:rsidRPr="00EE18A4">
        <w:rPr>
          <w:rFonts w:ascii="Times New Roman" w:hAnsi="Times New Roman"/>
          <w:sz w:val="24"/>
          <w:szCs w:val="24"/>
        </w:rPr>
        <w:t xml:space="preserve">– </w:t>
      </w:r>
      <w:r w:rsidR="00652DB4" w:rsidRPr="00EE18A4">
        <w:rPr>
          <w:rFonts w:ascii="Times New Roman" w:hAnsi="Times New Roman"/>
          <w:i/>
          <w:sz w:val="24"/>
          <w:szCs w:val="24"/>
        </w:rPr>
        <w:t xml:space="preserve">Lietuvas ierosināts jautājums </w:t>
      </w:r>
    </w:p>
    <w:p w14:paraId="59C6DA6A" w14:textId="77777777" w:rsidR="008B0DD0" w:rsidRPr="00422934" w:rsidRDefault="008B0DD0" w:rsidP="00422934">
      <w:pPr>
        <w:spacing w:after="120"/>
        <w:rPr>
          <w:rFonts w:ascii="Times New Roman" w:hAnsi="Times New Roman"/>
          <w:sz w:val="24"/>
          <w:szCs w:val="24"/>
        </w:rPr>
      </w:pPr>
    </w:p>
    <w:p w14:paraId="3CB5EBA6" w14:textId="77777777" w:rsidR="00CD202E" w:rsidRDefault="00CD202E" w:rsidP="00B731BA">
      <w:pPr>
        <w:pStyle w:val="ListParagraph"/>
        <w:spacing w:after="120"/>
        <w:ind w:left="360"/>
        <w:jc w:val="center"/>
        <w:rPr>
          <w:rFonts w:ascii="Times New Roman" w:hAnsi="Times New Roman"/>
          <w:b/>
          <w:sz w:val="24"/>
          <w:szCs w:val="24"/>
        </w:rPr>
      </w:pPr>
    </w:p>
    <w:p w14:paraId="2A1E22A9" w14:textId="77777777" w:rsidR="00B731BA" w:rsidRPr="006A3310" w:rsidRDefault="00B731BA" w:rsidP="00B731BA">
      <w:pPr>
        <w:pStyle w:val="ListParagraph"/>
        <w:spacing w:after="120"/>
        <w:ind w:left="360"/>
        <w:jc w:val="center"/>
        <w:rPr>
          <w:rFonts w:ascii="Times New Roman" w:hAnsi="Times New Roman"/>
          <w:b/>
          <w:sz w:val="24"/>
          <w:szCs w:val="24"/>
        </w:rPr>
      </w:pPr>
      <w:r w:rsidRPr="006A3310">
        <w:rPr>
          <w:rFonts w:ascii="Times New Roman" w:hAnsi="Times New Roman"/>
          <w:b/>
          <w:sz w:val="24"/>
          <w:szCs w:val="24"/>
        </w:rPr>
        <w:t>II. Latvijas delegācija</w:t>
      </w:r>
    </w:p>
    <w:p w14:paraId="612481B0" w14:textId="4520FC68" w:rsidR="0094083F" w:rsidRDefault="0094083F" w:rsidP="0094083F">
      <w:pPr>
        <w:tabs>
          <w:tab w:val="left" w:pos="1985"/>
          <w:tab w:val="left" w:pos="2880"/>
        </w:tabs>
        <w:spacing w:after="120"/>
        <w:ind w:left="2880" w:hanging="2880"/>
        <w:jc w:val="both"/>
        <w:rPr>
          <w:rFonts w:ascii="Times New Roman" w:hAnsi="Times New Roman" w:cs="Times New Roman"/>
          <w:sz w:val="24"/>
          <w:szCs w:val="24"/>
        </w:rPr>
      </w:pPr>
      <w:r>
        <w:rPr>
          <w:rFonts w:ascii="Times New Roman" w:hAnsi="Times New Roman"/>
          <w:sz w:val="24"/>
          <w:szCs w:val="24"/>
        </w:rPr>
        <w:t xml:space="preserve">Delegācijas vadītājs: </w:t>
      </w:r>
      <w:r>
        <w:rPr>
          <w:rFonts w:ascii="Times New Roman" w:hAnsi="Times New Roman"/>
          <w:sz w:val="24"/>
          <w:szCs w:val="24"/>
        </w:rPr>
        <w:tab/>
      </w:r>
      <w:r>
        <w:rPr>
          <w:rFonts w:ascii="Times New Roman" w:hAnsi="Times New Roman" w:cs="Times New Roman"/>
          <w:b/>
          <w:sz w:val="24"/>
          <w:szCs w:val="24"/>
        </w:rPr>
        <w:t>Jurģis Miezainis</w:t>
      </w:r>
      <w:r w:rsidRPr="00595686">
        <w:rPr>
          <w:rFonts w:ascii="Times New Roman" w:hAnsi="Times New Roman" w:cs="Times New Roman"/>
          <w:b/>
          <w:sz w:val="24"/>
          <w:szCs w:val="24"/>
        </w:rPr>
        <w:t xml:space="preserve">, </w:t>
      </w:r>
      <w:r>
        <w:rPr>
          <w:rFonts w:ascii="Times New Roman" w:hAnsi="Times New Roman" w:cs="Times New Roman"/>
          <w:sz w:val="24"/>
          <w:szCs w:val="24"/>
        </w:rPr>
        <w:t xml:space="preserve">Ekonomikas ministrijas </w:t>
      </w:r>
      <w:r w:rsidRPr="00614517">
        <w:rPr>
          <w:rFonts w:ascii="Times New Roman" w:hAnsi="Times New Roman" w:cs="Times New Roman"/>
          <w:sz w:val="24"/>
          <w:szCs w:val="24"/>
        </w:rPr>
        <w:t>Parlamentārais sekretārs</w:t>
      </w:r>
    </w:p>
    <w:p w14:paraId="1D800314" w14:textId="77777777" w:rsidR="000F3E59" w:rsidRPr="0052183D" w:rsidRDefault="000F3E59" w:rsidP="0094083F">
      <w:pPr>
        <w:tabs>
          <w:tab w:val="left" w:pos="1985"/>
          <w:tab w:val="left" w:pos="2880"/>
        </w:tabs>
        <w:spacing w:after="120"/>
        <w:ind w:left="2880" w:hanging="2880"/>
        <w:jc w:val="both"/>
        <w:rPr>
          <w:rFonts w:ascii="Times New Roman" w:hAnsi="Times New Roman"/>
          <w:sz w:val="24"/>
          <w:szCs w:val="24"/>
        </w:rPr>
      </w:pPr>
    </w:p>
    <w:p w14:paraId="5C919960" w14:textId="77777777" w:rsidR="00B731BA" w:rsidRPr="006A3310" w:rsidRDefault="00B731BA" w:rsidP="00B731BA">
      <w:pPr>
        <w:spacing w:after="120"/>
        <w:jc w:val="both"/>
        <w:rPr>
          <w:rFonts w:ascii="Times New Roman" w:hAnsi="Times New Roman"/>
          <w:b/>
          <w:sz w:val="24"/>
          <w:szCs w:val="24"/>
        </w:rPr>
      </w:pPr>
    </w:p>
    <w:p w14:paraId="58B5E079" w14:textId="77777777" w:rsidR="00B731BA" w:rsidRPr="006A3310" w:rsidRDefault="004F4545" w:rsidP="004F4545">
      <w:pPr>
        <w:tabs>
          <w:tab w:val="right" w:pos="9071"/>
        </w:tabs>
        <w:spacing w:after="120"/>
        <w:jc w:val="both"/>
        <w:rPr>
          <w:rFonts w:ascii="Times New Roman" w:hAnsi="Times New Roman"/>
          <w:sz w:val="24"/>
          <w:szCs w:val="24"/>
        </w:rPr>
      </w:pPr>
      <w:r>
        <w:rPr>
          <w:rFonts w:ascii="Times New Roman" w:hAnsi="Times New Roman"/>
          <w:sz w:val="24"/>
          <w:szCs w:val="24"/>
        </w:rPr>
        <w:t>E</w:t>
      </w:r>
      <w:r w:rsidR="00B731BA">
        <w:rPr>
          <w:rFonts w:ascii="Times New Roman" w:hAnsi="Times New Roman"/>
          <w:sz w:val="24"/>
          <w:szCs w:val="24"/>
        </w:rPr>
        <w:t>konomikas ministrs</w:t>
      </w:r>
      <w:r w:rsidR="00B731BA" w:rsidRPr="006A3310">
        <w:rPr>
          <w:rFonts w:ascii="Times New Roman" w:hAnsi="Times New Roman"/>
          <w:sz w:val="24"/>
          <w:szCs w:val="24"/>
        </w:rPr>
        <w:t xml:space="preserve"> </w:t>
      </w:r>
      <w:r w:rsidR="00B731BA" w:rsidRPr="006A3310">
        <w:rPr>
          <w:rFonts w:ascii="Times New Roman" w:hAnsi="Times New Roman"/>
          <w:sz w:val="24"/>
          <w:szCs w:val="24"/>
        </w:rPr>
        <w:tab/>
      </w:r>
      <w:proofErr w:type="spellStart"/>
      <w:r>
        <w:rPr>
          <w:rFonts w:ascii="Times New Roman" w:hAnsi="Times New Roman"/>
          <w:sz w:val="24"/>
          <w:szCs w:val="24"/>
        </w:rPr>
        <w:t>J.Vitenbergs</w:t>
      </w:r>
      <w:proofErr w:type="spellEnd"/>
    </w:p>
    <w:p w14:paraId="547171AD" w14:textId="77777777" w:rsidR="00B731BA" w:rsidRPr="006A3310" w:rsidRDefault="00B731BA" w:rsidP="00B731BA">
      <w:pPr>
        <w:tabs>
          <w:tab w:val="right" w:pos="9497"/>
        </w:tabs>
        <w:spacing w:after="120"/>
        <w:ind w:firstLine="737"/>
        <w:jc w:val="both"/>
        <w:rPr>
          <w:rFonts w:ascii="Times New Roman" w:hAnsi="Times New Roman"/>
          <w:sz w:val="24"/>
          <w:szCs w:val="24"/>
        </w:rPr>
      </w:pPr>
    </w:p>
    <w:p w14:paraId="1F22CD05" w14:textId="00BDC16D" w:rsidR="00B731BA" w:rsidRPr="006A3310" w:rsidRDefault="00B731BA" w:rsidP="004F4545">
      <w:pPr>
        <w:tabs>
          <w:tab w:val="right" w:pos="9071"/>
        </w:tabs>
        <w:spacing w:after="120"/>
        <w:jc w:val="both"/>
        <w:rPr>
          <w:rFonts w:ascii="Times New Roman" w:hAnsi="Times New Roman"/>
          <w:sz w:val="24"/>
          <w:szCs w:val="24"/>
        </w:rPr>
      </w:pPr>
      <w:r w:rsidRPr="006A3310">
        <w:rPr>
          <w:rFonts w:ascii="Times New Roman" w:hAnsi="Times New Roman"/>
          <w:sz w:val="24"/>
          <w:szCs w:val="24"/>
        </w:rPr>
        <w:t>Valsts sekretār</w:t>
      </w:r>
      <w:r w:rsidR="006F198B">
        <w:rPr>
          <w:rFonts w:ascii="Times New Roman" w:hAnsi="Times New Roman"/>
          <w:sz w:val="24"/>
          <w:szCs w:val="24"/>
        </w:rPr>
        <w:t>s</w:t>
      </w:r>
      <w:r w:rsidRPr="006A3310">
        <w:rPr>
          <w:rFonts w:ascii="Times New Roman" w:hAnsi="Times New Roman"/>
          <w:sz w:val="24"/>
          <w:szCs w:val="24"/>
        </w:rPr>
        <w:tab/>
      </w:r>
      <w:proofErr w:type="spellStart"/>
      <w:r w:rsidR="004F4545">
        <w:rPr>
          <w:rFonts w:ascii="Times New Roman" w:hAnsi="Times New Roman"/>
          <w:sz w:val="24"/>
          <w:szCs w:val="24"/>
        </w:rPr>
        <w:t>E.Valantis</w:t>
      </w:r>
      <w:proofErr w:type="spellEnd"/>
    </w:p>
    <w:p w14:paraId="1520041F" w14:textId="07179B9E" w:rsidR="00B731BA" w:rsidRDefault="00B731BA" w:rsidP="00B731BA">
      <w:pPr>
        <w:pStyle w:val="Header"/>
        <w:rPr>
          <w:rFonts w:ascii="Times New Roman" w:hAnsi="Times New Roman"/>
          <w:sz w:val="24"/>
          <w:szCs w:val="24"/>
        </w:rPr>
      </w:pPr>
    </w:p>
    <w:p w14:paraId="2FB9C3F5" w14:textId="1EBA524F" w:rsidR="00E05D4D" w:rsidRDefault="00E05D4D" w:rsidP="00B731BA">
      <w:pPr>
        <w:pStyle w:val="Header"/>
        <w:rPr>
          <w:rFonts w:ascii="Times New Roman" w:hAnsi="Times New Roman"/>
          <w:sz w:val="24"/>
          <w:szCs w:val="24"/>
        </w:rPr>
      </w:pPr>
    </w:p>
    <w:p w14:paraId="6CF45E83" w14:textId="425B69A5" w:rsidR="00E05D4D" w:rsidRDefault="00E05D4D" w:rsidP="00B731BA">
      <w:pPr>
        <w:pStyle w:val="Header"/>
        <w:rPr>
          <w:rFonts w:ascii="Times New Roman" w:hAnsi="Times New Roman"/>
          <w:sz w:val="24"/>
          <w:szCs w:val="24"/>
        </w:rPr>
      </w:pPr>
    </w:p>
    <w:p w14:paraId="01129F7C" w14:textId="0A4F7DC4" w:rsidR="00BC6C31" w:rsidRDefault="00BC6C31" w:rsidP="00B731BA">
      <w:pPr>
        <w:pStyle w:val="Header"/>
        <w:rPr>
          <w:rFonts w:ascii="Times New Roman" w:hAnsi="Times New Roman"/>
          <w:sz w:val="24"/>
          <w:szCs w:val="24"/>
        </w:rPr>
      </w:pPr>
    </w:p>
    <w:p w14:paraId="26986CC5" w14:textId="77777777" w:rsidR="00BC6C31" w:rsidRPr="00BC6C31" w:rsidRDefault="00BC6C31" w:rsidP="00B731BA">
      <w:pPr>
        <w:pStyle w:val="Header"/>
        <w:rPr>
          <w:rFonts w:ascii="Times New Roman" w:hAnsi="Times New Roman" w:cs="Times New Roman"/>
          <w:sz w:val="18"/>
          <w:szCs w:val="18"/>
        </w:rPr>
      </w:pPr>
    </w:p>
    <w:p w14:paraId="084AE1CC" w14:textId="2E3D4BBF" w:rsidR="00B731BA" w:rsidRPr="00BC6C31" w:rsidRDefault="001D0E7C" w:rsidP="00B731BA">
      <w:pPr>
        <w:pStyle w:val="Header"/>
        <w:rPr>
          <w:rFonts w:ascii="Times New Roman" w:hAnsi="Times New Roman" w:cs="Times New Roman"/>
          <w:sz w:val="18"/>
          <w:szCs w:val="18"/>
        </w:rPr>
      </w:pPr>
      <w:r w:rsidRPr="00BC6C31">
        <w:rPr>
          <w:rFonts w:ascii="Times New Roman" w:hAnsi="Times New Roman" w:cs="Times New Roman"/>
          <w:sz w:val="18"/>
          <w:szCs w:val="18"/>
        </w:rPr>
        <w:t>0</w:t>
      </w:r>
      <w:r w:rsidR="00AD02F1">
        <w:rPr>
          <w:rFonts w:ascii="Times New Roman" w:hAnsi="Times New Roman" w:cs="Times New Roman"/>
          <w:sz w:val="18"/>
          <w:szCs w:val="18"/>
        </w:rPr>
        <w:t>8</w:t>
      </w:r>
      <w:r w:rsidRPr="00BC6C31">
        <w:rPr>
          <w:rFonts w:ascii="Times New Roman" w:hAnsi="Times New Roman" w:cs="Times New Roman"/>
          <w:sz w:val="18"/>
          <w:szCs w:val="18"/>
        </w:rPr>
        <w:t>.06</w:t>
      </w:r>
      <w:r w:rsidR="004F4545" w:rsidRPr="00BC6C31">
        <w:rPr>
          <w:rFonts w:ascii="Times New Roman" w:hAnsi="Times New Roman" w:cs="Times New Roman"/>
          <w:sz w:val="18"/>
          <w:szCs w:val="18"/>
        </w:rPr>
        <w:t>.2019</w:t>
      </w:r>
      <w:r w:rsidR="00B731BA" w:rsidRPr="00BC6C31">
        <w:rPr>
          <w:rFonts w:ascii="Times New Roman" w:hAnsi="Times New Roman" w:cs="Times New Roman"/>
          <w:sz w:val="18"/>
          <w:szCs w:val="18"/>
        </w:rPr>
        <w:t>.</w:t>
      </w:r>
    </w:p>
    <w:p w14:paraId="3BC4FBFE" w14:textId="769787AF" w:rsidR="00B731BA" w:rsidRPr="00BC6C31" w:rsidRDefault="00AD02F1" w:rsidP="00B731BA">
      <w:pPr>
        <w:pStyle w:val="Header"/>
        <w:rPr>
          <w:rFonts w:ascii="Times New Roman" w:hAnsi="Times New Roman" w:cs="Times New Roman"/>
          <w:sz w:val="18"/>
          <w:szCs w:val="18"/>
        </w:rPr>
      </w:pPr>
      <w:r>
        <w:rPr>
          <w:rFonts w:ascii="Times New Roman" w:hAnsi="Times New Roman" w:cs="Times New Roman"/>
          <w:sz w:val="18"/>
          <w:szCs w:val="18"/>
        </w:rPr>
        <w:t>1461</w:t>
      </w:r>
    </w:p>
    <w:p w14:paraId="0F04118C" w14:textId="77777777" w:rsidR="00B731BA" w:rsidRPr="00BC6C31" w:rsidRDefault="00B731BA" w:rsidP="00B731BA">
      <w:pPr>
        <w:pStyle w:val="Header"/>
        <w:rPr>
          <w:rFonts w:ascii="Times New Roman" w:hAnsi="Times New Roman" w:cs="Times New Roman"/>
          <w:sz w:val="18"/>
          <w:szCs w:val="18"/>
        </w:rPr>
      </w:pPr>
      <w:proofErr w:type="spellStart"/>
      <w:r w:rsidRPr="00BC6C31">
        <w:rPr>
          <w:rFonts w:ascii="Times New Roman" w:hAnsi="Times New Roman" w:cs="Times New Roman"/>
          <w:sz w:val="18"/>
          <w:szCs w:val="18"/>
        </w:rPr>
        <w:t>I.</w:t>
      </w:r>
      <w:r w:rsidR="004F4545" w:rsidRPr="00BC6C31">
        <w:rPr>
          <w:rFonts w:ascii="Times New Roman" w:hAnsi="Times New Roman" w:cs="Times New Roman"/>
          <w:sz w:val="18"/>
          <w:szCs w:val="18"/>
        </w:rPr>
        <w:t>Iļjina</w:t>
      </w:r>
      <w:proofErr w:type="spellEnd"/>
    </w:p>
    <w:p w14:paraId="2A21EC45" w14:textId="77777777" w:rsidR="00887777" w:rsidRPr="00BC6C31" w:rsidRDefault="004F4545" w:rsidP="008B0DD0">
      <w:pPr>
        <w:pStyle w:val="Header"/>
        <w:rPr>
          <w:rFonts w:ascii="Times New Roman" w:hAnsi="Times New Roman" w:cs="Times New Roman"/>
          <w:sz w:val="18"/>
          <w:szCs w:val="18"/>
        </w:rPr>
      </w:pPr>
      <w:r w:rsidRPr="00BC6C31">
        <w:rPr>
          <w:rFonts w:ascii="Times New Roman" w:hAnsi="Times New Roman" w:cs="Times New Roman"/>
          <w:sz w:val="18"/>
          <w:szCs w:val="18"/>
        </w:rPr>
        <w:t>003222383157</w:t>
      </w:r>
      <w:r w:rsidR="00B731BA" w:rsidRPr="00BC6C31">
        <w:rPr>
          <w:rFonts w:ascii="Times New Roman" w:hAnsi="Times New Roman" w:cs="Times New Roman"/>
          <w:sz w:val="18"/>
          <w:szCs w:val="18"/>
        </w:rPr>
        <w:t xml:space="preserve">, </w:t>
      </w:r>
      <w:hyperlink r:id="rId11" w:history="1">
        <w:r w:rsidRPr="00BC6C31">
          <w:rPr>
            <w:rStyle w:val="Hyperlink"/>
            <w:rFonts w:ascii="Times New Roman" w:hAnsi="Times New Roman" w:cs="Times New Roman"/>
            <w:sz w:val="18"/>
            <w:szCs w:val="18"/>
          </w:rPr>
          <w:t>Inga.Iljina@mfa.gov.lv</w:t>
        </w:r>
      </w:hyperlink>
      <w:r w:rsidRPr="00BC6C31">
        <w:rPr>
          <w:rFonts w:ascii="Times New Roman" w:hAnsi="Times New Roman" w:cs="Times New Roman"/>
          <w:sz w:val="18"/>
          <w:szCs w:val="18"/>
        </w:rPr>
        <w:t xml:space="preserve"> </w:t>
      </w:r>
    </w:p>
    <w:sectPr w:rsidR="00887777" w:rsidRPr="00BC6C31" w:rsidSect="008B5FB8">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AFAE1" w14:textId="77777777" w:rsidR="00B23D70" w:rsidRDefault="00B23D70" w:rsidP="0047229E">
      <w:pPr>
        <w:spacing w:after="0" w:line="240" w:lineRule="auto"/>
      </w:pPr>
      <w:r>
        <w:separator/>
      </w:r>
    </w:p>
  </w:endnote>
  <w:endnote w:type="continuationSeparator" w:id="0">
    <w:p w14:paraId="0172ED21" w14:textId="77777777" w:rsidR="00B23D70" w:rsidRDefault="00B23D70" w:rsidP="0047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DAD0F" w14:textId="77777777" w:rsidR="00B23D70" w:rsidRDefault="00B23D70" w:rsidP="0047229E">
      <w:pPr>
        <w:spacing w:after="0" w:line="240" w:lineRule="auto"/>
      </w:pPr>
      <w:r>
        <w:separator/>
      </w:r>
    </w:p>
  </w:footnote>
  <w:footnote w:type="continuationSeparator" w:id="0">
    <w:p w14:paraId="11635A51" w14:textId="77777777" w:rsidR="00B23D70" w:rsidRDefault="00B23D70" w:rsidP="0047229E">
      <w:pPr>
        <w:spacing w:after="0" w:line="240" w:lineRule="auto"/>
      </w:pPr>
      <w:r>
        <w:continuationSeparator/>
      </w:r>
    </w:p>
  </w:footnote>
  <w:footnote w:id="1">
    <w:p w14:paraId="3AA522A7" w14:textId="77777777" w:rsidR="00B34EE5" w:rsidRPr="00916ED6" w:rsidRDefault="00B34EE5" w:rsidP="00B34EE5">
      <w:pPr>
        <w:pStyle w:val="FootnoteText"/>
        <w:rPr>
          <w:lang w:val="lv-LV"/>
        </w:rPr>
      </w:pPr>
      <w:r>
        <w:rPr>
          <w:rStyle w:val="FootnoteReference"/>
        </w:rPr>
        <w:footnoteRef/>
      </w:r>
      <w:r>
        <w:t xml:space="preserve"> </w:t>
      </w:r>
      <w:proofErr w:type="spellStart"/>
      <w:r>
        <w:t>Ja</w:t>
      </w:r>
      <w:proofErr w:type="spellEnd"/>
      <w:r>
        <w:t xml:space="preserve"> nav </w:t>
      </w:r>
      <w:proofErr w:type="spellStart"/>
      <w:r>
        <w:t>norādītas</w:t>
      </w:r>
      <w:proofErr w:type="spellEnd"/>
      <w:r>
        <w:t xml:space="preserve"> </w:t>
      </w:r>
      <w:proofErr w:type="spellStart"/>
      <w:r>
        <w:t>citādi</w:t>
      </w:r>
      <w:proofErr w:type="spellEnd"/>
      <w:r>
        <w:t>, v</w:t>
      </w:r>
      <w:proofErr w:type="spellStart"/>
      <w:r>
        <w:rPr>
          <w:lang w:val="lv-LV"/>
        </w:rPr>
        <w:t>isas</w:t>
      </w:r>
      <w:proofErr w:type="spellEnd"/>
      <w:r>
        <w:rPr>
          <w:lang w:val="lv-LV"/>
        </w:rPr>
        <w:t xml:space="preserve"> summas ir izteiktas 2018.gada cenās.</w:t>
      </w:r>
    </w:p>
  </w:footnote>
  <w:footnote w:id="2">
    <w:p w14:paraId="6C2F2F57" w14:textId="77777777" w:rsidR="00B34EE5" w:rsidRPr="009F7875" w:rsidRDefault="00B34EE5" w:rsidP="00B34EE5">
      <w:pPr>
        <w:pStyle w:val="FootnoteText"/>
        <w:jc w:val="both"/>
        <w:rPr>
          <w:lang w:val="lv-LV"/>
        </w:rPr>
      </w:pPr>
      <w:r>
        <w:rPr>
          <w:rStyle w:val="FootnoteReference"/>
        </w:rPr>
        <w:footnoteRef/>
      </w:r>
      <w:r w:rsidRPr="009F7875">
        <w:rPr>
          <w:lang w:val="lv-LV"/>
        </w:rPr>
        <w:t xml:space="preserve"> </w:t>
      </w:r>
      <w:r>
        <w:rPr>
          <w:lang w:val="lv-LV"/>
        </w:rPr>
        <w:t xml:space="preserve">Kopā ar ES daudzgadu budžeta piedāvāto finansējumu Taisnīgās pārkārtošanas fonda kopapjoms veidos 40 mljrd. EUR.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2424"/>
      <w:docPartObj>
        <w:docPartGallery w:val="Page Numbers (Top of Page)"/>
        <w:docPartUnique/>
      </w:docPartObj>
    </w:sdtPr>
    <w:sdtEndPr>
      <w:rPr>
        <w:noProof/>
      </w:rPr>
    </w:sdtEndPr>
    <w:sdtContent>
      <w:p w14:paraId="1135A137" w14:textId="667E3A44" w:rsidR="007026D0" w:rsidRDefault="007026D0">
        <w:pPr>
          <w:pStyle w:val="Header"/>
          <w:jc w:val="center"/>
        </w:pPr>
        <w:r>
          <w:fldChar w:fldCharType="begin"/>
        </w:r>
        <w:r>
          <w:instrText xml:space="preserve"> PAGE   \* MERGEFORMAT </w:instrText>
        </w:r>
        <w:r>
          <w:fldChar w:fldCharType="separate"/>
        </w:r>
        <w:r w:rsidR="00AD02F1">
          <w:rPr>
            <w:noProof/>
          </w:rPr>
          <w:t>4</w:t>
        </w:r>
        <w:r>
          <w:rPr>
            <w:noProof/>
          </w:rPr>
          <w:fldChar w:fldCharType="end"/>
        </w:r>
      </w:p>
    </w:sdtContent>
  </w:sdt>
  <w:p w14:paraId="51766D42" w14:textId="77777777" w:rsidR="007026D0" w:rsidRDefault="00702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171"/>
    <w:multiLevelType w:val="hybridMultilevel"/>
    <w:tmpl w:val="DB6A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0443"/>
    <w:multiLevelType w:val="hybridMultilevel"/>
    <w:tmpl w:val="28E2B544"/>
    <w:lvl w:ilvl="0" w:tplc="D71E3D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C55141"/>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756073"/>
    <w:multiLevelType w:val="hybridMultilevel"/>
    <w:tmpl w:val="C6B46C48"/>
    <w:lvl w:ilvl="0" w:tplc="A532FD2C">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649231A"/>
    <w:multiLevelType w:val="hybridMultilevel"/>
    <w:tmpl w:val="649E5F4E"/>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17B95593"/>
    <w:multiLevelType w:val="hybridMultilevel"/>
    <w:tmpl w:val="83AAA8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7AE6C37"/>
    <w:multiLevelType w:val="hybridMultilevel"/>
    <w:tmpl w:val="7A14ABF8"/>
    <w:lvl w:ilvl="0" w:tplc="04260001">
      <w:start w:val="1"/>
      <w:numFmt w:val="bullet"/>
      <w:lvlText w:val=""/>
      <w:lvlJc w:val="left"/>
      <w:pPr>
        <w:ind w:left="4330" w:hanging="360"/>
      </w:pPr>
      <w:rPr>
        <w:rFonts w:ascii="Symbol" w:hAnsi="Symbol" w:hint="default"/>
      </w:rPr>
    </w:lvl>
    <w:lvl w:ilvl="1" w:tplc="04260003" w:tentative="1">
      <w:start w:val="1"/>
      <w:numFmt w:val="bullet"/>
      <w:lvlText w:val="o"/>
      <w:lvlJc w:val="left"/>
      <w:pPr>
        <w:ind w:left="5050" w:hanging="360"/>
      </w:pPr>
      <w:rPr>
        <w:rFonts w:ascii="Courier New" w:hAnsi="Courier New" w:cs="Courier New" w:hint="default"/>
      </w:rPr>
    </w:lvl>
    <w:lvl w:ilvl="2" w:tplc="04260005" w:tentative="1">
      <w:start w:val="1"/>
      <w:numFmt w:val="bullet"/>
      <w:lvlText w:val=""/>
      <w:lvlJc w:val="left"/>
      <w:pPr>
        <w:ind w:left="5770" w:hanging="360"/>
      </w:pPr>
      <w:rPr>
        <w:rFonts w:ascii="Wingdings" w:hAnsi="Wingdings" w:hint="default"/>
      </w:rPr>
    </w:lvl>
    <w:lvl w:ilvl="3" w:tplc="04260001" w:tentative="1">
      <w:start w:val="1"/>
      <w:numFmt w:val="bullet"/>
      <w:lvlText w:val=""/>
      <w:lvlJc w:val="left"/>
      <w:pPr>
        <w:ind w:left="6490" w:hanging="360"/>
      </w:pPr>
      <w:rPr>
        <w:rFonts w:ascii="Symbol" w:hAnsi="Symbol" w:hint="default"/>
      </w:rPr>
    </w:lvl>
    <w:lvl w:ilvl="4" w:tplc="04260003" w:tentative="1">
      <w:start w:val="1"/>
      <w:numFmt w:val="bullet"/>
      <w:lvlText w:val="o"/>
      <w:lvlJc w:val="left"/>
      <w:pPr>
        <w:ind w:left="7210" w:hanging="360"/>
      </w:pPr>
      <w:rPr>
        <w:rFonts w:ascii="Courier New" w:hAnsi="Courier New" w:cs="Courier New" w:hint="default"/>
      </w:rPr>
    </w:lvl>
    <w:lvl w:ilvl="5" w:tplc="04260005" w:tentative="1">
      <w:start w:val="1"/>
      <w:numFmt w:val="bullet"/>
      <w:lvlText w:val=""/>
      <w:lvlJc w:val="left"/>
      <w:pPr>
        <w:ind w:left="7930" w:hanging="360"/>
      </w:pPr>
      <w:rPr>
        <w:rFonts w:ascii="Wingdings" w:hAnsi="Wingdings" w:hint="default"/>
      </w:rPr>
    </w:lvl>
    <w:lvl w:ilvl="6" w:tplc="04260001" w:tentative="1">
      <w:start w:val="1"/>
      <w:numFmt w:val="bullet"/>
      <w:lvlText w:val=""/>
      <w:lvlJc w:val="left"/>
      <w:pPr>
        <w:ind w:left="8650" w:hanging="360"/>
      </w:pPr>
      <w:rPr>
        <w:rFonts w:ascii="Symbol" w:hAnsi="Symbol" w:hint="default"/>
      </w:rPr>
    </w:lvl>
    <w:lvl w:ilvl="7" w:tplc="04260003" w:tentative="1">
      <w:start w:val="1"/>
      <w:numFmt w:val="bullet"/>
      <w:lvlText w:val="o"/>
      <w:lvlJc w:val="left"/>
      <w:pPr>
        <w:ind w:left="9370" w:hanging="360"/>
      </w:pPr>
      <w:rPr>
        <w:rFonts w:ascii="Courier New" w:hAnsi="Courier New" w:cs="Courier New" w:hint="default"/>
      </w:rPr>
    </w:lvl>
    <w:lvl w:ilvl="8" w:tplc="04260005" w:tentative="1">
      <w:start w:val="1"/>
      <w:numFmt w:val="bullet"/>
      <w:lvlText w:val=""/>
      <w:lvlJc w:val="left"/>
      <w:pPr>
        <w:ind w:left="10090" w:hanging="360"/>
      </w:pPr>
      <w:rPr>
        <w:rFonts w:ascii="Wingdings" w:hAnsi="Wingdings" w:hint="default"/>
      </w:rPr>
    </w:lvl>
  </w:abstractNum>
  <w:abstractNum w:abstractNumId="7" w15:restartNumberingAfterBreak="0">
    <w:nsid w:val="2B1205F0"/>
    <w:multiLevelType w:val="hybridMultilevel"/>
    <w:tmpl w:val="E702C5D8"/>
    <w:lvl w:ilvl="0" w:tplc="A532FD2C">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CE33E7B"/>
    <w:multiLevelType w:val="hybridMultilevel"/>
    <w:tmpl w:val="3D24E688"/>
    <w:lvl w:ilvl="0" w:tplc="A532FD2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0847DBC"/>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BD358E"/>
    <w:multiLevelType w:val="hybridMultilevel"/>
    <w:tmpl w:val="6B309C2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1" w15:restartNumberingAfterBreak="0">
    <w:nsid w:val="60F30989"/>
    <w:multiLevelType w:val="hybridMultilevel"/>
    <w:tmpl w:val="DEA4FC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3B6F9F"/>
    <w:multiLevelType w:val="hybridMultilevel"/>
    <w:tmpl w:val="30663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9A1573"/>
    <w:multiLevelType w:val="hybridMultilevel"/>
    <w:tmpl w:val="3042A57A"/>
    <w:lvl w:ilvl="0" w:tplc="AFA6E134">
      <w:start w:val="1"/>
      <w:numFmt w:val="lowerRoman"/>
      <w:lvlText w:val="%1)"/>
      <w:lvlJc w:val="left"/>
      <w:pPr>
        <w:ind w:left="1440" w:hanging="72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2"/>
  </w:num>
  <w:num w:numId="3">
    <w:abstractNumId w:val="13"/>
  </w:num>
  <w:num w:numId="4">
    <w:abstractNumId w:val="1"/>
  </w:num>
  <w:num w:numId="5">
    <w:abstractNumId w:val="9"/>
  </w:num>
  <w:num w:numId="6">
    <w:abstractNumId w:val="2"/>
  </w:num>
  <w:num w:numId="7">
    <w:abstractNumId w:val="6"/>
  </w:num>
  <w:num w:numId="8">
    <w:abstractNumId w:val="5"/>
  </w:num>
  <w:num w:numId="9">
    <w:abstractNumId w:val="8"/>
  </w:num>
  <w:num w:numId="10">
    <w:abstractNumId w:val="3"/>
  </w:num>
  <w:num w:numId="11">
    <w:abstractNumId w:val="7"/>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26"/>
    <w:rsid w:val="00010F8E"/>
    <w:rsid w:val="00011416"/>
    <w:rsid w:val="00016FD3"/>
    <w:rsid w:val="000529D1"/>
    <w:rsid w:val="0006712E"/>
    <w:rsid w:val="000709CA"/>
    <w:rsid w:val="00071480"/>
    <w:rsid w:val="000816B2"/>
    <w:rsid w:val="00086809"/>
    <w:rsid w:val="00096CE0"/>
    <w:rsid w:val="000A5A50"/>
    <w:rsid w:val="000B3C4F"/>
    <w:rsid w:val="000C52C4"/>
    <w:rsid w:val="000C598F"/>
    <w:rsid w:val="000F3010"/>
    <w:rsid w:val="000F3E59"/>
    <w:rsid w:val="0011318F"/>
    <w:rsid w:val="00120CD2"/>
    <w:rsid w:val="001252FC"/>
    <w:rsid w:val="00136906"/>
    <w:rsid w:val="00140B83"/>
    <w:rsid w:val="00150E68"/>
    <w:rsid w:val="00180726"/>
    <w:rsid w:val="001822EB"/>
    <w:rsid w:val="001B5526"/>
    <w:rsid w:val="001C5757"/>
    <w:rsid w:val="001D0E7C"/>
    <w:rsid w:val="00201A75"/>
    <w:rsid w:val="00214F90"/>
    <w:rsid w:val="002151C4"/>
    <w:rsid w:val="00217869"/>
    <w:rsid w:val="002312B7"/>
    <w:rsid w:val="00243697"/>
    <w:rsid w:val="00251BAE"/>
    <w:rsid w:val="0025245B"/>
    <w:rsid w:val="002661FC"/>
    <w:rsid w:val="002665FC"/>
    <w:rsid w:val="002822A2"/>
    <w:rsid w:val="0028246A"/>
    <w:rsid w:val="00286944"/>
    <w:rsid w:val="002B4E1B"/>
    <w:rsid w:val="002C39EC"/>
    <w:rsid w:val="002E2813"/>
    <w:rsid w:val="002E41E8"/>
    <w:rsid w:val="002E620F"/>
    <w:rsid w:val="00300309"/>
    <w:rsid w:val="00307CA2"/>
    <w:rsid w:val="00322429"/>
    <w:rsid w:val="003267DE"/>
    <w:rsid w:val="0033070D"/>
    <w:rsid w:val="00333AD8"/>
    <w:rsid w:val="003443DC"/>
    <w:rsid w:val="0036102F"/>
    <w:rsid w:val="0036506E"/>
    <w:rsid w:val="003B51C4"/>
    <w:rsid w:val="003C039E"/>
    <w:rsid w:val="003D0EBE"/>
    <w:rsid w:val="003D3991"/>
    <w:rsid w:val="003E6BC0"/>
    <w:rsid w:val="0040236E"/>
    <w:rsid w:val="00406834"/>
    <w:rsid w:val="004145EF"/>
    <w:rsid w:val="00422934"/>
    <w:rsid w:val="00441663"/>
    <w:rsid w:val="00445298"/>
    <w:rsid w:val="00454A9F"/>
    <w:rsid w:val="0046233C"/>
    <w:rsid w:val="00464248"/>
    <w:rsid w:val="0047229E"/>
    <w:rsid w:val="00473E6B"/>
    <w:rsid w:val="00474BC9"/>
    <w:rsid w:val="004952B9"/>
    <w:rsid w:val="004B16C4"/>
    <w:rsid w:val="004C1998"/>
    <w:rsid w:val="004D0BD6"/>
    <w:rsid w:val="004D65CB"/>
    <w:rsid w:val="004F4545"/>
    <w:rsid w:val="005038CF"/>
    <w:rsid w:val="00505CD3"/>
    <w:rsid w:val="005072FC"/>
    <w:rsid w:val="00533BD6"/>
    <w:rsid w:val="005418AB"/>
    <w:rsid w:val="00541EB5"/>
    <w:rsid w:val="00543D15"/>
    <w:rsid w:val="00553583"/>
    <w:rsid w:val="00561DCE"/>
    <w:rsid w:val="005733BF"/>
    <w:rsid w:val="005824F9"/>
    <w:rsid w:val="00583F81"/>
    <w:rsid w:val="00594A23"/>
    <w:rsid w:val="005A4578"/>
    <w:rsid w:val="005C096D"/>
    <w:rsid w:val="005E2903"/>
    <w:rsid w:val="005E784C"/>
    <w:rsid w:val="005F1B3C"/>
    <w:rsid w:val="005F79B8"/>
    <w:rsid w:val="00602C9E"/>
    <w:rsid w:val="00604E0D"/>
    <w:rsid w:val="006402C5"/>
    <w:rsid w:val="00652DB4"/>
    <w:rsid w:val="00665EE3"/>
    <w:rsid w:val="0068781D"/>
    <w:rsid w:val="00691085"/>
    <w:rsid w:val="0069229C"/>
    <w:rsid w:val="00694B72"/>
    <w:rsid w:val="006A3EF7"/>
    <w:rsid w:val="006A4490"/>
    <w:rsid w:val="006B6EB0"/>
    <w:rsid w:val="006B6FD6"/>
    <w:rsid w:val="006E39B2"/>
    <w:rsid w:val="006E56CA"/>
    <w:rsid w:val="006F198B"/>
    <w:rsid w:val="007026D0"/>
    <w:rsid w:val="00714CF5"/>
    <w:rsid w:val="00714D9D"/>
    <w:rsid w:val="00716AAA"/>
    <w:rsid w:val="00741F4E"/>
    <w:rsid w:val="00756E9E"/>
    <w:rsid w:val="007575D0"/>
    <w:rsid w:val="00761B2E"/>
    <w:rsid w:val="00762A76"/>
    <w:rsid w:val="007713AC"/>
    <w:rsid w:val="007735BA"/>
    <w:rsid w:val="00791243"/>
    <w:rsid w:val="007936EE"/>
    <w:rsid w:val="00796953"/>
    <w:rsid w:val="00801667"/>
    <w:rsid w:val="00801C10"/>
    <w:rsid w:val="0080491B"/>
    <w:rsid w:val="00807075"/>
    <w:rsid w:val="008148D2"/>
    <w:rsid w:val="00841C7F"/>
    <w:rsid w:val="00843FCB"/>
    <w:rsid w:val="00874075"/>
    <w:rsid w:val="00883EBD"/>
    <w:rsid w:val="00887777"/>
    <w:rsid w:val="00892683"/>
    <w:rsid w:val="008B0DD0"/>
    <w:rsid w:val="008B1649"/>
    <w:rsid w:val="008B5FB8"/>
    <w:rsid w:val="008C04D8"/>
    <w:rsid w:val="008D4122"/>
    <w:rsid w:val="008D6F4F"/>
    <w:rsid w:val="008F66FE"/>
    <w:rsid w:val="00915F9A"/>
    <w:rsid w:val="00930E6C"/>
    <w:rsid w:val="009331DE"/>
    <w:rsid w:val="00936B09"/>
    <w:rsid w:val="0094083F"/>
    <w:rsid w:val="0094526A"/>
    <w:rsid w:val="00952815"/>
    <w:rsid w:val="00955E97"/>
    <w:rsid w:val="009712BA"/>
    <w:rsid w:val="0097599C"/>
    <w:rsid w:val="00977595"/>
    <w:rsid w:val="00980B7F"/>
    <w:rsid w:val="00990493"/>
    <w:rsid w:val="009924CD"/>
    <w:rsid w:val="009A04F2"/>
    <w:rsid w:val="009A2E3E"/>
    <w:rsid w:val="009E18CC"/>
    <w:rsid w:val="009F0FD6"/>
    <w:rsid w:val="00A04EE5"/>
    <w:rsid w:val="00A2447E"/>
    <w:rsid w:val="00A33804"/>
    <w:rsid w:val="00A36CE8"/>
    <w:rsid w:val="00A507EE"/>
    <w:rsid w:val="00A54158"/>
    <w:rsid w:val="00A640E3"/>
    <w:rsid w:val="00A66B0F"/>
    <w:rsid w:val="00A71336"/>
    <w:rsid w:val="00A71B3C"/>
    <w:rsid w:val="00A8129C"/>
    <w:rsid w:val="00A90A9C"/>
    <w:rsid w:val="00AA10B4"/>
    <w:rsid w:val="00AD02F1"/>
    <w:rsid w:val="00AD786F"/>
    <w:rsid w:val="00AE2310"/>
    <w:rsid w:val="00AF0BE6"/>
    <w:rsid w:val="00AF1C8F"/>
    <w:rsid w:val="00B00084"/>
    <w:rsid w:val="00B0152A"/>
    <w:rsid w:val="00B15B11"/>
    <w:rsid w:val="00B23D70"/>
    <w:rsid w:val="00B24A0B"/>
    <w:rsid w:val="00B24FCB"/>
    <w:rsid w:val="00B31E2C"/>
    <w:rsid w:val="00B34EE5"/>
    <w:rsid w:val="00B43EBF"/>
    <w:rsid w:val="00B731BA"/>
    <w:rsid w:val="00B8441E"/>
    <w:rsid w:val="00BA11FD"/>
    <w:rsid w:val="00BC118A"/>
    <w:rsid w:val="00BC6C31"/>
    <w:rsid w:val="00BD0579"/>
    <w:rsid w:val="00BE430A"/>
    <w:rsid w:val="00BF09F5"/>
    <w:rsid w:val="00BF5339"/>
    <w:rsid w:val="00BF63D9"/>
    <w:rsid w:val="00C1022C"/>
    <w:rsid w:val="00C16AEB"/>
    <w:rsid w:val="00C172B6"/>
    <w:rsid w:val="00C17531"/>
    <w:rsid w:val="00C37A32"/>
    <w:rsid w:val="00C420AE"/>
    <w:rsid w:val="00C54557"/>
    <w:rsid w:val="00C5540D"/>
    <w:rsid w:val="00C623C2"/>
    <w:rsid w:val="00C65023"/>
    <w:rsid w:val="00C721C5"/>
    <w:rsid w:val="00C728C9"/>
    <w:rsid w:val="00C850E0"/>
    <w:rsid w:val="00C9071D"/>
    <w:rsid w:val="00C92EC1"/>
    <w:rsid w:val="00C93C7A"/>
    <w:rsid w:val="00CA0F24"/>
    <w:rsid w:val="00CA3283"/>
    <w:rsid w:val="00CA4D08"/>
    <w:rsid w:val="00CB0F98"/>
    <w:rsid w:val="00CC128A"/>
    <w:rsid w:val="00CD202E"/>
    <w:rsid w:val="00CE76CB"/>
    <w:rsid w:val="00D205A0"/>
    <w:rsid w:val="00D215AD"/>
    <w:rsid w:val="00D56E75"/>
    <w:rsid w:val="00D6078A"/>
    <w:rsid w:val="00D71F43"/>
    <w:rsid w:val="00D77118"/>
    <w:rsid w:val="00D909F3"/>
    <w:rsid w:val="00D9387F"/>
    <w:rsid w:val="00D94F72"/>
    <w:rsid w:val="00DA10C9"/>
    <w:rsid w:val="00DA34E6"/>
    <w:rsid w:val="00DB5862"/>
    <w:rsid w:val="00DC482F"/>
    <w:rsid w:val="00DD5426"/>
    <w:rsid w:val="00DE724B"/>
    <w:rsid w:val="00DF3B33"/>
    <w:rsid w:val="00DF5668"/>
    <w:rsid w:val="00E05D4D"/>
    <w:rsid w:val="00E17129"/>
    <w:rsid w:val="00E21B18"/>
    <w:rsid w:val="00E267D1"/>
    <w:rsid w:val="00E30FB6"/>
    <w:rsid w:val="00E41107"/>
    <w:rsid w:val="00E424A3"/>
    <w:rsid w:val="00E534B9"/>
    <w:rsid w:val="00E61D21"/>
    <w:rsid w:val="00E62BB8"/>
    <w:rsid w:val="00E65A0A"/>
    <w:rsid w:val="00E771D1"/>
    <w:rsid w:val="00E77B77"/>
    <w:rsid w:val="00E818B2"/>
    <w:rsid w:val="00E82598"/>
    <w:rsid w:val="00E86049"/>
    <w:rsid w:val="00E9693E"/>
    <w:rsid w:val="00EB1AA4"/>
    <w:rsid w:val="00EB5209"/>
    <w:rsid w:val="00ED453B"/>
    <w:rsid w:val="00ED6486"/>
    <w:rsid w:val="00EE18A4"/>
    <w:rsid w:val="00EE3DB3"/>
    <w:rsid w:val="00EE57E0"/>
    <w:rsid w:val="00EE597A"/>
    <w:rsid w:val="00EF349F"/>
    <w:rsid w:val="00EF45E2"/>
    <w:rsid w:val="00F030E4"/>
    <w:rsid w:val="00F05F18"/>
    <w:rsid w:val="00F06658"/>
    <w:rsid w:val="00F15672"/>
    <w:rsid w:val="00F25C0A"/>
    <w:rsid w:val="00F349B9"/>
    <w:rsid w:val="00F41135"/>
    <w:rsid w:val="00F41ECB"/>
    <w:rsid w:val="00F4243C"/>
    <w:rsid w:val="00F43E3E"/>
    <w:rsid w:val="00F517E1"/>
    <w:rsid w:val="00F52220"/>
    <w:rsid w:val="00F606DF"/>
    <w:rsid w:val="00F65E06"/>
    <w:rsid w:val="00F67A71"/>
    <w:rsid w:val="00F67EDD"/>
    <w:rsid w:val="00F74342"/>
    <w:rsid w:val="00F744FE"/>
    <w:rsid w:val="00F75A7D"/>
    <w:rsid w:val="00F80D9B"/>
    <w:rsid w:val="00F828D4"/>
    <w:rsid w:val="00F90A9B"/>
    <w:rsid w:val="00FB5695"/>
    <w:rsid w:val="00FC1EB2"/>
    <w:rsid w:val="00FD27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Akapit z listą BS,Numbered Para 1,Dot pt,No Spacing1,List Paragraph Char Char Char,Indicator Text,List Paragraph1,Bullet 1,Bullet Points,MAIN CONTENT,IFCL - List Paragraph,List Paragraph12,OBC Bullet,F5 List Paragraph,Bullet Styl"/>
    <w:basedOn w:val="Normal"/>
    <w:link w:val="ListParagraphChar"/>
    <w:uiPriority w:val="34"/>
    <w:qFormat/>
    <w:rsid w:val="00F74342"/>
    <w:pPr>
      <w:ind w:left="720"/>
      <w:contextualSpacing/>
    </w:pPr>
  </w:style>
  <w:style w:type="paragraph" w:styleId="Header">
    <w:name w:val="header"/>
    <w:basedOn w:val="Normal"/>
    <w:link w:val="HeaderChar"/>
    <w:uiPriority w:val="99"/>
    <w:unhideWhenUsed/>
    <w:rsid w:val="00B73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1BA"/>
  </w:style>
  <w:style w:type="character" w:styleId="Hyperlink">
    <w:name w:val="Hyperlink"/>
    <w:rsid w:val="00B731BA"/>
    <w:rPr>
      <w:color w:val="0000FF"/>
      <w:u w:val="single"/>
    </w:rPr>
  </w:style>
  <w:style w:type="character" w:customStyle="1" w:styleId="ListParagraphChar">
    <w:name w:val="List Paragraph Char"/>
    <w:aliases w:val="2 Char,Strip Char,Akapit z listą BS Char,Numbered Para 1 Char,Dot pt Char,No Spacing1 Char,List Paragraph Char Char Char Char,Indicator Text Char,List Paragraph1 Char,Bullet 1 Char,Bullet Points Char,MAIN CONTENT Char,OBC Bullet Char"/>
    <w:link w:val="ListParagraph"/>
    <w:uiPriority w:val="34"/>
    <w:qFormat/>
    <w:locked/>
    <w:rsid w:val="00B731BA"/>
  </w:style>
  <w:style w:type="paragraph" w:styleId="BalloonText">
    <w:name w:val="Balloon Text"/>
    <w:basedOn w:val="Normal"/>
    <w:link w:val="BalloonTextChar"/>
    <w:uiPriority w:val="99"/>
    <w:semiHidden/>
    <w:unhideWhenUsed/>
    <w:rsid w:val="00E7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D1"/>
    <w:rPr>
      <w:rFonts w:ascii="Segoe UI" w:hAnsi="Segoe UI" w:cs="Segoe UI"/>
      <w:sz w:val="18"/>
      <w:szCs w:val="18"/>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1"/>
    <w:uiPriority w:val="99"/>
    <w:qFormat/>
    <w:rsid w:val="0047229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rsid w:val="0047229E"/>
    <w:rPr>
      <w:sz w:val="20"/>
      <w:szCs w:val="20"/>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link w:val="FootnoteText"/>
    <w:locked/>
    <w:rsid w:val="0047229E"/>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qFormat/>
    <w:rsid w:val="0047229E"/>
    <w:rPr>
      <w:rFonts w:cs="Times New Roman"/>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7229E"/>
    <w:pPr>
      <w:spacing w:line="240" w:lineRule="exact"/>
      <w:jc w:val="both"/>
      <w:textAlignment w:val="baseline"/>
    </w:pPr>
    <w:rPr>
      <w:rFonts w:cs="Times New Roman"/>
      <w:vertAlign w:val="superscript"/>
    </w:rPr>
  </w:style>
  <w:style w:type="paragraph" w:styleId="Footer">
    <w:name w:val="footer"/>
    <w:basedOn w:val="Normal"/>
    <w:link w:val="FooterChar"/>
    <w:uiPriority w:val="99"/>
    <w:unhideWhenUsed/>
    <w:rsid w:val="002524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45B"/>
  </w:style>
  <w:style w:type="character" w:styleId="CommentReference">
    <w:name w:val="annotation reference"/>
    <w:basedOn w:val="DefaultParagraphFont"/>
    <w:uiPriority w:val="99"/>
    <w:semiHidden/>
    <w:unhideWhenUsed/>
    <w:rsid w:val="006E56CA"/>
    <w:rPr>
      <w:sz w:val="16"/>
      <w:szCs w:val="16"/>
    </w:rPr>
  </w:style>
  <w:style w:type="paragraph" w:styleId="CommentText">
    <w:name w:val="annotation text"/>
    <w:basedOn w:val="Normal"/>
    <w:link w:val="CommentTextChar"/>
    <w:uiPriority w:val="99"/>
    <w:semiHidden/>
    <w:unhideWhenUsed/>
    <w:rsid w:val="006E56CA"/>
    <w:pPr>
      <w:spacing w:line="240" w:lineRule="auto"/>
    </w:pPr>
    <w:rPr>
      <w:sz w:val="20"/>
      <w:szCs w:val="20"/>
    </w:rPr>
  </w:style>
  <w:style w:type="character" w:customStyle="1" w:styleId="CommentTextChar">
    <w:name w:val="Comment Text Char"/>
    <w:basedOn w:val="DefaultParagraphFont"/>
    <w:link w:val="CommentText"/>
    <w:uiPriority w:val="99"/>
    <w:semiHidden/>
    <w:rsid w:val="006E56CA"/>
    <w:rPr>
      <w:sz w:val="20"/>
      <w:szCs w:val="20"/>
    </w:rPr>
  </w:style>
  <w:style w:type="paragraph" w:styleId="CommentSubject">
    <w:name w:val="annotation subject"/>
    <w:basedOn w:val="CommentText"/>
    <w:next w:val="CommentText"/>
    <w:link w:val="CommentSubjectChar"/>
    <w:uiPriority w:val="99"/>
    <w:semiHidden/>
    <w:unhideWhenUsed/>
    <w:rsid w:val="006E56CA"/>
    <w:rPr>
      <w:b/>
      <w:bCs/>
    </w:rPr>
  </w:style>
  <w:style w:type="character" w:customStyle="1" w:styleId="CommentSubjectChar">
    <w:name w:val="Comment Subject Char"/>
    <w:basedOn w:val="CommentTextChar"/>
    <w:link w:val="CommentSubject"/>
    <w:uiPriority w:val="99"/>
    <w:semiHidden/>
    <w:rsid w:val="006E56CA"/>
    <w:rPr>
      <w:b/>
      <w:bCs/>
      <w:sz w:val="20"/>
      <w:szCs w:val="20"/>
    </w:rPr>
  </w:style>
  <w:style w:type="paragraph" w:customStyle="1" w:styleId="Default">
    <w:name w:val="Default"/>
    <w:rsid w:val="00E05D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6431">
      <w:bodyDiv w:val="1"/>
      <w:marLeft w:val="0"/>
      <w:marRight w:val="0"/>
      <w:marTop w:val="0"/>
      <w:marBottom w:val="0"/>
      <w:divBdr>
        <w:top w:val="none" w:sz="0" w:space="0" w:color="auto"/>
        <w:left w:val="none" w:sz="0" w:space="0" w:color="auto"/>
        <w:bottom w:val="none" w:sz="0" w:space="0" w:color="auto"/>
        <w:right w:val="none" w:sz="0" w:space="0" w:color="auto"/>
      </w:divBdr>
    </w:div>
    <w:div w:id="604582822">
      <w:bodyDiv w:val="1"/>
      <w:marLeft w:val="0"/>
      <w:marRight w:val="0"/>
      <w:marTop w:val="0"/>
      <w:marBottom w:val="0"/>
      <w:divBdr>
        <w:top w:val="none" w:sz="0" w:space="0" w:color="auto"/>
        <w:left w:val="none" w:sz="0" w:space="0" w:color="auto"/>
        <w:bottom w:val="none" w:sz="0" w:space="0" w:color="auto"/>
        <w:right w:val="none" w:sz="0" w:space="0" w:color="auto"/>
      </w:divBdr>
    </w:div>
    <w:div w:id="711268522">
      <w:bodyDiv w:val="1"/>
      <w:marLeft w:val="0"/>
      <w:marRight w:val="0"/>
      <w:marTop w:val="0"/>
      <w:marBottom w:val="0"/>
      <w:divBdr>
        <w:top w:val="none" w:sz="0" w:space="0" w:color="auto"/>
        <w:left w:val="none" w:sz="0" w:space="0" w:color="auto"/>
        <w:bottom w:val="none" w:sz="0" w:space="0" w:color="auto"/>
        <w:right w:val="none" w:sz="0" w:space="0" w:color="auto"/>
      </w:divBdr>
    </w:div>
    <w:div w:id="861550521">
      <w:bodyDiv w:val="1"/>
      <w:marLeft w:val="0"/>
      <w:marRight w:val="0"/>
      <w:marTop w:val="0"/>
      <w:marBottom w:val="0"/>
      <w:divBdr>
        <w:top w:val="none" w:sz="0" w:space="0" w:color="auto"/>
        <w:left w:val="none" w:sz="0" w:space="0" w:color="auto"/>
        <w:bottom w:val="none" w:sz="0" w:space="0" w:color="auto"/>
        <w:right w:val="none" w:sz="0" w:space="0" w:color="auto"/>
      </w:divBdr>
    </w:div>
    <w:div w:id="901138019">
      <w:bodyDiv w:val="1"/>
      <w:marLeft w:val="0"/>
      <w:marRight w:val="0"/>
      <w:marTop w:val="0"/>
      <w:marBottom w:val="0"/>
      <w:divBdr>
        <w:top w:val="none" w:sz="0" w:space="0" w:color="auto"/>
        <w:left w:val="none" w:sz="0" w:space="0" w:color="auto"/>
        <w:bottom w:val="none" w:sz="0" w:space="0" w:color="auto"/>
        <w:right w:val="none" w:sz="0" w:space="0" w:color="auto"/>
      </w:divBdr>
    </w:div>
    <w:div w:id="1110781009">
      <w:bodyDiv w:val="1"/>
      <w:marLeft w:val="0"/>
      <w:marRight w:val="0"/>
      <w:marTop w:val="0"/>
      <w:marBottom w:val="0"/>
      <w:divBdr>
        <w:top w:val="none" w:sz="0" w:space="0" w:color="auto"/>
        <w:left w:val="none" w:sz="0" w:space="0" w:color="auto"/>
        <w:bottom w:val="none" w:sz="0" w:space="0" w:color="auto"/>
        <w:right w:val="none" w:sz="0" w:space="0" w:color="auto"/>
      </w:divBdr>
      <w:divsChild>
        <w:div w:id="1624772230">
          <w:marLeft w:val="0"/>
          <w:marRight w:val="0"/>
          <w:marTop w:val="0"/>
          <w:marBottom w:val="0"/>
          <w:divBdr>
            <w:top w:val="none" w:sz="0" w:space="0" w:color="auto"/>
            <w:left w:val="none" w:sz="0" w:space="0" w:color="auto"/>
            <w:bottom w:val="none" w:sz="0" w:space="0" w:color="auto"/>
            <w:right w:val="none" w:sz="0" w:space="0" w:color="auto"/>
          </w:divBdr>
        </w:div>
      </w:divsChild>
    </w:div>
    <w:div w:id="1240869204">
      <w:bodyDiv w:val="1"/>
      <w:marLeft w:val="0"/>
      <w:marRight w:val="0"/>
      <w:marTop w:val="0"/>
      <w:marBottom w:val="0"/>
      <w:divBdr>
        <w:top w:val="none" w:sz="0" w:space="0" w:color="auto"/>
        <w:left w:val="none" w:sz="0" w:space="0" w:color="auto"/>
        <w:bottom w:val="none" w:sz="0" w:space="0" w:color="auto"/>
        <w:right w:val="none" w:sz="0" w:space="0" w:color="auto"/>
      </w:divBdr>
      <w:divsChild>
        <w:div w:id="313685669">
          <w:marLeft w:val="0"/>
          <w:marRight w:val="0"/>
          <w:marTop w:val="0"/>
          <w:marBottom w:val="0"/>
          <w:divBdr>
            <w:top w:val="none" w:sz="0" w:space="0" w:color="auto"/>
            <w:left w:val="none" w:sz="0" w:space="0" w:color="auto"/>
            <w:bottom w:val="none" w:sz="0" w:space="0" w:color="auto"/>
            <w:right w:val="none" w:sz="0" w:space="0" w:color="auto"/>
          </w:divBdr>
        </w:div>
      </w:divsChild>
    </w:div>
    <w:div w:id="1366249836">
      <w:bodyDiv w:val="1"/>
      <w:marLeft w:val="0"/>
      <w:marRight w:val="0"/>
      <w:marTop w:val="0"/>
      <w:marBottom w:val="0"/>
      <w:divBdr>
        <w:top w:val="none" w:sz="0" w:space="0" w:color="auto"/>
        <w:left w:val="none" w:sz="0" w:space="0" w:color="auto"/>
        <w:bottom w:val="none" w:sz="0" w:space="0" w:color="auto"/>
        <w:right w:val="none" w:sz="0" w:space="0" w:color="auto"/>
      </w:divBdr>
    </w:div>
    <w:div w:id="1432168764">
      <w:bodyDiv w:val="1"/>
      <w:marLeft w:val="0"/>
      <w:marRight w:val="0"/>
      <w:marTop w:val="0"/>
      <w:marBottom w:val="0"/>
      <w:divBdr>
        <w:top w:val="none" w:sz="0" w:space="0" w:color="auto"/>
        <w:left w:val="none" w:sz="0" w:space="0" w:color="auto"/>
        <w:bottom w:val="none" w:sz="0" w:space="0" w:color="auto"/>
        <w:right w:val="none" w:sz="0" w:space="0" w:color="auto"/>
      </w:divBdr>
    </w:div>
    <w:div w:id="1738161227">
      <w:bodyDiv w:val="1"/>
      <w:marLeft w:val="0"/>
      <w:marRight w:val="0"/>
      <w:marTop w:val="0"/>
      <w:marBottom w:val="0"/>
      <w:divBdr>
        <w:top w:val="none" w:sz="0" w:space="0" w:color="auto"/>
        <w:left w:val="none" w:sz="0" w:space="0" w:color="auto"/>
        <w:bottom w:val="none" w:sz="0" w:space="0" w:color="auto"/>
        <w:right w:val="none" w:sz="0" w:space="0" w:color="auto"/>
      </w:divBdr>
      <w:divsChild>
        <w:div w:id="1317145640">
          <w:marLeft w:val="0"/>
          <w:marRight w:val="0"/>
          <w:marTop w:val="0"/>
          <w:marBottom w:val="0"/>
          <w:divBdr>
            <w:top w:val="none" w:sz="0" w:space="0" w:color="auto"/>
            <w:left w:val="none" w:sz="0" w:space="0" w:color="auto"/>
            <w:bottom w:val="none" w:sz="0" w:space="0" w:color="auto"/>
            <w:right w:val="none" w:sz="0" w:space="0" w:color="auto"/>
          </w:divBdr>
          <w:divsChild>
            <w:div w:id="1352025739">
              <w:marLeft w:val="0"/>
              <w:marRight w:val="0"/>
              <w:marTop w:val="0"/>
              <w:marBottom w:val="0"/>
              <w:divBdr>
                <w:top w:val="none" w:sz="0" w:space="0" w:color="auto"/>
                <w:left w:val="none" w:sz="0" w:space="0" w:color="auto"/>
                <w:bottom w:val="none" w:sz="0" w:space="0" w:color="auto"/>
                <w:right w:val="none" w:sz="0" w:space="0" w:color="auto"/>
              </w:divBdr>
              <w:divsChild>
                <w:div w:id="3718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a.Iljina@mfa.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516E3D0900BFC54F902F41B79C5603E3" ma:contentTypeName="Document" ma:contentTypeScope="" ma:contentTypeVersion="13" ma:versionID="f152d2addbbe5e2e1a404e13939d7875">
  <xsd:schema xmlns:xsd="http://www.w3.org/2001/XMLSchema" xmlns:ns3="a0ce459c-4436-4561-b20e-41f4a37274fe" xmlns:ns4="2454fe6f-f136-414a-941c-9f1a927032be" xmlns:p="http://schemas.microsoft.com/office/2006/metadata/properties" xmlns:xs="http://www.w3.org/2001/XMLSchema" ma:fieldsID="4a696f6030c4078e809e122c256c39e9" ma:root="true" ns3:_="" ns4:_="" targetNamespace="http://schemas.microsoft.com/office/2006/metadata/properties">
    <xsd:import namespace="a0ce459c-4436-4561-b20e-41f4a37274fe"/>
    <xsd:import namespace="2454fe6f-f136-414a-941c-9f1a927032be"/>
    <xsd:element name="properties">
      <xsd:complexType>
        <xsd:sequence>
          <xsd:element name="documentManagement">
            <xsd:complexType>
              <xsd:all>
                <xsd:element minOccurs="0" ref="ns3:MediaServiceMetadata"/>
                <xsd:element minOccurs="0" ref="ns3:MediaServiceFastMetadata"/>
                <xsd:element minOccurs="0" ref="ns4:SharedWithUsers"/>
                <xsd:element minOccurs="0" ref="ns4:SharedWithDetails"/>
                <xsd:element minOccurs="0" ref="ns4:SharingHintHash"/>
                <xsd:element minOccurs="0" ref="ns3:MediaServiceDateTaken"/>
                <xsd:element minOccurs="0" ref="ns3:MediaServiceAutoTags"/>
                <xsd:element minOccurs="0" ref="ns3:MediaServiceOCR"/>
                <xsd:element minOccurs="0" ref="ns3:MediaServiceGenerationTime"/>
                <xsd:element minOccurs="0" ref="ns3:MediaServiceEventHashCode"/>
                <xsd:element minOccurs="0" ref="ns3:MediaServiceAutoKeyPoints"/>
                <xsd:element minOccurs="0" ref="ns3:MediaServiceKeyPoints"/>
                <xsd:element minOccurs="0" ref="ns3:MediaServiceLocatio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0ce459c-4436-4561-b20e-41f4a37274fe">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3" ma:internalName="MediaServiceDateTaken" ma:readOnly="true" name="MediaServiceDateTaken" nillable="true">
      <xsd:simpleType>
        <xsd:restriction base="dms:Text"/>
      </xsd:simpleType>
    </xsd:element>
    <xsd:element ma:displayName="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MediaServiceGenerationTime" ma:hidden="true" ma:index="16" ma:internalName="MediaServiceGenerationTime" ma:readOnly="true" name="MediaServiceGenerationTime" nillable="true">
      <xsd:simpleType>
        <xsd:restriction base="dms:Text"/>
      </xsd:simpleType>
    </xsd:element>
    <xsd:element ma:displayName="MediaServiceEventHashCode" ma:hidden="true" ma:index="17" ma:internalName="MediaServiceEventHashCode" ma:readOnly="true" name="MediaServiceEventHashCode" nillable="true">
      <xsd:simpleType>
        <xsd:restriction base="dms:Text"/>
      </xsd:simpleType>
    </xsd:element>
    <xsd:element ma:displayName="MediaServiceAutoKeyPoints" ma:hidden="true" ma:index="18" ma:internalName="MediaServiceAutoKeyPoints" ma:readOnly="true" name="MediaServiceAutoKeyPoints" nillable="true">
      <xsd:simpleType>
        <xsd:restriction base="dms:Note"/>
      </xsd:simpleType>
    </xsd:element>
    <xsd:element ma:displayName="KeyPoints" ma:index="19" ma:internalName="MediaServiceKeyPoints" ma:readOnly="true" name="MediaServiceKeyPoints" nillable="true">
      <xsd:simpleType>
        <xsd:restriction base="dms:Note">
          <xsd:maxLength value="255"/>
        </xsd:restriction>
      </xsd:simpleType>
    </xsd:element>
    <xsd:element ma:displayName="Location" ma:index="20" ma:internalName="MediaServiceLocation" ma:readOnly="true" name="MediaServiceLoca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2454fe6f-f136-414a-941c-9f1a927032be">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element ma:displayName="Sharing Hint Hash" ma:hidden="true" ma:index="12"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341F3512-699D-40C5-8CA4-71FBF74CA21C}">
  <ds:schemaRefs>
    <ds:schemaRef ds:uri="http://schemas.microsoft.com/office/2006/metadata/contentType"/>
    <ds:schemaRef ds:uri="http://schemas.microsoft.com/office/2006/metadata/properties/metaAttributes"/>
    <ds:schemaRef ds:uri="http://www.w3.org/2001/XMLSchema"/>
    <ds:schemaRef ds:uri="a0ce459c-4436-4561-b20e-41f4a37274fe"/>
    <ds:schemaRef ds:uri="2454fe6f-f136-414a-941c-9f1a927032b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C21C5-8D1E-4226-A2EC-E100BA1FF114}">
  <ds:schemaRefs>
    <ds:schemaRef ds:uri="http://schemas.microsoft.com/sharepoint/v3/contenttype/forms"/>
  </ds:schemaRefs>
</ds:datastoreItem>
</file>

<file path=customXml/itemProps3.xml><?xml version="1.0" encoding="utf-8"?>
<ds:datastoreItem xmlns:ds="http://schemas.openxmlformats.org/officeDocument/2006/customXml" ds:itemID="{AD375432-F034-49EA-87F9-378D10A2BE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E2607E-1174-40AF-AE7B-DB437EC5F92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7651</Words>
  <Characters>4362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2020-06-08T08:50:00Z</dcterms:created>
  <dcterms:modified xsi:type="dcterms:W3CDTF">2020-06-08T13:21:00Z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0x010100516E3D0900BFC54F902F41B79C5603E3</vt:lpwstr>
  </property>
  <property fmtid="{D5CDD505-2E9C-101B-9397-08002B2CF9AE}" pid="3" name="DISCesvisMeetingDate">
    <vt:lpwstr>2020-06-15</vt:lpwstr>
  </property>
  <property fmtid="{D5CDD505-2E9C-101B-9397-08002B2CF9AE}" pid="4" name="DIScgiUrl">
    <vt:lpwstr>https://lim.esvis.gov.lv/cs/idcplg</vt:lpwstr>
  </property>
  <property fmtid="{D5CDD505-2E9C-101B-9397-08002B2CF9AE}" pid="5" name="DISdDocName">
    <vt:lpwstr>L240285</vt:lpwstr>
  </property>
  <property fmtid="{D5CDD505-2E9C-101B-9397-08002B2CF9AE}" pid="6" name="DISCesvisSigner">
    <vt:lpwstr> Jānis Vitenbergs</vt:lpwstr>
  </property>
  <property fmtid="{D5CDD505-2E9C-101B-9397-08002B2CF9AE}" pid="7" name="DISTaskPaneUrl">
    <vt:lpwstr>https://lim.esvis.gov.lv/cs/idcplg?ClientControlled=DocMan&amp;coreContentOnly=1&amp;WebdavRequest=1&amp;IdcService=DOC_INFO&amp;dID=309040</vt:lpwstr>
  </property>
  <property fmtid="{D5CDD505-2E9C-101B-9397-08002B2CF9AE}" pid="8" name="DISCesvisSafetyLevel">
    <vt:lpwstr>Ierobežotas pieejamības</vt:lpwstr>
  </property>
  <property fmtid="{D5CDD505-2E9C-101B-9397-08002B2CF9AE}" pid="9" name="DISCesvisTitle">
    <vt:lpwstr>Par Eiropas Savienības enerģētikas ministru 2020. gada 15. jūnija videokonferencē izskatāmajiem jautājumiem</vt:lpwstr>
  </property>
  <property fmtid="{D5CDD505-2E9C-101B-9397-08002B2CF9AE}" pid="10" name="DISCesvisMinistryOfMinister">
    <vt:lpwstr>Ekonomikas ministra pienākumu izpildītājs - </vt:lpwstr>
  </property>
  <property fmtid="{D5CDD505-2E9C-101B-9397-08002B2CF9AE}" pid="11" name="DISCesvisAuthor">
    <vt:lpwstr>Ekonomikas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4" name="DISCesvisDescription">
    <vt:lpwstr>
</vt:lpwstr>
  </property>
  <property fmtid="{D5CDD505-2E9C-101B-9397-08002B2CF9AE}" pid="15" name="DISdUser">
    <vt:lpwstr>em_emskrastina</vt:lpwstr>
  </property>
  <property fmtid="{D5CDD505-2E9C-101B-9397-08002B2CF9AE}" pid="16" name="DISdID">
    <vt:lpwstr>309040</vt:lpwstr>
  </property>
  <property fmtid="{D5CDD505-2E9C-101B-9397-08002B2CF9AE}" pid="17" name="DISCesvisAdditionalMakers">
    <vt:lpwstr>Vecākā referente Elizabete Marija Skrastiņa</vt:lpwstr>
  </property>
  <property fmtid="{D5CDD505-2E9C-101B-9397-08002B2CF9AE}" pid="18" name="DISCesvisAdditionalTutors">
    <vt:lpwstr>Vecākā referente Elizabete Marija Skrastiņa, Nodaļas vadītāja Māra Rone</vt:lpwstr>
  </property>
  <property fmtid="{D5CDD505-2E9C-101B-9397-08002B2CF9AE}" pid="19" name="DISCesvisAdditionalMakersPhone">
    <vt:lpwstr>67013147</vt:lpwstr>
  </property>
  <property fmtid="{D5CDD505-2E9C-101B-9397-08002B2CF9AE}" pid="20" name="DISCesvisMainMaker">
    <vt:lpwstr>Vecākā referente Elizabete Marija Skrastiņa</vt:lpwstr>
  </property>
  <property fmtid="{D5CDD505-2E9C-101B-9397-08002B2CF9AE}" pid="21" name="DISCesvisAdditionalTutorsMail">
    <vt:lpwstr>elizabete.marija.skrastina@em.gov.lv, Mara.Rone@em.gov.lv</vt:lpwstr>
  </property>
  <property fmtid="{D5CDD505-2E9C-101B-9397-08002B2CF9AE}" pid="22" name="DISCesvisAdditionalTutorsPhone">
    <vt:lpwstr>67013147, 67013256</vt:lpwstr>
  </property>
  <property fmtid="{D5CDD505-2E9C-101B-9397-08002B2CF9AE}" pid="23" name="DISCesvisAdditionalMakersMail">
    <vt:lpwstr>elizabete.marija.skrastina@em.gov.lv</vt:lpwstr>
  </property>
  <property fmtid="{D5CDD505-2E9C-101B-9397-08002B2CF9AE}" pid="24" name="DISCesvisOrgApprovers">
    <vt:lpwstr>Vides aizsardzības un reģionālās attīstības ministrija, Ārlietu ministrija, Finanšu ministrija</vt:lpwstr>
  </property>
  <property fmtid="{D5CDD505-2E9C-101B-9397-08002B2CF9AE}" pid="25" name="DISCesvisForInforming">
    <vt:lpwstr>Specializētais atašejs - nozares padomniece Inga Iļjina</vt:lpwstr>
  </property>
  <property fmtid="{D5CDD505-2E9C-101B-9397-08002B2CF9AE}" pid="26" name="DISCesvisMainMakerOrgUnitTitle">
    <vt:lpwstr>ES un ārējo ekonomisko attiecību departamenta ES lietu nodaļa</vt:lpwstr>
  </property>
</Properties>
</file>