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FB8B5" w14:textId="1B92E635" w:rsidR="00894C55" w:rsidRDefault="002F46A5" w:rsidP="00AC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  <w:bookmarkStart w:id="0" w:name="_GoBack"/>
      <w:bookmarkEnd w:id="0"/>
      <w:r w:rsidRPr="00FA2D2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Ministru kabineta noteikumu projekta “</w:t>
      </w:r>
      <w:r w:rsidR="00AC5280" w:rsidRPr="00FA2D2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Noteikumi par nekustamā īpašuma darījumu starpnieka profesionālās </w:t>
      </w:r>
      <w:r w:rsidR="00A9597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darbības </w:t>
      </w:r>
      <w:r w:rsidR="00AC5280" w:rsidRPr="00FA2D2B">
        <w:rPr>
          <w:rFonts w:ascii="Times New Roman" w:eastAsia="Calibri" w:hAnsi="Times New Roman" w:cs="Times New Roman"/>
          <w:b/>
          <w:bCs/>
          <w:sz w:val="28"/>
          <w:szCs w:val="28"/>
        </w:rPr>
        <w:t>civiltiesiskās atbildības apdrošināšanu</w:t>
      </w:r>
      <w:r w:rsidRPr="00FA2D2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 xml:space="preserve">” </w:t>
      </w:r>
      <w:r w:rsidR="00894C55" w:rsidRPr="00FA2D2B"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  <w:t>sākotnējās ietekmes novērtējuma ziņojums (anotācija)</w:t>
      </w:r>
    </w:p>
    <w:p w14:paraId="6D963773" w14:textId="36DA1975" w:rsidR="00812294" w:rsidRDefault="00812294" w:rsidP="00AC52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46"/>
        <w:gridCol w:w="6109"/>
      </w:tblGrid>
      <w:tr w:rsidR="00812294" w:rsidRPr="00375701" w14:paraId="53186081" w14:textId="77777777" w:rsidTr="00C3394C">
        <w:trPr>
          <w:tblCellSpacing w:w="15" w:type="dxa"/>
        </w:trPr>
        <w:tc>
          <w:tcPr>
            <w:tcW w:w="496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A9EDE6" w14:textId="77777777" w:rsidR="00812294" w:rsidRPr="00812294" w:rsidRDefault="00812294" w:rsidP="00C3394C">
            <w:pPr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12294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812294" w:rsidRPr="00355AD2" w14:paraId="42ABDCCF" w14:textId="77777777" w:rsidTr="00C3394C">
        <w:trPr>
          <w:tblCellSpacing w:w="15" w:type="dxa"/>
        </w:trPr>
        <w:tc>
          <w:tcPr>
            <w:tcW w:w="16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3B076F" w14:textId="77777777" w:rsidR="00812294" w:rsidRPr="00812294" w:rsidRDefault="00812294" w:rsidP="00C3394C">
            <w:pPr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81229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33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990D9C" w14:textId="3193F64E" w:rsidR="00812294" w:rsidRPr="00812294" w:rsidRDefault="00812294" w:rsidP="00C3394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2294">
              <w:rPr>
                <w:rFonts w:ascii="Times New Roman" w:hAnsi="Times New Roman" w:cs="Times New Roman"/>
                <w:sz w:val="24"/>
                <w:szCs w:val="24"/>
              </w:rPr>
              <w:t xml:space="preserve">n/a </w:t>
            </w:r>
          </w:p>
        </w:tc>
      </w:tr>
    </w:tbl>
    <w:p w14:paraId="7A03CB53" w14:textId="1B4DE8AD" w:rsidR="00E5323B" w:rsidRPr="00FA2D2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A2D2B" w:rsidRPr="00FA2D2B" w14:paraId="450033C7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9C15E0" w14:textId="77777777" w:rsidR="00CD526E" w:rsidRPr="00FA2D2B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</w:pPr>
            <w:r w:rsidRPr="00FA2D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sv-SE" w:eastAsia="lv-LV"/>
              </w:rPr>
              <w:t>I. Tiesību akta projekta izstrādes nepieciešamība</w:t>
            </w:r>
          </w:p>
        </w:tc>
      </w:tr>
      <w:tr w:rsidR="00FA2D2B" w:rsidRPr="00FA2D2B" w14:paraId="73B0EBA1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CF2772" w14:textId="77777777" w:rsidR="00CD526E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290533" w14:textId="77777777" w:rsidR="00E5323B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B945A1" w14:textId="5134D3BE" w:rsidR="00E5323B" w:rsidRPr="00FA2D2B" w:rsidRDefault="00AC5280" w:rsidP="006C39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projekts izstrādāts pamatojoties uz </w:t>
            </w:r>
            <w:r w:rsidR="006C3935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Nekustamā īpašuma darījumu starpnieku darbības likuma (izskatīts 20</w:t>
            </w:r>
            <w:r w:rsidR="0010005E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20</w:t>
            </w:r>
            <w:r w:rsidR="006C3935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.gada </w:t>
            </w:r>
            <w:r w:rsidR="0010005E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13</w:t>
            </w:r>
            <w:r w:rsidR="006C3935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  <w:r w:rsidR="0010005E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maija Saeimas Tautsaimniecības, agrārās, vides un reģionālās politikas komisijas 3.lasījumā</w:t>
            </w:r>
            <w:r w:rsidR="006C3935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 10.panta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trešo </w:t>
            </w:r>
            <w:r w:rsidR="006C3935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daļ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="000B39FF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6C3935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A2D2B" w:rsidRPr="00FA2D2B" w14:paraId="3E6FE715" w14:textId="77777777" w:rsidTr="00C26AB1">
        <w:trPr>
          <w:trHeight w:val="218"/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C7DE4" w14:textId="77777777" w:rsidR="00CD526E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AC4AD" w14:textId="77777777" w:rsidR="00E5323B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  <w:p w14:paraId="008AF521" w14:textId="77777777" w:rsidR="00C26AB1" w:rsidRPr="00FA2D2B" w:rsidRDefault="00C26AB1" w:rsidP="00C26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DC1B7BF" w14:textId="77777777" w:rsidR="00C26AB1" w:rsidRPr="00FA2D2B" w:rsidRDefault="00C26AB1" w:rsidP="00C26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F103B8C" w14:textId="77777777" w:rsidR="00C26AB1" w:rsidRPr="00FA2D2B" w:rsidRDefault="00C26AB1" w:rsidP="00C26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0D7F476" w14:textId="77777777" w:rsidR="00C26AB1" w:rsidRPr="00FA2D2B" w:rsidRDefault="00C26AB1" w:rsidP="00C26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C39F174" w14:textId="77777777" w:rsidR="00C26AB1" w:rsidRPr="00FA2D2B" w:rsidRDefault="00C26AB1" w:rsidP="00C26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E6FB87B" w14:textId="77777777" w:rsidR="00C26AB1" w:rsidRPr="00FA2D2B" w:rsidRDefault="00C26AB1" w:rsidP="00C26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244CBC8" w14:textId="77777777" w:rsidR="00C26AB1" w:rsidRPr="00FA2D2B" w:rsidRDefault="00C26AB1" w:rsidP="00C26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61495AE" w14:textId="77777777" w:rsidR="00C26AB1" w:rsidRPr="00FA2D2B" w:rsidRDefault="00C26AB1" w:rsidP="00C26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B892B17" w14:textId="77777777" w:rsidR="00C26AB1" w:rsidRPr="00FA2D2B" w:rsidRDefault="00C26AB1" w:rsidP="00C26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05F29DF" w14:textId="77777777" w:rsidR="00C26AB1" w:rsidRPr="00FA2D2B" w:rsidRDefault="00C26AB1" w:rsidP="00C26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BEB51B7" w14:textId="77777777" w:rsidR="00C26AB1" w:rsidRPr="00FA2D2B" w:rsidRDefault="00C26AB1" w:rsidP="00C26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3B76996" w14:textId="77777777" w:rsidR="00C26AB1" w:rsidRPr="00FA2D2B" w:rsidRDefault="00C26AB1" w:rsidP="00C26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42867E27" w14:textId="3C910D48" w:rsidR="00C26AB1" w:rsidRPr="00FA2D2B" w:rsidRDefault="00C26AB1" w:rsidP="00C26A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38BA96" w14:textId="43A316C7" w:rsidR="00B20856" w:rsidRPr="00FA2D2B" w:rsidRDefault="008F036C" w:rsidP="00FF3B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2020.gada 13.maija Saeimas Tautsaimniecības, agrārās, vides un reģionālās politikas komisijas 3.lasījumā </w:t>
            </w:r>
            <w:r w:rsidR="00FF3B56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izskatīts likumprojekts “Nekustamā īpašuma darījumu starpnieku darbības likums”</w:t>
            </w:r>
            <w:r w:rsidR="007607A3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likum</w:t>
            </w:r>
            <w:r w:rsidR="00310890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</w:t>
            </w:r>
            <w:r w:rsidR="007607A3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)</w:t>
            </w:r>
            <w:r w:rsidR="00FF3B56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kas paredz regulēt nekustamā īpašuma darījumu starpnieku </w:t>
            </w:r>
            <w:r w:rsidR="00FA2D2B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profesionālās </w:t>
            </w:r>
            <w:r w:rsidR="00FF3B56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darbības tiesiskos pamatus un nodrošināt šo personu profesionālās darbības uzraudzību, lai novērstu no</w:t>
            </w:r>
            <w:r w:rsidR="007607A3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z</w:t>
            </w:r>
            <w:r w:rsidR="00FF3B56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iedzīg</w:t>
            </w:r>
            <w:r w:rsidR="000C41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</w:t>
            </w:r>
            <w:r w:rsidR="00FF3B56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iegūtu līdzekļu legalizāciju</w:t>
            </w:r>
            <w:r w:rsidR="000C41B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</w:t>
            </w:r>
            <w:r w:rsidR="00FF3B56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terorisma</w:t>
            </w:r>
            <w:r w:rsidR="007607A3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proliferācijas finansēšanu un sekmētu stabilu, drošu un uzticamu starpniecības pakalpojumu sniegšanu.</w:t>
            </w:r>
            <w:r w:rsidR="008B5FFB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 likum</w:t>
            </w:r>
            <w:r w:rsidR="00310890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8B5FFB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izriet, ka nekustamā īpašuma darījumu starpnieks apdrošina savas 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profesionālās </w:t>
            </w:r>
            <w:r w:rsidR="008B5FFB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darbības</w:t>
            </w:r>
            <w:r w:rsidR="00D24E8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civiltiesisko atbildību</w:t>
            </w:r>
            <w:r w:rsidR="008B5FFB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(turpmāk – civiltiesiskās atbildības apdrošināšana). </w:t>
            </w:r>
            <w:r w:rsidR="007607A3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šī likum</w:t>
            </w:r>
            <w:r w:rsidR="00310890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7607A3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10.panta </w:t>
            </w:r>
            <w:r w:rsidR="00D10656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trešo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7607A3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daļu </w:t>
            </w:r>
            <w:r w:rsidR="00A77BDE" w:rsidRPr="00FA2D2B">
              <w:rPr>
                <w:rFonts w:ascii="Times New Roman" w:hAnsi="Times New Roman" w:cs="Times New Roman"/>
                <w:sz w:val="24"/>
                <w:szCs w:val="24"/>
              </w:rPr>
              <w:t>Ministru kabinets nosaka nekustamā īpašuma darījumu starpnieka profesionālās darbības civiltiesiskās atbildības apdrošināšanas kārtību, apdrošināšanas līguma minimālo atbildības limitu gadā un obligātos riskus, kurus apdrošina nekustamā īpašuma darījumu starpnieks.</w:t>
            </w:r>
          </w:p>
          <w:p w14:paraId="603370A5" w14:textId="0E9C7102" w:rsidR="008845E1" w:rsidRPr="00FA2D2B" w:rsidRDefault="00B20856" w:rsidP="00A426F7">
            <w:pPr>
              <w:spacing w:after="0" w:line="240" w:lineRule="auto"/>
              <w:ind w:firstLine="39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Lai nodrošinātu minētā uzdevuma izpildi, nepieciešams izstrādāt Ministru kabineta noteikumu projektu, kur</w:t>
            </w:r>
            <w:r w:rsidR="00876D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tik</w:t>
            </w:r>
            <w:r w:rsidR="00876DA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tu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noteikt</w:t>
            </w:r>
            <w:r w:rsidR="008F036C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F036C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civiltiesiskās atbildības apdrošināšanas kārtība, apdrošināšanas līguma minimālais atbildības limits gadā un obligātie riski</w:t>
            </w:r>
            <w:r w:rsidR="003816D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kurus apdrošina nekustamā īpašuma darījumu starpnieks</w:t>
            </w:r>
            <w:r w:rsidR="008F036C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.</w:t>
            </w:r>
          </w:p>
          <w:p w14:paraId="36D9A0B0" w14:textId="5CA3ABC7" w:rsidR="003B0C2D" w:rsidRPr="00FA2D2B" w:rsidRDefault="00401D18" w:rsidP="00401D18">
            <w:pPr>
              <w:pStyle w:val="FootnoteText"/>
              <w:ind w:right="127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2B">
              <w:rPr>
                <w:rFonts w:ascii="Times New Roman" w:hAnsi="Times New Roman" w:cs="Times New Roman"/>
                <w:sz w:val="24"/>
                <w:szCs w:val="24"/>
              </w:rPr>
              <w:t>Saskaņā ar noteikumu projektu Nekustamā īpašuma darījumu starpnieka apdrošināšanas objekts ir nekustamā īpašuma darījum</w:t>
            </w:r>
            <w:r w:rsidR="0020231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 starpnieka</w:t>
            </w:r>
            <w:r w:rsidR="00202313">
              <w:rPr>
                <w:rFonts w:ascii="Times New Roman" w:hAnsi="Times New Roman" w:cs="Times New Roman"/>
                <w:sz w:val="24"/>
                <w:szCs w:val="24"/>
              </w:rPr>
              <w:t xml:space="preserve"> darbības</w:t>
            </w:r>
            <w:r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 civiltiesiskā atbildība par tā darbības vai bezdarbības dēļ līguma izpildes laikā nodarīto kaitējumu treš</w:t>
            </w:r>
            <w:r w:rsidR="00CF6538">
              <w:rPr>
                <w:rFonts w:ascii="Times New Roman" w:hAnsi="Times New Roman" w:cs="Times New Roman"/>
                <w:sz w:val="24"/>
                <w:szCs w:val="24"/>
              </w:rPr>
              <w:t>ajai</w:t>
            </w:r>
            <w:r w:rsidR="002F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D2B">
              <w:rPr>
                <w:rFonts w:ascii="Times New Roman" w:hAnsi="Times New Roman" w:cs="Times New Roman"/>
                <w:sz w:val="24"/>
                <w:szCs w:val="24"/>
              </w:rPr>
              <w:t>persona</w:t>
            </w:r>
            <w:r w:rsidR="00CF65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8568905" w14:textId="0F89B6B3" w:rsidR="00401D18" w:rsidRPr="00FA2D2B" w:rsidRDefault="00401D18" w:rsidP="0086200A">
            <w:pPr>
              <w:pStyle w:val="FootnoteText"/>
              <w:ind w:right="127" w:firstLine="39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lastRenderedPageBreak/>
              <w:t xml:space="preserve">Civiltiesiskās atbildības apdrošināšanas līgums </w:t>
            </w:r>
            <w:r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var </w:t>
            </w:r>
            <w:r w:rsidR="0038617F"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būt </w:t>
            </w:r>
            <w:r w:rsidR="0002353A" w:rsidRPr="00FA2D2B">
              <w:rPr>
                <w:rFonts w:ascii="Times New Roman" w:hAnsi="Times New Roman" w:cs="Times New Roman"/>
                <w:sz w:val="24"/>
                <w:szCs w:val="24"/>
              </w:rPr>
              <w:t>individuāl</w:t>
            </w:r>
            <w:r w:rsidR="0038617F" w:rsidRPr="00FA2D2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02353A"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slēgts </w:t>
            </w:r>
            <w:r w:rsidR="0002353A" w:rsidRPr="00FA2D2B">
              <w:rPr>
                <w:rFonts w:ascii="Times New Roman" w:hAnsi="Times New Roman" w:cs="Times New Roman"/>
                <w:sz w:val="24"/>
                <w:szCs w:val="24"/>
              </w:rPr>
              <w:t>st</w:t>
            </w:r>
            <w:r w:rsidRPr="00FA2D2B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="0002353A" w:rsidRPr="00FA2D2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 vienu nekustamā ī</w:t>
            </w:r>
            <w:r w:rsidR="0002353A" w:rsidRPr="00FA2D2B">
              <w:rPr>
                <w:rFonts w:ascii="Times New Roman" w:hAnsi="Times New Roman" w:cs="Times New Roman"/>
                <w:sz w:val="24"/>
                <w:szCs w:val="24"/>
              </w:rPr>
              <w:t>pašuma</w:t>
            </w:r>
            <w:r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 darījum</w:t>
            </w:r>
            <w:r w:rsidR="008F617C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 sta</w:t>
            </w:r>
            <w:r w:rsidR="0002353A" w:rsidRPr="00FA2D2B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FA2D2B">
              <w:rPr>
                <w:rFonts w:ascii="Times New Roman" w:hAnsi="Times New Roman" w:cs="Times New Roman"/>
                <w:sz w:val="24"/>
                <w:szCs w:val="24"/>
              </w:rPr>
              <w:t>pnieku</w:t>
            </w:r>
            <w:r w:rsidR="0002353A"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 un apdrošinātāju</w:t>
            </w:r>
            <w:r w:rsidR="008A4B2C"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, kā arī </w:t>
            </w:r>
            <w:r w:rsidRPr="00FA2D2B">
              <w:rPr>
                <w:rFonts w:ascii="Times New Roman" w:hAnsi="Times New Roman" w:cs="Times New Roman"/>
                <w:sz w:val="24"/>
                <w:szCs w:val="24"/>
              </w:rPr>
              <w:t>tas var būt kolektīvs,</w:t>
            </w:r>
            <w:r w:rsidR="0002353A"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1E1F">
              <w:rPr>
                <w:rFonts w:ascii="Times New Roman" w:hAnsi="Times New Roman" w:cs="Times New Roman"/>
                <w:sz w:val="24"/>
                <w:szCs w:val="24"/>
              </w:rPr>
              <w:t>komersanta</w:t>
            </w:r>
            <w:r w:rsidR="0002353A"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 gadījumā</w:t>
            </w:r>
            <w:r w:rsidR="0038617F" w:rsidRPr="00FA2D2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353A"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D2B">
              <w:rPr>
                <w:rFonts w:ascii="Times New Roman" w:hAnsi="Times New Roman" w:cs="Times New Roman"/>
                <w:sz w:val="24"/>
                <w:szCs w:val="24"/>
              </w:rPr>
              <w:t>iekļaujot tajā</w:t>
            </w:r>
            <w:r w:rsidR="0002353A"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 vienlaikus</w:t>
            </w:r>
            <w:r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 vairākus </w:t>
            </w:r>
            <w:r w:rsidRPr="00FA2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nekustamā īpašuma darījumu starpniekus</w:t>
            </w:r>
            <w:r w:rsidR="00751E1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kuri strādā iekš komersanta</w:t>
            </w:r>
            <w:r w:rsidRPr="00FA2D2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14:paraId="2FD39821" w14:textId="2B8DE8B9" w:rsidR="00AB178E" w:rsidRPr="00FA2D2B" w:rsidRDefault="00425DDE" w:rsidP="00AB178E">
            <w:pPr>
              <w:spacing w:after="0" w:line="240" w:lineRule="auto"/>
              <w:ind w:firstLine="5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Noteikumu projektā </w:t>
            </w:r>
            <w:r w:rsidR="008A4B2C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civiltiesiskās </w:t>
            </w:r>
            <w:r w:rsidR="00993A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atbildības </w:t>
            </w:r>
            <w:r w:rsidR="0086200A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apdrošināšanas līgum</w:t>
            </w:r>
            <w:r w:rsidR="00FA2D2B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86200A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minimālais atbildības limits gad</w:t>
            </w:r>
            <w:r w:rsidR="00993AA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ā</w:t>
            </w:r>
            <w:r w:rsidR="0086200A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ir 50 000 </w:t>
            </w:r>
            <w:proofErr w:type="spellStart"/>
            <w:r w:rsidR="0086200A" w:rsidRPr="00F43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proofErr w:type="spellEnd"/>
            <w:r w:rsidR="00BD59F9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.</w:t>
            </w:r>
            <w:r w:rsidR="0086200A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Apdrošinājuma summa šādā apmērā noteikta pamatojoties uz to, ka </w:t>
            </w:r>
            <w:r w:rsidR="0086200A"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lielākā daļa darījumu nekustamā īpašuma tirgū ir līdz 50 000 </w:t>
            </w:r>
            <w:r w:rsidR="0086200A" w:rsidRPr="00FA2D2B">
              <w:rPr>
                <w:rFonts w:ascii="Times New Roman" w:hAnsi="Times New Roman" w:cs="Times New Roman"/>
                <w:i/>
                <w:sz w:val="24"/>
                <w:szCs w:val="24"/>
              </w:rPr>
              <w:t>euro</w:t>
            </w:r>
            <w:r w:rsidR="0086200A"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6200A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Saskaņā ar Valsts zemes dienesta datiem nekustamo īpašumu darījumu vidējā cena 2018.gadā bija 32 000 </w:t>
            </w:r>
            <w:r w:rsidR="0086200A" w:rsidRPr="00F43E4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>euro</w:t>
            </w:r>
            <w:r w:rsidR="0086200A" w:rsidRPr="00FA2D2B">
              <w:rPr>
                <w:rStyle w:val="FootnoteReference"/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footnoteReference w:id="1"/>
            </w:r>
            <w:r w:rsidR="0086200A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 </w:t>
            </w:r>
          </w:p>
          <w:p w14:paraId="3CA26E57" w14:textId="1434CE69" w:rsidR="00B20856" w:rsidRPr="00FA2D2B" w:rsidRDefault="007C40AC" w:rsidP="00DD7D3B">
            <w:pPr>
              <w:spacing w:after="0" w:line="240" w:lineRule="auto"/>
              <w:ind w:firstLine="533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nosaka,</w:t>
            </w:r>
            <w:r w:rsidR="00A91557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ka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8A4B2C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civiltiesiskās atbildības </w:t>
            </w:r>
            <w:r w:rsidR="00A91557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apdrošināšanas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līgumā kā </w:t>
            </w:r>
            <w:r w:rsidR="00A91557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obligātie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2F7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atlīdzināmie zaudējumi</w:t>
            </w:r>
            <w:r w:rsidR="002F7E65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nosakāmi</w:t>
            </w:r>
            <w:r w:rsidR="00A91557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: tiešie finansiālie zaudējumi, </w:t>
            </w:r>
            <w:r w:rsidR="00A91557"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ekspertīzes izdevumi, juridiskie izdevumi </w:t>
            </w:r>
            <w:r w:rsidR="00830CFA">
              <w:rPr>
                <w:rFonts w:ascii="Times New Roman" w:hAnsi="Times New Roman" w:cs="Times New Roman"/>
                <w:sz w:val="24"/>
                <w:szCs w:val="24"/>
              </w:rPr>
              <w:t xml:space="preserve"> un </w:t>
            </w:r>
            <w:r w:rsidR="00A91557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glābšanas izdevumi, 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vienlaikus nosakot, ka </w:t>
            </w:r>
            <w:r w:rsidR="008A4B2C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civiltiesiskās atbildības 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apdrošināšanas līgumā var paredzēt arī citus papildus </w:t>
            </w:r>
            <w:r w:rsidR="009E067B" w:rsidRPr="009E067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nekustamā īpašuma darījumu starpnieka darbības vai bezdarbības rezultātā 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atlīdzināmos zaudējumus, kas var tikt nodarīti trešajai personai. </w:t>
            </w:r>
          </w:p>
        </w:tc>
      </w:tr>
      <w:tr w:rsidR="00FA2D2B" w:rsidRPr="00FA2D2B" w14:paraId="67BACFEC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00E48C" w14:textId="77777777" w:rsidR="00CD526E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4CB97B" w14:textId="77777777" w:rsidR="00E5323B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748FBB" w14:textId="4C0DE0FC" w:rsidR="00E5323B" w:rsidRPr="00FA2D2B" w:rsidRDefault="00D1065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Ekonomikas ministrija</w:t>
            </w:r>
            <w:r w:rsidR="00C50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, 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Finanšu ministrija </w:t>
            </w:r>
            <w:r w:rsidR="00165F86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="00C50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un Latvijas Apdrošināšanas  asociācija </w:t>
            </w:r>
          </w:p>
        </w:tc>
      </w:tr>
      <w:tr w:rsidR="00FA2D2B" w:rsidRPr="00FA2D2B" w14:paraId="4A881479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C78C85" w14:textId="77777777" w:rsidR="00CD526E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66807D" w14:textId="77777777" w:rsidR="00E5323B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5C21C3" w14:textId="33F9F567" w:rsidR="00E5323B" w:rsidRPr="00FA2D2B" w:rsidRDefault="00165F86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Nav </w:t>
            </w:r>
          </w:p>
        </w:tc>
      </w:tr>
    </w:tbl>
    <w:p w14:paraId="61864F9B" w14:textId="77777777" w:rsidR="00E5323B" w:rsidRPr="00FA2D2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FA2D2B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A2D2B" w:rsidRPr="00FA2D2B" w14:paraId="7E9386F9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8CB7E" w14:textId="77777777" w:rsidR="00CD526E" w:rsidRPr="00FA2D2B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FA2D2B" w:rsidRPr="00FA2D2B" w14:paraId="5B24AD8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DF55D" w14:textId="77777777" w:rsidR="00CD526E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AAFB2E" w14:textId="77777777" w:rsidR="00E5323B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mērķgrupas, kuras tiesiskais regulējums ietekmē vai varētu ietekmēt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36C272" w14:textId="37525C3E" w:rsidR="00E5323B" w:rsidRPr="00FA2D2B" w:rsidRDefault="000B39FF" w:rsidP="000B3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attiecināms uz nekustamā īpašuma darījum</w:t>
            </w:r>
            <w:r w:rsidR="00607CB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starpniekiem, t.i. fiziskām vai juridiskām personām, kas sniedz nekustamā īpašuma darījum</w:t>
            </w:r>
            <w:r w:rsidR="005A284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u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starpniecības pakalpojumus un  ir reģistrētas nekustamā īpašuma darījumu starpnieku reģistrā. </w:t>
            </w:r>
          </w:p>
          <w:p w14:paraId="1272DA12" w14:textId="5D646F7D" w:rsidR="000B39FF" w:rsidRPr="00FA2D2B" w:rsidRDefault="000B39FF" w:rsidP="000B39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Saskaņā ar likum</w:t>
            </w:r>
            <w:r w:rsidR="00310890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anotācijā sniegto </w:t>
            </w:r>
            <w:r w:rsidR="00486FCD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informāciju uz 2018.gada 31.decembri Valsts ieņēmumu dienesta uzraudzībā bija 1612 aģenti vai starpnieki darījumos ar nekustamo īpašumu. Laika posmā no 2018.gada 1.janvāra līdz 2018.gada 31.decembrim 73 nodokļu maksātāji reģistrējuši da</w:t>
            </w:r>
            <w:r w:rsidR="00EF64C5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rbības veidu aģenta vai starpnieka pakalpojumi darījumos ar nekustamo īpašumu. </w:t>
            </w:r>
          </w:p>
        </w:tc>
      </w:tr>
      <w:tr w:rsidR="00FA2D2B" w:rsidRPr="00C50E1A" w14:paraId="132F78D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219E03" w14:textId="77777777" w:rsidR="00CD526E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B792A3" w14:textId="77777777" w:rsidR="00E5323B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Tiesiskā regulējuma ietekme uz tautsaimniecību un administratīvo slogu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2813DDF" w14:textId="0C0A64B8" w:rsidR="00E5323B" w:rsidRPr="00DD7D3B" w:rsidRDefault="00784B0D" w:rsidP="00C42F5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E65">
              <w:rPr>
                <w:rFonts w:ascii="Times New Roman" w:hAnsi="Times New Roman" w:cs="Times New Roman"/>
                <w:sz w:val="24"/>
                <w:szCs w:val="24"/>
              </w:rPr>
              <w:t>Tiesiskā regulējuma finansiālā ietekme būs uz nekustamā īpašuma darījumu starpniekiem, kas sniedz nekustamā īpašuma darījum</w:t>
            </w:r>
            <w:r w:rsidR="00F44BDA" w:rsidRPr="002F7E6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2F7E65">
              <w:rPr>
                <w:rFonts w:ascii="Times New Roman" w:hAnsi="Times New Roman" w:cs="Times New Roman"/>
                <w:sz w:val="24"/>
                <w:szCs w:val="24"/>
              </w:rPr>
              <w:t xml:space="preserve"> starpniecības pakalpojumus. Viena nekustamā īpašuma darījum</w:t>
            </w:r>
            <w:r w:rsidR="00F44BDA" w:rsidRPr="00DD7D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DD7D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D7D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starpnieka tiešās finansiālās izmaksas jeb apdrošinātājam maksājamās prēmijas orientējošās izmaksas, apdrošinot civiltiesisko atbildību </w:t>
            </w:r>
            <w:r w:rsidR="00F44BDA" w:rsidRPr="00C50E1A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r w:rsidRPr="00C50E1A">
              <w:rPr>
                <w:rFonts w:ascii="Times New Roman" w:hAnsi="Times New Roman" w:cs="Times New Roman"/>
                <w:sz w:val="24"/>
                <w:szCs w:val="24"/>
              </w:rPr>
              <w:t xml:space="preserve"> minimālo </w:t>
            </w:r>
            <w:r w:rsidR="00F44BDA" w:rsidRPr="00C50E1A">
              <w:rPr>
                <w:rFonts w:ascii="Times New Roman" w:hAnsi="Times New Roman" w:cs="Times New Roman"/>
                <w:sz w:val="24"/>
                <w:szCs w:val="24"/>
              </w:rPr>
              <w:t xml:space="preserve">atbildības limitu </w:t>
            </w:r>
            <w:r w:rsidR="00B70137" w:rsidRPr="00C50E1A">
              <w:rPr>
                <w:rFonts w:ascii="Times New Roman" w:hAnsi="Times New Roman" w:cs="Times New Roman"/>
                <w:sz w:val="24"/>
                <w:szCs w:val="24"/>
              </w:rPr>
              <w:t xml:space="preserve">50 000 </w:t>
            </w:r>
            <w:proofErr w:type="spellStart"/>
            <w:r w:rsidRPr="00C50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C50E1A">
              <w:rPr>
                <w:rFonts w:ascii="Times New Roman" w:hAnsi="Times New Roman" w:cs="Times New Roman"/>
                <w:sz w:val="24"/>
                <w:szCs w:val="24"/>
              </w:rPr>
              <w:t xml:space="preserve"> gad</w:t>
            </w:r>
            <w:r w:rsidR="00F44BDA" w:rsidRPr="00C50E1A">
              <w:rPr>
                <w:rFonts w:ascii="Times New Roman" w:hAnsi="Times New Roman" w:cs="Times New Roman"/>
                <w:sz w:val="24"/>
                <w:szCs w:val="24"/>
              </w:rPr>
              <w:t>ā</w:t>
            </w:r>
            <w:r w:rsidR="00612138" w:rsidRPr="00C50E1A">
              <w:rPr>
                <w:rFonts w:ascii="Times New Roman" w:hAnsi="Times New Roman" w:cs="Times New Roman"/>
                <w:sz w:val="24"/>
                <w:szCs w:val="24"/>
              </w:rPr>
              <w:t xml:space="preserve"> un iekļaujot tajā </w:t>
            </w:r>
            <w:r w:rsidR="00FA2D2B" w:rsidRPr="00C50E1A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612138" w:rsidRPr="00C50E1A">
              <w:rPr>
                <w:rFonts w:ascii="Times New Roman" w:hAnsi="Times New Roman" w:cs="Times New Roman"/>
                <w:sz w:val="24"/>
                <w:szCs w:val="24"/>
              </w:rPr>
              <w:t xml:space="preserve">oteikumu projektā noteiktos </w:t>
            </w:r>
            <w:r w:rsidR="00A426F7" w:rsidRPr="00C50E1A">
              <w:rPr>
                <w:rFonts w:ascii="Times New Roman" w:hAnsi="Times New Roman" w:cs="Times New Roman"/>
                <w:sz w:val="24"/>
                <w:szCs w:val="24"/>
              </w:rPr>
              <w:t>obligātos</w:t>
            </w:r>
            <w:r w:rsidR="00F43E45" w:rsidRPr="00C5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E1A">
              <w:rPr>
                <w:rFonts w:ascii="Times New Roman" w:hAnsi="Times New Roman" w:cs="Times New Roman"/>
                <w:sz w:val="24"/>
                <w:szCs w:val="24"/>
              </w:rPr>
              <w:t>atlīdzināmos zaudējumus</w:t>
            </w:r>
            <w:r w:rsidR="00DC5822" w:rsidRPr="00C50E1A">
              <w:rPr>
                <w:rFonts w:ascii="Times New Roman" w:hAnsi="Times New Roman" w:cs="Times New Roman"/>
                <w:sz w:val="24"/>
                <w:szCs w:val="24"/>
              </w:rPr>
              <w:t>, kurus nekustamā īpašuma darījumu starpnieks</w:t>
            </w:r>
            <w:r w:rsidR="00BD59F9" w:rsidRPr="00C50E1A">
              <w:rPr>
                <w:rFonts w:ascii="Times New Roman" w:hAnsi="Times New Roman" w:cs="Times New Roman"/>
                <w:sz w:val="24"/>
                <w:szCs w:val="24"/>
              </w:rPr>
              <w:t xml:space="preserve"> obligāti</w:t>
            </w:r>
            <w:r w:rsidR="00DC5822" w:rsidRPr="00C50E1A">
              <w:rPr>
                <w:rFonts w:ascii="Times New Roman" w:hAnsi="Times New Roman" w:cs="Times New Roman"/>
                <w:sz w:val="24"/>
                <w:szCs w:val="24"/>
              </w:rPr>
              <w:t xml:space="preserve"> apdrošina</w:t>
            </w:r>
            <w:r w:rsidRPr="00C5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5822" w:rsidRPr="00C50E1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D1371" w:rsidRPr="00C50E1A">
              <w:rPr>
                <w:rFonts w:ascii="Times New Roman" w:hAnsi="Times New Roman" w:cs="Times New Roman"/>
                <w:sz w:val="24"/>
                <w:szCs w:val="24"/>
              </w:rPr>
              <w:t xml:space="preserve">fiziskai personai </w:t>
            </w:r>
            <w:r w:rsidRPr="00C50E1A">
              <w:rPr>
                <w:rFonts w:ascii="Times New Roman" w:hAnsi="Times New Roman" w:cs="Times New Roman"/>
                <w:sz w:val="24"/>
                <w:szCs w:val="24"/>
              </w:rPr>
              <w:t>vērtējamas</w:t>
            </w:r>
            <w:r w:rsidR="00960772" w:rsidRPr="00C50E1A">
              <w:rPr>
                <w:rFonts w:ascii="Times New Roman" w:hAnsi="Times New Roman" w:cs="Times New Roman"/>
                <w:sz w:val="24"/>
                <w:szCs w:val="24"/>
              </w:rPr>
              <w:t xml:space="preserve"> provizoriski</w:t>
            </w:r>
            <w:r w:rsidRPr="00C5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71" w:rsidRPr="00C50E1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960772" w:rsidRPr="00C50E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50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Pr="002F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55" w:rsidRPr="002F7E65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  <w:r w:rsidRPr="002F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1371" w:rsidRPr="002F7E65">
              <w:rPr>
                <w:rFonts w:ascii="Times New Roman" w:hAnsi="Times New Roman" w:cs="Times New Roman"/>
                <w:sz w:val="24"/>
                <w:szCs w:val="24"/>
              </w:rPr>
              <w:t xml:space="preserve">un juridiskai personai </w:t>
            </w:r>
            <w:r w:rsidR="00612138" w:rsidRPr="00C50E1A">
              <w:rPr>
                <w:rFonts w:ascii="Times New Roman" w:hAnsi="Times New Roman" w:cs="Times New Roman"/>
                <w:sz w:val="24"/>
                <w:szCs w:val="24"/>
              </w:rPr>
              <w:t xml:space="preserve">700 </w:t>
            </w:r>
            <w:proofErr w:type="spellStart"/>
            <w:r w:rsidR="00612138" w:rsidRPr="00C50E1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euro</w:t>
            </w:r>
            <w:proofErr w:type="spellEnd"/>
            <w:r w:rsidR="00612138" w:rsidRPr="002F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2F55" w:rsidRPr="002F7E65">
              <w:rPr>
                <w:rFonts w:ascii="Times New Roman" w:hAnsi="Times New Roman" w:cs="Times New Roman"/>
                <w:sz w:val="24"/>
                <w:szCs w:val="24"/>
              </w:rPr>
              <w:t>gadā</w:t>
            </w:r>
            <w:r w:rsidR="00612138" w:rsidRPr="002F7E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7E65">
              <w:rPr>
                <w:rFonts w:ascii="Times New Roman" w:hAnsi="Times New Roman" w:cs="Times New Roman"/>
                <w:sz w:val="24"/>
                <w:szCs w:val="24"/>
              </w:rPr>
              <w:t xml:space="preserve">(atkarībā no </w:t>
            </w:r>
            <w:r w:rsidRPr="00DD7D3B">
              <w:rPr>
                <w:rFonts w:ascii="Times New Roman" w:hAnsi="Times New Roman" w:cs="Times New Roman"/>
                <w:sz w:val="24"/>
                <w:szCs w:val="24"/>
              </w:rPr>
              <w:t>apdrošinātāju piedāvājuma).</w:t>
            </w:r>
          </w:p>
        </w:tc>
      </w:tr>
      <w:tr w:rsidR="00FA2D2B" w:rsidRPr="00FA2D2B" w14:paraId="45DB5EF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F3CA2DC" w14:textId="77777777" w:rsidR="00CD526E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lastRenderedPageBreak/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408CF6" w14:textId="77777777" w:rsidR="00E5323B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Administratīvo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6FFD5B" w14:textId="63CF75C7" w:rsidR="006611B9" w:rsidRPr="00FA2D2B" w:rsidRDefault="00C52B7E" w:rsidP="00C5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Administratīvais slogs palielinās </w:t>
            </w:r>
            <w:r w:rsidR="006611B9" w:rsidRPr="00FA2D2B">
              <w:rPr>
                <w:rFonts w:ascii="Times New Roman" w:hAnsi="Times New Roman" w:cs="Times New Roman"/>
                <w:sz w:val="24"/>
                <w:szCs w:val="24"/>
              </w:rPr>
              <w:t>nekustamā īpašuma darījumu starpniekiem</w:t>
            </w:r>
            <w:r w:rsidR="00F25A32" w:rsidRPr="00FA2D2B">
              <w:rPr>
                <w:rFonts w:ascii="Times New Roman" w:hAnsi="Times New Roman" w:cs="Times New Roman"/>
                <w:sz w:val="24"/>
                <w:szCs w:val="24"/>
              </w:rPr>
              <w:t xml:space="preserve">, kuriem turpmāk visu savu darbības laiku nepieciešams uzturēt </w:t>
            </w:r>
            <w:r w:rsidR="00F25A32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civiltiesiskās atbildības apdrošināšanas līgumu. </w:t>
            </w:r>
          </w:p>
          <w:p w14:paraId="28E64CE7" w14:textId="5788473A" w:rsidR="00562667" w:rsidRPr="002F7E65" w:rsidRDefault="00562667" w:rsidP="00C5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Ņemot vērā, ka mērķa grupas lokā nav iespējams precīzi identificēt juridisko un fizisko personu skaitu administratīvā sloga aprēķinam tiek </w:t>
            </w:r>
            <w:r w:rsidRPr="002F7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izmantotas vidējās apdrošināšanas polises izmaksas, kas ir </w:t>
            </w:r>
            <w:r w:rsidRPr="00C50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500 </w:t>
            </w:r>
            <w:r w:rsidRPr="00C50E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Pr="002F7E6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</w:p>
          <w:p w14:paraId="0000B680" w14:textId="77777777" w:rsidR="00363422" w:rsidRPr="00DD7D3B" w:rsidRDefault="00363422" w:rsidP="00C5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7834E1A" w14:textId="0F68DB2D" w:rsidR="00363422" w:rsidRPr="00FA2D2B" w:rsidRDefault="00562667" w:rsidP="005626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C50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2 418 000</w:t>
            </w:r>
            <w:r w:rsidRPr="00C50E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="00363422" w:rsidRPr="00C50E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363422" w:rsidRPr="00C50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=(</w:t>
            </w:r>
            <w:r w:rsidRPr="00C50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500</w:t>
            </w:r>
            <w:r w:rsidR="009B1678" w:rsidRPr="00C50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63422" w:rsidRPr="00C50E1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r w:rsidR="00363422" w:rsidRPr="00C50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C50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  <w:r w:rsidR="009B1678" w:rsidRPr="00C50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63422" w:rsidRPr="00C50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3h)</w:t>
            </w:r>
            <w:r w:rsidR="009B1678" w:rsidRPr="00C50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63422" w:rsidRPr="00C50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  <w:r w:rsidR="009B1678" w:rsidRPr="00C50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63422" w:rsidRPr="00C50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(1612</w:t>
            </w:r>
            <w:r w:rsidR="009B1678" w:rsidRPr="00C50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63422" w:rsidRPr="00C50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x</w:t>
            </w:r>
            <w:r w:rsidR="009B1678" w:rsidRPr="00C50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 </w:t>
            </w:r>
            <w:r w:rsidR="00363422" w:rsidRPr="00C50E1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1)</w:t>
            </w:r>
          </w:p>
          <w:p w14:paraId="6A684776" w14:textId="77777777" w:rsidR="00363422" w:rsidRPr="00FA2D2B" w:rsidRDefault="00363422" w:rsidP="00C52B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9220B54" w14:textId="77777777" w:rsidR="00F25A32" w:rsidRPr="00FA2D2B" w:rsidRDefault="00F25A32" w:rsidP="00F25A3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2D2B">
              <w:rPr>
                <w:rFonts w:ascii="Times New Roman" w:hAnsi="Times New Roman" w:cs="Times New Roman"/>
                <w:sz w:val="20"/>
                <w:szCs w:val="20"/>
              </w:rPr>
              <w:t>C = (f x l) x (n x b), kur</w:t>
            </w:r>
          </w:p>
          <w:p w14:paraId="5A19945E" w14:textId="77777777" w:rsidR="00F25A32" w:rsidRPr="00FA2D2B" w:rsidRDefault="00F25A32" w:rsidP="00F25A32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</w:pPr>
            <w:r w:rsidRPr="00FA2D2B">
              <w:t>C – informācijas sniegšanas pienākuma radītās izmaksas jeb administratīvās izmaksas;</w:t>
            </w:r>
          </w:p>
          <w:p w14:paraId="225DC7D8" w14:textId="77777777" w:rsidR="00F25A32" w:rsidRPr="00FA2D2B" w:rsidRDefault="00F25A32" w:rsidP="00F25A32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</w:pPr>
            <w:r w:rsidRPr="00FA2D2B">
              <w:t>f – finanšu līdzekļu apjoms, kas nepieciešams, lai nodrošinātu projektā paredzētā informācijas sniegšanas pienākuma izpildi (stundas samaksas likme, ieskaitot virsstundas vai stundas limitu ārējo pakalpojumu sniedzējiem, ja tādi ir);</w:t>
            </w:r>
          </w:p>
          <w:p w14:paraId="02C88051" w14:textId="77777777" w:rsidR="00F25A32" w:rsidRPr="00FA2D2B" w:rsidRDefault="00F25A32" w:rsidP="00F25A32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</w:pPr>
            <w:r w:rsidRPr="00FA2D2B">
              <w:t>l – laika patēriņš, kas nepieciešams, lai sagatavotu informāciju, kuras sniegšanu paredz projekts;</w:t>
            </w:r>
          </w:p>
          <w:p w14:paraId="60EF448B" w14:textId="77777777" w:rsidR="00F25A32" w:rsidRPr="00FA2D2B" w:rsidRDefault="00F25A32" w:rsidP="00F25A32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</w:pPr>
            <w:r w:rsidRPr="00FA2D2B">
              <w:t>n – subjektu skaits, uz ko attiecas projektā paredzētās informācijas sniegšanas prasības;</w:t>
            </w:r>
          </w:p>
          <w:p w14:paraId="6B6CBEAA" w14:textId="0F6FFC73" w:rsidR="00E5323B" w:rsidRPr="00830CFA" w:rsidRDefault="00F25A32" w:rsidP="00830CFA">
            <w:pPr>
              <w:pStyle w:val="tv213"/>
              <w:shd w:val="clear" w:color="auto" w:fill="FFFFFF"/>
              <w:spacing w:before="0" w:beforeAutospacing="0" w:after="0" w:afterAutospacing="0" w:line="293" w:lineRule="atLeast"/>
              <w:ind w:firstLine="300"/>
              <w:jc w:val="both"/>
            </w:pPr>
            <w:r w:rsidRPr="00FA2D2B">
              <w:t>b – cik bieži gada laikā projekts paredz informācijas sniegšanu.</w:t>
            </w:r>
          </w:p>
        </w:tc>
      </w:tr>
      <w:tr w:rsidR="00FA2D2B" w:rsidRPr="00FA2D2B" w14:paraId="219DE67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D80B05" w14:textId="77777777" w:rsidR="00CD526E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2B82FF" w14:textId="77777777" w:rsidR="00E5323B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4D7C13" w14:textId="4015627C" w:rsidR="00562667" w:rsidRPr="00FA2D2B" w:rsidRDefault="00562667" w:rsidP="005626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Atbilstības izmaksu monetārs novērtējums mērķa grupai ik gadu 2 418 000</w:t>
            </w:r>
            <w:r w:rsidRPr="00FA2D2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euro. </w:t>
            </w:r>
          </w:p>
        </w:tc>
      </w:tr>
      <w:tr w:rsidR="00FA2D2B" w:rsidRPr="00FA2D2B" w14:paraId="4CE5AB9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9ECC3A" w14:textId="77777777" w:rsidR="00CD526E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  <w:t>5.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DAFFB" w14:textId="77777777" w:rsidR="00E5323B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24DAAC" w14:textId="55034DFC" w:rsidR="00E5323B" w:rsidRPr="00FA2D2B" w:rsidRDefault="001161FA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Nav.  </w:t>
            </w:r>
          </w:p>
        </w:tc>
      </w:tr>
    </w:tbl>
    <w:p w14:paraId="21F46EB0" w14:textId="77777777" w:rsidR="00E5323B" w:rsidRPr="00FA2D2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FA2D2B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p w14:paraId="1A8B5A6A" w14:textId="77777777" w:rsidR="00D83E37" w:rsidRPr="00FA2D2B" w:rsidRDefault="00D83E37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A2D2B" w:rsidRPr="00FA2D2B" w14:paraId="40E80EBD" w14:textId="77777777" w:rsidTr="00387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F65A03" w14:textId="77777777" w:rsidR="00D83E37" w:rsidRPr="00830CFA" w:rsidRDefault="00D83E37" w:rsidP="0083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30CFA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III. Tiesību akta projekta ietekme uz valsts budžetu un pašvaldību budžetiem</w:t>
            </w:r>
          </w:p>
        </w:tc>
      </w:tr>
      <w:tr w:rsidR="00830CFA" w:rsidRPr="00FA2D2B" w14:paraId="66F4B025" w14:textId="77777777" w:rsidTr="0038729A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9E7B7F" w14:textId="1925568B" w:rsidR="00830CFA" w:rsidRPr="00830CFA" w:rsidRDefault="00830CFA" w:rsidP="00830C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830CFA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 xml:space="preserve">am nav ietekme uz valsts un pašvaldību budžetiem. </w:t>
            </w:r>
          </w:p>
        </w:tc>
      </w:tr>
    </w:tbl>
    <w:p w14:paraId="2FBB0C30" w14:textId="77777777" w:rsidR="00D83E37" w:rsidRPr="00FA2D2B" w:rsidRDefault="00D83E37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</w:p>
    <w:p w14:paraId="4164B23D" w14:textId="48DF525C" w:rsidR="00E5323B" w:rsidRPr="00FA2D2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A2D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> 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A2D2B" w:rsidRPr="00FA2D2B" w14:paraId="32E19D8E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16A5C0" w14:textId="77777777" w:rsidR="00CD526E" w:rsidRPr="00FA2D2B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FA2D2B" w:rsidRPr="00FA2D2B" w14:paraId="29ED1D85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660C28" w14:textId="629A8E70" w:rsidR="001B6A66" w:rsidRPr="00FA2D2B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1F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089239A2" w14:textId="77777777" w:rsidR="00E5323B" w:rsidRPr="00FA2D2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A2D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FA2D2B" w:rsidRPr="00FA2D2B" w14:paraId="291AEB9D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B9A5CF" w14:textId="77777777" w:rsidR="00CD526E" w:rsidRPr="00FA2D2B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FA2D2B" w:rsidRPr="00FA2D2B" w14:paraId="562A5E5C" w14:textId="77777777" w:rsidTr="00E5323B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CDB1CB" w14:textId="70F3BCE5" w:rsidR="001B6A66" w:rsidRPr="00FA2D2B" w:rsidRDefault="001B6A66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Projekts šo jomu neskar</w:t>
            </w:r>
            <w:r w:rsidR="001F5A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lv-LV"/>
              </w:rPr>
              <w:t>.</w:t>
            </w:r>
          </w:p>
        </w:tc>
      </w:tr>
    </w:tbl>
    <w:p w14:paraId="3272D04E" w14:textId="77777777" w:rsidR="00E5323B" w:rsidRPr="00FA2D2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</w:pPr>
      <w:r w:rsidRPr="00FA2D2B">
        <w:rPr>
          <w:rFonts w:ascii="Times New Roman" w:eastAsia="Times New Roman" w:hAnsi="Times New Roman" w:cs="Times New Roman"/>
          <w:iCs/>
          <w:sz w:val="24"/>
          <w:szCs w:val="24"/>
          <w:lang w:val="en-US"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A2D2B" w:rsidRPr="00FA2D2B" w14:paraId="2662EB3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E14DA" w14:textId="77777777" w:rsidR="00CD526E" w:rsidRPr="00FA2D2B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FA2D2B" w:rsidRPr="00FA2D2B" w14:paraId="0548FE97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BE5F50B" w14:textId="77777777" w:rsidR="00CD526E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687F3" w14:textId="77777777" w:rsidR="00E5323B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Plānotās sabiedrības līdzdalības un komunikācijas aktivitātes saistībā ar projektu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CA7721" w14:textId="7994F90E" w:rsidR="00E5323B" w:rsidRPr="00FA2D2B" w:rsidRDefault="00F2589A" w:rsidP="00F258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projekta izstrādes gaitā ir notikušas konsultācijas ar  Latvijas nekustamo īpašumu darījumu asociāciju LANĪDA</w:t>
            </w:r>
            <w:r w:rsidR="00583ABD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un Latvijas apdrošinātāju asociāciju. 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FA2D2B" w:rsidRPr="00FA2D2B" w14:paraId="1E15A330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5B92E9" w14:textId="77777777" w:rsidR="00CD526E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01FED5B" w14:textId="77777777" w:rsidR="00E5323B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 projekta izstrādē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FE4D53" w14:textId="77777777" w:rsidR="005E1685" w:rsidRPr="00FA2D2B" w:rsidRDefault="0043545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tiks ievietots</w:t>
            </w:r>
            <w:r w:rsidR="005E1685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:</w:t>
            </w:r>
          </w:p>
          <w:p w14:paraId="40291B22" w14:textId="3A676073" w:rsidR="00E5323B" w:rsidRPr="00FA2D2B" w:rsidRDefault="00435454" w:rsidP="005E16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Ekonomikas ministrijas </w:t>
            </w:r>
            <w:r w:rsidR="005E1685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tīmekļa vietnē sadaļā “Sabiedrības līdzdalība” - diskusiju dokumenti. 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  <w:p w14:paraId="23E18770" w14:textId="4DF3FCA4" w:rsidR="005E1685" w:rsidRPr="00FA2D2B" w:rsidRDefault="005E1685" w:rsidP="005E1685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Ministru kabineta tīmekļa vietnē “Sabiedrības līdzdalība” – “Ministru kabineta diskusiju </w:t>
            </w:r>
            <w:r w:rsidR="008E04BD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dokumenti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”. </w:t>
            </w:r>
          </w:p>
        </w:tc>
      </w:tr>
      <w:tr w:rsidR="00FA2D2B" w:rsidRPr="00FA2D2B" w14:paraId="728431FD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23790" w14:textId="77777777" w:rsidR="00CD526E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BA61F6" w14:textId="77777777" w:rsidR="00E5323B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Sabiedrības līdzdalības rezultāti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4CDB41" w14:textId="4B620811" w:rsidR="00E5323B" w:rsidRPr="00FA2D2B" w:rsidRDefault="008E04B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Tiks precizēts pēc sabiedrības līdzdalības. </w:t>
            </w:r>
          </w:p>
        </w:tc>
      </w:tr>
      <w:tr w:rsidR="00FA2D2B" w:rsidRPr="00FA2D2B" w14:paraId="2084A852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47EADF8" w14:textId="77777777" w:rsidR="00CD526E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4F510" w14:textId="77777777" w:rsidR="00E5323B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A24DA" w14:textId="0867CF55" w:rsidR="00E5323B" w:rsidRPr="00FA2D2B" w:rsidRDefault="008E04B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Nav. </w:t>
            </w:r>
          </w:p>
        </w:tc>
      </w:tr>
    </w:tbl>
    <w:p w14:paraId="1C3A2590" w14:textId="77777777" w:rsidR="00E5323B" w:rsidRPr="00FA2D2B" w:rsidRDefault="00E5323B" w:rsidP="00E5323B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</w:pPr>
      <w:r w:rsidRPr="00FA2D2B">
        <w:rPr>
          <w:rFonts w:ascii="Times New Roman" w:eastAsia="Times New Roman" w:hAnsi="Times New Roman" w:cs="Times New Roman"/>
          <w:iCs/>
          <w:sz w:val="24"/>
          <w:szCs w:val="24"/>
          <w:lang w:eastAsia="lv-LV"/>
        </w:rPr>
        <w:t xml:space="preserve">  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81"/>
        <w:gridCol w:w="3068"/>
        <w:gridCol w:w="5406"/>
      </w:tblGrid>
      <w:tr w:rsidR="00FA2D2B" w:rsidRPr="00FA2D2B" w14:paraId="3F8E2A24" w14:textId="77777777" w:rsidTr="00E5323B">
        <w:trPr>
          <w:tblCellSpacing w:w="15" w:type="dxa"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FBBA2" w14:textId="77777777" w:rsidR="00CD526E" w:rsidRPr="00FA2D2B" w:rsidRDefault="00E5323B" w:rsidP="001B6A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FA2D2B" w:rsidRPr="00FA2D2B" w14:paraId="36084E75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F37D52" w14:textId="77777777" w:rsidR="00CD526E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1B8F40" w14:textId="77777777" w:rsidR="00E5323B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izpildē iesaistītās institūcijas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5369A2" w14:textId="2AEBEB21" w:rsidR="00E5323B" w:rsidRPr="00FA2D2B" w:rsidRDefault="00AC245D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Ekonomikas ministrija</w:t>
            </w:r>
          </w:p>
        </w:tc>
      </w:tr>
      <w:tr w:rsidR="00FA2D2B" w:rsidRPr="00FA2D2B" w14:paraId="3F47991E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B6B9D7" w14:textId="77777777" w:rsidR="00CD526E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04570E" w14:textId="77777777" w:rsidR="00E5323B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Projekta izpildes ietekme uz pārvaldes funkcijām un institucionālo struktūru.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br/>
              <w:t>Jaunu institūciju izveide, esošu institūciju likvidācija vai reorganizācija, to ietekme uz institūcijas cilvēkresursiem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8C87EF" w14:textId="2940BEFC" w:rsidR="00E5323B" w:rsidRPr="00FA2D2B" w:rsidRDefault="004A16FF" w:rsidP="008F33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Noteikumu projekts tiešā veidā neietekmē pārvaldes funkcijas, taču likumprojektā Ekonomikas ministrijai tiek paredzētas jaunas funkcijas</w:t>
            </w:r>
            <w:r w:rsidR="008F33C4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, kas saistītas ar lēmuma pieņemšanu par nekustamā īpašum</w:t>
            </w:r>
            <w:r w:rsidR="00B25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8F33C4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darījumu  starpnieku reģistrēšanu vai izslēgšanu no reģistra, </w:t>
            </w:r>
            <w:r w:rsidR="00ED06F0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nekustamā īpašum</w:t>
            </w:r>
            <w:r w:rsidR="00B25AFA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a</w:t>
            </w:r>
            <w:r w:rsidR="00ED06F0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darījumu starpnieku </w:t>
            </w:r>
            <w:r w:rsidR="008F33C4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reģistra </w:t>
            </w:r>
            <w:r w:rsidR="00ED06F0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uzturēšanu un </w:t>
            </w:r>
            <w:r w:rsidR="008F33C4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aktualizēšanu, </w:t>
            </w:r>
            <w:r w:rsidR="00ED06F0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kā arī </w:t>
            </w:r>
            <w:r w:rsidR="008F33C4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sūdzību izskatīšanu par nekustamā īpašuma darījumu </w:t>
            </w:r>
            <w:r w:rsidR="00EC4892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starpnieku</w:t>
            </w:r>
            <w:r w:rsidR="008F33C4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darbību</w:t>
            </w:r>
            <w:r w:rsidR="00ED06F0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. </w:t>
            </w:r>
            <w:r w:rsidR="008F33C4"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 xml:space="preserve"> </w:t>
            </w:r>
          </w:p>
        </w:tc>
      </w:tr>
      <w:tr w:rsidR="00E5323B" w:rsidRPr="00FA2D2B" w14:paraId="40D67CE6" w14:textId="77777777" w:rsidTr="00E5323B">
        <w:trPr>
          <w:tblCellSpacing w:w="15" w:type="dxa"/>
        </w:trPr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8C9DDB4" w14:textId="77777777" w:rsidR="00CD526E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4B1902" w14:textId="77777777" w:rsidR="00E5323B" w:rsidRPr="00FA2D2B" w:rsidRDefault="00E5323B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3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0B3AAA" w14:textId="573F2E88" w:rsidR="00E5323B" w:rsidRPr="00FA2D2B" w:rsidRDefault="008F33C4" w:rsidP="00E5323B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  <w:r w:rsidRPr="00FA2D2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Nav.</w:t>
            </w:r>
          </w:p>
        </w:tc>
      </w:tr>
    </w:tbl>
    <w:p w14:paraId="7F826808" w14:textId="77777777" w:rsidR="00C25B49" w:rsidRPr="00FA2D2B" w:rsidRDefault="00C25B49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8DDEB00" w14:textId="77777777" w:rsidR="00E5323B" w:rsidRPr="00FA2D2B" w:rsidRDefault="00E5323B" w:rsidP="00894C5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8D2EA7" w14:textId="1EE6264B" w:rsidR="00894C55" w:rsidRPr="00FA2D2B" w:rsidRDefault="00E73D4E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FA2D2B">
        <w:rPr>
          <w:rFonts w:ascii="Times New Roman" w:hAnsi="Times New Roman" w:cs="Times New Roman"/>
          <w:sz w:val="28"/>
          <w:szCs w:val="28"/>
        </w:rPr>
        <w:t>Ekonomikas</w:t>
      </w:r>
      <w:r w:rsidR="00894C55" w:rsidRPr="00FA2D2B">
        <w:rPr>
          <w:rFonts w:ascii="Times New Roman" w:hAnsi="Times New Roman" w:cs="Times New Roman"/>
          <w:sz w:val="28"/>
          <w:szCs w:val="28"/>
        </w:rPr>
        <w:t xml:space="preserve"> ministrs</w:t>
      </w:r>
      <w:r w:rsidR="00894C55" w:rsidRPr="00FA2D2B">
        <w:rPr>
          <w:rFonts w:ascii="Times New Roman" w:hAnsi="Times New Roman" w:cs="Times New Roman"/>
          <w:sz w:val="28"/>
          <w:szCs w:val="28"/>
        </w:rPr>
        <w:tab/>
      </w:r>
      <w:r w:rsidRPr="00FA2D2B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8A4B2C" w:rsidRPr="00FA2D2B">
        <w:rPr>
          <w:rFonts w:ascii="Times New Roman" w:hAnsi="Times New Roman" w:cs="Times New Roman"/>
          <w:sz w:val="28"/>
          <w:szCs w:val="28"/>
        </w:rPr>
        <w:t>J.Vitenbergs</w:t>
      </w:r>
      <w:proofErr w:type="spellEnd"/>
      <w:r w:rsidR="008A4B2C" w:rsidRPr="00FA2D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43735E" w14:textId="77777777" w:rsidR="00894C55" w:rsidRPr="00FA2D2B" w:rsidRDefault="00894C55" w:rsidP="00894C55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26BCD0A" w14:textId="77777777" w:rsidR="00894C55" w:rsidRPr="00FA2D2B" w:rsidRDefault="00894C55" w:rsidP="00C26AB1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A5ECDA" w14:textId="77777777" w:rsidR="00894C55" w:rsidRPr="00FA2D2B" w:rsidRDefault="00894C55" w:rsidP="00894C55">
      <w:pPr>
        <w:tabs>
          <w:tab w:val="left" w:pos="6237"/>
        </w:tabs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</w:p>
    <w:p w14:paraId="547C101B" w14:textId="1D365FA1" w:rsidR="00894C55" w:rsidRPr="00FA2D2B" w:rsidRDefault="00E73D4E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2D2B">
        <w:rPr>
          <w:rFonts w:ascii="Times New Roman" w:hAnsi="Times New Roman" w:cs="Times New Roman"/>
          <w:sz w:val="20"/>
          <w:szCs w:val="20"/>
        </w:rPr>
        <w:t>Baltābola</w:t>
      </w:r>
      <w:r w:rsidR="00D133F8" w:rsidRPr="00FA2D2B">
        <w:rPr>
          <w:rFonts w:ascii="Times New Roman" w:hAnsi="Times New Roman" w:cs="Times New Roman"/>
          <w:sz w:val="20"/>
          <w:szCs w:val="20"/>
        </w:rPr>
        <w:t xml:space="preserve"> </w:t>
      </w:r>
      <w:r w:rsidRPr="00FA2D2B">
        <w:rPr>
          <w:rFonts w:ascii="Times New Roman" w:hAnsi="Times New Roman" w:cs="Times New Roman"/>
          <w:sz w:val="20"/>
          <w:szCs w:val="20"/>
        </w:rPr>
        <w:t>67013271</w:t>
      </w:r>
    </w:p>
    <w:p w14:paraId="3682BC64" w14:textId="3B013024" w:rsidR="00894C55" w:rsidRPr="00FA2D2B" w:rsidRDefault="00505BFF" w:rsidP="00894C55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8" w:history="1">
        <w:r w:rsidR="00E73D4E" w:rsidRPr="00FA2D2B">
          <w:rPr>
            <w:rStyle w:val="Hyperlink"/>
            <w:rFonts w:ascii="Times New Roman" w:hAnsi="Times New Roman" w:cs="Times New Roman"/>
            <w:color w:val="auto"/>
            <w:sz w:val="20"/>
            <w:szCs w:val="20"/>
          </w:rPr>
          <w:t>Ilze.Baltabola@em.gov.lv</w:t>
        </w:r>
      </w:hyperlink>
      <w:r w:rsidR="00E73D4E" w:rsidRPr="00FA2D2B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94C55" w:rsidRPr="00FA2D2B" w:rsidSect="00A77BDE">
      <w:headerReference w:type="default" r:id="rId9"/>
      <w:footerReference w:type="default" r:id="rId10"/>
      <w:footerReference w:type="firs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09528" w14:textId="77777777" w:rsidR="00505BFF" w:rsidRDefault="00505BFF" w:rsidP="00894C55">
      <w:pPr>
        <w:spacing w:after="0" w:line="240" w:lineRule="auto"/>
      </w:pPr>
      <w:r>
        <w:separator/>
      </w:r>
    </w:p>
  </w:endnote>
  <w:endnote w:type="continuationSeparator" w:id="0">
    <w:p w14:paraId="03ACBE54" w14:textId="77777777" w:rsidR="00505BFF" w:rsidRDefault="00505BFF" w:rsidP="0089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1786C9" w14:textId="58A0ABF7" w:rsidR="00894C55" w:rsidRPr="00894C55" w:rsidRDefault="002F1BA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</w:t>
    </w:r>
    <w:r w:rsidR="009A2654">
      <w:rPr>
        <w:rFonts w:ascii="Times New Roman" w:hAnsi="Times New Roman" w:cs="Times New Roman"/>
        <w:sz w:val="20"/>
        <w:szCs w:val="20"/>
      </w:rPr>
      <w:t>anot_</w:t>
    </w:r>
    <w:r w:rsidR="005C1703">
      <w:rPr>
        <w:rFonts w:ascii="Times New Roman" w:hAnsi="Times New Roman" w:cs="Times New Roman"/>
        <w:sz w:val="20"/>
        <w:szCs w:val="20"/>
      </w:rPr>
      <w:t>1206</w:t>
    </w:r>
    <w:r w:rsidR="00830CFA">
      <w:rPr>
        <w:rFonts w:ascii="Times New Roman" w:hAnsi="Times New Roman" w:cs="Times New Roman"/>
        <w:sz w:val="20"/>
        <w:szCs w:val="20"/>
      </w:rPr>
      <w:t>20</w:t>
    </w:r>
    <w:r w:rsidR="009A2654">
      <w:rPr>
        <w:rFonts w:ascii="Times New Roman" w:hAnsi="Times New Roman" w:cs="Times New Roman"/>
        <w:sz w:val="20"/>
        <w:szCs w:val="20"/>
      </w:rPr>
      <w:t>_</w:t>
    </w:r>
    <w:r w:rsidR="00C26AB1">
      <w:rPr>
        <w:rFonts w:ascii="Times New Roman" w:hAnsi="Times New Roman" w:cs="Times New Roman"/>
        <w:sz w:val="20"/>
        <w:szCs w:val="20"/>
      </w:rPr>
      <w:t>starp_apdr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B78CF0" w14:textId="28E7A8EB" w:rsidR="009A2654" w:rsidRPr="009A2654" w:rsidRDefault="002F1BA5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EM</w:t>
    </w:r>
    <w:r w:rsidR="009A2654">
      <w:rPr>
        <w:rFonts w:ascii="Times New Roman" w:hAnsi="Times New Roman" w:cs="Times New Roman"/>
        <w:sz w:val="20"/>
        <w:szCs w:val="20"/>
      </w:rPr>
      <w:t>anot_</w:t>
    </w:r>
    <w:r w:rsidR="005C1703">
      <w:rPr>
        <w:rFonts w:ascii="Times New Roman" w:hAnsi="Times New Roman" w:cs="Times New Roman"/>
        <w:sz w:val="20"/>
        <w:szCs w:val="20"/>
      </w:rPr>
      <w:t>1206</w:t>
    </w:r>
    <w:r w:rsidR="00B70137">
      <w:rPr>
        <w:rFonts w:ascii="Times New Roman" w:hAnsi="Times New Roman" w:cs="Times New Roman"/>
        <w:sz w:val="20"/>
        <w:szCs w:val="20"/>
      </w:rPr>
      <w:t>20</w:t>
    </w:r>
    <w:r>
      <w:rPr>
        <w:rFonts w:ascii="Times New Roman" w:hAnsi="Times New Roman" w:cs="Times New Roman"/>
        <w:sz w:val="20"/>
        <w:szCs w:val="20"/>
      </w:rPr>
      <w:t>_starp</w:t>
    </w:r>
    <w:r w:rsidR="00C26AB1">
      <w:rPr>
        <w:rFonts w:ascii="Times New Roman" w:hAnsi="Times New Roman" w:cs="Times New Roman"/>
        <w:sz w:val="20"/>
        <w:szCs w:val="20"/>
      </w:rPr>
      <w:t>_apdr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918CEE" w14:textId="77777777" w:rsidR="00505BFF" w:rsidRDefault="00505BFF" w:rsidP="00894C55">
      <w:pPr>
        <w:spacing w:after="0" w:line="240" w:lineRule="auto"/>
      </w:pPr>
      <w:r>
        <w:separator/>
      </w:r>
    </w:p>
  </w:footnote>
  <w:footnote w:type="continuationSeparator" w:id="0">
    <w:p w14:paraId="4ADD6D40" w14:textId="77777777" w:rsidR="00505BFF" w:rsidRDefault="00505BFF" w:rsidP="00894C55">
      <w:pPr>
        <w:spacing w:after="0" w:line="240" w:lineRule="auto"/>
      </w:pPr>
      <w:r>
        <w:continuationSeparator/>
      </w:r>
    </w:p>
  </w:footnote>
  <w:footnote w:id="1">
    <w:p w14:paraId="5DA954A3" w14:textId="77777777" w:rsidR="0086200A" w:rsidRDefault="0086200A" w:rsidP="0086200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>
          <w:rPr>
            <w:rStyle w:val="Hyperlink"/>
          </w:rPr>
          <w:t>http://kadastralavertiba.lv/nitis/publish_statistika_objekts_summa_gads.html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598569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0"/>
      </w:rPr>
    </w:sdtEndPr>
    <w:sdtContent>
      <w:p w14:paraId="03B37999" w14:textId="524696A6" w:rsidR="00894C55" w:rsidRPr="00C25B49" w:rsidRDefault="00CD526E">
        <w:pPr>
          <w:pStyle w:val="Header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C25B49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="00894C55" w:rsidRPr="00C25B49">
          <w:rPr>
            <w:rFonts w:ascii="Times New Roman" w:hAnsi="Times New Roman" w:cs="Times New Roman"/>
            <w:sz w:val="24"/>
            <w:szCs w:val="20"/>
          </w:rPr>
          <w:instrText xml:space="preserve"> PAGE   \* MERGEFORMAT </w:instrText>
        </w:r>
        <w:r w:rsidRPr="00C25B49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2E02D4">
          <w:rPr>
            <w:rFonts w:ascii="Times New Roman" w:hAnsi="Times New Roman" w:cs="Times New Roman"/>
            <w:noProof/>
            <w:sz w:val="24"/>
            <w:szCs w:val="20"/>
          </w:rPr>
          <w:t>5</w:t>
        </w:r>
        <w:r w:rsidRPr="00C25B49">
          <w:rPr>
            <w:rFonts w:ascii="Times New Roman" w:hAnsi="Times New Roman" w:cs="Times New Roman"/>
            <w:noProof/>
            <w:sz w:val="24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F7248"/>
    <w:multiLevelType w:val="hybridMultilevel"/>
    <w:tmpl w:val="6F209C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6733E"/>
    <w:multiLevelType w:val="hybridMultilevel"/>
    <w:tmpl w:val="D1D0D5AE"/>
    <w:lvl w:ilvl="0" w:tplc="9496D0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A670A"/>
    <w:multiLevelType w:val="multilevel"/>
    <w:tmpl w:val="3A2C2362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C55"/>
    <w:rsid w:val="0002353A"/>
    <w:rsid w:val="000B39FF"/>
    <w:rsid w:val="000C41B5"/>
    <w:rsid w:val="000D3F90"/>
    <w:rsid w:val="000E3DDF"/>
    <w:rsid w:val="0010005E"/>
    <w:rsid w:val="001069DD"/>
    <w:rsid w:val="001161FA"/>
    <w:rsid w:val="00146AC1"/>
    <w:rsid w:val="001476F8"/>
    <w:rsid w:val="00164599"/>
    <w:rsid w:val="00165F86"/>
    <w:rsid w:val="00172595"/>
    <w:rsid w:val="001B6A66"/>
    <w:rsid w:val="001F5AA6"/>
    <w:rsid w:val="00202313"/>
    <w:rsid w:val="00226C60"/>
    <w:rsid w:val="00243426"/>
    <w:rsid w:val="002C7F39"/>
    <w:rsid w:val="002E02D4"/>
    <w:rsid w:val="002E1C05"/>
    <w:rsid w:val="002E2391"/>
    <w:rsid w:val="002E4865"/>
    <w:rsid w:val="002F1BA5"/>
    <w:rsid w:val="002F46A5"/>
    <w:rsid w:val="002F7E65"/>
    <w:rsid w:val="00310890"/>
    <w:rsid w:val="00363422"/>
    <w:rsid w:val="003816DA"/>
    <w:rsid w:val="0038617F"/>
    <w:rsid w:val="003A0892"/>
    <w:rsid w:val="003A34F7"/>
    <w:rsid w:val="003B0BF9"/>
    <w:rsid w:val="003B0C2D"/>
    <w:rsid w:val="003B4E62"/>
    <w:rsid w:val="003E0791"/>
    <w:rsid w:val="003F28AC"/>
    <w:rsid w:val="00401D18"/>
    <w:rsid w:val="00423075"/>
    <w:rsid w:val="00425DDE"/>
    <w:rsid w:val="00431771"/>
    <w:rsid w:val="00433D55"/>
    <w:rsid w:val="00435454"/>
    <w:rsid w:val="004454FE"/>
    <w:rsid w:val="00456E40"/>
    <w:rsid w:val="00471F27"/>
    <w:rsid w:val="00486FCD"/>
    <w:rsid w:val="004A16FF"/>
    <w:rsid w:val="004E49BD"/>
    <w:rsid w:val="004F4B84"/>
    <w:rsid w:val="0050178F"/>
    <w:rsid w:val="00505BFF"/>
    <w:rsid w:val="00546AD6"/>
    <w:rsid w:val="00562667"/>
    <w:rsid w:val="00562B12"/>
    <w:rsid w:val="00583ABD"/>
    <w:rsid w:val="00584EE3"/>
    <w:rsid w:val="00592141"/>
    <w:rsid w:val="005A2842"/>
    <w:rsid w:val="005C1703"/>
    <w:rsid w:val="005E1685"/>
    <w:rsid w:val="00607CB1"/>
    <w:rsid w:val="00612138"/>
    <w:rsid w:val="006611B9"/>
    <w:rsid w:val="0066371E"/>
    <w:rsid w:val="00686881"/>
    <w:rsid w:val="006A51C3"/>
    <w:rsid w:val="006B0FD7"/>
    <w:rsid w:val="006C3935"/>
    <w:rsid w:val="006C403A"/>
    <w:rsid w:val="006E1081"/>
    <w:rsid w:val="0070544D"/>
    <w:rsid w:val="00720503"/>
    <w:rsid w:val="00720585"/>
    <w:rsid w:val="00751E1F"/>
    <w:rsid w:val="007607A3"/>
    <w:rsid w:val="00773AF6"/>
    <w:rsid w:val="00784B0D"/>
    <w:rsid w:val="00795F71"/>
    <w:rsid w:val="007B3F80"/>
    <w:rsid w:val="007C2D5F"/>
    <w:rsid w:val="007C40AC"/>
    <w:rsid w:val="007E73AB"/>
    <w:rsid w:val="008010BC"/>
    <w:rsid w:val="00812294"/>
    <w:rsid w:val="00816C11"/>
    <w:rsid w:val="008264F9"/>
    <w:rsid w:val="00830CFA"/>
    <w:rsid w:val="0086200A"/>
    <w:rsid w:val="00874DD8"/>
    <w:rsid w:val="00876DA8"/>
    <w:rsid w:val="008845E1"/>
    <w:rsid w:val="00894C55"/>
    <w:rsid w:val="008A4B2C"/>
    <w:rsid w:val="008B5FFB"/>
    <w:rsid w:val="008C030B"/>
    <w:rsid w:val="008E04BD"/>
    <w:rsid w:val="008E1EF9"/>
    <w:rsid w:val="008F036C"/>
    <w:rsid w:val="008F0C3A"/>
    <w:rsid w:val="008F33C4"/>
    <w:rsid w:val="008F617C"/>
    <w:rsid w:val="00903A77"/>
    <w:rsid w:val="00920425"/>
    <w:rsid w:val="00921473"/>
    <w:rsid w:val="00935157"/>
    <w:rsid w:val="00960772"/>
    <w:rsid w:val="00993AAE"/>
    <w:rsid w:val="009A2654"/>
    <w:rsid w:val="009A46B5"/>
    <w:rsid w:val="009A4B46"/>
    <w:rsid w:val="009B1678"/>
    <w:rsid w:val="009E067B"/>
    <w:rsid w:val="009E1AA1"/>
    <w:rsid w:val="00A10FC3"/>
    <w:rsid w:val="00A331BF"/>
    <w:rsid w:val="00A426F7"/>
    <w:rsid w:val="00A6073E"/>
    <w:rsid w:val="00A77BDE"/>
    <w:rsid w:val="00A91557"/>
    <w:rsid w:val="00A9597C"/>
    <w:rsid w:val="00A96552"/>
    <w:rsid w:val="00AB178E"/>
    <w:rsid w:val="00AC245D"/>
    <w:rsid w:val="00AC335D"/>
    <w:rsid w:val="00AC5280"/>
    <w:rsid w:val="00AD1371"/>
    <w:rsid w:val="00AE2E69"/>
    <w:rsid w:val="00AE5567"/>
    <w:rsid w:val="00B16480"/>
    <w:rsid w:val="00B20856"/>
    <w:rsid w:val="00B2165C"/>
    <w:rsid w:val="00B25AFA"/>
    <w:rsid w:val="00B70137"/>
    <w:rsid w:val="00BA20AA"/>
    <w:rsid w:val="00BD4425"/>
    <w:rsid w:val="00BD59F9"/>
    <w:rsid w:val="00C25B49"/>
    <w:rsid w:val="00C26AB1"/>
    <w:rsid w:val="00C42F55"/>
    <w:rsid w:val="00C50E1A"/>
    <w:rsid w:val="00C52B7E"/>
    <w:rsid w:val="00C979EF"/>
    <w:rsid w:val="00CD526E"/>
    <w:rsid w:val="00CE5657"/>
    <w:rsid w:val="00CF08D4"/>
    <w:rsid w:val="00CF6538"/>
    <w:rsid w:val="00D10656"/>
    <w:rsid w:val="00D133F8"/>
    <w:rsid w:val="00D14A3E"/>
    <w:rsid w:val="00D24E84"/>
    <w:rsid w:val="00D83E37"/>
    <w:rsid w:val="00DA36B7"/>
    <w:rsid w:val="00DC5822"/>
    <w:rsid w:val="00DD7D3B"/>
    <w:rsid w:val="00E166EC"/>
    <w:rsid w:val="00E3716B"/>
    <w:rsid w:val="00E51880"/>
    <w:rsid w:val="00E5323B"/>
    <w:rsid w:val="00E73D4E"/>
    <w:rsid w:val="00E8749E"/>
    <w:rsid w:val="00E90C01"/>
    <w:rsid w:val="00E97DA9"/>
    <w:rsid w:val="00EA486E"/>
    <w:rsid w:val="00EB504F"/>
    <w:rsid w:val="00EC4892"/>
    <w:rsid w:val="00ED06F0"/>
    <w:rsid w:val="00EE0298"/>
    <w:rsid w:val="00EF311A"/>
    <w:rsid w:val="00EF64C5"/>
    <w:rsid w:val="00F2589A"/>
    <w:rsid w:val="00F25A32"/>
    <w:rsid w:val="00F43E45"/>
    <w:rsid w:val="00F44BDA"/>
    <w:rsid w:val="00F57B0C"/>
    <w:rsid w:val="00FA2D2B"/>
    <w:rsid w:val="00FB1EAA"/>
    <w:rsid w:val="00FF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142F72"/>
  <w15:docId w15:val="{AAF447BA-F64F-4945-8FB0-B310C1DE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E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abojumupamats">
    <w:name w:val="labojumu_pamats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894C55"/>
  </w:style>
  <w:style w:type="character" w:styleId="Hyperlink">
    <w:name w:val="Hyperlink"/>
    <w:basedOn w:val="DefaultParagraphFont"/>
    <w:uiPriority w:val="99"/>
    <w:unhideWhenUsed/>
    <w:rsid w:val="00894C55"/>
    <w:rPr>
      <w:color w:val="0000FF"/>
      <w:u w:val="single"/>
    </w:rPr>
  </w:style>
  <w:style w:type="paragraph" w:customStyle="1" w:styleId="tvhtml">
    <w:name w:val="tv_html"/>
    <w:basedOn w:val="Normal"/>
    <w:rsid w:val="0089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4C55"/>
  </w:style>
  <w:style w:type="paragraph" w:styleId="Footer">
    <w:name w:val="footer"/>
    <w:basedOn w:val="Normal"/>
    <w:link w:val="FooterChar"/>
    <w:uiPriority w:val="99"/>
    <w:unhideWhenUsed/>
    <w:rsid w:val="00894C5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4C55"/>
  </w:style>
  <w:style w:type="character" w:styleId="PlaceholderText">
    <w:name w:val="Placeholder Text"/>
    <w:basedOn w:val="DefaultParagraphFont"/>
    <w:uiPriority w:val="99"/>
    <w:semiHidden/>
    <w:rsid w:val="00E90C01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3E079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C2D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73D4E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nhideWhenUsed/>
    <w:rsid w:val="002E23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E23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E239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108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08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08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08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0890"/>
    <w:rPr>
      <w:b/>
      <w:bCs/>
      <w:sz w:val="20"/>
      <w:szCs w:val="20"/>
    </w:rPr>
  </w:style>
  <w:style w:type="paragraph" w:customStyle="1" w:styleId="tv213">
    <w:name w:val="tv213"/>
    <w:basedOn w:val="Normal"/>
    <w:rsid w:val="00AB17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89154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1011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1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8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13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lze.Baltabola@e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kadastralavertiba.lv/nitis/publish_statistika_objekts_summa_gad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1CA3-4577-4628-9FC0-6736CD4EC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5357</Words>
  <Characters>3054</Characters>
  <Application>Microsoft Office Word</Application>
  <DocSecurity>0</DocSecurity>
  <Lines>25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Tiesību akta nosaukums</vt:lpstr>
    </vt:vector>
  </TitlesOfParts>
  <Company>Iestādes nosaukums</Company>
  <LinksUpToDate>false</LinksUpToDate>
  <CharactersWithSpaces>8395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Tiesību akta nosaukums</dc:title>
  <dc:subject>Anotācija</dc:subject>
  <dc:creator>Vārds Uzvārds</dc:creator>
  <dc:description>67012345, vards.uzvards@mk.gov.lv</dc:description>
  <cp:lastModifiedBy>Jekaterina Borovika</cp:lastModifiedBy>
  <cp:revision>2</cp:revision>
  <dcterms:created xsi:type="dcterms:W3CDTF">2020-06-16T11:24:00Z</dcterms:created>
  <dcterms:modified xsi:type="dcterms:W3CDTF">2020-06-16T11:24:00Z</dcterms:modified>
</cp:coreProperties>
</file>