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28" w:type="dxa"/>
          <w:left w:w="28" w:type="dxa"/>
          <w:bottom w:w="28" w:type="dxa"/>
          <w:right w:w="28" w:type="dxa"/>
        </w:tblCellMar>
        <w:tblLook w:val="04A0" w:firstRow="1" w:lastRow="0" w:firstColumn="1" w:lastColumn="0" w:noHBand="0" w:noVBand="1"/>
      </w:tblPr>
      <w:tblGrid>
        <w:gridCol w:w="1637"/>
        <w:gridCol w:w="2899"/>
        <w:gridCol w:w="2944"/>
        <w:gridCol w:w="1591"/>
      </w:tblGrid>
      <w:tr w:rsidR="002D1F3F" w:rsidRPr="00267630" w14:paraId="39C23FEB" w14:textId="77777777" w:rsidTr="000538A2">
        <w:tc>
          <w:tcPr>
            <w:tcW w:w="2500" w:type="pct"/>
            <w:gridSpan w:val="2"/>
          </w:tcPr>
          <w:p w14:paraId="69BDE9A9" w14:textId="77777777" w:rsidR="002D1F3F" w:rsidRPr="00267630" w:rsidRDefault="002D1F3F" w:rsidP="00267630">
            <w:pPr>
              <w:pStyle w:val="BodyText"/>
              <w:widowControl w:val="0"/>
              <w:spacing w:after="0"/>
              <w:rPr>
                <w:rFonts w:cs="Times New Roman"/>
                <w:noProof/>
                <w:lang w:val="en-US"/>
              </w:rPr>
            </w:pPr>
          </w:p>
        </w:tc>
        <w:tc>
          <w:tcPr>
            <w:tcW w:w="2500" w:type="pct"/>
            <w:gridSpan w:val="2"/>
          </w:tcPr>
          <w:p w14:paraId="35B9F394" w14:textId="77777777" w:rsidR="002D1F3F" w:rsidRPr="00267630" w:rsidRDefault="002D1F3F" w:rsidP="00267630">
            <w:pPr>
              <w:pStyle w:val="DraftDate"/>
              <w:widowControl w:val="0"/>
              <w:jc w:val="both"/>
              <w:rPr>
                <w:rFonts w:cs="Times New Roman"/>
                <w:noProof/>
                <w:sz w:val="24"/>
                <w:lang w:val="en-US"/>
              </w:rPr>
            </w:pPr>
          </w:p>
        </w:tc>
      </w:tr>
      <w:tr w:rsidR="000538A2" w:rsidRPr="00267630" w14:paraId="4BB574F6" w14:textId="77777777" w:rsidTr="000538A2">
        <w:trPr>
          <w:gridAfter w:val="2"/>
          <w:wAfter w:w="2500" w:type="pct"/>
        </w:trPr>
        <w:tc>
          <w:tcPr>
            <w:tcW w:w="2500" w:type="pct"/>
            <w:gridSpan w:val="2"/>
          </w:tcPr>
          <w:p w14:paraId="6C1AFB53" w14:textId="77777777" w:rsidR="000538A2" w:rsidRPr="00267630" w:rsidRDefault="000538A2" w:rsidP="00267630">
            <w:pPr>
              <w:widowControl w:val="0"/>
              <w:spacing w:after="0"/>
              <w:rPr>
                <w:rFonts w:cs="Times New Roman"/>
                <w:noProof/>
                <w:lang w:val="en-US"/>
              </w:rPr>
            </w:pPr>
          </w:p>
        </w:tc>
      </w:tr>
      <w:tr w:rsidR="002D1F3F" w:rsidRPr="00267630" w14:paraId="519AD750" w14:textId="77777777" w:rsidTr="000538A2">
        <w:tc>
          <w:tcPr>
            <w:tcW w:w="2500" w:type="pct"/>
            <w:gridSpan w:val="2"/>
          </w:tcPr>
          <w:p w14:paraId="55EB2593" w14:textId="77777777" w:rsidR="002D1F3F" w:rsidRDefault="002D1F3F" w:rsidP="00267630">
            <w:pPr>
              <w:widowControl w:val="0"/>
              <w:spacing w:after="0"/>
              <w:rPr>
                <w:rFonts w:cs="Times New Roman"/>
                <w:noProof/>
              </w:rPr>
            </w:pPr>
            <w:r>
              <w:rPr>
                <w:noProof/>
                <w:lang w:eastAsia="lv-LV" w:bidi="ar-SA"/>
              </w:rPr>
              <w:drawing>
                <wp:inline distT="0" distB="0" distL="0" distR="0" wp14:anchorId="7ECD33A0" wp14:editId="74431D63">
                  <wp:extent cx="1852295"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295" cy="1282700"/>
                          </a:xfrm>
                          <a:prstGeom prst="rect">
                            <a:avLst/>
                          </a:prstGeom>
                          <a:noFill/>
                          <a:ln>
                            <a:noFill/>
                          </a:ln>
                        </pic:spPr>
                      </pic:pic>
                    </a:graphicData>
                  </a:graphic>
                </wp:inline>
              </w:drawing>
            </w:r>
          </w:p>
          <w:p w14:paraId="0B54D3CB" w14:textId="109E1560" w:rsidR="003C6E72" w:rsidRPr="00267630" w:rsidRDefault="003C6E72" w:rsidP="00267630">
            <w:pPr>
              <w:widowControl w:val="0"/>
              <w:spacing w:after="0"/>
              <w:rPr>
                <w:rFonts w:cs="Times New Roman"/>
                <w:noProof/>
              </w:rPr>
            </w:pPr>
            <w:r>
              <w:t>Eiropas Komisija</w:t>
            </w:r>
          </w:p>
        </w:tc>
        <w:tc>
          <w:tcPr>
            <w:tcW w:w="2500" w:type="pct"/>
            <w:gridSpan w:val="2"/>
          </w:tcPr>
          <w:p w14:paraId="504DBEBA" w14:textId="77777777" w:rsidR="002D1F3F" w:rsidRPr="00267630" w:rsidRDefault="002D1F3F" w:rsidP="00267630">
            <w:pPr>
              <w:pStyle w:val="NormalRight"/>
              <w:widowControl w:val="0"/>
              <w:jc w:val="both"/>
              <w:rPr>
                <w:rFonts w:cs="Times New Roman"/>
                <w:noProof/>
                <w:lang w:val="en-US"/>
              </w:rPr>
            </w:pPr>
          </w:p>
        </w:tc>
      </w:tr>
      <w:tr w:rsidR="002D1F3F" w:rsidRPr="00267630" w14:paraId="6DBA4E6F" w14:textId="77777777" w:rsidTr="000538A2">
        <w:tc>
          <w:tcPr>
            <w:tcW w:w="5000" w:type="pct"/>
            <w:gridSpan w:val="4"/>
          </w:tcPr>
          <w:p w14:paraId="3C42E790" w14:textId="77777777" w:rsidR="002D1F3F" w:rsidRPr="00267630" w:rsidRDefault="002D1F3F" w:rsidP="00267630">
            <w:pPr>
              <w:pStyle w:val="Subtitle"/>
              <w:widowControl w:val="0"/>
              <w:tabs>
                <w:tab w:val="left" w:pos="5345"/>
              </w:tabs>
              <w:spacing w:after="0"/>
              <w:jc w:val="both"/>
              <w:rPr>
                <w:rFonts w:cs="Times New Roman"/>
                <w:noProof/>
                <w:lang w:val="en-US"/>
              </w:rPr>
            </w:pPr>
          </w:p>
        </w:tc>
      </w:tr>
      <w:tr w:rsidR="002D1F3F" w:rsidRPr="00267630" w14:paraId="3EBA3135" w14:textId="77777777" w:rsidTr="000538A2">
        <w:tc>
          <w:tcPr>
            <w:tcW w:w="5000" w:type="pct"/>
            <w:gridSpan w:val="4"/>
          </w:tcPr>
          <w:p w14:paraId="1F5FF156" w14:textId="77777777" w:rsidR="002D1F3F" w:rsidRPr="00267630" w:rsidRDefault="002D1F3F" w:rsidP="00267630">
            <w:pPr>
              <w:pStyle w:val="Subtitle"/>
              <w:widowControl w:val="0"/>
              <w:tabs>
                <w:tab w:val="left" w:pos="5345"/>
              </w:tabs>
              <w:spacing w:after="0"/>
              <w:jc w:val="both"/>
              <w:rPr>
                <w:rFonts w:cs="Times New Roman"/>
                <w:noProof/>
              </w:rPr>
            </w:pPr>
            <w:r>
              <w:tab/>
            </w:r>
          </w:p>
        </w:tc>
      </w:tr>
      <w:tr w:rsidR="002D1F3F" w:rsidRPr="00267630" w14:paraId="2014E289" w14:textId="77777777" w:rsidTr="000538A2">
        <w:tc>
          <w:tcPr>
            <w:tcW w:w="5000" w:type="pct"/>
            <w:gridSpan w:val="4"/>
          </w:tcPr>
          <w:p w14:paraId="07FE843E" w14:textId="3B28FE12" w:rsidR="002D1F3F" w:rsidRPr="00267630" w:rsidRDefault="002D1F3F" w:rsidP="003C6E72">
            <w:pPr>
              <w:pStyle w:val="Parties"/>
              <w:widowControl w:val="0"/>
              <w:spacing w:after="0"/>
              <w:rPr>
                <w:rFonts w:cs="Times New Roman"/>
                <w:b/>
                <w:bCs/>
                <w:noProof/>
              </w:rPr>
            </w:pPr>
            <w:r>
              <w:rPr>
                <w:b/>
                <w:bCs/>
              </w:rPr>
              <w:t>EIROPAS KOMISIJA</w:t>
            </w:r>
          </w:p>
          <w:p w14:paraId="7AE28D8C" w14:textId="77777777" w:rsidR="00267630" w:rsidRDefault="002D1F3F" w:rsidP="003C6E72">
            <w:pPr>
              <w:pStyle w:val="Parties"/>
              <w:widowControl w:val="0"/>
              <w:spacing w:after="0"/>
              <w:rPr>
                <w:rFonts w:cs="Times New Roman"/>
                <w:b/>
                <w:bCs/>
                <w:noProof/>
              </w:rPr>
            </w:pPr>
            <w:r>
              <w:rPr>
                <w:b/>
                <w:bCs/>
              </w:rPr>
              <w:t>un</w:t>
            </w:r>
          </w:p>
          <w:p w14:paraId="73FC0C0A" w14:textId="700139BC" w:rsidR="00267630" w:rsidRDefault="000538A2" w:rsidP="003C6E72">
            <w:pPr>
              <w:pStyle w:val="Parties"/>
              <w:widowControl w:val="0"/>
              <w:spacing w:after="0"/>
              <w:rPr>
                <w:rFonts w:cs="Times New Roman"/>
                <w:b/>
                <w:bCs/>
                <w:noProof/>
              </w:rPr>
            </w:pPr>
            <w:r>
              <w:rPr>
                <w:b/>
                <w:bCs/>
              </w:rPr>
              <w:t>Latvijas republika</w:t>
            </w:r>
          </w:p>
          <w:p w14:paraId="0B463967" w14:textId="77777777" w:rsidR="002D1F3F" w:rsidRPr="00267630" w:rsidRDefault="002D1F3F" w:rsidP="00267630">
            <w:pPr>
              <w:pStyle w:val="Parties"/>
              <w:widowControl w:val="0"/>
              <w:spacing w:after="0"/>
              <w:jc w:val="both"/>
              <w:rPr>
                <w:rFonts w:cs="Times New Roman"/>
                <w:b/>
                <w:bCs/>
                <w:noProof/>
                <w:lang w:val="en-US"/>
              </w:rPr>
            </w:pPr>
          </w:p>
        </w:tc>
      </w:tr>
      <w:tr w:rsidR="002D1F3F" w:rsidRPr="00267630" w14:paraId="7E743ABB" w14:textId="77777777" w:rsidTr="000538A2">
        <w:tc>
          <w:tcPr>
            <w:tcW w:w="902" w:type="pct"/>
            <w:vAlign w:val="center"/>
          </w:tcPr>
          <w:p w14:paraId="5C436B7F" w14:textId="77777777" w:rsidR="002D1F3F" w:rsidRPr="00267630" w:rsidRDefault="002D1F3F" w:rsidP="00267630">
            <w:pPr>
              <w:pStyle w:val="Parties"/>
              <w:widowControl w:val="0"/>
              <w:spacing w:after="0"/>
              <w:jc w:val="both"/>
              <w:rPr>
                <w:rFonts w:cs="Times New Roman"/>
                <w:noProof/>
                <w:lang w:val="en-US"/>
              </w:rPr>
            </w:pPr>
          </w:p>
        </w:tc>
        <w:tc>
          <w:tcPr>
            <w:tcW w:w="3221" w:type="pct"/>
            <w:gridSpan w:val="2"/>
            <w:vAlign w:val="center"/>
          </w:tcPr>
          <w:p w14:paraId="217FDD27" w14:textId="77777777" w:rsidR="002D1F3F" w:rsidRPr="00267630" w:rsidRDefault="002D1F3F" w:rsidP="00267630">
            <w:pPr>
              <w:pStyle w:val="Parties"/>
              <w:widowControl w:val="0"/>
              <w:spacing w:after="0"/>
              <w:jc w:val="both"/>
              <w:rPr>
                <w:rFonts w:cs="Times New Roman"/>
                <w:b/>
                <w:bCs/>
                <w:noProof/>
                <w:lang w:val="en-US"/>
              </w:rPr>
            </w:pPr>
          </w:p>
          <w:p w14:paraId="4153D7DE" w14:textId="605EFCAC" w:rsidR="002D1F3F" w:rsidRPr="00267630" w:rsidRDefault="002D1F3F" w:rsidP="003C6E72">
            <w:pPr>
              <w:pStyle w:val="Parties"/>
              <w:widowControl w:val="0"/>
              <w:spacing w:after="0"/>
              <w:rPr>
                <w:rFonts w:cs="Times New Roman"/>
                <w:b/>
                <w:bCs/>
                <w:noProof/>
              </w:rPr>
            </w:pPr>
            <w:r>
              <w:rPr>
                <w:b/>
                <w:bCs/>
              </w:rPr>
              <w:t xml:space="preserve">Brīvprātīgais garantijas līgums saskaņā ar </w:t>
            </w:r>
            <w:r w:rsidR="00D77935">
              <w:rPr>
                <w:b/>
                <w:bCs/>
              </w:rPr>
              <w:t xml:space="preserve">PADOMES </w:t>
            </w:r>
            <w:r>
              <w:rPr>
                <w:b/>
                <w:bCs/>
              </w:rPr>
              <w:t>Regulas</w:t>
            </w:r>
            <w:r w:rsidR="00D77935">
              <w:rPr>
                <w:b/>
                <w:bCs/>
              </w:rPr>
              <w:t> (es) 2020/672</w:t>
            </w:r>
            <w:r>
              <w:rPr>
                <w:b/>
                <w:bCs/>
              </w:rPr>
              <w:t xml:space="preserve"> 11. pantu</w:t>
            </w:r>
          </w:p>
          <w:p w14:paraId="488D2A0D" w14:textId="77777777" w:rsidR="002D1F3F" w:rsidRPr="00267630" w:rsidRDefault="002D1F3F" w:rsidP="003C6E72">
            <w:pPr>
              <w:pStyle w:val="Parties"/>
              <w:widowControl w:val="0"/>
              <w:spacing w:after="0"/>
              <w:rPr>
                <w:rFonts w:cs="Times New Roman"/>
                <w:b/>
                <w:bCs/>
                <w:noProof/>
                <w:lang w:val="en-US"/>
              </w:rPr>
            </w:pPr>
          </w:p>
          <w:p w14:paraId="28C1C38B" w14:textId="2C4B7258" w:rsidR="002D1F3F" w:rsidRPr="00267630" w:rsidRDefault="002D1F3F" w:rsidP="003C6E72">
            <w:pPr>
              <w:pStyle w:val="Parties"/>
              <w:widowControl w:val="0"/>
              <w:spacing w:after="0"/>
              <w:rPr>
                <w:rFonts w:cs="Times New Roman"/>
                <w:b/>
                <w:bCs/>
                <w:noProof/>
              </w:rPr>
            </w:pPr>
            <w:r>
              <w:rPr>
                <w:b/>
                <w:bCs/>
                <w:i/>
                <w:iCs/>
              </w:rPr>
              <w:t>SURE</w:t>
            </w:r>
            <w:r>
              <w:rPr>
                <w:b/>
                <w:bCs/>
              </w:rPr>
              <w:t> – Eiropas pagaidu atbalsta instruments bezdarba risku mazināšanai ārkārtas situācijā pēc COVID-19 uzliesmojuma</w:t>
            </w:r>
          </w:p>
        </w:tc>
        <w:tc>
          <w:tcPr>
            <w:tcW w:w="877" w:type="pct"/>
            <w:vAlign w:val="center"/>
          </w:tcPr>
          <w:p w14:paraId="2C777946" w14:textId="77777777" w:rsidR="002D1F3F" w:rsidRPr="00267630" w:rsidRDefault="002D1F3F" w:rsidP="00267630">
            <w:pPr>
              <w:pStyle w:val="Parties"/>
              <w:widowControl w:val="0"/>
              <w:spacing w:after="0"/>
              <w:jc w:val="both"/>
              <w:rPr>
                <w:rFonts w:cs="Times New Roman"/>
                <w:noProof/>
                <w:lang w:val="en-US"/>
              </w:rPr>
            </w:pPr>
          </w:p>
        </w:tc>
      </w:tr>
    </w:tbl>
    <w:p w14:paraId="4BFE2300" w14:textId="7F3E0426" w:rsidR="002D1F3F" w:rsidRDefault="002D1F3F" w:rsidP="00267630">
      <w:pPr>
        <w:widowControl w:val="0"/>
        <w:spacing w:after="0"/>
        <w:rPr>
          <w:rFonts w:cs="Times New Roman"/>
          <w:noProof/>
          <w:lang w:val="en-US"/>
        </w:rPr>
      </w:pPr>
    </w:p>
    <w:p w14:paraId="15CB1D4E" w14:textId="2C300457" w:rsidR="00267630" w:rsidRDefault="00267630" w:rsidP="00267630">
      <w:pPr>
        <w:spacing w:after="0"/>
        <w:jc w:val="left"/>
        <w:rPr>
          <w:rFonts w:cs="Times New Roman"/>
          <w:noProof/>
        </w:rPr>
      </w:pPr>
      <w:r>
        <w:br w:type="page"/>
      </w:r>
    </w:p>
    <w:p w14:paraId="1D22E922" w14:textId="77777777" w:rsidR="00267630" w:rsidRPr="00267630" w:rsidRDefault="00267630" w:rsidP="00267630">
      <w:pPr>
        <w:widowControl w:val="0"/>
        <w:spacing w:after="0"/>
        <w:rPr>
          <w:rFonts w:cs="Times New Roman"/>
          <w:noProof/>
          <w:lang w:val="en-US"/>
        </w:rPr>
      </w:pPr>
    </w:p>
    <w:p w14:paraId="7D42994B" w14:textId="17AD4B2C" w:rsidR="002D1F3F" w:rsidRPr="00267630" w:rsidRDefault="00267630" w:rsidP="00267630">
      <w:pPr>
        <w:widowControl w:val="0"/>
        <w:spacing w:after="0"/>
        <w:jc w:val="center"/>
        <w:rPr>
          <w:rFonts w:cs="Times New Roman"/>
          <w:b/>
          <w:bCs/>
          <w:noProof/>
        </w:rPr>
      </w:pPr>
      <w:r>
        <w:rPr>
          <w:b/>
          <w:bCs/>
        </w:rPr>
        <w:t>SATURS</w:t>
      </w:r>
    </w:p>
    <w:p w14:paraId="1F29BB55" w14:textId="08FAACD8" w:rsidR="00267630" w:rsidRDefault="00267630" w:rsidP="00267630">
      <w:pPr>
        <w:widowControl w:val="0"/>
        <w:spacing w:after="0"/>
        <w:rPr>
          <w:rFonts w:cs="Times New Roman"/>
          <w:noProof/>
          <w:lang w:val="en-US"/>
        </w:rPr>
      </w:pPr>
    </w:p>
    <w:p w14:paraId="007FA8BB" w14:textId="2439A44A" w:rsidR="00267630" w:rsidRPr="00267630" w:rsidRDefault="00267630" w:rsidP="00464DB5">
      <w:pPr>
        <w:widowControl w:val="0"/>
        <w:tabs>
          <w:tab w:val="left" w:pos="8222"/>
        </w:tabs>
        <w:spacing w:after="0"/>
        <w:rPr>
          <w:rFonts w:cs="Times New Roman"/>
          <w:noProof/>
        </w:rPr>
      </w:pPr>
      <w:r>
        <w:t>Punkts</w:t>
      </w:r>
      <w:r>
        <w:tab/>
        <w:t>Lappuse</w:t>
      </w:r>
    </w:p>
    <w:p w14:paraId="32CC005A" w14:textId="57364839" w:rsidR="00464DB5" w:rsidRDefault="00464DB5" w:rsidP="00267630">
      <w:pPr>
        <w:widowControl w:val="0"/>
        <w:spacing w:after="0"/>
        <w:rPr>
          <w:rFonts w:cs="Times New Roman"/>
          <w:noProof/>
          <w:lang w:val="en-US"/>
        </w:rPr>
      </w:pPr>
    </w:p>
    <w:sdt>
      <w:sdtPr>
        <w:rPr>
          <w:b w:val="0"/>
          <w:bCs w:val="0"/>
          <w:caps w:val="0"/>
        </w:rPr>
        <w:id w:val="1817922367"/>
        <w:docPartObj>
          <w:docPartGallery w:val="Table of Contents"/>
          <w:docPartUnique/>
        </w:docPartObj>
      </w:sdtPr>
      <w:sdtEndPr>
        <w:rPr>
          <w:noProof/>
        </w:rPr>
      </w:sdtEndPr>
      <w:sdtContent>
        <w:p w14:paraId="1291283B" w14:textId="279EBF6C" w:rsidR="00464DB5" w:rsidRDefault="00464DB5" w:rsidP="00464DB5">
          <w:pPr>
            <w:pStyle w:val="TOCHeading"/>
            <w:widowControl w:val="0"/>
            <w:tabs>
              <w:tab w:val="left" w:pos="709"/>
            </w:tabs>
            <w:spacing w:after="0"/>
            <w:jc w:val="both"/>
          </w:pPr>
        </w:p>
        <w:p w14:paraId="51A6913B" w14:textId="3A6C4C97" w:rsidR="00464DB5" w:rsidRDefault="00464DB5" w:rsidP="00464DB5">
          <w:pPr>
            <w:pStyle w:val="TOC1"/>
            <w:keepLines w:val="0"/>
            <w:widowControl w:val="0"/>
            <w:tabs>
              <w:tab w:val="left" w:pos="709"/>
            </w:tabs>
            <w:spacing w:before="0"/>
            <w:ind w:left="0" w:firstLine="0"/>
            <w:rPr>
              <w:rFonts w:asciiTheme="minorHAnsi" w:eastAsiaTheme="minorEastAsia" w:hAnsiTheme="minorHAnsi" w:cstheme="minorBidi"/>
              <w:noProof/>
              <w:snapToGrid/>
              <w:sz w:val="22"/>
              <w:szCs w:val="22"/>
              <w:lang w:eastAsia="lv-LV" w:bidi="ar-SA"/>
            </w:rPr>
          </w:pPr>
          <w:r>
            <w:fldChar w:fldCharType="begin"/>
          </w:r>
          <w:r>
            <w:instrText xml:space="preserve"> TOC \o "1-3" \h \z \u </w:instrText>
          </w:r>
          <w:r>
            <w:fldChar w:fldCharType="separate"/>
          </w:r>
          <w:hyperlink w:anchor="_Toc41037645" w:history="1">
            <w:r w:rsidRPr="00D550B6">
              <w:rPr>
                <w:rStyle w:val="Hyperlink"/>
                <w:noProof/>
              </w:rPr>
              <w:t>1.</w:t>
            </w:r>
            <w:r>
              <w:rPr>
                <w:rFonts w:asciiTheme="minorHAnsi" w:eastAsiaTheme="minorEastAsia" w:hAnsiTheme="minorHAnsi" w:cstheme="minorBidi"/>
                <w:noProof/>
                <w:snapToGrid/>
                <w:sz w:val="22"/>
                <w:szCs w:val="22"/>
                <w:lang w:eastAsia="lv-LV" w:bidi="ar-SA"/>
              </w:rPr>
              <w:tab/>
            </w:r>
            <w:r w:rsidRPr="00D550B6">
              <w:rPr>
                <w:rStyle w:val="Hyperlink"/>
                <w:noProof/>
              </w:rPr>
              <w:t>Garantija un kompensācija</w:t>
            </w:r>
            <w:r>
              <w:rPr>
                <w:noProof/>
                <w:webHidden/>
              </w:rPr>
              <w:tab/>
            </w:r>
            <w:r>
              <w:rPr>
                <w:noProof/>
                <w:webHidden/>
              </w:rPr>
              <w:fldChar w:fldCharType="begin"/>
            </w:r>
            <w:r>
              <w:rPr>
                <w:noProof/>
                <w:webHidden/>
              </w:rPr>
              <w:instrText xml:space="preserve"> PAGEREF _Toc41037645 \h </w:instrText>
            </w:r>
            <w:r>
              <w:rPr>
                <w:noProof/>
                <w:webHidden/>
              </w:rPr>
            </w:r>
            <w:r>
              <w:rPr>
                <w:noProof/>
                <w:webHidden/>
              </w:rPr>
              <w:fldChar w:fldCharType="separate"/>
            </w:r>
            <w:r>
              <w:rPr>
                <w:noProof/>
                <w:webHidden/>
              </w:rPr>
              <w:t>3</w:t>
            </w:r>
            <w:r>
              <w:rPr>
                <w:noProof/>
                <w:webHidden/>
              </w:rPr>
              <w:fldChar w:fldCharType="end"/>
            </w:r>
          </w:hyperlink>
        </w:p>
        <w:p w14:paraId="7E1E6FCD" w14:textId="42A95811" w:rsidR="00464DB5" w:rsidRDefault="000538A2" w:rsidP="00464DB5">
          <w:pPr>
            <w:pStyle w:val="TOC1"/>
            <w:keepLines w:val="0"/>
            <w:widowControl w:val="0"/>
            <w:tabs>
              <w:tab w:val="left" w:pos="709"/>
            </w:tabs>
            <w:spacing w:before="0"/>
            <w:ind w:left="0" w:firstLine="0"/>
            <w:rPr>
              <w:rFonts w:asciiTheme="minorHAnsi" w:eastAsiaTheme="minorEastAsia" w:hAnsiTheme="minorHAnsi" w:cstheme="minorBidi"/>
              <w:noProof/>
              <w:snapToGrid/>
              <w:sz w:val="22"/>
              <w:szCs w:val="22"/>
              <w:lang w:eastAsia="lv-LV" w:bidi="ar-SA"/>
            </w:rPr>
          </w:pPr>
          <w:hyperlink w:anchor="_Toc41037646" w:history="1">
            <w:r w:rsidR="00464DB5" w:rsidRPr="00D550B6">
              <w:rPr>
                <w:rStyle w:val="Hyperlink"/>
                <w:noProof/>
              </w:rPr>
              <w:t>2.</w:t>
            </w:r>
            <w:r w:rsidR="00464DB5">
              <w:rPr>
                <w:rFonts w:asciiTheme="minorHAnsi" w:eastAsiaTheme="minorEastAsia" w:hAnsiTheme="minorHAnsi" w:cstheme="minorBidi"/>
                <w:noProof/>
                <w:snapToGrid/>
                <w:sz w:val="22"/>
                <w:szCs w:val="22"/>
                <w:lang w:eastAsia="lv-LV" w:bidi="ar-SA"/>
              </w:rPr>
              <w:tab/>
            </w:r>
            <w:r w:rsidR="00464DB5" w:rsidRPr="00D550B6">
              <w:rPr>
                <w:rStyle w:val="Hyperlink"/>
                <w:noProof/>
              </w:rPr>
              <w:t>Tiesību saglabāšana</w:t>
            </w:r>
            <w:r w:rsidR="00464DB5">
              <w:rPr>
                <w:noProof/>
                <w:webHidden/>
              </w:rPr>
              <w:tab/>
            </w:r>
            <w:r w:rsidR="00464DB5">
              <w:rPr>
                <w:noProof/>
                <w:webHidden/>
              </w:rPr>
              <w:fldChar w:fldCharType="begin"/>
            </w:r>
            <w:r w:rsidR="00464DB5">
              <w:rPr>
                <w:noProof/>
                <w:webHidden/>
              </w:rPr>
              <w:instrText xml:space="preserve"> PAGEREF _Toc41037646 \h </w:instrText>
            </w:r>
            <w:r w:rsidR="00464DB5">
              <w:rPr>
                <w:noProof/>
                <w:webHidden/>
              </w:rPr>
            </w:r>
            <w:r w:rsidR="00464DB5">
              <w:rPr>
                <w:noProof/>
                <w:webHidden/>
              </w:rPr>
              <w:fldChar w:fldCharType="separate"/>
            </w:r>
            <w:r w:rsidR="00464DB5">
              <w:rPr>
                <w:noProof/>
                <w:webHidden/>
              </w:rPr>
              <w:t>6</w:t>
            </w:r>
            <w:r w:rsidR="00464DB5">
              <w:rPr>
                <w:noProof/>
                <w:webHidden/>
              </w:rPr>
              <w:fldChar w:fldCharType="end"/>
            </w:r>
          </w:hyperlink>
        </w:p>
        <w:p w14:paraId="70B416D6" w14:textId="404413C5" w:rsidR="00464DB5" w:rsidRDefault="000538A2" w:rsidP="00464DB5">
          <w:pPr>
            <w:pStyle w:val="TOC1"/>
            <w:keepLines w:val="0"/>
            <w:widowControl w:val="0"/>
            <w:tabs>
              <w:tab w:val="left" w:pos="709"/>
            </w:tabs>
            <w:spacing w:before="0"/>
            <w:ind w:left="0" w:firstLine="0"/>
            <w:rPr>
              <w:rFonts w:asciiTheme="minorHAnsi" w:eastAsiaTheme="minorEastAsia" w:hAnsiTheme="minorHAnsi" w:cstheme="minorBidi"/>
              <w:noProof/>
              <w:snapToGrid/>
              <w:sz w:val="22"/>
              <w:szCs w:val="22"/>
              <w:lang w:eastAsia="lv-LV" w:bidi="ar-SA"/>
            </w:rPr>
          </w:pPr>
          <w:hyperlink w:anchor="_Toc41037647" w:history="1">
            <w:r w:rsidR="00464DB5" w:rsidRPr="00D550B6">
              <w:rPr>
                <w:rStyle w:val="Hyperlink"/>
                <w:noProof/>
              </w:rPr>
              <w:t>3.</w:t>
            </w:r>
            <w:r w:rsidR="00464DB5">
              <w:rPr>
                <w:rFonts w:asciiTheme="minorHAnsi" w:eastAsiaTheme="minorEastAsia" w:hAnsiTheme="minorHAnsi" w:cstheme="minorBidi"/>
                <w:noProof/>
                <w:snapToGrid/>
                <w:sz w:val="22"/>
                <w:szCs w:val="22"/>
                <w:lang w:eastAsia="lv-LV" w:bidi="ar-SA"/>
              </w:rPr>
              <w:tab/>
            </w:r>
            <w:r w:rsidR="00464DB5" w:rsidRPr="00D550B6">
              <w:rPr>
                <w:rStyle w:val="Hyperlink"/>
                <w:noProof/>
              </w:rPr>
              <w:t>Informēšanas pienākumi</w:t>
            </w:r>
            <w:r w:rsidR="00464DB5">
              <w:rPr>
                <w:noProof/>
                <w:webHidden/>
              </w:rPr>
              <w:tab/>
            </w:r>
            <w:r w:rsidR="00464DB5">
              <w:rPr>
                <w:noProof/>
                <w:webHidden/>
              </w:rPr>
              <w:fldChar w:fldCharType="begin"/>
            </w:r>
            <w:r w:rsidR="00464DB5">
              <w:rPr>
                <w:noProof/>
                <w:webHidden/>
              </w:rPr>
              <w:instrText xml:space="preserve"> PAGEREF _Toc41037647 \h </w:instrText>
            </w:r>
            <w:r w:rsidR="00464DB5">
              <w:rPr>
                <w:noProof/>
                <w:webHidden/>
              </w:rPr>
            </w:r>
            <w:r w:rsidR="00464DB5">
              <w:rPr>
                <w:noProof/>
                <w:webHidden/>
              </w:rPr>
              <w:fldChar w:fldCharType="separate"/>
            </w:r>
            <w:r w:rsidR="00464DB5">
              <w:rPr>
                <w:noProof/>
                <w:webHidden/>
              </w:rPr>
              <w:t>7</w:t>
            </w:r>
            <w:r w:rsidR="00464DB5">
              <w:rPr>
                <w:noProof/>
                <w:webHidden/>
              </w:rPr>
              <w:fldChar w:fldCharType="end"/>
            </w:r>
          </w:hyperlink>
        </w:p>
        <w:p w14:paraId="47DD0A40" w14:textId="25D02F94" w:rsidR="00464DB5" w:rsidRDefault="000538A2" w:rsidP="00464DB5">
          <w:pPr>
            <w:pStyle w:val="TOC1"/>
            <w:keepLines w:val="0"/>
            <w:widowControl w:val="0"/>
            <w:tabs>
              <w:tab w:val="left" w:pos="709"/>
            </w:tabs>
            <w:spacing w:before="0"/>
            <w:ind w:left="0" w:firstLine="0"/>
            <w:rPr>
              <w:rFonts w:asciiTheme="minorHAnsi" w:eastAsiaTheme="minorEastAsia" w:hAnsiTheme="minorHAnsi" w:cstheme="minorBidi"/>
              <w:noProof/>
              <w:snapToGrid/>
              <w:sz w:val="22"/>
              <w:szCs w:val="22"/>
              <w:lang w:eastAsia="lv-LV" w:bidi="ar-SA"/>
            </w:rPr>
          </w:pPr>
          <w:hyperlink w:anchor="_Toc41037648" w:history="1">
            <w:r w:rsidR="00464DB5" w:rsidRPr="00D550B6">
              <w:rPr>
                <w:rStyle w:val="Hyperlink"/>
                <w:noProof/>
              </w:rPr>
              <w:t>4.</w:t>
            </w:r>
            <w:r w:rsidR="00464DB5">
              <w:rPr>
                <w:rFonts w:asciiTheme="minorHAnsi" w:eastAsiaTheme="minorEastAsia" w:hAnsiTheme="minorHAnsi" w:cstheme="minorBidi"/>
                <w:noProof/>
                <w:snapToGrid/>
                <w:sz w:val="22"/>
                <w:szCs w:val="22"/>
                <w:lang w:eastAsia="lv-LV" w:bidi="ar-SA"/>
              </w:rPr>
              <w:tab/>
            </w:r>
            <w:r w:rsidR="00464DB5" w:rsidRPr="00D550B6">
              <w:rPr>
                <w:rStyle w:val="Hyperlink"/>
                <w:noProof/>
              </w:rPr>
              <w:t>Garantijas līguma priekšrocības</w:t>
            </w:r>
            <w:r w:rsidR="00464DB5">
              <w:rPr>
                <w:noProof/>
                <w:webHidden/>
              </w:rPr>
              <w:tab/>
            </w:r>
            <w:r w:rsidR="00464DB5">
              <w:rPr>
                <w:noProof/>
                <w:webHidden/>
              </w:rPr>
              <w:fldChar w:fldCharType="begin"/>
            </w:r>
            <w:r w:rsidR="00464DB5">
              <w:rPr>
                <w:noProof/>
                <w:webHidden/>
              </w:rPr>
              <w:instrText xml:space="preserve"> PAGEREF _Toc41037648 \h </w:instrText>
            </w:r>
            <w:r w:rsidR="00464DB5">
              <w:rPr>
                <w:noProof/>
                <w:webHidden/>
              </w:rPr>
            </w:r>
            <w:r w:rsidR="00464DB5">
              <w:rPr>
                <w:noProof/>
                <w:webHidden/>
              </w:rPr>
              <w:fldChar w:fldCharType="separate"/>
            </w:r>
            <w:r w:rsidR="00464DB5">
              <w:rPr>
                <w:noProof/>
                <w:webHidden/>
              </w:rPr>
              <w:t>7</w:t>
            </w:r>
            <w:r w:rsidR="00464DB5">
              <w:rPr>
                <w:noProof/>
                <w:webHidden/>
              </w:rPr>
              <w:fldChar w:fldCharType="end"/>
            </w:r>
          </w:hyperlink>
        </w:p>
        <w:p w14:paraId="05DF127E" w14:textId="1C4392AD" w:rsidR="00464DB5" w:rsidRDefault="000538A2" w:rsidP="00464DB5">
          <w:pPr>
            <w:pStyle w:val="TOC1"/>
            <w:keepLines w:val="0"/>
            <w:widowControl w:val="0"/>
            <w:tabs>
              <w:tab w:val="left" w:pos="709"/>
            </w:tabs>
            <w:spacing w:before="0"/>
            <w:ind w:left="0" w:firstLine="0"/>
            <w:rPr>
              <w:rFonts w:asciiTheme="minorHAnsi" w:eastAsiaTheme="minorEastAsia" w:hAnsiTheme="minorHAnsi" w:cstheme="minorBidi"/>
              <w:noProof/>
              <w:snapToGrid/>
              <w:sz w:val="22"/>
              <w:szCs w:val="22"/>
              <w:lang w:eastAsia="lv-LV" w:bidi="ar-SA"/>
            </w:rPr>
          </w:pPr>
          <w:hyperlink w:anchor="_Toc41037649" w:history="1">
            <w:r w:rsidR="00464DB5" w:rsidRPr="00D550B6">
              <w:rPr>
                <w:rStyle w:val="Hyperlink"/>
                <w:noProof/>
              </w:rPr>
              <w:t>5.</w:t>
            </w:r>
            <w:r w:rsidR="00464DB5">
              <w:rPr>
                <w:rFonts w:asciiTheme="minorHAnsi" w:eastAsiaTheme="minorEastAsia" w:hAnsiTheme="minorHAnsi" w:cstheme="minorBidi"/>
                <w:noProof/>
                <w:snapToGrid/>
                <w:sz w:val="22"/>
                <w:szCs w:val="22"/>
                <w:lang w:eastAsia="lv-LV" w:bidi="ar-SA"/>
              </w:rPr>
              <w:tab/>
            </w:r>
            <w:r w:rsidR="00464DB5" w:rsidRPr="00D550B6">
              <w:rPr>
                <w:rStyle w:val="Hyperlink"/>
                <w:noProof/>
              </w:rPr>
              <w:t>Garantijas samazināšana un izbeigšana</w:t>
            </w:r>
            <w:r w:rsidR="00464DB5">
              <w:rPr>
                <w:noProof/>
                <w:webHidden/>
              </w:rPr>
              <w:tab/>
            </w:r>
            <w:r w:rsidR="00464DB5">
              <w:rPr>
                <w:noProof/>
                <w:webHidden/>
              </w:rPr>
              <w:fldChar w:fldCharType="begin"/>
            </w:r>
            <w:r w:rsidR="00464DB5">
              <w:rPr>
                <w:noProof/>
                <w:webHidden/>
              </w:rPr>
              <w:instrText xml:space="preserve"> PAGEREF _Toc41037649 \h </w:instrText>
            </w:r>
            <w:r w:rsidR="00464DB5">
              <w:rPr>
                <w:noProof/>
                <w:webHidden/>
              </w:rPr>
            </w:r>
            <w:r w:rsidR="00464DB5">
              <w:rPr>
                <w:noProof/>
                <w:webHidden/>
              </w:rPr>
              <w:fldChar w:fldCharType="separate"/>
            </w:r>
            <w:r w:rsidR="00464DB5">
              <w:rPr>
                <w:noProof/>
                <w:webHidden/>
              </w:rPr>
              <w:t>7</w:t>
            </w:r>
            <w:r w:rsidR="00464DB5">
              <w:rPr>
                <w:noProof/>
                <w:webHidden/>
              </w:rPr>
              <w:fldChar w:fldCharType="end"/>
            </w:r>
          </w:hyperlink>
        </w:p>
        <w:p w14:paraId="59D52C10" w14:textId="36BBB830" w:rsidR="00464DB5" w:rsidRDefault="000538A2" w:rsidP="00464DB5">
          <w:pPr>
            <w:pStyle w:val="TOC1"/>
            <w:keepLines w:val="0"/>
            <w:widowControl w:val="0"/>
            <w:tabs>
              <w:tab w:val="left" w:pos="709"/>
            </w:tabs>
            <w:spacing w:before="0"/>
            <w:ind w:left="0" w:firstLine="0"/>
            <w:rPr>
              <w:rFonts w:asciiTheme="minorHAnsi" w:eastAsiaTheme="minorEastAsia" w:hAnsiTheme="minorHAnsi" w:cstheme="minorBidi"/>
              <w:noProof/>
              <w:snapToGrid/>
              <w:sz w:val="22"/>
              <w:szCs w:val="22"/>
              <w:lang w:eastAsia="lv-LV" w:bidi="ar-SA"/>
            </w:rPr>
          </w:pPr>
          <w:hyperlink w:anchor="_Toc41037650" w:history="1">
            <w:r w:rsidR="00464DB5" w:rsidRPr="00D550B6">
              <w:rPr>
                <w:rStyle w:val="Hyperlink"/>
                <w:noProof/>
              </w:rPr>
              <w:t>6.</w:t>
            </w:r>
            <w:r w:rsidR="00464DB5">
              <w:rPr>
                <w:rFonts w:asciiTheme="minorHAnsi" w:eastAsiaTheme="minorEastAsia" w:hAnsiTheme="minorHAnsi" w:cstheme="minorBidi"/>
                <w:noProof/>
                <w:snapToGrid/>
                <w:sz w:val="22"/>
                <w:szCs w:val="22"/>
                <w:lang w:eastAsia="lv-LV" w:bidi="ar-SA"/>
              </w:rPr>
              <w:tab/>
            </w:r>
            <w:r w:rsidR="00464DB5" w:rsidRPr="00D550B6">
              <w:rPr>
                <w:rStyle w:val="Hyperlink"/>
                <w:noProof/>
              </w:rPr>
              <w:t>Atbilstoša interpretācija un daļēja spēkā neesamība</w:t>
            </w:r>
            <w:r w:rsidR="00464DB5">
              <w:rPr>
                <w:noProof/>
                <w:webHidden/>
              </w:rPr>
              <w:tab/>
            </w:r>
            <w:r w:rsidR="00464DB5">
              <w:rPr>
                <w:noProof/>
                <w:webHidden/>
              </w:rPr>
              <w:fldChar w:fldCharType="begin"/>
            </w:r>
            <w:r w:rsidR="00464DB5">
              <w:rPr>
                <w:noProof/>
                <w:webHidden/>
              </w:rPr>
              <w:instrText xml:space="preserve"> PAGEREF _Toc41037650 \h </w:instrText>
            </w:r>
            <w:r w:rsidR="00464DB5">
              <w:rPr>
                <w:noProof/>
                <w:webHidden/>
              </w:rPr>
            </w:r>
            <w:r w:rsidR="00464DB5">
              <w:rPr>
                <w:noProof/>
                <w:webHidden/>
              </w:rPr>
              <w:fldChar w:fldCharType="separate"/>
            </w:r>
            <w:r w:rsidR="00464DB5">
              <w:rPr>
                <w:noProof/>
                <w:webHidden/>
              </w:rPr>
              <w:t>8</w:t>
            </w:r>
            <w:r w:rsidR="00464DB5">
              <w:rPr>
                <w:noProof/>
                <w:webHidden/>
              </w:rPr>
              <w:fldChar w:fldCharType="end"/>
            </w:r>
          </w:hyperlink>
        </w:p>
        <w:p w14:paraId="620835CE" w14:textId="3F549978" w:rsidR="00464DB5" w:rsidRDefault="000538A2" w:rsidP="00464DB5">
          <w:pPr>
            <w:pStyle w:val="TOC1"/>
            <w:keepLines w:val="0"/>
            <w:widowControl w:val="0"/>
            <w:tabs>
              <w:tab w:val="left" w:pos="709"/>
            </w:tabs>
            <w:spacing w:before="0"/>
            <w:ind w:left="0" w:firstLine="0"/>
            <w:rPr>
              <w:rFonts w:asciiTheme="minorHAnsi" w:eastAsiaTheme="minorEastAsia" w:hAnsiTheme="minorHAnsi" w:cstheme="minorBidi"/>
              <w:noProof/>
              <w:snapToGrid/>
              <w:sz w:val="22"/>
              <w:szCs w:val="22"/>
              <w:lang w:eastAsia="lv-LV" w:bidi="ar-SA"/>
            </w:rPr>
          </w:pPr>
          <w:hyperlink w:anchor="_Toc41037651" w:history="1">
            <w:r w:rsidR="00464DB5" w:rsidRPr="00D550B6">
              <w:rPr>
                <w:rStyle w:val="Hyperlink"/>
                <w:noProof/>
              </w:rPr>
              <w:t>7.</w:t>
            </w:r>
            <w:r w:rsidR="00464DB5">
              <w:rPr>
                <w:rFonts w:asciiTheme="minorHAnsi" w:eastAsiaTheme="minorEastAsia" w:hAnsiTheme="minorHAnsi" w:cstheme="minorBidi"/>
                <w:noProof/>
                <w:snapToGrid/>
                <w:sz w:val="22"/>
                <w:szCs w:val="22"/>
                <w:lang w:eastAsia="lv-LV" w:bidi="ar-SA"/>
              </w:rPr>
              <w:tab/>
            </w:r>
            <w:r w:rsidR="00464DB5" w:rsidRPr="00D550B6">
              <w:rPr>
                <w:rStyle w:val="Hyperlink"/>
                <w:noProof/>
              </w:rPr>
              <w:t>Paziņojumi</w:t>
            </w:r>
            <w:r w:rsidR="00464DB5">
              <w:rPr>
                <w:noProof/>
                <w:webHidden/>
              </w:rPr>
              <w:tab/>
            </w:r>
            <w:r w:rsidR="00464DB5">
              <w:rPr>
                <w:noProof/>
                <w:webHidden/>
              </w:rPr>
              <w:fldChar w:fldCharType="begin"/>
            </w:r>
            <w:r w:rsidR="00464DB5">
              <w:rPr>
                <w:noProof/>
                <w:webHidden/>
              </w:rPr>
              <w:instrText xml:space="preserve"> PAGEREF _Toc41037651 \h </w:instrText>
            </w:r>
            <w:r w:rsidR="00464DB5">
              <w:rPr>
                <w:noProof/>
                <w:webHidden/>
              </w:rPr>
            </w:r>
            <w:r w:rsidR="00464DB5">
              <w:rPr>
                <w:noProof/>
                <w:webHidden/>
              </w:rPr>
              <w:fldChar w:fldCharType="separate"/>
            </w:r>
            <w:r w:rsidR="00464DB5">
              <w:rPr>
                <w:noProof/>
                <w:webHidden/>
              </w:rPr>
              <w:t>8</w:t>
            </w:r>
            <w:r w:rsidR="00464DB5">
              <w:rPr>
                <w:noProof/>
                <w:webHidden/>
              </w:rPr>
              <w:fldChar w:fldCharType="end"/>
            </w:r>
          </w:hyperlink>
        </w:p>
        <w:p w14:paraId="7005116D" w14:textId="60721D6C" w:rsidR="00464DB5" w:rsidRDefault="000538A2" w:rsidP="00464DB5">
          <w:pPr>
            <w:pStyle w:val="TOC1"/>
            <w:keepLines w:val="0"/>
            <w:widowControl w:val="0"/>
            <w:tabs>
              <w:tab w:val="left" w:pos="709"/>
            </w:tabs>
            <w:spacing w:before="0"/>
            <w:ind w:left="0" w:firstLine="0"/>
            <w:rPr>
              <w:rFonts w:asciiTheme="minorHAnsi" w:eastAsiaTheme="minorEastAsia" w:hAnsiTheme="minorHAnsi" w:cstheme="minorBidi"/>
              <w:noProof/>
              <w:snapToGrid/>
              <w:sz w:val="22"/>
              <w:szCs w:val="22"/>
              <w:lang w:eastAsia="lv-LV" w:bidi="ar-SA"/>
            </w:rPr>
          </w:pPr>
          <w:hyperlink w:anchor="_Toc41037652" w:history="1">
            <w:r w:rsidR="00464DB5" w:rsidRPr="00D550B6">
              <w:rPr>
                <w:rStyle w:val="Hyperlink"/>
                <w:noProof/>
              </w:rPr>
              <w:t>8.</w:t>
            </w:r>
            <w:r w:rsidR="00464DB5">
              <w:rPr>
                <w:rFonts w:asciiTheme="minorHAnsi" w:eastAsiaTheme="minorEastAsia" w:hAnsiTheme="minorHAnsi" w:cstheme="minorBidi"/>
                <w:noProof/>
                <w:snapToGrid/>
                <w:sz w:val="22"/>
                <w:szCs w:val="22"/>
                <w:lang w:eastAsia="lv-LV" w:bidi="ar-SA"/>
              </w:rPr>
              <w:tab/>
            </w:r>
            <w:r w:rsidR="00464DB5" w:rsidRPr="00D550B6">
              <w:rPr>
                <w:rStyle w:val="Hyperlink"/>
                <w:noProof/>
              </w:rPr>
              <w:t>Interpretācija</w:t>
            </w:r>
            <w:r w:rsidR="00464DB5">
              <w:rPr>
                <w:noProof/>
                <w:webHidden/>
              </w:rPr>
              <w:tab/>
            </w:r>
            <w:r w:rsidR="00464DB5">
              <w:rPr>
                <w:noProof/>
                <w:webHidden/>
              </w:rPr>
              <w:fldChar w:fldCharType="begin"/>
            </w:r>
            <w:r w:rsidR="00464DB5">
              <w:rPr>
                <w:noProof/>
                <w:webHidden/>
              </w:rPr>
              <w:instrText xml:space="preserve"> PAGEREF _Toc41037652 \h </w:instrText>
            </w:r>
            <w:r w:rsidR="00464DB5">
              <w:rPr>
                <w:noProof/>
                <w:webHidden/>
              </w:rPr>
            </w:r>
            <w:r w:rsidR="00464DB5">
              <w:rPr>
                <w:noProof/>
                <w:webHidden/>
              </w:rPr>
              <w:fldChar w:fldCharType="separate"/>
            </w:r>
            <w:r w:rsidR="00464DB5">
              <w:rPr>
                <w:noProof/>
                <w:webHidden/>
              </w:rPr>
              <w:t>9</w:t>
            </w:r>
            <w:r w:rsidR="00464DB5">
              <w:rPr>
                <w:noProof/>
                <w:webHidden/>
              </w:rPr>
              <w:fldChar w:fldCharType="end"/>
            </w:r>
          </w:hyperlink>
        </w:p>
        <w:p w14:paraId="0D7A6A87" w14:textId="63468E4B" w:rsidR="00464DB5" w:rsidRDefault="000538A2" w:rsidP="00464DB5">
          <w:pPr>
            <w:pStyle w:val="TOC1"/>
            <w:keepLines w:val="0"/>
            <w:widowControl w:val="0"/>
            <w:tabs>
              <w:tab w:val="left" w:pos="709"/>
            </w:tabs>
            <w:spacing w:before="0"/>
            <w:ind w:left="0" w:firstLine="0"/>
            <w:rPr>
              <w:rFonts w:asciiTheme="minorHAnsi" w:eastAsiaTheme="minorEastAsia" w:hAnsiTheme="minorHAnsi" w:cstheme="minorBidi"/>
              <w:noProof/>
              <w:snapToGrid/>
              <w:sz w:val="22"/>
              <w:szCs w:val="22"/>
              <w:lang w:eastAsia="lv-LV" w:bidi="ar-SA"/>
            </w:rPr>
          </w:pPr>
          <w:hyperlink w:anchor="_Toc41037653" w:history="1">
            <w:r w:rsidR="00464DB5" w:rsidRPr="00D550B6">
              <w:rPr>
                <w:rStyle w:val="Hyperlink"/>
                <w:noProof/>
              </w:rPr>
              <w:t>9.</w:t>
            </w:r>
            <w:r w:rsidR="00464DB5">
              <w:rPr>
                <w:rFonts w:asciiTheme="minorHAnsi" w:eastAsiaTheme="minorEastAsia" w:hAnsiTheme="minorHAnsi" w:cstheme="minorBidi"/>
                <w:noProof/>
                <w:snapToGrid/>
                <w:sz w:val="22"/>
                <w:szCs w:val="22"/>
                <w:lang w:eastAsia="lv-LV" w:bidi="ar-SA"/>
              </w:rPr>
              <w:tab/>
            </w:r>
            <w:r w:rsidR="00464DB5" w:rsidRPr="00D550B6">
              <w:rPr>
                <w:rStyle w:val="Hyperlink"/>
                <w:noProof/>
              </w:rPr>
              <w:t>Tiesību akti un jurisdikcija</w:t>
            </w:r>
            <w:r w:rsidR="00464DB5">
              <w:rPr>
                <w:noProof/>
                <w:webHidden/>
              </w:rPr>
              <w:tab/>
            </w:r>
            <w:r w:rsidR="00464DB5">
              <w:rPr>
                <w:noProof/>
                <w:webHidden/>
              </w:rPr>
              <w:fldChar w:fldCharType="begin"/>
            </w:r>
            <w:r w:rsidR="00464DB5">
              <w:rPr>
                <w:noProof/>
                <w:webHidden/>
              </w:rPr>
              <w:instrText xml:space="preserve"> PAGEREF _Toc41037653 \h </w:instrText>
            </w:r>
            <w:r w:rsidR="00464DB5">
              <w:rPr>
                <w:noProof/>
                <w:webHidden/>
              </w:rPr>
            </w:r>
            <w:r w:rsidR="00464DB5">
              <w:rPr>
                <w:noProof/>
                <w:webHidden/>
              </w:rPr>
              <w:fldChar w:fldCharType="separate"/>
            </w:r>
            <w:r w:rsidR="00464DB5">
              <w:rPr>
                <w:noProof/>
                <w:webHidden/>
              </w:rPr>
              <w:t>9</w:t>
            </w:r>
            <w:r w:rsidR="00464DB5">
              <w:rPr>
                <w:noProof/>
                <w:webHidden/>
              </w:rPr>
              <w:fldChar w:fldCharType="end"/>
            </w:r>
          </w:hyperlink>
        </w:p>
        <w:p w14:paraId="65C1081E" w14:textId="42CCF1C0" w:rsidR="00464DB5" w:rsidRDefault="00464DB5" w:rsidP="00464DB5">
          <w:pPr>
            <w:widowControl w:val="0"/>
            <w:tabs>
              <w:tab w:val="left" w:pos="709"/>
            </w:tabs>
            <w:spacing w:after="0"/>
          </w:pPr>
          <w:r>
            <w:rPr>
              <w:b/>
              <w:bCs/>
              <w:noProof/>
            </w:rPr>
            <w:fldChar w:fldCharType="end"/>
          </w:r>
        </w:p>
      </w:sdtContent>
    </w:sdt>
    <w:p w14:paraId="354B848E" w14:textId="77777777" w:rsidR="00464DB5" w:rsidRDefault="00464DB5" w:rsidP="00267630">
      <w:pPr>
        <w:widowControl w:val="0"/>
        <w:spacing w:after="0"/>
        <w:rPr>
          <w:rFonts w:cs="Times New Roman"/>
          <w:noProof/>
          <w:lang w:val="en-US"/>
        </w:rPr>
      </w:pPr>
    </w:p>
    <w:p w14:paraId="78B214E1" w14:textId="43996894" w:rsidR="00267630" w:rsidRDefault="00267630">
      <w:pPr>
        <w:spacing w:after="0"/>
        <w:jc w:val="left"/>
        <w:rPr>
          <w:rFonts w:cs="Times New Roman"/>
          <w:noProof/>
        </w:rPr>
      </w:pPr>
      <w:r>
        <w:br w:type="page"/>
      </w:r>
    </w:p>
    <w:p w14:paraId="7EFFD059" w14:textId="77777777" w:rsidR="002D1F3F" w:rsidRPr="00267630" w:rsidRDefault="002D1F3F" w:rsidP="00267630">
      <w:pPr>
        <w:widowControl w:val="0"/>
        <w:spacing w:after="0"/>
        <w:rPr>
          <w:rFonts w:cs="Times New Roman"/>
          <w:noProof/>
          <w:lang w:val="en-US"/>
        </w:rPr>
      </w:pPr>
    </w:p>
    <w:p w14:paraId="1E2BFB2D" w14:textId="77777777" w:rsidR="002D1F3F" w:rsidRPr="00267630" w:rsidRDefault="002D1F3F" w:rsidP="00267630">
      <w:pPr>
        <w:pStyle w:val="BodyText"/>
        <w:widowControl w:val="0"/>
        <w:spacing w:after="0"/>
        <w:rPr>
          <w:rFonts w:cs="Times New Roman"/>
          <w:b/>
          <w:bCs/>
          <w:noProof/>
        </w:rPr>
      </w:pPr>
      <w:r>
        <w:rPr>
          <w:b/>
          <w:bCs/>
        </w:rPr>
        <w:t>ŠIS GARANTIJAS LĪGUMS</w:t>
      </w:r>
      <w:r>
        <w:t xml:space="preserve"> ir noslēgts starp</w:t>
      </w:r>
    </w:p>
    <w:p w14:paraId="67DD11F5" w14:textId="77777777" w:rsidR="003C6E72" w:rsidRDefault="003C6E72" w:rsidP="003C6E72">
      <w:pPr>
        <w:pStyle w:val="SimpleL2"/>
        <w:widowControl w:val="0"/>
        <w:numPr>
          <w:ilvl w:val="0"/>
          <w:numId w:val="0"/>
        </w:numPr>
        <w:spacing w:after="0"/>
        <w:outlineLvl w:val="9"/>
        <w:rPr>
          <w:rFonts w:cs="Times New Roman"/>
          <w:noProof/>
          <w:lang w:val="en-US"/>
        </w:rPr>
      </w:pPr>
    </w:p>
    <w:p w14:paraId="184FB3EF" w14:textId="4EAEF976" w:rsidR="002D1F3F" w:rsidRPr="00267630" w:rsidRDefault="000538A2" w:rsidP="003C6E72">
      <w:pPr>
        <w:pStyle w:val="SimpleL2"/>
        <w:widowControl w:val="0"/>
        <w:numPr>
          <w:ilvl w:val="0"/>
          <w:numId w:val="0"/>
        </w:numPr>
        <w:spacing w:after="0"/>
        <w:ind w:left="709" w:hanging="709"/>
        <w:outlineLvl w:val="9"/>
        <w:rPr>
          <w:rFonts w:cs="Times New Roman"/>
          <w:noProof/>
        </w:rPr>
      </w:pPr>
      <w:r>
        <w:t>1.</w:t>
      </w:r>
      <w:r>
        <w:tab/>
        <w:t>Latvijas Republika</w:t>
      </w:r>
      <w:r w:rsidR="003C6E72">
        <w:t xml:space="preserve"> (turpmāk tekstā –</w:t>
      </w:r>
      <w:r w:rsidR="003C6E72">
        <w:rPr>
          <w:b/>
        </w:rPr>
        <w:t>“garantijas devējs”</w:t>
      </w:r>
      <w:r w:rsidR="003C6E72">
        <w:t>), vienu no Eiropas Savienības dalībvalstīm, kas norādīta 1. sarakstā, un</w:t>
      </w:r>
    </w:p>
    <w:p w14:paraId="430C3776" w14:textId="77777777" w:rsidR="003C6E72" w:rsidRDefault="003C6E72" w:rsidP="003C6E72">
      <w:pPr>
        <w:pStyle w:val="SimpleL2"/>
        <w:widowControl w:val="0"/>
        <w:numPr>
          <w:ilvl w:val="0"/>
          <w:numId w:val="0"/>
        </w:numPr>
        <w:spacing w:after="0"/>
        <w:ind w:left="709" w:hanging="709"/>
        <w:outlineLvl w:val="9"/>
        <w:rPr>
          <w:noProof/>
          <w:lang w:val="en-US"/>
        </w:rPr>
      </w:pPr>
    </w:p>
    <w:p w14:paraId="44B68F59" w14:textId="1AD045A3" w:rsidR="002D1F3F" w:rsidRPr="00267630" w:rsidRDefault="003C6E72" w:rsidP="003C6E72">
      <w:pPr>
        <w:pStyle w:val="SimpleL2"/>
        <w:widowControl w:val="0"/>
        <w:numPr>
          <w:ilvl w:val="0"/>
          <w:numId w:val="0"/>
        </w:numPr>
        <w:spacing w:after="0"/>
        <w:ind w:left="709" w:hanging="709"/>
        <w:outlineLvl w:val="9"/>
        <w:rPr>
          <w:b/>
          <w:bCs/>
          <w:noProof/>
        </w:rPr>
      </w:pPr>
      <w:r>
        <w:t>2.</w:t>
      </w:r>
      <w:r>
        <w:tab/>
        <w:t xml:space="preserve">Eiropas Komisiju (turpmāk tekstā – </w:t>
      </w:r>
      <w:r>
        <w:rPr>
          <w:b/>
        </w:rPr>
        <w:t>“Komisija”</w:t>
      </w:r>
      <w:r>
        <w:t>),</w:t>
      </w:r>
    </w:p>
    <w:p w14:paraId="14F875EA" w14:textId="77777777" w:rsidR="003C6E72" w:rsidRDefault="003C6E72" w:rsidP="00267630">
      <w:pPr>
        <w:pStyle w:val="SimpleL2"/>
        <w:widowControl w:val="0"/>
        <w:numPr>
          <w:ilvl w:val="0"/>
          <w:numId w:val="0"/>
        </w:numPr>
        <w:spacing w:after="0"/>
        <w:outlineLvl w:val="9"/>
        <w:rPr>
          <w:noProof/>
          <w:lang w:val="en-US"/>
        </w:rPr>
      </w:pPr>
    </w:p>
    <w:p w14:paraId="2AA613AA" w14:textId="55395ED8" w:rsidR="002D1F3F" w:rsidRPr="00267630" w:rsidRDefault="002D1F3F" w:rsidP="00267630">
      <w:pPr>
        <w:pStyle w:val="SimpleL2"/>
        <w:widowControl w:val="0"/>
        <w:numPr>
          <w:ilvl w:val="0"/>
          <w:numId w:val="0"/>
        </w:numPr>
        <w:spacing w:after="0"/>
        <w:outlineLvl w:val="9"/>
        <w:rPr>
          <w:noProof/>
        </w:rPr>
      </w:pPr>
      <w:r>
        <w:t>kas attiecīgi ir šā līguma puses.</w:t>
      </w:r>
    </w:p>
    <w:p w14:paraId="4B8CAC1E" w14:textId="77777777" w:rsidR="003C6E72" w:rsidRDefault="003C6E72" w:rsidP="00267630">
      <w:pPr>
        <w:pStyle w:val="BodyText"/>
        <w:widowControl w:val="0"/>
        <w:spacing w:after="0"/>
        <w:rPr>
          <w:rFonts w:cs="Times New Roman"/>
          <w:b/>
          <w:bCs/>
          <w:noProof/>
          <w:lang w:val="en-US"/>
        </w:rPr>
      </w:pPr>
    </w:p>
    <w:p w14:paraId="2BE7C249" w14:textId="0B6C0F1E" w:rsidR="00267630" w:rsidRDefault="002D1F3F" w:rsidP="00267630">
      <w:pPr>
        <w:pStyle w:val="BodyText"/>
        <w:widowControl w:val="0"/>
        <w:spacing w:after="0"/>
        <w:rPr>
          <w:rFonts w:cs="Times New Roman"/>
          <w:b/>
          <w:bCs/>
          <w:noProof/>
        </w:rPr>
      </w:pPr>
      <w:r>
        <w:rPr>
          <w:b/>
          <w:bCs/>
        </w:rPr>
        <w:t>TĀ KĀ:</w:t>
      </w:r>
    </w:p>
    <w:p w14:paraId="04BB7F6A" w14:textId="77777777" w:rsidR="003C6E72" w:rsidRDefault="003C6E72" w:rsidP="003C6E72">
      <w:pPr>
        <w:pStyle w:val="SimpleL4"/>
        <w:widowControl w:val="0"/>
        <w:numPr>
          <w:ilvl w:val="0"/>
          <w:numId w:val="0"/>
        </w:numPr>
        <w:spacing w:after="0"/>
        <w:outlineLvl w:val="9"/>
        <w:rPr>
          <w:noProof/>
          <w:lang w:val="en-US"/>
        </w:rPr>
      </w:pPr>
    </w:p>
    <w:p w14:paraId="6922070D" w14:textId="3FBF65A8" w:rsidR="002D1F3F" w:rsidRPr="00267630" w:rsidRDefault="003C6E72" w:rsidP="003C6E72">
      <w:pPr>
        <w:pStyle w:val="SimpleL4"/>
        <w:widowControl w:val="0"/>
        <w:numPr>
          <w:ilvl w:val="0"/>
          <w:numId w:val="0"/>
        </w:numPr>
        <w:spacing w:after="0"/>
        <w:ind w:left="709" w:hanging="709"/>
        <w:outlineLvl w:val="9"/>
        <w:rPr>
          <w:noProof/>
        </w:rPr>
      </w:pPr>
      <w:r>
        <w:t>A)</w:t>
      </w:r>
      <w:r>
        <w:tab/>
        <w:t>Padomes Regula</w:t>
      </w:r>
      <w:r w:rsidR="00D77935">
        <w:t> (ES) 2020/672</w:t>
      </w:r>
      <w:r>
        <w:t>, ar ko izveido Eiropas pagaidu atbalsta instrumentu bezdarba riska mazināšanai ārkārtas situācijā (</w:t>
      </w:r>
      <w:r>
        <w:rPr>
          <w:i/>
          <w:iCs/>
        </w:rPr>
        <w:t>SURE</w:t>
      </w:r>
      <w:r>
        <w:t>) pēc COVID-19 uzliesmojuma (turpmāk tekstā –“</w:t>
      </w:r>
      <w:r>
        <w:rPr>
          <w:b/>
        </w:rPr>
        <w:t>Padomes Regula</w:t>
      </w:r>
      <w:r w:rsidR="00D77935">
        <w:rPr>
          <w:b/>
        </w:rPr>
        <w:t> (ES) 2020/672</w:t>
      </w:r>
      <w:r>
        <w:t>”), ļauj Eiropas Savienībai šajā regulā noteiktajos apstākļos sniegt Eiropas Savienības dalībvalstīm finansiālo palīdzību par maksimālo summu, kas nepārsniedz 100 000 000 000 EUR, aizdevumu mehānisma veidā saskaņā ar aizdevuma līgumu (turpmāk tekstā –“</w:t>
      </w:r>
      <w:r>
        <w:rPr>
          <w:b/>
        </w:rPr>
        <w:t>aizdevuma līgums</w:t>
      </w:r>
      <w:r>
        <w:t>”). Saskaņā ar Padomes Regulas</w:t>
      </w:r>
      <w:r w:rsidR="00D77935">
        <w:t> (ES) 2020/672</w:t>
      </w:r>
      <w:r>
        <w:t xml:space="preserve"> 6. panta 1. punktu šādu finansiālo palīdzību dara pieejamu ar </w:t>
      </w:r>
      <w:r w:rsidR="00D77935">
        <w:t xml:space="preserve">Padomes īstenošanas </w:t>
      </w:r>
      <w:r>
        <w:t>lēmumu;</w:t>
      </w:r>
    </w:p>
    <w:p w14:paraId="4F0F3BD2" w14:textId="77777777" w:rsidR="003C6E72" w:rsidRPr="000538A2" w:rsidRDefault="003C6E72" w:rsidP="003C6E72">
      <w:pPr>
        <w:pStyle w:val="SimpleL4"/>
        <w:widowControl w:val="0"/>
        <w:numPr>
          <w:ilvl w:val="0"/>
          <w:numId w:val="0"/>
        </w:numPr>
        <w:spacing w:after="0"/>
        <w:ind w:left="709" w:hanging="709"/>
        <w:outlineLvl w:val="9"/>
        <w:rPr>
          <w:noProof/>
        </w:rPr>
      </w:pPr>
    </w:p>
    <w:p w14:paraId="4BDDEFBD" w14:textId="2CABA344" w:rsidR="00267630" w:rsidRDefault="003C6E72" w:rsidP="003C6E72">
      <w:pPr>
        <w:pStyle w:val="SimpleL4"/>
        <w:widowControl w:val="0"/>
        <w:numPr>
          <w:ilvl w:val="0"/>
          <w:numId w:val="0"/>
        </w:numPr>
        <w:spacing w:after="0"/>
        <w:ind w:left="709" w:hanging="709"/>
        <w:outlineLvl w:val="9"/>
        <w:rPr>
          <w:noProof/>
        </w:rPr>
      </w:pPr>
      <w:r>
        <w:t>B)</w:t>
      </w:r>
      <w:r>
        <w:tab/>
        <w:t>Padomes Regula</w:t>
      </w:r>
      <w:r w:rsidR="005E471D">
        <w:t> (ES) 2020/672</w:t>
      </w:r>
      <w:r>
        <w:t xml:space="preserve"> ir pilnvarojusi Komisiju Savienības vārdā aizņemties kapitāla tirgos un no finanšu iestādēm, lai finansētu aizdevumu mehānismus (turpmāk tekstā – “</w:t>
      </w:r>
      <w:r>
        <w:rPr>
          <w:b/>
        </w:rPr>
        <w:t>aizņēmumi</w:t>
      </w:r>
      <w:r>
        <w:t>”);</w:t>
      </w:r>
    </w:p>
    <w:p w14:paraId="65A5179B" w14:textId="77777777" w:rsidR="003C6E72" w:rsidRPr="000538A2" w:rsidRDefault="003C6E72" w:rsidP="003C6E72">
      <w:pPr>
        <w:pStyle w:val="SimpleL4"/>
        <w:widowControl w:val="0"/>
        <w:numPr>
          <w:ilvl w:val="0"/>
          <w:numId w:val="0"/>
        </w:numPr>
        <w:spacing w:after="0"/>
        <w:ind w:left="709" w:hanging="709"/>
        <w:outlineLvl w:val="9"/>
        <w:rPr>
          <w:noProof/>
        </w:rPr>
      </w:pPr>
    </w:p>
    <w:p w14:paraId="098F943E" w14:textId="1676C660" w:rsidR="002D1F3F" w:rsidRPr="00267630" w:rsidRDefault="003C6E72" w:rsidP="003C6E72">
      <w:pPr>
        <w:pStyle w:val="SimpleL4"/>
        <w:widowControl w:val="0"/>
        <w:numPr>
          <w:ilvl w:val="0"/>
          <w:numId w:val="0"/>
        </w:numPr>
        <w:spacing w:after="0"/>
        <w:ind w:left="709" w:hanging="709"/>
        <w:outlineLvl w:val="9"/>
        <w:rPr>
          <w:noProof/>
        </w:rPr>
      </w:pPr>
      <w:r>
        <w:t>C)</w:t>
      </w:r>
      <w:r>
        <w:tab/>
        <w:t>aizdevuma līgumā noteiktā pilnīgas vai daļējas nemaksāšanas gadījumā Savienībai var nebūt pieejami pietiekami līdzekļi no aizņēmumiem izrietošo maksāšanas pienākumu izpildei;</w:t>
      </w:r>
    </w:p>
    <w:p w14:paraId="2E71B771" w14:textId="77777777" w:rsidR="003C6E72" w:rsidRPr="000538A2" w:rsidRDefault="003C6E72" w:rsidP="003C6E72">
      <w:pPr>
        <w:pStyle w:val="SimpleL4"/>
        <w:widowControl w:val="0"/>
        <w:numPr>
          <w:ilvl w:val="0"/>
          <w:numId w:val="0"/>
        </w:numPr>
        <w:spacing w:after="0"/>
        <w:ind w:left="709" w:hanging="709"/>
        <w:outlineLvl w:val="9"/>
        <w:rPr>
          <w:rFonts w:cs="Times New Roman"/>
          <w:noProof/>
        </w:rPr>
      </w:pPr>
    </w:p>
    <w:p w14:paraId="02F1AEFC" w14:textId="6418CA48" w:rsidR="00267630" w:rsidRDefault="003C6E72" w:rsidP="003C6E72">
      <w:pPr>
        <w:pStyle w:val="SimpleL4"/>
        <w:widowControl w:val="0"/>
        <w:numPr>
          <w:ilvl w:val="0"/>
          <w:numId w:val="0"/>
        </w:numPr>
        <w:spacing w:after="0"/>
        <w:ind w:left="709" w:hanging="709"/>
        <w:outlineLvl w:val="9"/>
        <w:rPr>
          <w:noProof/>
        </w:rPr>
      </w:pPr>
      <w:r>
        <w:t>D)</w:t>
      </w:r>
      <w:r>
        <w:tab/>
        <w:t>Padomes Regula</w:t>
      </w:r>
      <w:r w:rsidR="005E471D">
        <w:t> (ES) 2020/672</w:t>
      </w:r>
      <w:r>
        <w:t xml:space="preserve"> nosaka, ka Eiropas Savienības dalībvalstis, kas norādītas 1. sarakstā (turpmāk tekstā kopā – “</w:t>
      </w:r>
      <w:r>
        <w:rPr>
          <w:b/>
        </w:rPr>
        <w:t>garantijas devēji</w:t>
      </w:r>
      <w:r>
        <w:t xml:space="preserve">”) var sniegt ieguldījumu </w:t>
      </w:r>
      <w:r>
        <w:rPr>
          <w:i/>
          <w:iCs/>
        </w:rPr>
        <w:t>SURE</w:t>
      </w:r>
      <w:r>
        <w:t xml:space="preserve"> instrumentā, sniedzot </w:t>
      </w:r>
      <w:proofErr w:type="spellStart"/>
      <w:r>
        <w:t>pretgarantiju</w:t>
      </w:r>
      <w:proofErr w:type="spellEnd"/>
      <w:r>
        <w:t xml:space="preserve"> riskam, ko uzņemas Savienība, un ka šādus ieguldījumus sniedz neatsaucamu, beznosacījuma un pēc pieprasījuma nodrošinātu garantiju veidā. Padomes Regulas</w:t>
      </w:r>
      <w:r w:rsidR="005E471D">
        <w:t xml:space="preserve"> (ES) 2020/672 </w:t>
      </w:r>
      <w:r>
        <w:t xml:space="preserve">11. panta </w:t>
      </w:r>
      <w:r w:rsidR="005E471D">
        <w:t>3</w:t>
      </w:r>
      <w:r>
        <w:t>. </w:t>
      </w:r>
      <w:proofErr w:type="spellStart"/>
      <w:r>
        <w:t>punkt</w:t>
      </w:r>
      <w:r w:rsidR="005E471D">
        <w:t>ā</w:t>
      </w:r>
      <w:r>
        <w:t>noteikts</w:t>
      </w:r>
      <w:proofErr w:type="spellEnd"/>
      <w:r>
        <w:t>, ka Komisija noslēdz līgumu ar ieguldījumus sniedzošo dalībvalsti par neatsaucamām, beznosacījuma un pēc pieprasījuma nodrošinātām garantijām un ka šādā līgumā izklāsta maksāšanas nosacījumus (turpmāk tekstā –“</w:t>
      </w:r>
      <w:r>
        <w:rPr>
          <w:b/>
        </w:rPr>
        <w:t>garantijas līgums</w:t>
      </w:r>
      <w:r>
        <w:t>”);</w:t>
      </w:r>
    </w:p>
    <w:p w14:paraId="50854801" w14:textId="77777777" w:rsidR="003C6E72" w:rsidRPr="000538A2" w:rsidRDefault="003C6E72" w:rsidP="003C6E72">
      <w:pPr>
        <w:pStyle w:val="SimpleL4"/>
        <w:widowControl w:val="0"/>
        <w:numPr>
          <w:ilvl w:val="0"/>
          <w:numId w:val="0"/>
        </w:numPr>
        <w:spacing w:after="0"/>
        <w:ind w:left="709" w:hanging="709"/>
        <w:outlineLvl w:val="9"/>
        <w:rPr>
          <w:noProof/>
        </w:rPr>
      </w:pPr>
    </w:p>
    <w:p w14:paraId="22B4D792" w14:textId="118DC28D" w:rsidR="002D1F3F" w:rsidRPr="00267630" w:rsidRDefault="003C6E72" w:rsidP="003C6E72">
      <w:pPr>
        <w:pStyle w:val="SimpleL4"/>
        <w:widowControl w:val="0"/>
        <w:numPr>
          <w:ilvl w:val="0"/>
          <w:numId w:val="0"/>
        </w:numPr>
        <w:spacing w:after="0"/>
        <w:ind w:left="709" w:hanging="709"/>
        <w:outlineLvl w:val="9"/>
        <w:rPr>
          <w:noProof/>
        </w:rPr>
      </w:pPr>
      <w:r>
        <w:t>E)</w:t>
      </w:r>
      <w:r>
        <w:tab/>
        <w:t>Padomes Regulas</w:t>
      </w:r>
      <w:r w:rsidR="005E471D">
        <w:t> (ES) 2020/672</w:t>
      </w:r>
      <w:r>
        <w:t xml:space="preserve"> 11. panta </w:t>
      </w:r>
      <w:r w:rsidR="005E471D">
        <w:t>4</w:t>
      </w:r>
      <w:r>
        <w:t>. punktā noteikts, ka dalībvalstij, kas nav izpildījusi pieprasījumu, saglabājas saistības to izpildīt;</w:t>
      </w:r>
    </w:p>
    <w:p w14:paraId="37107CBB" w14:textId="77777777" w:rsidR="003C6E72" w:rsidRPr="000538A2" w:rsidRDefault="003C6E72" w:rsidP="003C6E72">
      <w:pPr>
        <w:pStyle w:val="SimpleL4"/>
        <w:widowControl w:val="0"/>
        <w:numPr>
          <w:ilvl w:val="0"/>
          <w:numId w:val="0"/>
        </w:numPr>
        <w:spacing w:after="0"/>
        <w:ind w:left="709" w:hanging="709"/>
        <w:outlineLvl w:val="9"/>
        <w:rPr>
          <w:noProof/>
        </w:rPr>
      </w:pPr>
    </w:p>
    <w:p w14:paraId="0EBED0F0" w14:textId="066D51D9" w:rsidR="002D1F3F" w:rsidRPr="00267630" w:rsidRDefault="003C6E72" w:rsidP="003C6E72">
      <w:pPr>
        <w:pStyle w:val="SimpleL4"/>
        <w:widowControl w:val="0"/>
        <w:numPr>
          <w:ilvl w:val="0"/>
          <w:numId w:val="0"/>
        </w:numPr>
        <w:spacing w:after="0"/>
        <w:ind w:left="709" w:hanging="709"/>
        <w:outlineLvl w:val="9"/>
        <w:rPr>
          <w:noProof/>
        </w:rPr>
      </w:pPr>
      <w:r>
        <w:t>F)</w:t>
      </w:r>
      <w:r>
        <w:tab/>
        <w:t>Padomes Regulas</w:t>
      </w:r>
      <w:r w:rsidR="005E471D">
        <w:t> (ES) 2020/672</w:t>
      </w:r>
      <w:r>
        <w:t xml:space="preserve"> 12. panta 1. punktā noteikts, ka finansiālā palīdzība kļūst pieejama tikai pēc tam, kad visas dalībvalstis ir sniegušas ieguldījumus </w:t>
      </w:r>
      <w:r>
        <w:rPr>
          <w:i/>
          <w:iCs/>
        </w:rPr>
        <w:t>SURE</w:t>
      </w:r>
      <w:r>
        <w:t xml:space="preserve"> instrumentā ar garantijas līgumu;</w:t>
      </w:r>
    </w:p>
    <w:p w14:paraId="750B2311" w14:textId="77777777" w:rsidR="003C6E72" w:rsidRPr="000538A2" w:rsidRDefault="003C6E72" w:rsidP="003C6E72">
      <w:pPr>
        <w:pStyle w:val="SimpleL4"/>
        <w:widowControl w:val="0"/>
        <w:numPr>
          <w:ilvl w:val="0"/>
          <w:numId w:val="0"/>
        </w:numPr>
        <w:spacing w:after="0"/>
        <w:ind w:left="709" w:hanging="709"/>
        <w:outlineLvl w:val="9"/>
        <w:rPr>
          <w:noProof/>
        </w:rPr>
      </w:pPr>
    </w:p>
    <w:p w14:paraId="496232F2" w14:textId="0E8DE808" w:rsidR="002D1F3F" w:rsidRPr="00267630" w:rsidRDefault="003C6E72" w:rsidP="003C6E72">
      <w:pPr>
        <w:pStyle w:val="SimpleL4"/>
        <w:widowControl w:val="0"/>
        <w:numPr>
          <w:ilvl w:val="0"/>
          <w:numId w:val="0"/>
        </w:numPr>
        <w:spacing w:after="0"/>
        <w:ind w:left="709" w:hanging="709"/>
        <w:outlineLvl w:val="9"/>
        <w:rPr>
          <w:noProof/>
        </w:rPr>
      </w:pPr>
      <w:r>
        <w:t>G)</w:t>
      </w:r>
      <w:r>
        <w:tab/>
        <w:t>katra Eiropas Savienības dalībvalsts ir pilnīgi un individuāli atbildīga par to saistību izpildi, kuras tā ir uzņēmusies ar aizdevuma līgumu vai garantijas līgumu.</w:t>
      </w:r>
    </w:p>
    <w:p w14:paraId="57494AC0" w14:textId="77777777" w:rsidR="002D1F3F" w:rsidRPr="000538A2" w:rsidRDefault="002D1F3F" w:rsidP="00267630">
      <w:pPr>
        <w:pStyle w:val="SimpleL4"/>
        <w:widowControl w:val="0"/>
        <w:numPr>
          <w:ilvl w:val="0"/>
          <w:numId w:val="0"/>
        </w:numPr>
        <w:spacing w:after="0"/>
        <w:outlineLvl w:val="9"/>
        <w:rPr>
          <w:noProof/>
        </w:rPr>
      </w:pPr>
    </w:p>
    <w:p w14:paraId="4C14CFD9" w14:textId="3C6744C5" w:rsidR="00267630" w:rsidRDefault="003C6E72" w:rsidP="009975DB">
      <w:pPr>
        <w:pStyle w:val="Heading1"/>
        <w:keepNext/>
        <w:rPr>
          <w:noProof/>
        </w:rPr>
      </w:pPr>
      <w:bookmarkStart w:id="0" w:name="_Toc38704892"/>
      <w:bookmarkStart w:id="1" w:name="_Toc40016227"/>
      <w:bookmarkStart w:id="2" w:name="_Toc41037645"/>
      <w:r>
        <w:lastRenderedPageBreak/>
        <w:t>1.</w:t>
      </w:r>
      <w:r>
        <w:tab/>
        <w:t>Garantija un kompensācija</w:t>
      </w:r>
      <w:bookmarkEnd w:id="0"/>
      <w:bookmarkEnd w:id="1"/>
      <w:bookmarkEnd w:id="2"/>
    </w:p>
    <w:p w14:paraId="77F3603C" w14:textId="77777777" w:rsidR="003C6E72" w:rsidRPr="000538A2" w:rsidRDefault="003C6E72" w:rsidP="009975DB">
      <w:pPr>
        <w:pStyle w:val="StandardL2"/>
        <w:keepNext/>
        <w:widowControl w:val="0"/>
        <w:numPr>
          <w:ilvl w:val="0"/>
          <w:numId w:val="0"/>
        </w:numPr>
        <w:spacing w:after="0"/>
        <w:outlineLvl w:val="9"/>
        <w:rPr>
          <w:rFonts w:cs="Times New Roman"/>
          <w:noProof/>
        </w:rPr>
      </w:pPr>
    </w:p>
    <w:p w14:paraId="3FE4CEFC" w14:textId="78FC575B" w:rsidR="00267630" w:rsidRDefault="003C6E72" w:rsidP="009975DB">
      <w:pPr>
        <w:pStyle w:val="StandardL2"/>
        <w:keepNext/>
        <w:widowControl w:val="0"/>
        <w:numPr>
          <w:ilvl w:val="0"/>
          <w:numId w:val="0"/>
        </w:numPr>
        <w:spacing w:after="0"/>
        <w:outlineLvl w:val="9"/>
        <w:rPr>
          <w:rFonts w:cs="Times New Roman"/>
          <w:noProof/>
        </w:rPr>
      </w:pPr>
      <w:r>
        <w:t>1.1.</w:t>
      </w:r>
      <w:r>
        <w:tab/>
        <w:t>Garantija</w:t>
      </w:r>
    </w:p>
    <w:p w14:paraId="40ACB2D2" w14:textId="77777777" w:rsidR="003C6E72" w:rsidRPr="000538A2" w:rsidRDefault="003C6E72" w:rsidP="009975DB">
      <w:pPr>
        <w:pStyle w:val="BodyText1"/>
        <w:keepNext/>
        <w:widowControl w:val="0"/>
        <w:spacing w:after="0"/>
        <w:ind w:left="0"/>
        <w:rPr>
          <w:rFonts w:cs="Times New Roman"/>
          <w:noProof/>
        </w:rPr>
      </w:pPr>
    </w:p>
    <w:p w14:paraId="4968A48D" w14:textId="1E0854DF" w:rsidR="00267630" w:rsidRDefault="002D1F3F" w:rsidP="009975DB">
      <w:pPr>
        <w:pStyle w:val="BodyText1"/>
        <w:keepNext/>
        <w:widowControl w:val="0"/>
        <w:spacing w:after="0"/>
        <w:ind w:left="709"/>
        <w:rPr>
          <w:rFonts w:cs="Times New Roman"/>
          <w:noProof/>
        </w:rPr>
      </w:pPr>
      <w:r>
        <w:t>Garantijas devējs līdz ar šo bez nosacījumiem un neatsaucami garantē Savienībai precīzu samaksu līdz pat 100 procentiem no sava ieguldījuma (turpmāk tekstā –“</w:t>
      </w:r>
      <w:r>
        <w:rPr>
          <w:b/>
        </w:rPr>
        <w:t>garantētais ieguldījums</w:t>
      </w:r>
      <w:r>
        <w:t>”) noteiktajā termiņā pēc pieprasījuma un attiecīgi apņemas desmit (10) darbdienu laikā (vai īsākā termiņā, kas ir noteikts šajā garantijas līgumā) pēc rakstveida pieprasījuma saņemšanas no Komisijas saskaņā ar šo garantijas līgumu (turpmāk tekstā –“</w:t>
      </w:r>
      <w:r>
        <w:rPr>
          <w:b/>
        </w:rPr>
        <w:t>pieprasījums</w:t>
      </w:r>
      <w:r>
        <w:t>”) samaksāt Savienībai līdz pat 100 procentiem no sava garantētā ieguldījuma.</w:t>
      </w:r>
    </w:p>
    <w:p w14:paraId="54D17B16" w14:textId="77777777" w:rsidR="003C6E72" w:rsidRPr="000538A2" w:rsidRDefault="003C6E72" w:rsidP="003C6E72">
      <w:pPr>
        <w:pStyle w:val="StandardL2"/>
        <w:widowControl w:val="0"/>
        <w:numPr>
          <w:ilvl w:val="0"/>
          <w:numId w:val="0"/>
        </w:numPr>
        <w:spacing w:after="0"/>
        <w:outlineLvl w:val="9"/>
        <w:rPr>
          <w:noProof/>
        </w:rPr>
      </w:pPr>
    </w:p>
    <w:p w14:paraId="58C83106" w14:textId="2AE9B545" w:rsidR="002D1F3F" w:rsidRPr="00267630" w:rsidRDefault="003C6E72" w:rsidP="003C6E72">
      <w:pPr>
        <w:pStyle w:val="StandardL2"/>
        <w:widowControl w:val="0"/>
        <w:numPr>
          <w:ilvl w:val="0"/>
          <w:numId w:val="0"/>
        </w:numPr>
        <w:spacing w:after="0"/>
        <w:ind w:left="709" w:hanging="709"/>
        <w:outlineLvl w:val="9"/>
        <w:rPr>
          <w:noProof/>
        </w:rPr>
      </w:pPr>
      <w:r>
        <w:t>1.2.</w:t>
      </w:r>
      <w:r>
        <w:tab/>
        <w:t>Šis garantijas līgums attiecas vienīgi uz aizņēmumiem un saistītajiem aizdevuma līgumiem, kas ir apstiprināti ar lēmumu, kuru Padome pieņēmusi pirms 2022. gada 31. decembra atbilstoši Padomes Regulai</w:t>
      </w:r>
      <w:r w:rsidR="005E471D">
        <w:t> (ES) 2020/672</w:t>
      </w:r>
      <w:r>
        <w:t xml:space="preserve"> tās sākotnējā redakcijā. Citi Savienības aizņēmumi kapitāla tirgos un no finanšu iestādēm un aizdevuma līgumi nerada pamatu no šā garantijas līguma izrietošiem prasījumiem vai saistībām.</w:t>
      </w:r>
    </w:p>
    <w:p w14:paraId="3445A5DF" w14:textId="77777777" w:rsidR="003C6E72" w:rsidRDefault="003C6E72" w:rsidP="003C6E72">
      <w:pPr>
        <w:pStyle w:val="StandardL2"/>
        <w:widowControl w:val="0"/>
        <w:numPr>
          <w:ilvl w:val="0"/>
          <w:numId w:val="0"/>
        </w:numPr>
        <w:spacing w:after="0"/>
        <w:ind w:left="709" w:hanging="709"/>
        <w:outlineLvl w:val="9"/>
        <w:rPr>
          <w:rFonts w:cs="Times New Roman"/>
          <w:noProof/>
        </w:rPr>
      </w:pPr>
      <w:bookmarkStart w:id="3" w:name="_Ref263156373"/>
      <w:bookmarkStart w:id="4" w:name="_Ref263156077"/>
    </w:p>
    <w:p w14:paraId="3FA7445A" w14:textId="6DD8E13C" w:rsidR="00267630" w:rsidRDefault="003C6E72" w:rsidP="003C6E72">
      <w:pPr>
        <w:pStyle w:val="StandardL2"/>
        <w:widowControl w:val="0"/>
        <w:numPr>
          <w:ilvl w:val="0"/>
          <w:numId w:val="0"/>
        </w:numPr>
        <w:spacing w:after="0"/>
        <w:ind w:left="709" w:hanging="709"/>
        <w:outlineLvl w:val="9"/>
        <w:rPr>
          <w:rFonts w:cs="Times New Roman"/>
          <w:noProof/>
        </w:rPr>
      </w:pPr>
      <w:r>
        <w:t>1.3.</w:t>
      </w:r>
      <w:r>
        <w:tab/>
        <w:t>Ievērojot 5.1. punktu, garantijas devēja garantētais ieguldījums ir vienāds ar summu, kas šā garantijas līguma 1. sarakstā norādīta pretī garantijas devēja nosaukumam. Garantijas devēja garantijas ieguldījumu skalas procentuālā daļa ir vienāda ar procentuālo vērtību, kas šā garantijas līguma 2. sarakstā norādīta pretī garantijas devēja nosaukumam.</w:t>
      </w:r>
    </w:p>
    <w:p w14:paraId="67159A93" w14:textId="77777777" w:rsidR="003C6E72" w:rsidRPr="000538A2" w:rsidRDefault="003C6E72" w:rsidP="003C6E72">
      <w:pPr>
        <w:pStyle w:val="StandardL2"/>
        <w:widowControl w:val="0"/>
        <w:numPr>
          <w:ilvl w:val="0"/>
          <w:numId w:val="0"/>
        </w:numPr>
        <w:spacing w:after="0"/>
        <w:ind w:left="709" w:hanging="709"/>
        <w:outlineLvl w:val="9"/>
        <w:rPr>
          <w:rFonts w:cs="Times New Roman"/>
          <w:noProof/>
        </w:rPr>
      </w:pPr>
    </w:p>
    <w:p w14:paraId="0CF6DE5D" w14:textId="6EF92537" w:rsidR="00267630" w:rsidRDefault="003C6E72" w:rsidP="003C6E72">
      <w:pPr>
        <w:pStyle w:val="StandardL2"/>
        <w:widowControl w:val="0"/>
        <w:numPr>
          <w:ilvl w:val="0"/>
          <w:numId w:val="0"/>
        </w:numPr>
        <w:spacing w:after="0"/>
        <w:ind w:left="709" w:hanging="709"/>
        <w:outlineLvl w:val="9"/>
        <w:rPr>
          <w:rFonts w:cs="Times New Roman"/>
          <w:noProof/>
        </w:rPr>
      </w:pPr>
      <w:r>
        <w:t>1.4.</w:t>
      </w:r>
      <w:r>
        <w:tab/>
        <w:t xml:space="preserve">Nevienas garantijas devējam pieprasītās summas un pieprasītās </w:t>
      </w:r>
      <w:proofErr w:type="spellStart"/>
      <w:r>
        <w:t>papildsummas</w:t>
      </w:r>
      <w:proofErr w:type="spellEnd"/>
      <w:r>
        <w:t xml:space="preserve"> (kas noteiktas attiecīgi 1.6. un 1.7. punktā) kopējā uzkrājuma vērtība nedrīkst pārsniegt garantijas devēja garantēto ieguldījumu. Garantijas devējam nav pienākuma maksāt summu, kas pārsniedz tā garantēto ieguldījumu.</w:t>
      </w:r>
    </w:p>
    <w:p w14:paraId="719E0BD7" w14:textId="77777777" w:rsidR="003C6E72" w:rsidRPr="000538A2" w:rsidRDefault="003C6E72" w:rsidP="003C6E72">
      <w:pPr>
        <w:pStyle w:val="StandardL2"/>
        <w:widowControl w:val="0"/>
        <w:numPr>
          <w:ilvl w:val="0"/>
          <w:numId w:val="0"/>
        </w:numPr>
        <w:spacing w:after="0"/>
        <w:ind w:left="709" w:hanging="709"/>
        <w:outlineLvl w:val="9"/>
        <w:rPr>
          <w:rFonts w:cs="Times New Roman"/>
          <w:noProof/>
        </w:rPr>
      </w:pPr>
    </w:p>
    <w:p w14:paraId="68ACC136" w14:textId="42D7F350" w:rsidR="002D1F3F" w:rsidRPr="00267630" w:rsidRDefault="003C6E72" w:rsidP="003C6E72">
      <w:pPr>
        <w:pStyle w:val="StandardL2"/>
        <w:widowControl w:val="0"/>
        <w:numPr>
          <w:ilvl w:val="0"/>
          <w:numId w:val="0"/>
        </w:numPr>
        <w:spacing w:after="0"/>
        <w:ind w:left="709" w:hanging="709"/>
        <w:outlineLvl w:val="9"/>
        <w:rPr>
          <w:rFonts w:cs="Times New Roman"/>
          <w:noProof/>
        </w:rPr>
      </w:pPr>
      <w:r>
        <w:t>1.5.</w:t>
      </w:r>
      <w:r>
        <w:tab/>
        <w:t>Saistības, ko garantijas devējs ir uzņēmies ar šo garantijas līgumu, ir atdalītas no citu garantijas devēju saistībām, ko tie ir uzņēmušies ar saviem garantijas līgumiem.</w:t>
      </w:r>
    </w:p>
    <w:p w14:paraId="491CE2AB" w14:textId="77777777" w:rsidR="003C6E72" w:rsidRDefault="003C6E72" w:rsidP="003C6E72">
      <w:pPr>
        <w:pStyle w:val="StandardL2"/>
        <w:widowControl w:val="0"/>
        <w:numPr>
          <w:ilvl w:val="0"/>
          <w:numId w:val="0"/>
        </w:numPr>
        <w:spacing w:after="0"/>
        <w:ind w:left="709" w:hanging="709"/>
        <w:outlineLvl w:val="9"/>
        <w:rPr>
          <w:noProof/>
        </w:rPr>
      </w:pPr>
      <w:bookmarkStart w:id="5" w:name="_Ref267405340"/>
    </w:p>
    <w:p w14:paraId="467D3425" w14:textId="573937C2" w:rsidR="002D1F3F" w:rsidRPr="00267630" w:rsidRDefault="003C6E72" w:rsidP="003C6E72">
      <w:pPr>
        <w:pStyle w:val="StandardL2"/>
        <w:widowControl w:val="0"/>
        <w:numPr>
          <w:ilvl w:val="0"/>
          <w:numId w:val="0"/>
        </w:numPr>
        <w:spacing w:after="0"/>
        <w:ind w:left="709" w:hanging="709"/>
        <w:outlineLvl w:val="9"/>
        <w:rPr>
          <w:noProof/>
        </w:rPr>
      </w:pPr>
      <w:r>
        <w:t>1.6.</w:t>
      </w:r>
      <w:r>
        <w:tab/>
        <w:t>Komisija var iesniegt ar šo garantiju saistītu pieprasījumu jebkurā laikā pirms vai pēc paredzētā procentu maksājuma, paredzētā pamatsummas maksājuma vai citas summas (turpmāk tekstā kopā – “</w:t>
      </w:r>
      <w:r>
        <w:rPr>
          <w:b/>
        </w:rPr>
        <w:t>maksājamās summas</w:t>
      </w:r>
      <w:r>
        <w:t>”) samaksas termiņa, ja:</w:t>
      </w:r>
    </w:p>
    <w:p w14:paraId="67DC2CB4" w14:textId="77777777" w:rsidR="003C6E72" w:rsidRPr="000538A2" w:rsidRDefault="003C6E72" w:rsidP="003C6E72">
      <w:pPr>
        <w:pStyle w:val="Schedule1L7"/>
        <w:widowControl w:val="0"/>
        <w:numPr>
          <w:ilvl w:val="0"/>
          <w:numId w:val="0"/>
        </w:numPr>
        <w:spacing w:after="0" w:line="240" w:lineRule="auto"/>
        <w:outlineLvl w:val="9"/>
        <w:rPr>
          <w:noProof/>
        </w:rPr>
      </w:pPr>
    </w:p>
    <w:p w14:paraId="4C464F20" w14:textId="01AD75D3" w:rsidR="002D1F3F" w:rsidRPr="00267630" w:rsidRDefault="003C6E72" w:rsidP="003C6E72">
      <w:pPr>
        <w:pStyle w:val="Schedule1L7"/>
        <w:widowControl w:val="0"/>
        <w:numPr>
          <w:ilvl w:val="0"/>
          <w:numId w:val="0"/>
        </w:numPr>
        <w:spacing w:after="0" w:line="240" w:lineRule="auto"/>
        <w:ind w:left="1134" w:hanging="425"/>
        <w:outlineLvl w:val="9"/>
        <w:rPr>
          <w:noProof/>
        </w:rPr>
      </w:pPr>
      <w:r>
        <w:t>i)</w:t>
      </w:r>
      <w:r>
        <w:tab/>
        <w:t>Savienība (jebkāda iemesla dēļ) nav pilnā apmērā saņēmusi paredzēto maksājumu aizdevuma līgumā noteiktajā termiņā no Eiropas Savienības dalībvalsts, kura ir saņēmusi finansējumu no aizņēmumiem, vai saņem paziņojumu no šīs dalībvalsts vai pēc aizdevuma līguma saistību neizpildes gadījuma uzzina, ka šī dalībvalsts neveiks vai nespēs noteiktajā termiņā veikt aizdevuma līgumā paredzēto maksājumu pilnā apmērā, un</w:t>
      </w:r>
    </w:p>
    <w:p w14:paraId="405656BE" w14:textId="1798FA42" w:rsidR="002D1F3F" w:rsidRPr="00267630" w:rsidRDefault="003C6E72" w:rsidP="003C6E72">
      <w:pPr>
        <w:pStyle w:val="Schedule1L7"/>
        <w:widowControl w:val="0"/>
        <w:numPr>
          <w:ilvl w:val="0"/>
          <w:numId w:val="0"/>
        </w:numPr>
        <w:spacing w:after="0" w:line="240" w:lineRule="auto"/>
        <w:ind w:left="1134" w:hanging="425"/>
        <w:outlineLvl w:val="9"/>
        <w:rPr>
          <w:noProof/>
        </w:rPr>
      </w:pPr>
      <w:r>
        <w:t>ii)</w:t>
      </w:r>
      <w:r>
        <w:tab/>
        <w:t>maksājamā summa ir, bija vai būs jāmaksā saskaņā ar aizņēmumiem.</w:t>
      </w:r>
    </w:p>
    <w:p w14:paraId="71578E64" w14:textId="77777777" w:rsidR="003C6E72" w:rsidRPr="000538A2" w:rsidRDefault="003C6E72" w:rsidP="00267630">
      <w:pPr>
        <w:widowControl w:val="0"/>
        <w:spacing w:after="0"/>
        <w:rPr>
          <w:rFonts w:cs="Times New Roman"/>
          <w:noProof/>
        </w:rPr>
      </w:pPr>
    </w:p>
    <w:p w14:paraId="4B4A81E0" w14:textId="16205487" w:rsidR="002D1F3F" w:rsidRPr="00267630" w:rsidRDefault="002D1F3F" w:rsidP="003C6E72">
      <w:pPr>
        <w:widowControl w:val="0"/>
        <w:spacing w:after="0"/>
        <w:ind w:left="709"/>
        <w:rPr>
          <w:rFonts w:cs="Calibri"/>
          <w:i/>
          <w:iCs/>
          <w:noProof/>
          <w:color w:val="1F497D"/>
          <w:szCs w:val="22"/>
        </w:rPr>
      </w:pPr>
      <w:r>
        <w:t>Šādā gadījumā Komisija pēc saviem ieskatiem nosaka garantijas devējiem pieprasāmo summu (turpmāk tekstā – “</w:t>
      </w:r>
      <w:r>
        <w:rPr>
          <w:b/>
        </w:rPr>
        <w:t>pieprasījuma summa</w:t>
      </w:r>
      <w:r>
        <w:t>”), kas nepārsniedz maksājamo summu, lai nodrošinātu, ka Savienībai ir pietiekami līdzekļi nepieciešamā maksājuma veikšanai. Nosakot pieprasījuma summu, Komisija izmanto jebkādu summu, kas var būt vienāda ar nulli un ko Komisija, pamatojoties uz saviem ieskatiem un cita starpā ņemot vērā kopējās Savienības iespējamās saistības (tostarp saskaņā ar maksājumu bilances mehānismu) un Savienības budžeta ilgtspēju, uzskata par pieejamu maksājumu apropriācijām līdz pašu resursu maksimālajai summai.</w:t>
      </w:r>
    </w:p>
    <w:p w14:paraId="6DF3FB3B" w14:textId="77777777" w:rsidR="003C6E72" w:rsidRPr="000538A2" w:rsidRDefault="003C6E72" w:rsidP="003C6E72">
      <w:pPr>
        <w:pStyle w:val="StandardL2"/>
        <w:widowControl w:val="0"/>
        <w:numPr>
          <w:ilvl w:val="0"/>
          <w:numId w:val="0"/>
        </w:numPr>
        <w:spacing w:after="0"/>
        <w:ind w:left="709"/>
        <w:outlineLvl w:val="9"/>
        <w:rPr>
          <w:rFonts w:cs="Times New Roman"/>
          <w:noProof/>
        </w:rPr>
      </w:pPr>
    </w:p>
    <w:p w14:paraId="046559D3" w14:textId="4F1EDC3D" w:rsidR="002D1F3F" w:rsidRPr="00267630" w:rsidRDefault="002D1F3F" w:rsidP="003C6E72">
      <w:pPr>
        <w:pStyle w:val="StandardL2"/>
        <w:widowControl w:val="0"/>
        <w:numPr>
          <w:ilvl w:val="0"/>
          <w:numId w:val="0"/>
        </w:numPr>
        <w:spacing w:after="0"/>
        <w:ind w:left="709"/>
        <w:outlineLvl w:val="9"/>
        <w:rPr>
          <w:rFonts w:cs="Times New Roman"/>
          <w:noProof/>
        </w:rPr>
      </w:pPr>
      <w:r>
        <w:t>Komisija veic pieprasījumus visiem garantijas devējiem. Pieprasījumiem jābūt proporcionāliem katra garantijas devēja relatīvajai daļai garantijas ieguldījumu skalā.</w:t>
      </w:r>
    </w:p>
    <w:p w14:paraId="675C69B9" w14:textId="77777777" w:rsidR="003C6E72" w:rsidRPr="000538A2" w:rsidRDefault="003C6E72" w:rsidP="003C6E72">
      <w:pPr>
        <w:pStyle w:val="StandardL2"/>
        <w:widowControl w:val="0"/>
        <w:numPr>
          <w:ilvl w:val="0"/>
          <w:numId w:val="0"/>
        </w:numPr>
        <w:spacing w:after="0"/>
        <w:ind w:left="709"/>
        <w:outlineLvl w:val="9"/>
        <w:rPr>
          <w:rFonts w:cs="Times New Roman"/>
          <w:noProof/>
        </w:rPr>
      </w:pPr>
    </w:p>
    <w:p w14:paraId="3F33B943" w14:textId="43F9F5ED" w:rsidR="002D1F3F" w:rsidRPr="00267630" w:rsidRDefault="002D1F3F" w:rsidP="003C6E72">
      <w:pPr>
        <w:pStyle w:val="StandardL2"/>
        <w:widowControl w:val="0"/>
        <w:numPr>
          <w:ilvl w:val="0"/>
          <w:numId w:val="0"/>
        </w:numPr>
        <w:spacing w:after="0"/>
        <w:ind w:left="709"/>
        <w:outlineLvl w:val="9"/>
        <w:rPr>
          <w:rFonts w:cs="Times New Roman"/>
          <w:noProof/>
        </w:rPr>
      </w:pPr>
      <w:r>
        <w:t xml:space="preserve">Visos pieprasījumos norāda maksājamo summu, to, ciktāl ir izmantotas summas, kas ir pieejamas maksājumu apropriācijām līdz pašu resursu maksimālajai summai, un garantijas pieprasījuma summu un </w:t>
      </w:r>
      <w:proofErr w:type="spellStart"/>
      <w:r>
        <w:t>rakstveidā</w:t>
      </w:r>
      <w:proofErr w:type="spellEnd"/>
      <w:r>
        <w:t xml:space="preserve"> lūdz garantijas devēju pārskaitīt summu, kas atbilst tā pieprasījuma summas garantijas ieguldījumu skalas procentuālajai daļai (šāda summa ir “</w:t>
      </w:r>
      <w:r>
        <w:rPr>
          <w:b/>
        </w:rPr>
        <w:t>pieprasītā summa</w:t>
      </w:r>
      <w:r>
        <w:t>”), likvīdos maksāšanas līdzekļos uz 1.9. punktā minēto kontu. Nodrošina, ka pieprasītā summa atbilst 1.4. punktam. Garantijas devējs bez nosacījumiem un neatsaucami garantē Komisijai pieprasītās summas precīzu samaksu noteiktajā termiņā pēc pieprasījuma, un garantijas devējs pārskaita pieprasīto summu saskaņā ar šāda pieprasījuma nosacījumiem. Pārskaitījumu veic desmit (10) darbdienu laikā.</w:t>
      </w:r>
    </w:p>
    <w:p w14:paraId="3C1DD791" w14:textId="77777777" w:rsidR="003C6E72" w:rsidRPr="000538A2" w:rsidRDefault="003C6E72" w:rsidP="003C6E72">
      <w:pPr>
        <w:pStyle w:val="BodyText1"/>
        <w:widowControl w:val="0"/>
        <w:spacing w:after="0"/>
        <w:ind w:left="709"/>
        <w:rPr>
          <w:noProof/>
        </w:rPr>
      </w:pPr>
    </w:p>
    <w:p w14:paraId="3E570F5D" w14:textId="5F50DC3C" w:rsidR="002D1F3F" w:rsidRPr="00267630" w:rsidRDefault="002D1F3F" w:rsidP="003C6E72">
      <w:pPr>
        <w:pStyle w:val="BodyText1"/>
        <w:widowControl w:val="0"/>
        <w:spacing w:after="0"/>
        <w:ind w:left="709"/>
        <w:rPr>
          <w:noProof/>
        </w:rPr>
      </w:pPr>
      <w:r>
        <w:t>Atbilstoši aizdevuma līgumam dalībvalsts, kas minēta 1.6. punkta i) apakšpunktā, divu (2) darbdienu laikā pēc pieprasījuma veikšanas informē Komisiju par savu spēju izpildīt pieprasījumu.</w:t>
      </w:r>
    </w:p>
    <w:p w14:paraId="3D6985C5" w14:textId="77777777" w:rsidR="003C6E72" w:rsidRPr="000538A2" w:rsidRDefault="003C6E72" w:rsidP="003C6E72">
      <w:pPr>
        <w:pStyle w:val="StandardL2"/>
        <w:widowControl w:val="0"/>
        <w:numPr>
          <w:ilvl w:val="0"/>
          <w:numId w:val="0"/>
        </w:numPr>
        <w:spacing w:after="0"/>
        <w:outlineLvl w:val="9"/>
        <w:rPr>
          <w:rFonts w:cs="Times New Roman"/>
          <w:noProof/>
        </w:rPr>
      </w:pPr>
    </w:p>
    <w:p w14:paraId="79A4E187" w14:textId="5E821D77" w:rsidR="00267630" w:rsidRDefault="003C6E72" w:rsidP="003C6E72">
      <w:pPr>
        <w:pStyle w:val="StandardL2"/>
        <w:widowControl w:val="0"/>
        <w:numPr>
          <w:ilvl w:val="0"/>
          <w:numId w:val="0"/>
        </w:numPr>
        <w:spacing w:after="0"/>
        <w:ind w:left="709" w:hanging="709"/>
        <w:outlineLvl w:val="9"/>
        <w:rPr>
          <w:rFonts w:cs="Times New Roman"/>
          <w:noProof/>
        </w:rPr>
      </w:pPr>
      <w:r>
        <w:t>1.7.</w:t>
      </w:r>
      <w:r>
        <w:tab/>
        <w:t>Ja viens vai vairāki garantijas devēji neveic pieprasītās summas maksājumu vai 1.6. punkta i) apakšpunktā minētā dalībvalsts ir informējusi par savu nespēju izpildīt pieprasījumu vai nav informējusi par savu spēju (nesamaksātā summa tiek dēvēta par “</w:t>
      </w:r>
      <w:r>
        <w:rPr>
          <w:b/>
        </w:rPr>
        <w:t>papildu iztrūkumu</w:t>
      </w:r>
      <w:r>
        <w:t>”), Komisija izdod papildu pieprasījumu (vai pieprasījumus) (šāds(-i) pieprasījums(-i) tiek dēvēts(-i) par “</w:t>
      </w:r>
      <w:r>
        <w:rPr>
          <w:b/>
        </w:rPr>
        <w:t>papildu pieprasījumu(-</w:t>
      </w:r>
      <w:proofErr w:type="spellStart"/>
      <w:r>
        <w:rPr>
          <w:b/>
        </w:rPr>
        <w:t>iem</w:t>
      </w:r>
      <w:proofErr w:type="spellEnd"/>
      <w:r>
        <w:rPr>
          <w:b/>
        </w:rPr>
        <w:t>)</w:t>
      </w:r>
      <w:r>
        <w:t>”) pārējiem garantijas devējiem, kurā(-</w:t>
      </w:r>
      <w:proofErr w:type="spellStart"/>
      <w:r>
        <w:t>os</w:t>
      </w:r>
      <w:proofErr w:type="spellEnd"/>
      <w:r>
        <w:t>) lūdz samaksāt šo garantijas devēju papildu iztrūkuma(-u) koriģētā maksājuma ieguldījumu skalas procentuālo daļu (turpmāk tekstā –“</w:t>
      </w:r>
      <w:r>
        <w:rPr>
          <w:b/>
        </w:rPr>
        <w:t xml:space="preserve">pieprasītā </w:t>
      </w:r>
      <w:proofErr w:type="spellStart"/>
      <w:r>
        <w:rPr>
          <w:b/>
        </w:rPr>
        <w:t>papildsumma</w:t>
      </w:r>
      <w:proofErr w:type="spellEnd"/>
      <w:r>
        <w:t>”). Saistībā ar šo 1.7. punktu</w:t>
      </w:r>
      <w:bookmarkEnd w:id="3"/>
      <w:r>
        <w:t xml:space="preserve"> garantijas devēja koriģētā maksājuma ieguldījumu skalas procentuālā daļa nozīmē katra garantijas devēja garantijas ieguldījumu skalas procentuālo daļu, kas koriģēta atbilstoši proporcionālas līdzvērtības principam, izslēdzot nemaksājošo(-</w:t>
      </w:r>
      <w:proofErr w:type="spellStart"/>
      <w:r>
        <w:t>os</w:t>
      </w:r>
      <w:proofErr w:type="spellEnd"/>
      <w:r>
        <w:t>) garantijas devēju(-</w:t>
      </w:r>
      <w:proofErr w:type="spellStart"/>
      <w:r>
        <w:t>us</w:t>
      </w:r>
      <w:proofErr w:type="spellEnd"/>
      <w:r>
        <w:t>) tā, ka tā/to koriģētā maksājuma ieguldījumu skalas procentuālā daļa šim nolūkam ir pielīdzināta nullei, lai panāktu, ka pārējo garantijas devēju koriģētās maksājuma ieguldījumu skalas procentuālās daļas kopā atbilst 100 procentiem.</w:t>
      </w:r>
    </w:p>
    <w:p w14:paraId="678B807D" w14:textId="77777777" w:rsidR="003C6E72" w:rsidRPr="000538A2" w:rsidRDefault="003C6E72" w:rsidP="00267630">
      <w:pPr>
        <w:pStyle w:val="StandardL2"/>
        <w:widowControl w:val="0"/>
        <w:numPr>
          <w:ilvl w:val="0"/>
          <w:numId w:val="0"/>
        </w:numPr>
        <w:spacing w:after="0"/>
        <w:outlineLvl w:val="9"/>
        <w:rPr>
          <w:rFonts w:cs="Times New Roman"/>
          <w:noProof/>
        </w:rPr>
      </w:pPr>
    </w:p>
    <w:p w14:paraId="7D2980E9" w14:textId="356B1182" w:rsidR="00267630" w:rsidRDefault="002D1F3F" w:rsidP="003C6E72">
      <w:pPr>
        <w:pStyle w:val="StandardL2"/>
        <w:widowControl w:val="0"/>
        <w:numPr>
          <w:ilvl w:val="0"/>
          <w:numId w:val="0"/>
        </w:numPr>
        <w:spacing w:after="0"/>
        <w:ind w:left="709"/>
        <w:outlineLvl w:val="9"/>
        <w:rPr>
          <w:rFonts w:cs="Times New Roman"/>
          <w:noProof/>
        </w:rPr>
      </w:pPr>
      <w:r>
        <w:t>Komisija veic papildu pieprasījumus visiem garantijas devējiem proporcionāli katra no pārējiem garantijas devējiem relatīvajai daļai garantijas ieguldījumu skalā, kas pielāgota tā, lai neņemtu vērā tā garantijas devēja relatīvo daļu, kurš nav izpildījis savu pienākumu.</w:t>
      </w:r>
    </w:p>
    <w:p w14:paraId="33BA13AE" w14:textId="77777777" w:rsidR="003C6E72" w:rsidRPr="000538A2" w:rsidRDefault="003C6E72" w:rsidP="003C6E72">
      <w:pPr>
        <w:pStyle w:val="StandardL2"/>
        <w:widowControl w:val="0"/>
        <w:numPr>
          <w:ilvl w:val="0"/>
          <w:numId w:val="0"/>
        </w:numPr>
        <w:spacing w:after="0"/>
        <w:ind w:left="709"/>
        <w:outlineLvl w:val="9"/>
        <w:rPr>
          <w:rFonts w:cs="Times New Roman"/>
          <w:noProof/>
        </w:rPr>
      </w:pPr>
    </w:p>
    <w:p w14:paraId="52699EEF" w14:textId="519A9E5C" w:rsidR="002D1F3F" w:rsidRPr="00267630" w:rsidRDefault="002D1F3F" w:rsidP="003C6E72">
      <w:pPr>
        <w:pStyle w:val="StandardL2"/>
        <w:widowControl w:val="0"/>
        <w:numPr>
          <w:ilvl w:val="0"/>
          <w:numId w:val="0"/>
        </w:numPr>
        <w:spacing w:after="0"/>
        <w:ind w:left="709"/>
        <w:outlineLvl w:val="9"/>
        <w:rPr>
          <w:rFonts w:cs="Times New Roman"/>
          <w:noProof/>
        </w:rPr>
      </w:pPr>
      <w:r>
        <w:t xml:space="preserve">Jebkurā papildu pieprasījumā norāda papildu iztrūkumu un </w:t>
      </w:r>
      <w:proofErr w:type="spellStart"/>
      <w:r>
        <w:t>rakstveidā</w:t>
      </w:r>
      <w:proofErr w:type="spellEnd"/>
      <w:r>
        <w:t xml:space="preserve"> pieprasa garantijas devējam pārskaitīt summu, kas vienāda ar pieprasīto </w:t>
      </w:r>
      <w:proofErr w:type="spellStart"/>
      <w:r>
        <w:t>papildsummu</w:t>
      </w:r>
      <w:proofErr w:type="spellEnd"/>
      <w:r>
        <w:t xml:space="preserve">, likvīdos maksāšanas līdzekļos uz 1.9. punktā minēto kontu. Nodrošina, ka pieprasītā </w:t>
      </w:r>
      <w:proofErr w:type="spellStart"/>
      <w:r>
        <w:t>papildsumma</w:t>
      </w:r>
      <w:proofErr w:type="spellEnd"/>
      <w:r>
        <w:t xml:space="preserve"> atbilst 1.4. punktam. Garantijas devējs bez nosacījumiem un neatsaucami garantē Komisijai pieprasītās </w:t>
      </w:r>
      <w:proofErr w:type="spellStart"/>
      <w:r>
        <w:t>papildsummas</w:t>
      </w:r>
      <w:proofErr w:type="spellEnd"/>
      <w:r>
        <w:t xml:space="preserve"> precīzu samaksu noteiktajā termiņā pēc pieprasījuma, un garantijas devējs pārskaita pieprasīto </w:t>
      </w:r>
      <w:proofErr w:type="spellStart"/>
      <w:r>
        <w:t>papildsummu</w:t>
      </w:r>
      <w:proofErr w:type="spellEnd"/>
      <w:r>
        <w:t xml:space="preserve"> saskaņā ar šāda papildu pieprasījuma nosacījumiem. Pārskaitījumu veic desmit (10) darbdienu laikā vai tādā termiņā, kāds nepieciešams, lai nodrošinātu, ka 1.9. punktā minētajā kontā ir iemaksāti pietiekami līdzekļi un ir iespējams samaksāt maksājamo summu pilnā apmērā paredzētajā maksāšanas datumā vai gadījumā, ja Komisija šādu papildu pieprasījumu veic pēc paredzētā maksāšanas datuma, pirms termiņa pagarinājuma beigām, kas aizņēmumos noteikts attiecībā uz šādas summas nemaksāšanu (katrā gadījumā ar </w:t>
      </w:r>
      <w:r>
        <w:lastRenderedPageBreak/>
        <w:t>nosacījumu, ka papildu pieprasījums ir veikts vairāk nekā piecas (5) darbdienas pirms paredzētā termiņa, kurā ir jāveic nepieciešamais maksājums, bet, ja šis nosacījums netiek izpildīts, šādu papildu pieprasījumu apmaksā ne vēlāk kā piektajā (5.) darbdienā pēc šāda papildu pieprasījuma saņemšanas dienas). Šo 1.7. punktu piemēro kumulatīvi, veicot attiecīgās izmaiņas, ja viens vai vairāki garantijas devēji nemaksā savas atbilstošās papildu iztrūkuma koriģētās ieguldījumu skalas procentuālās daļas.</w:t>
      </w:r>
      <w:bookmarkEnd w:id="5"/>
    </w:p>
    <w:p w14:paraId="65AC947E" w14:textId="77777777" w:rsidR="003C6E72" w:rsidRDefault="003C6E72" w:rsidP="003C6E72">
      <w:pPr>
        <w:pStyle w:val="StandardL2"/>
        <w:widowControl w:val="0"/>
        <w:numPr>
          <w:ilvl w:val="0"/>
          <w:numId w:val="0"/>
        </w:numPr>
        <w:spacing w:after="0"/>
        <w:outlineLvl w:val="9"/>
        <w:rPr>
          <w:noProof/>
        </w:rPr>
      </w:pPr>
      <w:bookmarkStart w:id="6" w:name="_Ref271303741"/>
    </w:p>
    <w:p w14:paraId="390329EA" w14:textId="2E7858EC" w:rsidR="002D1F3F" w:rsidRPr="00267630" w:rsidRDefault="003C6E72" w:rsidP="003C6E72">
      <w:pPr>
        <w:pStyle w:val="StandardL2"/>
        <w:widowControl w:val="0"/>
        <w:numPr>
          <w:ilvl w:val="0"/>
          <w:numId w:val="0"/>
        </w:numPr>
        <w:spacing w:after="0"/>
        <w:ind w:left="709" w:hanging="709"/>
        <w:outlineLvl w:val="9"/>
        <w:rPr>
          <w:noProof/>
        </w:rPr>
      </w:pPr>
      <w:r>
        <w:t>1.8.</w:t>
      </w:r>
      <w:r>
        <w:tab/>
        <w:t>Pēc pieprasījuma vai papildu pieprasījuma veikšanas Komisija ierosina līdzekļu atgūšanas procesu attiecībā uz aizdevuma līgumu un, ja nepieciešams, attiecībā uz garantijas līgumu. Komisija veic atmaksājumu garantijas devējam no summām, ko tā ir atguvusi attiecībā uz aizdevuma līgumiem vai garantijas līgumiem.</w:t>
      </w:r>
      <w:bookmarkEnd w:id="4"/>
      <w:bookmarkEnd w:id="6"/>
      <w:r>
        <w:t xml:space="preserve"> Attiecībā uz summām, kas atgūtas pēc pieprasījuma vai papildu pieprasījuma veikšanas garantijas devējam, Komisija, izmantojot paziņojumu, pieprasa maksājuma veikšanai nepieciešamo garantijas devēja informāciju un pēc tās saņemšanas desmit (10) darbdienu laikā atmaksā garantijas devējam par visām summām, kas samaksātas, pamatojoties uz attiecīgo pieprasījumu vai papildu pieprasījumu. Ja līdzekļi atgūti vairākos maksājumos, garantijas devējam tiks atmaksāts proporcionāli garantijas devēja ieguldījumam iztrūkumā vai papildu iztrūkumā. Šādā gadījumā prioritāte tiks piešķirta papildu pieprasījumu atmaksāšanai, un tikai pēc to pilnīgas atmaksāšanas tiks atmaksāti pieprasījumi.</w:t>
      </w:r>
    </w:p>
    <w:p w14:paraId="1C7C4605" w14:textId="77777777" w:rsidR="003C6E72" w:rsidRPr="000538A2" w:rsidRDefault="003C6E72" w:rsidP="003C6E72">
      <w:pPr>
        <w:pStyle w:val="StandardL2"/>
        <w:widowControl w:val="0"/>
        <w:numPr>
          <w:ilvl w:val="0"/>
          <w:numId w:val="0"/>
        </w:numPr>
        <w:spacing w:after="0"/>
        <w:ind w:left="709" w:hanging="709"/>
        <w:outlineLvl w:val="9"/>
        <w:rPr>
          <w:noProof/>
        </w:rPr>
      </w:pPr>
    </w:p>
    <w:p w14:paraId="496BCFD9" w14:textId="2A911FC3" w:rsidR="002D1F3F" w:rsidRPr="00267630" w:rsidRDefault="003C6E72" w:rsidP="003C6E72">
      <w:pPr>
        <w:pStyle w:val="StandardL2"/>
        <w:widowControl w:val="0"/>
        <w:numPr>
          <w:ilvl w:val="0"/>
          <w:numId w:val="0"/>
        </w:numPr>
        <w:spacing w:after="0"/>
        <w:ind w:left="709" w:hanging="709"/>
        <w:outlineLvl w:val="9"/>
        <w:rPr>
          <w:noProof/>
        </w:rPr>
      </w:pPr>
      <w:r>
        <w:t>1.9.</w:t>
      </w:r>
      <w:r>
        <w:tab/>
        <w:t>Ar šo garantijas līgumu saistītos maksājumus ieskaita katrā pieprasījumā norādītajā kontā.</w:t>
      </w:r>
    </w:p>
    <w:p w14:paraId="4A0AD558" w14:textId="77777777" w:rsidR="003C6E72" w:rsidRPr="000538A2" w:rsidRDefault="003C6E72" w:rsidP="003C6E72">
      <w:pPr>
        <w:pStyle w:val="StandardL2"/>
        <w:widowControl w:val="0"/>
        <w:numPr>
          <w:ilvl w:val="0"/>
          <w:numId w:val="0"/>
        </w:numPr>
        <w:spacing w:after="0"/>
        <w:ind w:left="709" w:hanging="709"/>
        <w:outlineLvl w:val="9"/>
        <w:rPr>
          <w:noProof/>
        </w:rPr>
      </w:pPr>
    </w:p>
    <w:p w14:paraId="48118981" w14:textId="669700E9" w:rsidR="002D1F3F" w:rsidRPr="00267630" w:rsidRDefault="003C6E72" w:rsidP="003C6E72">
      <w:pPr>
        <w:pStyle w:val="StandardL2"/>
        <w:widowControl w:val="0"/>
        <w:numPr>
          <w:ilvl w:val="0"/>
          <w:numId w:val="0"/>
        </w:numPr>
        <w:spacing w:after="0"/>
        <w:ind w:left="709" w:hanging="709"/>
        <w:outlineLvl w:val="9"/>
        <w:rPr>
          <w:noProof/>
        </w:rPr>
      </w:pPr>
      <w:r>
        <w:t>1.10.</w:t>
      </w:r>
      <w:r>
        <w:tab/>
        <w:t>Garantijas devējs nav tiesīgs kompensēt vai ieturēt summas, kas tam pienākas no Savienības, no maksājumiem, kas garantijas devējam jāmaksā saskaņā ar šo garantijas līgumu.</w:t>
      </w:r>
    </w:p>
    <w:p w14:paraId="5BBF6FA2" w14:textId="77777777" w:rsidR="003C6E72" w:rsidRDefault="003C6E72" w:rsidP="003C6E72">
      <w:pPr>
        <w:pStyle w:val="StandardL1"/>
        <w:keepNext w:val="0"/>
        <w:widowControl w:val="0"/>
        <w:numPr>
          <w:ilvl w:val="0"/>
          <w:numId w:val="0"/>
        </w:numPr>
        <w:spacing w:after="0"/>
        <w:jc w:val="both"/>
        <w:outlineLvl w:val="9"/>
        <w:rPr>
          <w:noProof/>
        </w:rPr>
      </w:pPr>
      <w:bookmarkStart w:id="7" w:name="_Toc38704893"/>
      <w:bookmarkStart w:id="8" w:name="_Toc40016228"/>
    </w:p>
    <w:p w14:paraId="22EBB561" w14:textId="7BC7B9BF" w:rsidR="00267630" w:rsidRDefault="003C6E72" w:rsidP="00464DB5">
      <w:pPr>
        <w:pStyle w:val="Heading1"/>
        <w:rPr>
          <w:noProof/>
        </w:rPr>
      </w:pPr>
      <w:bookmarkStart w:id="9" w:name="_Toc41037646"/>
      <w:r>
        <w:t>2.</w:t>
      </w:r>
      <w:r>
        <w:tab/>
        <w:t>Tiesību saglabāšana</w:t>
      </w:r>
      <w:bookmarkEnd w:id="7"/>
      <w:bookmarkEnd w:id="8"/>
      <w:bookmarkEnd w:id="9"/>
    </w:p>
    <w:p w14:paraId="3962DC18" w14:textId="77777777" w:rsidR="003C6E72" w:rsidRPr="000538A2" w:rsidRDefault="003C6E72" w:rsidP="003C6E72">
      <w:pPr>
        <w:pStyle w:val="StandardL2"/>
        <w:widowControl w:val="0"/>
        <w:numPr>
          <w:ilvl w:val="0"/>
          <w:numId w:val="0"/>
        </w:numPr>
        <w:spacing w:after="0"/>
        <w:outlineLvl w:val="9"/>
        <w:rPr>
          <w:noProof/>
        </w:rPr>
      </w:pPr>
    </w:p>
    <w:p w14:paraId="7B5203F2" w14:textId="3834CE1D" w:rsidR="00267630" w:rsidRDefault="003C6E72" w:rsidP="003C6E72">
      <w:pPr>
        <w:pStyle w:val="StandardL2"/>
        <w:widowControl w:val="0"/>
        <w:numPr>
          <w:ilvl w:val="0"/>
          <w:numId w:val="0"/>
        </w:numPr>
        <w:spacing w:after="0"/>
        <w:outlineLvl w:val="9"/>
        <w:rPr>
          <w:noProof/>
        </w:rPr>
      </w:pPr>
      <w:r>
        <w:t>2.1.</w:t>
      </w:r>
      <w:r>
        <w:tab/>
        <w:t>Ilgstošas saistības</w:t>
      </w:r>
    </w:p>
    <w:p w14:paraId="1B696103" w14:textId="77777777" w:rsidR="003C6E72" w:rsidRPr="000538A2" w:rsidRDefault="003C6E72" w:rsidP="00267630">
      <w:pPr>
        <w:pStyle w:val="BodyText1"/>
        <w:widowControl w:val="0"/>
        <w:spacing w:after="0"/>
        <w:ind w:left="0"/>
        <w:rPr>
          <w:rFonts w:cs="Times New Roman"/>
          <w:noProof/>
        </w:rPr>
      </w:pPr>
    </w:p>
    <w:p w14:paraId="66011E5E" w14:textId="4DCF0E6E" w:rsidR="00267630" w:rsidRDefault="002D1F3F" w:rsidP="003C6E72">
      <w:pPr>
        <w:pStyle w:val="BodyText1"/>
        <w:widowControl w:val="0"/>
        <w:spacing w:after="0"/>
        <w:ind w:left="709"/>
        <w:rPr>
          <w:rFonts w:cs="Times New Roman"/>
          <w:noProof/>
        </w:rPr>
      </w:pPr>
      <w:r>
        <w:t>Šajā līgumā noteiktās garantijas devēja saistības ir ilgstošas saistības neatkarīgi no jebkādas norēķināšanās vai cita jautājuma vai lietas nokārtošanas, un tās neuzskata par izpildītām ar starpposma maksājumu vai visu vai kādu to Savienības saistību starpposma izpildi, kuras izriet no aizņēmumiem vai attiecas uz tiem, un tās paliek pilnā spēkā tik ilgi, līdz ir samaksātas visas summas, kas Savienībai ir jāmaksā par aizņēmumiem, un ir pilnīgi izpildītas visas pārējās Savienības faktiskās vai iespējamās saistības, kas izriet no aizņēmumiem vai attiecas uz tiem, ar nosacījumu, ka katrs garantijas devējs ir atbildīgs tikai par savu garantēto ieguldījumu.</w:t>
      </w:r>
    </w:p>
    <w:p w14:paraId="778DBA26" w14:textId="77777777" w:rsidR="003C6E72" w:rsidRPr="000538A2" w:rsidRDefault="003C6E72" w:rsidP="003C6E72">
      <w:pPr>
        <w:pStyle w:val="StandardL2"/>
        <w:widowControl w:val="0"/>
        <w:numPr>
          <w:ilvl w:val="0"/>
          <w:numId w:val="0"/>
        </w:numPr>
        <w:spacing w:after="0"/>
        <w:outlineLvl w:val="9"/>
        <w:rPr>
          <w:rFonts w:cs="Times New Roman"/>
          <w:noProof/>
        </w:rPr>
      </w:pPr>
    </w:p>
    <w:p w14:paraId="442506E9" w14:textId="38F2EB5D" w:rsidR="00267630" w:rsidRDefault="002D1F3F" w:rsidP="003C6E72">
      <w:pPr>
        <w:pStyle w:val="StandardL2"/>
        <w:widowControl w:val="0"/>
        <w:numPr>
          <w:ilvl w:val="2"/>
          <w:numId w:val="37"/>
        </w:numPr>
        <w:spacing w:after="0"/>
        <w:outlineLvl w:val="9"/>
        <w:rPr>
          <w:rFonts w:cs="Times New Roman"/>
          <w:noProof/>
        </w:rPr>
      </w:pPr>
      <w:r>
        <w:t>Saistību neizpildīšana</w:t>
      </w:r>
    </w:p>
    <w:p w14:paraId="06712A90" w14:textId="77777777" w:rsidR="003C6E72" w:rsidRDefault="003C6E72" w:rsidP="00267630">
      <w:pPr>
        <w:pStyle w:val="BodyText1"/>
        <w:widowControl w:val="0"/>
        <w:spacing w:after="0"/>
        <w:ind w:left="0"/>
        <w:rPr>
          <w:rFonts w:cs="Times New Roman"/>
          <w:noProof/>
          <w:lang w:val="en-US"/>
        </w:rPr>
      </w:pPr>
    </w:p>
    <w:p w14:paraId="656A15B0" w14:textId="0F77EAA3" w:rsidR="00267630" w:rsidRDefault="002D1F3F" w:rsidP="003C6E72">
      <w:pPr>
        <w:pStyle w:val="BodyText1"/>
        <w:widowControl w:val="0"/>
        <w:spacing w:after="0"/>
        <w:ind w:left="709"/>
        <w:rPr>
          <w:rFonts w:cs="Times New Roman"/>
          <w:noProof/>
        </w:rPr>
      </w:pPr>
      <w:r>
        <w:t>Tālāk minētie pasākumi neatbrīvo no šajā līgumā noteikto garantijas devēja saistību izpildes un nesamazina, kā arī citādi neietekmē tās.</w:t>
      </w:r>
    </w:p>
    <w:p w14:paraId="1A5A47CA" w14:textId="77777777" w:rsidR="003C6E72" w:rsidRDefault="003C6E72" w:rsidP="003C6E72">
      <w:pPr>
        <w:pStyle w:val="StandardL3"/>
        <w:widowControl w:val="0"/>
        <w:numPr>
          <w:ilvl w:val="0"/>
          <w:numId w:val="0"/>
        </w:numPr>
        <w:spacing w:after="0"/>
        <w:outlineLvl w:val="9"/>
        <w:rPr>
          <w:i/>
          <w:iCs/>
          <w:noProof/>
          <w:lang w:val="en-US"/>
        </w:rPr>
      </w:pPr>
    </w:p>
    <w:p w14:paraId="6AC25266" w14:textId="4405A18C" w:rsidR="00267630" w:rsidRDefault="003C6E72" w:rsidP="003C6E72">
      <w:pPr>
        <w:pStyle w:val="StandardL3"/>
        <w:widowControl w:val="0"/>
        <w:numPr>
          <w:ilvl w:val="0"/>
          <w:numId w:val="0"/>
        </w:numPr>
        <w:spacing w:after="0"/>
        <w:ind w:left="1418" w:hanging="709"/>
        <w:outlineLvl w:val="9"/>
        <w:rPr>
          <w:noProof/>
        </w:rPr>
      </w:pPr>
      <w:r>
        <w:t>2.2.1.</w:t>
      </w:r>
      <w:r>
        <w:tab/>
      </w:r>
      <w:r>
        <w:rPr>
          <w:i/>
          <w:iCs/>
        </w:rPr>
        <w:t>Atlikšana, atbrīvojumi vai piekrišana</w:t>
      </w:r>
      <w:r>
        <w:t> – atlikšana uz laiku vai cita veida atlikšana, vai jebkāds atbrīvojums vai piekrišana, kas tiek piešķirta vai par ko tiek panākta vienošanās par piešķiršanu Savienībai vai Komisijai attiecībā uz kādām tās saistībām, kas izriet no aizņēmumiem un/vai aizdevuma līguma vai attiecas uz tiem.</w:t>
      </w:r>
    </w:p>
    <w:p w14:paraId="09931A11" w14:textId="77777777" w:rsidR="003C6E72" w:rsidRDefault="003C6E72" w:rsidP="003C6E72">
      <w:pPr>
        <w:pStyle w:val="StandardL3"/>
        <w:widowControl w:val="0"/>
        <w:numPr>
          <w:ilvl w:val="0"/>
          <w:numId w:val="0"/>
        </w:numPr>
        <w:spacing w:after="0"/>
        <w:ind w:left="1418" w:hanging="709"/>
        <w:outlineLvl w:val="9"/>
        <w:rPr>
          <w:noProof/>
          <w:lang w:val="en-US"/>
        </w:rPr>
      </w:pPr>
    </w:p>
    <w:p w14:paraId="1EF4E41A" w14:textId="1D2E056E" w:rsidR="002D1F3F" w:rsidRPr="00267630" w:rsidRDefault="003C6E72" w:rsidP="003C6E72">
      <w:pPr>
        <w:pStyle w:val="StandardL3"/>
        <w:widowControl w:val="0"/>
        <w:numPr>
          <w:ilvl w:val="0"/>
          <w:numId w:val="0"/>
        </w:numPr>
        <w:spacing w:after="0"/>
        <w:ind w:left="1418" w:hanging="709"/>
        <w:outlineLvl w:val="9"/>
        <w:rPr>
          <w:noProof/>
        </w:rPr>
      </w:pPr>
      <w:r>
        <w:t>2.2.2.</w:t>
      </w:r>
      <w:r>
        <w:tab/>
      </w:r>
      <w:r>
        <w:rPr>
          <w:i/>
          <w:iCs/>
        </w:rPr>
        <w:t>Grozījums</w:t>
      </w:r>
      <w:r>
        <w:t> – jebkurš grozījums, pārjaunojums, papildinājums, pagarinājums (maksājuma termiņa vai cits pagarinājums) vai pārskatījums (katrā gadījumā neatkarīgi no tā pakāpes un rakstura), vai aizvietojums, vai atbrīvojums attiecībā uz jebkurām Savienības saistībām, kuras izriet no jebkuriem aizņēmumiem vai attiecas uz tiem, vai attiecībā uz jebkuru nodrošinājumu vai citu garantiju vai kompensāciju, kas attiecas uz aizņēmumiem, tostarp bez ierobežojuma jebkura Savienības saistību paplašināšana vai palielināšana attiecībā uz jebkuriem aizņēmumiem vai jebkuru jaunu Savienības saistību pievienošana, ar nosacījumu, ka neviens no iepriekš minētajiem grozījumiem nepalielina šajā garantijas līgumā noteikto garantijas devēja atbildību.</w:t>
      </w:r>
    </w:p>
    <w:p w14:paraId="22DEF8BC" w14:textId="77777777" w:rsidR="003C6E72" w:rsidRDefault="003C6E72" w:rsidP="003C6E72">
      <w:pPr>
        <w:pStyle w:val="StandardL2"/>
        <w:widowControl w:val="0"/>
        <w:numPr>
          <w:ilvl w:val="0"/>
          <w:numId w:val="0"/>
        </w:numPr>
        <w:spacing w:after="0"/>
        <w:outlineLvl w:val="9"/>
        <w:rPr>
          <w:rFonts w:cs="Times New Roman"/>
          <w:i/>
          <w:iCs/>
          <w:noProof/>
          <w:lang w:val="en-US"/>
        </w:rPr>
      </w:pPr>
    </w:p>
    <w:p w14:paraId="1B222140" w14:textId="1CC89059" w:rsidR="00267630" w:rsidRDefault="003C6E72" w:rsidP="003C6E72">
      <w:pPr>
        <w:pStyle w:val="StandardL2"/>
        <w:widowControl w:val="0"/>
        <w:numPr>
          <w:ilvl w:val="0"/>
          <w:numId w:val="0"/>
        </w:numPr>
        <w:spacing w:after="0"/>
        <w:outlineLvl w:val="9"/>
        <w:rPr>
          <w:rFonts w:cs="Times New Roman"/>
          <w:i/>
          <w:iCs/>
          <w:noProof/>
        </w:rPr>
      </w:pPr>
      <w:r>
        <w:t>2.3.</w:t>
      </w:r>
      <w:r>
        <w:tab/>
      </w:r>
      <w:r>
        <w:rPr>
          <w:i/>
          <w:iCs/>
        </w:rPr>
        <w:t>Līdzvērtība</w:t>
      </w:r>
    </w:p>
    <w:p w14:paraId="37340B6B" w14:textId="77777777" w:rsidR="003C6E72" w:rsidRDefault="003C6E72" w:rsidP="00267630">
      <w:pPr>
        <w:pStyle w:val="BodyText1"/>
        <w:widowControl w:val="0"/>
        <w:spacing w:after="0"/>
        <w:ind w:left="0"/>
        <w:rPr>
          <w:rFonts w:cs="Times New Roman"/>
          <w:noProof/>
          <w:lang w:val="en-US"/>
        </w:rPr>
      </w:pPr>
    </w:p>
    <w:p w14:paraId="62A28281" w14:textId="6B5BAE21" w:rsidR="00267630" w:rsidRDefault="002D1F3F" w:rsidP="003C6E72">
      <w:pPr>
        <w:pStyle w:val="BodyText1"/>
        <w:widowControl w:val="0"/>
        <w:spacing w:after="0"/>
        <w:ind w:left="709"/>
        <w:rPr>
          <w:rFonts w:cs="Times New Roman"/>
          <w:noProof/>
        </w:rPr>
      </w:pPr>
      <w:r>
        <w:t>Garantijas devējs apņemas, ka tā saistības, kas ir noteiktas šajā līgumā, vienmēr būs līdzvērtīgas visām citām spēkā esošajām un turpmākajām šāda garantijas devēja tiešajām, beznosacījuma, nesubordinētajām un nenodrošinātajām saistībām.</w:t>
      </w:r>
    </w:p>
    <w:p w14:paraId="43CB7962" w14:textId="77777777" w:rsidR="003C6E72" w:rsidRDefault="003C6E72" w:rsidP="003C6E72">
      <w:pPr>
        <w:pStyle w:val="StandardL2"/>
        <w:widowControl w:val="0"/>
        <w:numPr>
          <w:ilvl w:val="0"/>
          <w:numId w:val="0"/>
        </w:numPr>
        <w:spacing w:after="0"/>
        <w:outlineLvl w:val="9"/>
        <w:rPr>
          <w:rFonts w:cs="Times New Roman"/>
          <w:noProof/>
          <w:lang w:val="en-US"/>
        </w:rPr>
      </w:pPr>
    </w:p>
    <w:p w14:paraId="557628DE" w14:textId="06210099" w:rsidR="002D1F3F" w:rsidRPr="00267630" w:rsidRDefault="003C6E72" w:rsidP="003C6E72">
      <w:pPr>
        <w:pStyle w:val="StandardL2"/>
        <w:widowControl w:val="0"/>
        <w:numPr>
          <w:ilvl w:val="0"/>
          <w:numId w:val="0"/>
        </w:numPr>
        <w:spacing w:after="0"/>
        <w:outlineLvl w:val="9"/>
        <w:rPr>
          <w:rFonts w:cs="Times New Roman"/>
          <w:noProof/>
        </w:rPr>
      </w:pPr>
      <w:r>
        <w:t>2.4.</w:t>
      </w:r>
      <w:r>
        <w:tab/>
        <w:t xml:space="preserve">Garantijas devēja tiesību </w:t>
      </w:r>
      <w:proofErr w:type="spellStart"/>
      <w:r>
        <w:t>subrogācija</w:t>
      </w:r>
      <w:proofErr w:type="spellEnd"/>
    </w:p>
    <w:p w14:paraId="699264E8" w14:textId="77777777" w:rsidR="003C6E72" w:rsidRDefault="003C6E72" w:rsidP="00267630">
      <w:pPr>
        <w:pStyle w:val="BodyText1"/>
        <w:widowControl w:val="0"/>
        <w:spacing w:after="0"/>
        <w:ind w:left="0"/>
        <w:rPr>
          <w:rFonts w:cs="Times New Roman"/>
          <w:noProof/>
          <w:lang w:val="en-US"/>
        </w:rPr>
      </w:pPr>
    </w:p>
    <w:p w14:paraId="310AB28D" w14:textId="1BE2DF04" w:rsidR="002D1F3F" w:rsidRPr="00267630" w:rsidRDefault="002D1F3F" w:rsidP="003C6E72">
      <w:pPr>
        <w:pStyle w:val="BodyText1"/>
        <w:widowControl w:val="0"/>
        <w:spacing w:after="0"/>
        <w:ind w:left="709"/>
        <w:rPr>
          <w:rFonts w:cs="Times New Roman"/>
          <w:noProof/>
        </w:rPr>
      </w:pPr>
      <w:r>
        <w:t>Atzīstot, ka šis garantijas līgums negarantē aizdevuma līguma atmaksāšanu, garantijas devējs atzīst, ka tas nav tiesīgs saņemt regresa prasījuma tiesības.</w:t>
      </w:r>
    </w:p>
    <w:p w14:paraId="5EAEDFCB" w14:textId="77777777" w:rsidR="003C6E72" w:rsidRDefault="003C6E72" w:rsidP="003C6E72">
      <w:pPr>
        <w:pStyle w:val="StandardL1"/>
        <w:keepNext w:val="0"/>
        <w:widowControl w:val="0"/>
        <w:numPr>
          <w:ilvl w:val="0"/>
          <w:numId w:val="0"/>
        </w:numPr>
        <w:spacing w:after="0"/>
        <w:jc w:val="both"/>
        <w:outlineLvl w:val="9"/>
        <w:rPr>
          <w:noProof/>
        </w:rPr>
      </w:pPr>
      <w:bookmarkStart w:id="10" w:name="_Toc38704894"/>
      <w:bookmarkStart w:id="11" w:name="_Toc40016229"/>
    </w:p>
    <w:p w14:paraId="0270A644" w14:textId="5615702F" w:rsidR="002D1F3F" w:rsidRPr="00267630" w:rsidRDefault="003C6E72" w:rsidP="00464DB5">
      <w:pPr>
        <w:pStyle w:val="Heading1"/>
        <w:rPr>
          <w:noProof/>
        </w:rPr>
      </w:pPr>
      <w:bookmarkStart w:id="12" w:name="_Toc41037647"/>
      <w:r>
        <w:t>3.</w:t>
      </w:r>
      <w:r>
        <w:tab/>
        <w:t>Informēšanas</w:t>
      </w:r>
      <w:bookmarkEnd w:id="10"/>
      <w:r>
        <w:t xml:space="preserve"> pienākumi</w:t>
      </w:r>
      <w:bookmarkStart w:id="13" w:name="_Toc38568572"/>
      <w:bookmarkStart w:id="14" w:name="_Toc38568571"/>
      <w:bookmarkStart w:id="15" w:name="_Toc38568570"/>
      <w:bookmarkEnd w:id="11"/>
      <w:bookmarkEnd w:id="13"/>
      <w:bookmarkEnd w:id="14"/>
      <w:bookmarkEnd w:id="15"/>
      <w:bookmarkEnd w:id="12"/>
    </w:p>
    <w:p w14:paraId="5F0B696C" w14:textId="77777777" w:rsidR="003C6E72" w:rsidRPr="000538A2" w:rsidRDefault="003C6E72" w:rsidP="003C6E72">
      <w:pPr>
        <w:pStyle w:val="StandardL2"/>
        <w:widowControl w:val="0"/>
        <w:numPr>
          <w:ilvl w:val="0"/>
          <w:numId w:val="0"/>
        </w:numPr>
        <w:spacing w:after="0"/>
        <w:outlineLvl w:val="9"/>
        <w:rPr>
          <w:rFonts w:cs="Times New Roman"/>
          <w:noProof/>
        </w:rPr>
      </w:pPr>
    </w:p>
    <w:p w14:paraId="29C24A96" w14:textId="64132F7F" w:rsidR="00267630" w:rsidRDefault="003C6E72" w:rsidP="009E7B70">
      <w:pPr>
        <w:pStyle w:val="StandardL2"/>
        <w:widowControl w:val="0"/>
        <w:numPr>
          <w:ilvl w:val="0"/>
          <w:numId w:val="0"/>
        </w:numPr>
        <w:spacing w:after="0"/>
        <w:ind w:left="709" w:hanging="709"/>
        <w:outlineLvl w:val="9"/>
        <w:rPr>
          <w:rFonts w:cs="Times New Roman"/>
          <w:noProof/>
        </w:rPr>
      </w:pPr>
      <w:r>
        <w:t>3.1.</w:t>
      </w:r>
      <w:r>
        <w:tab/>
        <w:t>Komisija informē Eiropas Savienības Padomes Ģenerālsekretariātu par šā garantijas līguma parakstīšanu.</w:t>
      </w:r>
    </w:p>
    <w:p w14:paraId="3D627DAF" w14:textId="77777777" w:rsidR="009E7B70" w:rsidRPr="000538A2" w:rsidRDefault="009E7B70" w:rsidP="009E7B70">
      <w:pPr>
        <w:pStyle w:val="StandardL2"/>
        <w:widowControl w:val="0"/>
        <w:numPr>
          <w:ilvl w:val="0"/>
          <w:numId w:val="0"/>
        </w:numPr>
        <w:spacing w:after="0"/>
        <w:ind w:left="709" w:hanging="709"/>
        <w:outlineLvl w:val="9"/>
        <w:rPr>
          <w:rFonts w:cs="Times New Roman"/>
          <w:noProof/>
        </w:rPr>
      </w:pPr>
    </w:p>
    <w:p w14:paraId="21EEF695" w14:textId="74DF80F0" w:rsidR="00267630" w:rsidRDefault="003C6E72" w:rsidP="009E7B70">
      <w:pPr>
        <w:pStyle w:val="StandardL2"/>
        <w:widowControl w:val="0"/>
        <w:numPr>
          <w:ilvl w:val="0"/>
          <w:numId w:val="0"/>
        </w:numPr>
        <w:spacing w:after="0"/>
        <w:ind w:left="709" w:hanging="709"/>
        <w:outlineLvl w:val="9"/>
        <w:rPr>
          <w:rFonts w:cs="Times New Roman"/>
          <w:noProof/>
        </w:rPr>
      </w:pPr>
      <w:r>
        <w:t>3.2.</w:t>
      </w:r>
      <w:r>
        <w:tab/>
        <w:t>Komisija katru ceturksni ziņo garantijas devējiem par nenokārtotajiem aizdevuma līgumu prasījumiem un aizņēmumu saistībām.</w:t>
      </w:r>
    </w:p>
    <w:p w14:paraId="7102BD13" w14:textId="77777777" w:rsidR="009E7B70" w:rsidRPr="000538A2" w:rsidRDefault="009E7B70" w:rsidP="009E7B70">
      <w:pPr>
        <w:pStyle w:val="StandardL2"/>
        <w:widowControl w:val="0"/>
        <w:numPr>
          <w:ilvl w:val="0"/>
          <w:numId w:val="0"/>
        </w:numPr>
        <w:spacing w:after="0"/>
        <w:ind w:left="709" w:hanging="709"/>
        <w:outlineLvl w:val="9"/>
        <w:rPr>
          <w:rFonts w:cs="Times New Roman"/>
          <w:noProof/>
        </w:rPr>
      </w:pPr>
    </w:p>
    <w:p w14:paraId="644A0F28" w14:textId="067C7E37" w:rsidR="002D1F3F" w:rsidRPr="00267630" w:rsidRDefault="003C6E72" w:rsidP="009E7B70">
      <w:pPr>
        <w:pStyle w:val="StandardL2"/>
        <w:widowControl w:val="0"/>
        <w:numPr>
          <w:ilvl w:val="0"/>
          <w:numId w:val="0"/>
        </w:numPr>
        <w:spacing w:after="0"/>
        <w:ind w:left="709" w:hanging="709"/>
        <w:outlineLvl w:val="9"/>
        <w:rPr>
          <w:rFonts w:cs="Times New Roman"/>
          <w:noProof/>
        </w:rPr>
      </w:pPr>
      <w:r>
        <w:t>3.3.</w:t>
      </w:r>
      <w:r>
        <w:tab/>
        <w:t>Komisija nekavējoties informē garantijas devējus par ikvienu tai zināmu gadījumu, attiecībā uz kuru var pamatoti paredzēt, ka tas novedīs pie pieprasījuma saskaņā ar šo garantijas līgumu.</w:t>
      </w:r>
    </w:p>
    <w:p w14:paraId="192B1853" w14:textId="77777777" w:rsidR="009E7B70" w:rsidRDefault="009E7B70" w:rsidP="009E7B70">
      <w:pPr>
        <w:pStyle w:val="StandardL1"/>
        <w:keepNext w:val="0"/>
        <w:widowControl w:val="0"/>
        <w:numPr>
          <w:ilvl w:val="0"/>
          <w:numId w:val="0"/>
        </w:numPr>
        <w:spacing w:after="0"/>
        <w:jc w:val="both"/>
        <w:outlineLvl w:val="9"/>
        <w:rPr>
          <w:noProof/>
        </w:rPr>
      </w:pPr>
      <w:bookmarkStart w:id="16" w:name="_Toc38704895"/>
      <w:bookmarkStart w:id="17" w:name="_Toc40016230"/>
    </w:p>
    <w:p w14:paraId="08346EF7" w14:textId="2ED87283" w:rsidR="002D1F3F" w:rsidRPr="00267630" w:rsidRDefault="009E7B70" w:rsidP="00464DB5">
      <w:pPr>
        <w:pStyle w:val="Heading1"/>
        <w:rPr>
          <w:noProof/>
        </w:rPr>
      </w:pPr>
      <w:bookmarkStart w:id="18" w:name="_Toc41037648"/>
      <w:r>
        <w:t>4.</w:t>
      </w:r>
      <w:r>
        <w:tab/>
        <w:t>Garantijas līguma priekšrocības</w:t>
      </w:r>
      <w:bookmarkEnd w:id="16"/>
      <w:bookmarkEnd w:id="17"/>
      <w:bookmarkEnd w:id="18"/>
    </w:p>
    <w:p w14:paraId="0A53FE9E" w14:textId="77777777" w:rsidR="009E7B70" w:rsidRPr="000538A2" w:rsidRDefault="009E7B70" w:rsidP="009E7B70">
      <w:pPr>
        <w:pStyle w:val="StandardL2"/>
        <w:widowControl w:val="0"/>
        <w:numPr>
          <w:ilvl w:val="0"/>
          <w:numId w:val="0"/>
        </w:numPr>
        <w:spacing w:after="0"/>
        <w:outlineLvl w:val="9"/>
        <w:rPr>
          <w:rFonts w:cs="Times New Roman"/>
          <w:noProof/>
        </w:rPr>
      </w:pPr>
    </w:p>
    <w:p w14:paraId="4951E15C" w14:textId="334A00E3" w:rsidR="00267630" w:rsidRDefault="009E7B70" w:rsidP="009E7B70">
      <w:pPr>
        <w:pStyle w:val="StandardL2"/>
        <w:widowControl w:val="0"/>
        <w:numPr>
          <w:ilvl w:val="0"/>
          <w:numId w:val="0"/>
        </w:numPr>
        <w:spacing w:after="0"/>
        <w:outlineLvl w:val="9"/>
        <w:rPr>
          <w:rFonts w:cs="Times New Roman"/>
          <w:noProof/>
        </w:rPr>
      </w:pPr>
      <w:r>
        <w:t>4.1.</w:t>
      </w:r>
      <w:r>
        <w:tab/>
        <w:t>Priekšrocības</w:t>
      </w:r>
    </w:p>
    <w:p w14:paraId="2E2C7AE9" w14:textId="77777777" w:rsidR="009E7B70" w:rsidRPr="000538A2" w:rsidRDefault="009E7B70" w:rsidP="00267630">
      <w:pPr>
        <w:pStyle w:val="BodyText1"/>
        <w:widowControl w:val="0"/>
        <w:spacing w:after="0"/>
        <w:ind w:left="0"/>
        <w:rPr>
          <w:rFonts w:cs="Times New Roman"/>
          <w:noProof/>
        </w:rPr>
      </w:pPr>
    </w:p>
    <w:p w14:paraId="16105788" w14:textId="5280B1A9" w:rsidR="002D1F3F" w:rsidRPr="00267630" w:rsidRDefault="002D1F3F" w:rsidP="009E7B70">
      <w:pPr>
        <w:pStyle w:val="BodyText1"/>
        <w:widowControl w:val="0"/>
        <w:spacing w:after="0"/>
        <w:ind w:left="709"/>
        <w:rPr>
          <w:rFonts w:cs="Times New Roman"/>
          <w:noProof/>
        </w:rPr>
      </w:pPr>
      <w:r>
        <w:t>Garantijas devējs izpilda šajā garantijas līgumā noteiktās saistības pēc pieprasījuma.</w:t>
      </w:r>
    </w:p>
    <w:p w14:paraId="659DC9E3" w14:textId="77777777" w:rsidR="009E7B70" w:rsidRPr="000538A2" w:rsidRDefault="009E7B70" w:rsidP="009E7B70">
      <w:pPr>
        <w:pStyle w:val="StandardL2"/>
        <w:widowControl w:val="0"/>
        <w:numPr>
          <w:ilvl w:val="0"/>
          <w:numId w:val="0"/>
        </w:numPr>
        <w:spacing w:after="0"/>
        <w:outlineLvl w:val="9"/>
        <w:rPr>
          <w:rFonts w:cs="Times New Roman"/>
          <w:noProof/>
        </w:rPr>
      </w:pPr>
    </w:p>
    <w:p w14:paraId="4E0BBD1A" w14:textId="1E3A20D1" w:rsidR="00267630" w:rsidRDefault="009E7B70" w:rsidP="009E7B70">
      <w:pPr>
        <w:pStyle w:val="StandardL2"/>
        <w:widowControl w:val="0"/>
        <w:numPr>
          <w:ilvl w:val="0"/>
          <w:numId w:val="0"/>
        </w:numPr>
        <w:spacing w:after="0"/>
        <w:outlineLvl w:val="9"/>
        <w:rPr>
          <w:rFonts w:cs="Times New Roman"/>
          <w:noProof/>
        </w:rPr>
      </w:pPr>
      <w:r>
        <w:t>4.2.</w:t>
      </w:r>
      <w:r>
        <w:tab/>
        <w:t>Piešķiršana</w:t>
      </w:r>
    </w:p>
    <w:p w14:paraId="3D44DC8B" w14:textId="77777777" w:rsidR="009E7B70" w:rsidRPr="000538A2" w:rsidRDefault="009E7B70" w:rsidP="00267630">
      <w:pPr>
        <w:pStyle w:val="BodyText1"/>
        <w:widowControl w:val="0"/>
        <w:spacing w:after="0"/>
        <w:ind w:left="0"/>
        <w:rPr>
          <w:rFonts w:cs="Times New Roman"/>
          <w:noProof/>
        </w:rPr>
      </w:pPr>
    </w:p>
    <w:p w14:paraId="6316555E" w14:textId="75259152" w:rsidR="00267630" w:rsidRDefault="002D1F3F" w:rsidP="009E7B70">
      <w:pPr>
        <w:pStyle w:val="BodyText1"/>
        <w:widowControl w:val="0"/>
        <w:spacing w:after="0"/>
        <w:ind w:left="709"/>
        <w:rPr>
          <w:rFonts w:cs="Times New Roman"/>
          <w:noProof/>
        </w:rPr>
      </w:pPr>
      <w:r>
        <w:t>Garantijas devējs nav tiesīgs piešķirt vai nodot savas tiesības, priekšrocības un pienākumus, kas ir noteikti šajā līgumā.</w:t>
      </w:r>
    </w:p>
    <w:p w14:paraId="58006EAC" w14:textId="77777777" w:rsidR="009E7B70" w:rsidRDefault="009E7B70" w:rsidP="009E7B70">
      <w:pPr>
        <w:pStyle w:val="StandardL1"/>
        <w:keepNext w:val="0"/>
        <w:widowControl w:val="0"/>
        <w:numPr>
          <w:ilvl w:val="0"/>
          <w:numId w:val="0"/>
        </w:numPr>
        <w:spacing w:after="0"/>
        <w:jc w:val="both"/>
        <w:outlineLvl w:val="9"/>
        <w:rPr>
          <w:rFonts w:cs="Times New Roman"/>
          <w:noProof/>
        </w:rPr>
      </w:pPr>
      <w:bookmarkStart w:id="19" w:name="_Toc40016231"/>
    </w:p>
    <w:p w14:paraId="0C6FA484" w14:textId="11DD7B87" w:rsidR="002D1F3F" w:rsidRPr="00267630" w:rsidRDefault="009E7B70" w:rsidP="00464DB5">
      <w:pPr>
        <w:pStyle w:val="Heading1"/>
        <w:rPr>
          <w:rFonts w:cs="Times New Roman"/>
          <w:noProof/>
        </w:rPr>
      </w:pPr>
      <w:bookmarkStart w:id="20" w:name="_Toc41037649"/>
      <w:r>
        <w:t>5.</w:t>
      </w:r>
      <w:r>
        <w:tab/>
      </w:r>
      <w:bookmarkStart w:id="21" w:name="_Toc38704896"/>
      <w:r>
        <w:t>Garantijas samazināšana un izbeigšana</w:t>
      </w:r>
      <w:bookmarkEnd w:id="19"/>
      <w:bookmarkEnd w:id="21"/>
      <w:bookmarkEnd w:id="20"/>
    </w:p>
    <w:p w14:paraId="1296CF0E" w14:textId="77777777" w:rsidR="009E7B70" w:rsidRPr="000538A2" w:rsidRDefault="009E7B70" w:rsidP="009E7B70">
      <w:pPr>
        <w:pStyle w:val="StandardL2"/>
        <w:widowControl w:val="0"/>
        <w:numPr>
          <w:ilvl w:val="0"/>
          <w:numId w:val="0"/>
        </w:numPr>
        <w:spacing w:after="0"/>
        <w:outlineLvl w:val="9"/>
        <w:rPr>
          <w:noProof/>
        </w:rPr>
      </w:pPr>
    </w:p>
    <w:p w14:paraId="32071DE4" w14:textId="2A675415" w:rsidR="002D1F3F" w:rsidRPr="00267630" w:rsidRDefault="009E7B70" w:rsidP="009E7B70">
      <w:pPr>
        <w:pStyle w:val="StandardL2"/>
        <w:widowControl w:val="0"/>
        <w:numPr>
          <w:ilvl w:val="0"/>
          <w:numId w:val="0"/>
        </w:numPr>
        <w:spacing w:after="0"/>
        <w:ind w:left="709" w:hanging="709"/>
        <w:outlineLvl w:val="9"/>
        <w:rPr>
          <w:noProof/>
        </w:rPr>
      </w:pPr>
      <w:r>
        <w:t>5.1.</w:t>
      </w:r>
      <w:r>
        <w:tab/>
        <w:t xml:space="preserve">Ja Komisijas ziņojumā, kas minēts 3.2. punktā, ir norādīts, ka nenokārtoto aizņēmumu saistību summa ir mazāka par 25 000 000 000 EUR, no 2025. gada 31. decembra garantijas devēju garantētos ieguldījumus neatsaucami samazina atbilstoši </w:t>
      </w:r>
      <w:r>
        <w:lastRenderedPageBreak/>
        <w:t>proporcionālas līdzvērtības principam tā, lai garantijas devēju garantēto ieguldījumu kopsumma būtu vienāda ar nenokārtotajām aizņēmumu saistībām. No šā 5.1. punkta piemērošanas dienas to piemēro attiecībā uz katru ziņojumu.</w:t>
      </w:r>
    </w:p>
    <w:p w14:paraId="157854F0" w14:textId="77777777" w:rsidR="009E7B70" w:rsidRDefault="009E7B70" w:rsidP="009E7B70">
      <w:pPr>
        <w:pStyle w:val="StandardL2"/>
        <w:widowControl w:val="0"/>
        <w:numPr>
          <w:ilvl w:val="0"/>
          <w:numId w:val="0"/>
        </w:numPr>
        <w:spacing w:after="0"/>
        <w:ind w:left="709" w:hanging="709"/>
        <w:outlineLvl w:val="9"/>
        <w:rPr>
          <w:rFonts w:cs="Times New Roman"/>
          <w:noProof/>
          <w:lang w:val="en-US"/>
        </w:rPr>
      </w:pPr>
    </w:p>
    <w:p w14:paraId="561287AC" w14:textId="62DBDDD3" w:rsidR="002D1F3F" w:rsidRPr="00267630" w:rsidRDefault="009E7B70" w:rsidP="009E7B70">
      <w:pPr>
        <w:pStyle w:val="StandardL2"/>
        <w:widowControl w:val="0"/>
        <w:numPr>
          <w:ilvl w:val="0"/>
          <w:numId w:val="0"/>
        </w:numPr>
        <w:spacing w:after="0"/>
        <w:ind w:left="709" w:hanging="709"/>
        <w:outlineLvl w:val="9"/>
        <w:rPr>
          <w:rFonts w:cs="Times New Roman"/>
          <w:noProof/>
        </w:rPr>
      </w:pPr>
      <w:r>
        <w:t>5.2.</w:t>
      </w:r>
      <w:r>
        <w:tab/>
        <w:t>Ievērojot 5.3. punktu, šis garantijas līgums tiek izbeigts i) dienā, kad ir neatsaucami un pilnīgi atmaksāti visi aizņēmumi, saskaņā ar Padomes Regulu</w:t>
      </w:r>
      <w:r w:rsidR="005E471D">
        <w:t> (ES) 2020/672</w:t>
      </w:r>
      <w:r>
        <w:t xml:space="preserve"> nevar būt izsniegti turpmāki aizņēmumi un ir pilnīgi un neatsaucami izpildītas visas garantijas devēja maksājuma saistības, vai ii) 2053. gada 31. decembrī, piemērojot agrāko no šiem diviem datumiem (turpmāk tekstā –“</w:t>
      </w:r>
      <w:r>
        <w:rPr>
          <w:b/>
        </w:rPr>
        <w:t>līguma izbeigšanas diena</w:t>
      </w:r>
      <w:r>
        <w:t>”).</w:t>
      </w:r>
    </w:p>
    <w:p w14:paraId="1673748E" w14:textId="77777777" w:rsidR="009E7B70" w:rsidRDefault="009E7B70" w:rsidP="009E7B70">
      <w:pPr>
        <w:pStyle w:val="StandardL2"/>
        <w:widowControl w:val="0"/>
        <w:numPr>
          <w:ilvl w:val="0"/>
          <w:numId w:val="0"/>
        </w:numPr>
        <w:spacing w:after="0"/>
        <w:ind w:left="709" w:hanging="709"/>
        <w:outlineLvl w:val="9"/>
        <w:rPr>
          <w:rFonts w:cs="Times New Roman"/>
          <w:noProof/>
          <w:lang w:val="en-US"/>
        </w:rPr>
      </w:pPr>
    </w:p>
    <w:p w14:paraId="1FEBB524" w14:textId="445F48AA" w:rsidR="002D1F3F" w:rsidRPr="00267630" w:rsidRDefault="009E7B70" w:rsidP="009E7B70">
      <w:pPr>
        <w:pStyle w:val="StandardL2"/>
        <w:widowControl w:val="0"/>
        <w:numPr>
          <w:ilvl w:val="0"/>
          <w:numId w:val="0"/>
        </w:numPr>
        <w:spacing w:after="0"/>
        <w:ind w:left="709" w:hanging="709"/>
        <w:outlineLvl w:val="9"/>
        <w:rPr>
          <w:rFonts w:cs="Times New Roman"/>
          <w:noProof/>
        </w:rPr>
      </w:pPr>
      <w:r>
        <w:t>5.3.</w:t>
      </w:r>
      <w:r>
        <w:tab/>
        <w:t>Saskaņā ar šo garantijas līgumu veikta pieprasījuma vai papildu pieprasījuma gadījumā Komisijas pienākums veikt atmaksājumu garantijas devējam no summām, kas atgūtas atbilstoši 1.8. punktam, paliek spēkā līdz brīdim, kad atmaksājums ir veikts pilnā apmērā, neatkarīgi no tā, vai ir sasniegta līguma izbeigšanas diena.</w:t>
      </w:r>
    </w:p>
    <w:p w14:paraId="2A7E6CB7" w14:textId="77777777" w:rsidR="009E7B70" w:rsidRDefault="009E7B70" w:rsidP="009E7B70">
      <w:pPr>
        <w:pStyle w:val="StandardL1"/>
        <w:keepNext w:val="0"/>
        <w:widowControl w:val="0"/>
        <w:numPr>
          <w:ilvl w:val="0"/>
          <w:numId w:val="0"/>
        </w:numPr>
        <w:spacing w:after="0"/>
        <w:jc w:val="both"/>
        <w:outlineLvl w:val="9"/>
        <w:rPr>
          <w:noProof/>
        </w:rPr>
      </w:pPr>
      <w:bookmarkStart w:id="22" w:name="_Toc38704897"/>
      <w:bookmarkStart w:id="23" w:name="_Toc40016232"/>
    </w:p>
    <w:p w14:paraId="7CD95337" w14:textId="7D597F72" w:rsidR="00267630" w:rsidRDefault="009E7B70" w:rsidP="00464DB5">
      <w:pPr>
        <w:pStyle w:val="Heading1"/>
        <w:rPr>
          <w:noProof/>
        </w:rPr>
      </w:pPr>
      <w:bookmarkStart w:id="24" w:name="_Toc41037650"/>
      <w:r>
        <w:t>6.</w:t>
      </w:r>
      <w:r>
        <w:tab/>
        <w:t>Atbilstoša interpretācija un daļēja spēkā neesamība</w:t>
      </w:r>
      <w:bookmarkEnd w:id="22"/>
      <w:bookmarkEnd w:id="23"/>
      <w:bookmarkEnd w:id="24"/>
    </w:p>
    <w:p w14:paraId="6F0CAB47" w14:textId="77777777" w:rsidR="009E7B70" w:rsidRPr="000538A2" w:rsidRDefault="009E7B70" w:rsidP="00267630">
      <w:pPr>
        <w:pStyle w:val="BodyText1"/>
        <w:widowControl w:val="0"/>
        <w:spacing w:after="0"/>
        <w:ind w:left="0"/>
        <w:rPr>
          <w:rFonts w:cs="Times New Roman"/>
          <w:noProof/>
        </w:rPr>
      </w:pPr>
    </w:p>
    <w:p w14:paraId="7B9B73D7" w14:textId="664B3A69" w:rsidR="00267630" w:rsidRDefault="002D1F3F" w:rsidP="009E7B70">
      <w:pPr>
        <w:pStyle w:val="BodyText1"/>
        <w:widowControl w:val="0"/>
        <w:spacing w:after="0"/>
        <w:ind w:left="709"/>
        <w:rPr>
          <w:rFonts w:cs="Times New Roman"/>
          <w:noProof/>
        </w:rPr>
      </w:pPr>
      <w:r>
        <w:t>Šaubu gadījumā visus šā līguma noteikumus interpretē tā, lai tie atbilstu piemērojamajiem tiesību aktiem. Tas, ka kādā brīdī kāds līguma noteikums kļūst prettiesīgs, zaudē spēku vai kļūst nepiemērojams saskaņā ar piemērojamajiem tiesību aktiem, nekādā veidā neskar un neietekmē pārējo līguma noteikumu likumību, spēkā esamību un piemērojamību.</w:t>
      </w:r>
    </w:p>
    <w:p w14:paraId="5D0BB69E" w14:textId="77777777" w:rsidR="009E7B70" w:rsidRDefault="009E7B70" w:rsidP="009E7B70">
      <w:pPr>
        <w:pStyle w:val="StandardL1"/>
        <w:keepNext w:val="0"/>
        <w:widowControl w:val="0"/>
        <w:numPr>
          <w:ilvl w:val="0"/>
          <w:numId w:val="0"/>
        </w:numPr>
        <w:spacing w:after="0"/>
        <w:jc w:val="both"/>
        <w:outlineLvl w:val="9"/>
        <w:rPr>
          <w:noProof/>
        </w:rPr>
      </w:pPr>
      <w:bookmarkStart w:id="25" w:name="_Toc38704898"/>
      <w:bookmarkStart w:id="26" w:name="_Toc40016233"/>
    </w:p>
    <w:p w14:paraId="44282406" w14:textId="2BE4FA47" w:rsidR="00267630" w:rsidRDefault="009E7B70" w:rsidP="00464DB5">
      <w:pPr>
        <w:pStyle w:val="Heading1"/>
        <w:rPr>
          <w:noProof/>
        </w:rPr>
      </w:pPr>
      <w:bookmarkStart w:id="27" w:name="_Toc41037651"/>
      <w:r>
        <w:t>7.</w:t>
      </w:r>
      <w:r>
        <w:tab/>
        <w:t>Paziņojumi</w:t>
      </w:r>
      <w:bookmarkEnd w:id="25"/>
      <w:bookmarkEnd w:id="26"/>
      <w:bookmarkEnd w:id="27"/>
    </w:p>
    <w:p w14:paraId="0A07D830" w14:textId="77777777" w:rsidR="009E7B70" w:rsidRDefault="009E7B70" w:rsidP="009E7B70">
      <w:pPr>
        <w:pStyle w:val="StandardL2"/>
        <w:widowControl w:val="0"/>
        <w:numPr>
          <w:ilvl w:val="0"/>
          <w:numId w:val="0"/>
        </w:numPr>
        <w:spacing w:after="0"/>
        <w:outlineLvl w:val="9"/>
        <w:rPr>
          <w:rFonts w:cs="Times New Roman"/>
          <w:noProof/>
        </w:rPr>
      </w:pPr>
      <w:bookmarkStart w:id="28" w:name="_Ref263172740"/>
    </w:p>
    <w:p w14:paraId="0C5AABD3" w14:textId="0319980A" w:rsidR="00267630" w:rsidRDefault="009E7B70" w:rsidP="009E7B70">
      <w:pPr>
        <w:pStyle w:val="StandardL2"/>
        <w:widowControl w:val="0"/>
        <w:numPr>
          <w:ilvl w:val="0"/>
          <w:numId w:val="0"/>
        </w:numPr>
        <w:spacing w:after="0"/>
        <w:outlineLvl w:val="9"/>
        <w:rPr>
          <w:rFonts w:cs="Times New Roman"/>
          <w:noProof/>
        </w:rPr>
      </w:pPr>
      <w:r>
        <w:t>7.1.</w:t>
      </w:r>
      <w:r>
        <w:tab/>
        <w:t>Adrese paziņojumu nosūtīšanai</w:t>
      </w:r>
      <w:bookmarkEnd w:id="28"/>
    </w:p>
    <w:p w14:paraId="6695EF1A" w14:textId="77777777" w:rsidR="009E7B70" w:rsidRPr="000538A2" w:rsidRDefault="009E7B70" w:rsidP="00267630">
      <w:pPr>
        <w:pStyle w:val="BodyText1"/>
        <w:widowControl w:val="0"/>
        <w:spacing w:after="0"/>
        <w:ind w:left="0"/>
        <w:rPr>
          <w:rFonts w:cs="Times New Roman"/>
          <w:noProof/>
        </w:rPr>
      </w:pPr>
    </w:p>
    <w:p w14:paraId="46E0AF7F" w14:textId="124B1CA0" w:rsidR="00267630" w:rsidRDefault="002D1F3F" w:rsidP="009E7B70">
      <w:pPr>
        <w:pStyle w:val="BodyText1"/>
        <w:widowControl w:val="0"/>
        <w:spacing w:after="0"/>
        <w:ind w:left="709"/>
        <w:rPr>
          <w:rFonts w:cs="Times New Roman"/>
          <w:noProof/>
        </w:rPr>
      </w:pPr>
      <w:r>
        <w:t xml:space="preserve">Visus paziņojumus, pieprasījumus un citu informāciju garantijas devējam saskaņā ar šo līgumu sagatavo </w:t>
      </w:r>
      <w:proofErr w:type="spellStart"/>
      <w:r>
        <w:t>rakstveidā</w:t>
      </w:r>
      <w:proofErr w:type="spellEnd"/>
      <w:r>
        <w:t xml:space="preserve"> un </w:t>
      </w:r>
      <w:proofErr w:type="spellStart"/>
      <w:r>
        <w:t>nosūta</w:t>
      </w:r>
      <w:proofErr w:type="spellEnd"/>
      <w:r>
        <w:t xml:space="preserve"> garantijas devējam (pa pastu, faksu vai e-pastu) uz:</w:t>
      </w:r>
    </w:p>
    <w:p w14:paraId="6238A61C" w14:textId="77777777" w:rsidR="009E7B70" w:rsidRPr="000538A2" w:rsidRDefault="009E7B70" w:rsidP="00267630">
      <w:pPr>
        <w:pStyle w:val="BodyText1"/>
        <w:widowControl w:val="0"/>
        <w:spacing w:after="0"/>
        <w:ind w:left="0"/>
        <w:rPr>
          <w:rFonts w:cs="Times New Roman"/>
          <w:noProof/>
        </w:rPr>
      </w:pPr>
    </w:p>
    <w:p w14:paraId="49E90B12" w14:textId="686ABF45" w:rsidR="00267630" w:rsidRDefault="002D1F3F" w:rsidP="009E7B70">
      <w:pPr>
        <w:pStyle w:val="BodyText1"/>
        <w:widowControl w:val="0"/>
        <w:spacing w:after="0"/>
        <w:ind w:left="709"/>
        <w:rPr>
          <w:rFonts w:cs="Times New Roman"/>
          <w:noProof/>
        </w:rPr>
      </w:pPr>
      <w:r>
        <w:t>[garantijas devēja adrese]</w:t>
      </w:r>
    </w:p>
    <w:p w14:paraId="139B7EBE" w14:textId="77777777" w:rsidR="009E7B70" w:rsidRDefault="009E7B70" w:rsidP="00267630">
      <w:pPr>
        <w:pStyle w:val="BodyText1"/>
        <w:widowControl w:val="0"/>
        <w:spacing w:after="0"/>
        <w:ind w:left="0"/>
        <w:rPr>
          <w:rFonts w:cs="Times New Roman"/>
          <w:noProof/>
          <w:lang w:val="en-US"/>
        </w:rPr>
      </w:pPr>
    </w:p>
    <w:p w14:paraId="078546B8" w14:textId="63356CCA" w:rsidR="00267630" w:rsidRDefault="002D1F3F" w:rsidP="009E7B70">
      <w:pPr>
        <w:pStyle w:val="BodyText1"/>
        <w:widowControl w:val="0"/>
        <w:tabs>
          <w:tab w:val="left" w:pos="2835"/>
        </w:tabs>
        <w:spacing w:after="0"/>
        <w:ind w:left="709"/>
        <w:rPr>
          <w:rFonts w:cs="Times New Roman"/>
          <w:noProof/>
        </w:rPr>
      </w:pPr>
      <w:r>
        <w:t>Fakss:</w:t>
      </w:r>
      <w:r>
        <w:tab/>
        <w:t>+[numurs]</w:t>
      </w:r>
    </w:p>
    <w:p w14:paraId="6E342323" w14:textId="407E0EDF" w:rsidR="002D1F3F" w:rsidRPr="00267630" w:rsidRDefault="002D1F3F" w:rsidP="009E7B70">
      <w:pPr>
        <w:pStyle w:val="BodyText1"/>
        <w:widowControl w:val="0"/>
        <w:tabs>
          <w:tab w:val="left" w:pos="2835"/>
        </w:tabs>
        <w:spacing w:after="0"/>
        <w:ind w:left="709"/>
        <w:rPr>
          <w:rFonts w:cs="Times New Roman"/>
          <w:noProof/>
        </w:rPr>
      </w:pPr>
      <w:r>
        <w:t>E-pasta adrese:</w:t>
      </w:r>
      <w:r>
        <w:tab/>
        <w:t>[e-pasta adrese]</w:t>
      </w:r>
    </w:p>
    <w:p w14:paraId="7745B86B" w14:textId="1E11E1E1" w:rsidR="00267630" w:rsidRDefault="002D1F3F" w:rsidP="009E7B70">
      <w:pPr>
        <w:pStyle w:val="BodyText1"/>
        <w:widowControl w:val="0"/>
        <w:tabs>
          <w:tab w:val="left" w:pos="2835"/>
        </w:tabs>
        <w:spacing w:after="0"/>
        <w:ind w:left="709"/>
        <w:rPr>
          <w:rFonts w:cs="Times New Roman"/>
          <w:noProof/>
        </w:rPr>
      </w:pPr>
      <w:r>
        <w:t>Adresāts:</w:t>
      </w:r>
      <w:r>
        <w:tab/>
        <w:t>[vārds un uzvārds vai struktūrvienības nosaukums]</w:t>
      </w:r>
    </w:p>
    <w:p w14:paraId="457AE4C2" w14:textId="1EF6A5DC" w:rsidR="002D1F3F" w:rsidRPr="00267630" w:rsidRDefault="002D1F3F" w:rsidP="009E7B70">
      <w:pPr>
        <w:pStyle w:val="BodyText1"/>
        <w:widowControl w:val="0"/>
        <w:tabs>
          <w:tab w:val="left" w:pos="2835"/>
        </w:tabs>
        <w:spacing w:after="0"/>
        <w:ind w:left="709"/>
        <w:rPr>
          <w:rFonts w:cs="Times New Roman"/>
          <w:noProof/>
        </w:rPr>
      </w:pPr>
      <w:r>
        <w:t>Nosūtot kopiju:</w:t>
      </w:r>
      <w:r>
        <w:tab/>
        <w:t>Eiropas Komisijai</w:t>
      </w:r>
    </w:p>
    <w:p w14:paraId="28EC5A12" w14:textId="02164577" w:rsidR="00267630" w:rsidRDefault="002D1F3F" w:rsidP="009E7B70">
      <w:pPr>
        <w:pStyle w:val="BodyText1"/>
        <w:widowControl w:val="0"/>
        <w:tabs>
          <w:tab w:val="left" w:pos="2835"/>
        </w:tabs>
        <w:spacing w:after="0"/>
        <w:ind w:left="709"/>
        <w:rPr>
          <w:rFonts w:cs="Times New Roman"/>
          <w:noProof/>
        </w:rPr>
      </w:pPr>
      <w:r>
        <w:t>Fakss:</w:t>
      </w:r>
      <w:r>
        <w:tab/>
        <w:t>+[tālruņa numurs]</w:t>
      </w:r>
    </w:p>
    <w:p w14:paraId="17E48150" w14:textId="3F0D54C8" w:rsidR="002D1F3F" w:rsidRPr="00267630" w:rsidRDefault="002D1F3F" w:rsidP="009E7B70">
      <w:pPr>
        <w:pStyle w:val="BodyText1"/>
        <w:widowControl w:val="0"/>
        <w:tabs>
          <w:tab w:val="left" w:pos="2835"/>
        </w:tabs>
        <w:spacing w:after="0"/>
        <w:ind w:left="709"/>
        <w:rPr>
          <w:rFonts w:cs="Times New Roman"/>
          <w:noProof/>
        </w:rPr>
      </w:pPr>
      <w:r>
        <w:t>E-pasta adrese:</w:t>
      </w:r>
      <w:r>
        <w:tab/>
        <w:t>[e-pasta adrese]</w:t>
      </w:r>
    </w:p>
    <w:p w14:paraId="00D0ABFB" w14:textId="0B7432E4" w:rsidR="00267630" w:rsidRDefault="002D1F3F" w:rsidP="009E7B70">
      <w:pPr>
        <w:pStyle w:val="BodyText1"/>
        <w:widowControl w:val="0"/>
        <w:tabs>
          <w:tab w:val="left" w:pos="2835"/>
        </w:tabs>
        <w:spacing w:after="0"/>
        <w:ind w:left="709"/>
        <w:rPr>
          <w:rFonts w:cs="Times New Roman"/>
          <w:noProof/>
        </w:rPr>
      </w:pPr>
      <w:r>
        <w:t>Adresāts:</w:t>
      </w:r>
      <w:r>
        <w:tab/>
        <w:t>[vārds un uzvārds vai struktūrvienības nosaukums]</w:t>
      </w:r>
    </w:p>
    <w:p w14:paraId="058EA622" w14:textId="77777777" w:rsidR="009E7B70" w:rsidRPr="000538A2" w:rsidRDefault="009E7B70" w:rsidP="00267630">
      <w:pPr>
        <w:pStyle w:val="BodyText1"/>
        <w:widowControl w:val="0"/>
        <w:spacing w:after="0"/>
        <w:ind w:left="0"/>
        <w:rPr>
          <w:rFonts w:cs="Times New Roman"/>
          <w:noProof/>
        </w:rPr>
      </w:pPr>
    </w:p>
    <w:p w14:paraId="3A00E7FA" w14:textId="03D10A8E" w:rsidR="00267630" w:rsidRDefault="002D1F3F" w:rsidP="009E7B70">
      <w:pPr>
        <w:pStyle w:val="BodyText1"/>
        <w:widowControl w:val="0"/>
        <w:spacing w:after="0"/>
        <w:ind w:left="709"/>
        <w:rPr>
          <w:rFonts w:cs="Times New Roman"/>
          <w:noProof/>
        </w:rPr>
      </w:pPr>
      <w:r>
        <w:t>vai saistībā ar garantijas devēju uz tādu citu adresi vai faksa numuru vai tādai citai personai vai struktūrvienībai, kuru garantijas devējs ir paziņojis paredzētajā veidā Komisijai paziņojumu sniegšanai.</w:t>
      </w:r>
    </w:p>
    <w:p w14:paraId="59C252E5" w14:textId="77777777" w:rsidR="009E7B70" w:rsidRPr="000538A2" w:rsidRDefault="009E7B70" w:rsidP="009E7B70">
      <w:pPr>
        <w:pStyle w:val="StandardL2"/>
        <w:widowControl w:val="0"/>
        <w:numPr>
          <w:ilvl w:val="0"/>
          <w:numId w:val="0"/>
        </w:numPr>
        <w:spacing w:after="0"/>
        <w:outlineLvl w:val="9"/>
        <w:rPr>
          <w:rFonts w:cs="Times New Roman"/>
          <w:noProof/>
        </w:rPr>
      </w:pPr>
    </w:p>
    <w:p w14:paraId="7FADB52C" w14:textId="3C1C3085" w:rsidR="00267630" w:rsidRDefault="009E7B70" w:rsidP="009E7B70">
      <w:pPr>
        <w:pStyle w:val="StandardL2"/>
        <w:widowControl w:val="0"/>
        <w:numPr>
          <w:ilvl w:val="0"/>
          <w:numId w:val="0"/>
        </w:numPr>
        <w:spacing w:after="0"/>
        <w:outlineLvl w:val="9"/>
        <w:rPr>
          <w:rFonts w:cs="Times New Roman"/>
          <w:noProof/>
        </w:rPr>
      </w:pPr>
      <w:r>
        <w:t>7.2.</w:t>
      </w:r>
      <w:r>
        <w:tab/>
        <w:t>Spēkā stāšanās</w:t>
      </w:r>
    </w:p>
    <w:p w14:paraId="563C7D00" w14:textId="77777777" w:rsidR="009E7B70" w:rsidRPr="000538A2" w:rsidRDefault="009E7B70" w:rsidP="00267630">
      <w:pPr>
        <w:pStyle w:val="BodyText1"/>
        <w:widowControl w:val="0"/>
        <w:spacing w:after="0"/>
        <w:ind w:left="0"/>
        <w:rPr>
          <w:rFonts w:cs="Times New Roman"/>
          <w:noProof/>
        </w:rPr>
      </w:pPr>
    </w:p>
    <w:p w14:paraId="5FD53A11" w14:textId="58B7DF64" w:rsidR="00267630" w:rsidRDefault="002D1F3F" w:rsidP="009E7B70">
      <w:pPr>
        <w:pStyle w:val="BodyText1"/>
        <w:widowControl w:val="0"/>
        <w:spacing w:after="0"/>
        <w:ind w:left="709"/>
        <w:rPr>
          <w:rFonts w:cs="Times New Roman"/>
          <w:noProof/>
        </w:rPr>
      </w:pPr>
      <w:r>
        <w:t>Ikviens paziņojums, pieprasījums vai cita informācija, kas nosūtīta saskaņā ar 7.1. punktu (</w:t>
      </w:r>
      <w:r>
        <w:rPr>
          <w:i/>
          <w:iCs/>
        </w:rPr>
        <w:t>Adrese paziņojumu nosūtīšanai</w:t>
      </w:r>
      <w:r>
        <w:t xml:space="preserve">), stājas spēkā brīdī, kad garantijas devējs to faktiski saņem; </w:t>
      </w:r>
      <w:r>
        <w:rPr>
          <w:i/>
          <w:iCs/>
        </w:rPr>
        <w:t>ar nosacījumu</w:t>
      </w:r>
      <w:r>
        <w:t xml:space="preserve">, ka šāds paziņojums, pieprasījums vai cita informācija, kam būtu jāstājas spēkā pēc konkrētās dienas plkst. 16.00 vai dienā, kas nav darbdiena, </w:t>
      </w:r>
      <w:r>
        <w:lastRenderedPageBreak/>
        <w:t>nestājas spēkā līdz nākamās darbdienas plkst. 10.00.</w:t>
      </w:r>
    </w:p>
    <w:p w14:paraId="603C7E00" w14:textId="77777777" w:rsidR="009E7B70" w:rsidRDefault="009E7B70" w:rsidP="009E7B70">
      <w:pPr>
        <w:pStyle w:val="StandardL1"/>
        <w:keepNext w:val="0"/>
        <w:widowControl w:val="0"/>
        <w:numPr>
          <w:ilvl w:val="0"/>
          <w:numId w:val="0"/>
        </w:numPr>
        <w:spacing w:after="0"/>
        <w:jc w:val="both"/>
        <w:outlineLvl w:val="9"/>
        <w:rPr>
          <w:noProof/>
        </w:rPr>
      </w:pPr>
      <w:bookmarkStart w:id="29" w:name="_Toc38704899"/>
      <w:bookmarkStart w:id="30" w:name="_Toc40016234"/>
    </w:p>
    <w:p w14:paraId="63D977DC" w14:textId="301A4B2B" w:rsidR="002D1F3F" w:rsidRPr="00267630" w:rsidRDefault="009E7B70" w:rsidP="00464DB5">
      <w:pPr>
        <w:pStyle w:val="Heading1"/>
        <w:keepNext/>
        <w:rPr>
          <w:noProof/>
        </w:rPr>
      </w:pPr>
      <w:bookmarkStart w:id="31" w:name="_Toc41037652"/>
      <w:r>
        <w:t>8.</w:t>
      </w:r>
      <w:r>
        <w:tab/>
        <w:t>Interpretācija</w:t>
      </w:r>
      <w:bookmarkEnd w:id="29"/>
      <w:bookmarkEnd w:id="30"/>
      <w:bookmarkEnd w:id="31"/>
    </w:p>
    <w:p w14:paraId="2B97D444" w14:textId="77777777" w:rsidR="009E7B70" w:rsidRPr="000538A2" w:rsidRDefault="009E7B70" w:rsidP="00464DB5">
      <w:pPr>
        <w:pStyle w:val="StandardL2"/>
        <w:keepNext/>
        <w:widowControl w:val="0"/>
        <w:numPr>
          <w:ilvl w:val="0"/>
          <w:numId w:val="0"/>
        </w:numPr>
        <w:spacing w:after="0"/>
        <w:outlineLvl w:val="9"/>
        <w:rPr>
          <w:noProof/>
        </w:rPr>
      </w:pPr>
    </w:p>
    <w:p w14:paraId="598314A5" w14:textId="188098F9" w:rsidR="00267630" w:rsidRDefault="009E7B70" w:rsidP="00464DB5">
      <w:pPr>
        <w:pStyle w:val="StandardL2"/>
        <w:keepNext/>
        <w:widowControl w:val="0"/>
        <w:numPr>
          <w:ilvl w:val="0"/>
          <w:numId w:val="0"/>
        </w:numPr>
        <w:spacing w:after="0"/>
        <w:outlineLvl w:val="9"/>
        <w:rPr>
          <w:noProof/>
        </w:rPr>
      </w:pPr>
      <w:r>
        <w:t>8.1.</w:t>
      </w:r>
      <w:r>
        <w:tab/>
        <w:t>Definīcijas</w:t>
      </w:r>
    </w:p>
    <w:p w14:paraId="0CF2D9DF" w14:textId="77777777" w:rsidR="009E7B70" w:rsidRPr="000538A2" w:rsidRDefault="009E7B70" w:rsidP="00267630">
      <w:pPr>
        <w:pStyle w:val="BodyText1"/>
        <w:widowControl w:val="0"/>
        <w:spacing w:after="0"/>
        <w:ind w:left="0"/>
        <w:rPr>
          <w:rFonts w:cs="Times New Roman"/>
          <w:noProof/>
        </w:rPr>
      </w:pPr>
    </w:p>
    <w:p w14:paraId="0822D054" w14:textId="681F1EF0" w:rsidR="002D1F3F" w:rsidRPr="00267630" w:rsidRDefault="002D1F3F" w:rsidP="009E7B70">
      <w:pPr>
        <w:pStyle w:val="BodyText1"/>
        <w:widowControl w:val="0"/>
        <w:spacing w:after="0"/>
        <w:ind w:left="709"/>
        <w:rPr>
          <w:rFonts w:cs="Times New Roman"/>
          <w:noProof/>
        </w:rPr>
      </w:pPr>
      <w:r>
        <w:t>Šajā garantijas līgumā:</w:t>
      </w:r>
    </w:p>
    <w:p w14:paraId="647DD383" w14:textId="77777777" w:rsidR="009E7B70" w:rsidRPr="000538A2" w:rsidRDefault="009E7B70" w:rsidP="009E7B70">
      <w:pPr>
        <w:pStyle w:val="BodyText1"/>
        <w:widowControl w:val="0"/>
        <w:spacing w:after="0"/>
        <w:ind w:left="709"/>
        <w:rPr>
          <w:noProof/>
        </w:rPr>
      </w:pPr>
    </w:p>
    <w:p w14:paraId="3A9ED92B" w14:textId="4403E53B" w:rsidR="002D1F3F" w:rsidRPr="00267630" w:rsidRDefault="002D1F3F" w:rsidP="009E7B70">
      <w:pPr>
        <w:pStyle w:val="BodyText1"/>
        <w:widowControl w:val="0"/>
        <w:spacing w:after="0"/>
        <w:ind w:left="709"/>
        <w:rPr>
          <w:noProof/>
        </w:rPr>
      </w:pPr>
      <w:r>
        <w:t>“</w:t>
      </w:r>
      <w:r>
        <w:rPr>
          <w:b/>
        </w:rPr>
        <w:t>darbdiena</w:t>
      </w:r>
      <w:r>
        <w:t>” ir diena, kad komercbankas un ārvalstu valūtas tirgi Luksemburgā ir atvērti darbībai vai kad tiem ir jābūt atvērtiem šādai darbībai.</w:t>
      </w:r>
    </w:p>
    <w:p w14:paraId="00C36761" w14:textId="77777777" w:rsidR="009E7B70" w:rsidRPr="000538A2" w:rsidRDefault="009E7B70" w:rsidP="009E7B70">
      <w:pPr>
        <w:pStyle w:val="StandardL2"/>
        <w:widowControl w:val="0"/>
        <w:numPr>
          <w:ilvl w:val="0"/>
          <w:numId w:val="0"/>
        </w:numPr>
        <w:spacing w:after="0"/>
        <w:outlineLvl w:val="9"/>
        <w:rPr>
          <w:noProof/>
        </w:rPr>
      </w:pPr>
    </w:p>
    <w:p w14:paraId="0596E23A" w14:textId="6F1C8E91" w:rsidR="00267630" w:rsidRDefault="009E7B70" w:rsidP="009E7B70">
      <w:pPr>
        <w:pStyle w:val="StandardL2"/>
        <w:widowControl w:val="0"/>
        <w:numPr>
          <w:ilvl w:val="0"/>
          <w:numId w:val="0"/>
        </w:numPr>
        <w:spacing w:after="0"/>
        <w:outlineLvl w:val="9"/>
        <w:rPr>
          <w:noProof/>
        </w:rPr>
      </w:pPr>
      <w:r>
        <w:t>8.2.</w:t>
      </w:r>
      <w:r>
        <w:tab/>
        <w:t>Citi līgumi</w:t>
      </w:r>
    </w:p>
    <w:p w14:paraId="525F025E" w14:textId="77777777" w:rsidR="009E7B70" w:rsidRPr="000538A2" w:rsidRDefault="009E7B70" w:rsidP="00267630">
      <w:pPr>
        <w:pStyle w:val="BodyText1"/>
        <w:widowControl w:val="0"/>
        <w:spacing w:after="0"/>
        <w:ind w:left="0"/>
        <w:rPr>
          <w:rFonts w:cs="Times New Roman"/>
          <w:noProof/>
        </w:rPr>
      </w:pPr>
    </w:p>
    <w:p w14:paraId="076C3760" w14:textId="64134586" w:rsidR="00267630" w:rsidRDefault="002D1F3F" w:rsidP="009E7B70">
      <w:pPr>
        <w:pStyle w:val="BodyText1"/>
        <w:widowControl w:val="0"/>
        <w:spacing w:after="0"/>
        <w:ind w:left="709"/>
        <w:rPr>
          <w:rFonts w:cs="Times New Roman"/>
          <w:noProof/>
        </w:rPr>
      </w:pPr>
      <w:r>
        <w:t>Šajā garantijas līgumā visas norādes uz līgumu, instrumentu vai citu dokumentu uzskata par norādēm uz šādu līgumu, instrumentu vai citu dokumentu, kas ik pa laikam var tikt grozīts, papildināts, pārstrādāts, paplašināts, aizvietots vai atjaunots.</w:t>
      </w:r>
    </w:p>
    <w:p w14:paraId="431E184D" w14:textId="77777777" w:rsidR="009E7B70" w:rsidRDefault="009E7B70" w:rsidP="009E7B70">
      <w:pPr>
        <w:pStyle w:val="StandardL1"/>
        <w:keepNext w:val="0"/>
        <w:widowControl w:val="0"/>
        <w:numPr>
          <w:ilvl w:val="0"/>
          <w:numId w:val="0"/>
        </w:numPr>
        <w:spacing w:after="0"/>
        <w:jc w:val="both"/>
        <w:outlineLvl w:val="9"/>
        <w:rPr>
          <w:noProof/>
        </w:rPr>
      </w:pPr>
      <w:bookmarkStart w:id="32" w:name="_Ref263167380"/>
      <w:bookmarkStart w:id="33" w:name="_Toc38704900"/>
      <w:bookmarkStart w:id="34" w:name="_Toc40016235"/>
    </w:p>
    <w:p w14:paraId="56289CD1" w14:textId="71339637" w:rsidR="00267630" w:rsidRDefault="009E7B70" w:rsidP="00464DB5">
      <w:pPr>
        <w:pStyle w:val="Heading1"/>
        <w:rPr>
          <w:noProof/>
        </w:rPr>
      </w:pPr>
      <w:bookmarkStart w:id="35" w:name="_Toc41037653"/>
      <w:r>
        <w:t>9.</w:t>
      </w:r>
      <w:r>
        <w:tab/>
        <w:t>Tiesību akti un jurisdikcija</w:t>
      </w:r>
      <w:bookmarkEnd w:id="32"/>
      <w:bookmarkEnd w:id="33"/>
      <w:bookmarkEnd w:id="34"/>
      <w:bookmarkEnd w:id="35"/>
    </w:p>
    <w:p w14:paraId="2DEC74D9" w14:textId="77777777" w:rsidR="009E7B70" w:rsidRPr="000538A2" w:rsidRDefault="009E7B70" w:rsidP="009E7B70">
      <w:pPr>
        <w:pStyle w:val="StandardL2"/>
        <w:widowControl w:val="0"/>
        <w:numPr>
          <w:ilvl w:val="0"/>
          <w:numId w:val="0"/>
        </w:numPr>
        <w:spacing w:after="0"/>
        <w:outlineLvl w:val="9"/>
        <w:rPr>
          <w:rFonts w:cs="Times New Roman"/>
          <w:noProof/>
        </w:rPr>
      </w:pPr>
    </w:p>
    <w:p w14:paraId="0E4744A3" w14:textId="1BC4C76F" w:rsidR="00267630" w:rsidRDefault="009E7B70" w:rsidP="009E7B70">
      <w:pPr>
        <w:pStyle w:val="StandardL2"/>
        <w:widowControl w:val="0"/>
        <w:numPr>
          <w:ilvl w:val="0"/>
          <w:numId w:val="0"/>
        </w:numPr>
        <w:spacing w:after="0"/>
        <w:outlineLvl w:val="9"/>
        <w:rPr>
          <w:rFonts w:cs="Times New Roman"/>
          <w:noProof/>
        </w:rPr>
      </w:pPr>
      <w:r>
        <w:t>9.1.</w:t>
      </w:r>
      <w:r>
        <w:tab/>
        <w:t>Piemērojamie tiesību akti</w:t>
      </w:r>
    </w:p>
    <w:p w14:paraId="0380ECF8" w14:textId="77777777" w:rsidR="009E7B70" w:rsidRPr="000538A2" w:rsidRDefault="009E7B70" w:rsidP="00267630">
      <w:pPr>
        <w:pStyle w:val="BodyText1"/>
        <w:widowControl w:val="0"/>
        <w:spacing w:after="0"/>
        <w:ind w:left="0"/>
        <w:rPr>
          <w:rFonts w:cs="Times New Roman"/>
          <w:noProof/>
        </w:rPr>
      </w:pPr>
    </w:p>
    <w:p w14:paraId="0969DD87" w14:textId="413AB00E" w:rsidR="00267630" w:rsidRDefault="002D1F3F" w:rsidP="009E7B70">
      <w:pPr>
        <w:pStyle w:val="BodyText1"/>
        <w:widowControl w:val="0"/>
        <w:spacing w:after="0"/>
        <w:ind w:left="709"/>
        <w:rPr>
          <w:rFonts w:cs="Times New Roman"/>
          <w:noProof/>
        </w:rPr>
      </w:pPr>
      <w:r>
        <w:t xml:space="preserve">Šo garantijas līgumu un visas </w:t>
      </w:r>
      <w:proofErr w:type="spellStart"/>
      <w:r>
        <w:t>ārpuslīgumiskās</w:t>
      </w:r>
      <w:proofErr w:type="spellEnd"/>
      <w:r>
        <w:t xml:space="preserve"> saistības, kas izriet no šā garantijas līguma vai ir saistītas ar to, reglamentē Eiropas Savienības tiesību akti un interpretē saskaņā ar šiem tiesību aktiem, vajadzības gadījumā papildinot tos ar Luksemburgas tiesību aktiem.</w:t>
      </w:r>
    </w:p>
    <w:p w14:paraId="4EB7993B" w14:textId="77777777" w:rsidR="009E7B70" w:rsidRDefault="009E7B70" w:rsidP="009E7B70">
      <w:pPr>
        <w:pStyle w:val="StandardL2"/>
        <w:widowControl w:val="0"/>
        <w:numPr>
          <w:ilvl w:val="0"/>
          <w:numId w:val="0"/>
        </w:numPr>
        <w:spacing w:after="0"/>
        <w:outlineLvl w:val="9"/>
        <w:rPr>
          <w:rFonts w:cs="Times New Roman"/>
          <w:noProof/>
        </w:rPr>
      </w:pPr>
      <w:bookmarkStart w:id="36" w:name="_Ref267496668"/>
    </w:p>
    <w:p w14:paraId="5DD81EE6" w14:textId="0A34833F" w:rsidR="002D1F3F" w:rsidRPr="00267630" w:rsidRDefault="009E7B70" w:rsidP="009E7B70">
      <w:pPr>
        <w:pStyle w:val="StandardL2"/>
        <w:widowControl w:val="0"/>
        <w:numPr>
          <w:ilvl w:val="0"/>
          <w:numId w:val="0"/>
        </w:numPr>
        <w:spacing w:after="0"/>
        <w:outlineLvl w:val="9"/>
        <w:rPr>
          <w:rFonts w:cs="Times New Roman"/>
          <w:noProof/>
        </w:rPr>
      </w:pPr>
      <w:r>
        <w:t>9.2.</w:t>
      </w:r>
      <w:r>
        <w:tab/>
        <w:t>Ekskluzīva kompetence</w:t>
      </w:r>
      <w:bookmarkEnd w:id="36"/>
    </w:p>
    <w:p w14:paraId="1189A479" w14:textId="77777777" w:rsidR="009E7B70" w:rsidRPr="000538A2" w:rsidRDefault="009E7B70" w:rsidP="00267630">
      <w:pPr>
        <w:pStyle w:val="BodyText1"/>
        <w:widowControl w:val="0"/>
        <w:spacing w:after="0"/>
        <w:ind w:left="0"/>
        <w:rPr>
          <w:rFonts w:cs="Times New Roman"/>
          <w:noProof/>
        </w:rPr>
      </w:pPr>
    </w:p>
    <w:p w14:paraId="47263F73" w14:textId="625C7F39" w:rsidR="002D1F3F" w:rsidRPr="00267630" w:rsidRDefault="002D1F3F" w:rsidP="009E7B70">
      <w:pPr>
        <w:pStyle w:val="BodyText1"/>
        <w:widowControl w:val="0"/>
        <w:spacing w:after="0"/>
        <w:ind w:left="709"/>
        <w:rPr>
          <w:rFonts w:cs="Times New Roman"/>
          <w:noProof/>
        </w:rPr>
      </w:pPr>
      <w:r>
        <w:t>Eiropas Savienības Tiesai saskaņā ar Līguma par Eiropas Savienības darbību 272. pantu ir ekskluzīva kompetence risināt visus strīdus (turpmāk tekstā –“</w:t>
      </w:r>
      <w:r>
        <w:rPr>
          <w:b/>
        </w:rPr>
        <w:t>strīds</w:t>
      </w:r>
      <w:r>
        <w:t xml:space="preserve">”), kas izriet no šā garantijas līguma vai tā spēkā neesamības sekām vai kas rodas saistībā ar to (tostarp strīdu, kas ir saistīts ar šā garantijas līguma vai kādas citas no šā garantijas līguma izrietošas vai ar to saistītas </w:t>
      </w:r>
      <w:proofErr w:type="spellStart"/>
      <w:r>
        <w:t>ārpuslīgumiskas</w:t>
      </w:r>
      <w:proofErr w:type="spellEnd"/>
      <w:r>
        <w:t xml:space="preserve"> saistības pastāvēšanu, spēkā esamību vai izbeigšanu).</w:t>
      </w:r>
    </w:p>
    <w:p w14:paraId="091EBA4D" w14:textId="77777777" w:rsidR="009E7B70" w:rsidRPr="000538A2" w:rsidRDefault="009E7B70" w:rsidP="00267630">
      <w:pPr>
        <w:pStyle w:val="BodyText"/>
        <w:widowControl w:val="0"/>
        <w:spacing w:after="0"/>
        <w:rPr>
          <w:rFonts w:cs="Times New Roman"/>
          <w:noProof/>
        </w:rPr>
      </w:pPr>
    </w:p>
    <w:p w14:paraId="215CF180" w14:textId="483D4239" w:rsidR="002D1F3F" w:rsidRDefault="002D1F3F" w:rsidP="00267630">
      <w:pPr>
        <w:pStyle w:val="BodyText"/>
        <w:widowControl w:val="0"/>
        <w:spacing w:after="0"/>
      </w:pPr>
      <w:r>
        <w:t>Visus šā līguma punktus un noteikumus ir pienācīgi atzinusi un apstiprinājusi [•] [atbilstoši •</w:t>
      </w:r>
      <w:r w:rsidRPr="00267630">
        <w:rPr>
          <w:rStyle w:val="FootnoteReference"/>
          <w:rFonts w:cs="Times New Roman"/>
          <w:noProof/>
          <w:sz w:val="24"/>
          <w:lang w:val="en-US"/>
        </w:rPr>
        <w:footnoteReference w:id="2"/>
      </w:r>
      <w:r>
        <w:t>] un Komisija. Šis garantijas līgums stājas spēkā dienā, kad to paraksta pēdējā no pusēm.</w:t>
      </w:r>
    </w:p>
    <w:p w14:paraId="71226FC7" w14:textId="29D8B2ED" w:rsidR="005E471D" w:rsidRDefault="005E471D" w:rsidP="00267630">
      <w:pPr>
        <w:pStyle w:val="BodyText"/>
        <w:widowControl w:val="0"/>
        <w:spacing w:after="0"/>
      </w:pPr>
    </w:p>
    <w:p w14:paraId="7954E551" w14:textId="573D04C9" w:rsidR="005E471D" w:rsidRPr="00267630" w:rsidRDefault="005E471D" w:rsidP="00267630">
      <w:pPr>
        <w:pStyle w:val="BodyText"/>
        <w:widowControl w:val="0"/>
        <w:spacing w:after="0"/>
        <w:rPr>
          <w:rFonts w:cs="Times New Roman"/>
          <w:noProof/>
        </w:rPr>
      </w:pPr>
      <w:r>
        <w:t xml:space="preserve">Sagatavots divos eksemplāros, </w:t>
      </w:r>
      <w:r w:rsidR="00D04A8C">
        <w:t>pa vienam</w:t>
      </w:r>
      <w:r>
        <w:t xml:space="preserve"> </w:t>
      </w:r>
      <w:r w:rsidR="00D04A8C">
        <w:t>garantijas devējam un Komisijai.</w:t>
      </w:r>
    </w:p>
    <w:p w14:paraId="05A9835C" w14:textId="77777777" w:rsidR="002D1F3F" w:rsidRPr="00267630" w:rsidRDefault="002D1F3F" w:rsidP="00267630">
      <w:pPr>
        <w:pStyle w:val="BodyText"/>
        <w:widowControl w:val="0"/>
        <w:spacing w:after="0"/>
        <w:rPr>
          <w:rFonts w:cs="Times New Roman"/>
          <w:noProof/>
          <w:lang w:val="en-US"/>
        </w:rPr>
      </w:pPr>
    </w:p>
    <w:p w14:paraId="14349227" w14:textId="77777777" w:rsidR="00267630" w:rsidRDefault="002D1F3F" w:rsidP="00267630">
      <w:pPr>
        <w:pStyle w:val="BodyText"/>
        <w:widowControl w:val="0"/>
        <w:spacing w:after="0"/>
        <w:rPr>
          <w:rFonts w:cs="Times New Roman"/>
          <w:noProof/>
        </w:rPr>
      </w:pPr>
      <w:r>
        <w:t xml:space="preserve">Garantijas rakstu </w:t>
      </w:r>
      <w:r>
        <w:rPr>
          <w:b/>
          <w:bCs/>
        </w:rPr>
        <w:t>NOFORMĒJA</w:t>
      </w:r>
    </w:p>
    <w:p w14:paraId="4B8F1862" w14:textId="7117305F" w:rsidR="00267630" w:rsidRDefault="000538A2" w:rsidP="00267630">
      <w:pPr>
        <w:pStyle w:val="BodyText"/>
        <w:widowControl w:val="0"/>
        <w:spacing w:after="0"/>
        <w:rPr>
          <w:rFonts w:cs="Times New Roman"/>
          <w:b/>
          <w:bCs/>
          <w:noProof/>
        </w:rPr>
      </w:pPr>
      <w:r>
        <w:rPr>
          <w:b/>
          <w:bCs/>
        </w:rPr>
        <w:t>LATVIJAS REPUBLIKA</w:t>
      </w:r>
      <w:r w:rsidR="002D1F3F">
        <w:rPr>
          <w:b/>
          <w:bCs/>
        </w:rPr>
        <w:t>,</w:t>
      </w:r>
    </w:p>
    <w:p w14:paraId="0252EDA4" w14:textId="3FD78ED3" w:rsidR="002D1F3F" w:rsidRPr="00267630" w:rsidRDefault="002D1F3F" w:rsidP="00267630">
      <w:pPr>
        <w:pStyle w:val="BodyText"/>
        <w:widowControl w:val="0"/>
        <w:spacing w:after="0"/>
        <w:rPr>
          <w:rFonts w:cs="Times New Roman"/>
          <w:noProof/>
        </w:rPr>
      </w:pPr>
      <w:r>
        <w:t>ko pārstāv</w:t>
      </w:r>
    </w:p>
    <w:p w14:paraId="4273532B" w14:textId="77777777" w:rsidR="002D1F3F" w:rsidRPr="00267630" w:rsidRDefault="002D1F3F" w:rsidP="00267630">
      <w:pPr>
        <w:pStyle w:val="BodyText"/>
        <w:widowControl w:val="0"/>
        <w:spacing w:after="0"/>
        <w:rPr>
          <w:rFonts w:cs="Times New Roman"/>
          <w:noProof/>
          <w:lang w:val="en-US"/>
        </w:rPr>
      </w:pPr>
    </w:p>
    <w:p w14:paraId="5D4A6101" w14:textId="77777777" w:rsidR="002D1F3F" w:rsidRPr="00267630" w:rsidRDefault="002D1F3F" w:rsidP="00267630">
      <w:pPr>
        <w:pStyle w:val="BodyText"/>
        <w:widowControl w:val="0"/>
        <w:spacing w:after="0"/>
        <w:rPr>
          <w:rFonts w:cs="Times New Roman"/>
          <w:noProof/>
          <w:lang w:val="en-US"/>
        </w:rPr>
      </w:pPr>
    </w:p>
    <w:p w14:paraId="652FA14B" w14:textId="4B12688E" w:rsidR="002D1F3F" w:rsidRDefault="000538A2" w:rsidP="00267630">
      <w:pPr>
        <w:pStyle w:val="BodyText"/>
        <w:widowControl w:val="0"/>
        <w:spacing w:after="0"/>
        <w:rPr>
          <w:rFonts w:cs="Times New Roman"/>
          <w:noProof/>
        </w:rPr>
      </w:pPr>
      <w:r>
        <w:t>JĀNIS REIRS</w:t>
      </w:r>
    </w:p>
    <w:p w14:paraId="1C41E742" w14:textId="09BF949B" w:rsidR="000538A2" w:rsidRPr="00267630" w:rsidRDefault="000538A2" w:rsidP="00267630">
      <w:pPr>
        <w:pStyle w:val="BodyText"/>
        <w:widowControl w:val="0"/>
        <w:spacing w:after="0"/>
        <w:rPr>
          <w:rFonts w:cs="Times New Roman"/>
          <w:noProof/>
        </w:rPr>
      </w:pPr>
      <w:r>
        <w:rPr>
          <w:rFonts w:cs="Times New Roman"/>
          <w:noProof/>
        </w:rPr>
        <w:t>FINANŠU MINISTRS</w:t>
      </w:r>
      <w:bookmarkStart w:id="37" w:name="_GoBack"/>
      <w:bookmarkEnd w:id="37"/>
    </w:p>
    <w:p w14:paraId="6F4BA517" w14:textId="77777777" w:rsidR="002D1F3F" w:rsidRPr="00267630" w:rsidRDefault="002D1F3F" w:rsidP="00267630">
      <w:pPr>
        <w:pStyle w:val="BodyText"/>
        <w:widowControl w:val="0"/>
        <w:spacing w:after="0"/>
        <w:rPr>
          <w:rFonts w:cs="Times New Roman"/>
          <w:noProof/>
        </w:rPr>
      </w:pPr>
      <w:r>
        <w:t>[PARAKSTĪŠANAS DATUMS]</w:t>
      </w:r>
    </w:p>
    <w:p w14:paraId="4409644F" w14:textId="77777777" w:rsidR="002D1F3F" w:rsidRPr="00267630" w:rsidRDefault="002D1F3F" w:rsidP="00267630">
      <w:pPr>
        <w:pStyle w:val="BodyText"/>
        <w:widowControl w:val="0"/>
        <w:spacing w:after="0"/>
        <w:rPr>
          <w:rFonts w:cs="Times New Roman"/>
          <w:noProof/>
          <w:lang w:val="en-US"/>
        </w:rPr>
      </w:pPr>
    </w:p>
    <w:p w14:paraId="692A8D5E" w14:textId="77777777" w:rsidR="00267630" w:rsidRDefault="002D1F3F" w:rsidP="00267630">
      <w:pPr>
        <w:pStyle w:val="BodyText"/>
        <w:widowControl w:val="0"/>
        <w:spacing w:after="0"/>
        <w:rPr>
          <w:rFonts w:cs="Times New Roman"/>
          <w:noProof/>
        </w:rPr>
      </w:pPr>
      <w:r>
        <w:lastRenderedPageBreak/>
        <w:t xml:space="preserve">Garantijas rakstu </w:t>
      </w:r>
      <w:r>
        <w:rPr>
          <w:b/>
          <w:bCs/>
        </w:rPr>
        <w:t>NOFORMĒJA</w:t>
      </w:r>
    </w:p>
    <w:p w14:paraId="28A2E246" w14:textId="77777777" w:rsidR="00267630" w:rsidRDefault="002D1F3F" w:rsidP="00267630">
      <w:pPr>
        <w:pStyle w:val="BodyText"/>
        <w:widowControl w:val="0"/>
        <w:spacing w:after="0"/>
        <w:rPr>
          <w:rFonts w:cs="Times New Roman"/>
          <w:b/>
          <w:bCs/>
          <w:noProof/>
        </w:rPr>
      </w:pPr>
      <w:r>
        <w:rPr>
          <w:b/>
          <w:bCs/>
        </w:rPr>
        <w:t>Eiropas Komisija,</w:t>
      </w:r>
    </w:p>
    <w:p w14:paraId="52427150" w14:textId="207E4ED4" w:rsidR="002D1F3F" w:rsidRPr="00267630" w:rsidRDefault="002D1F3F" w:rsidP="00267630">
      <w:pPr>
        <w:pStyle w:val="BodyText"/>
        <w:widowControl w:val="0"/>
        <w:spacing w:after="0"/>
        <w:rPr>
          <w:rFonts w:cs="Times New Roman"/>
          <w:noProof/>
        </w:rPr>
      </w:pPr>
      <w:r>
        <w:t>ko pārstāv</w:t>
      </w:r>
    </w:p>
    <w:p w14:paraId="5A01D956" w14:textId="77777777" w:rsidR="002D1F3F" w:rsidRPr="00267630" w:rsidRDefault="002D1F3F" w:rsidP="00267630">
      <w:pPr>
        <w:pStyle w:val="BodyText"/>
        <w:widowControl w:val="0"/>
        <w:spacing w:after="0"/>
        <w:rPr>
          <w:rFonts w:cs="Times New Roman"/>
          <w:noProof/>
          <w:lang w:val="en-US"/>
        </w:rPr>
      </w:pPr>
    </w:p>
    <w:p w14:paraId="13FB98D4" w14:textId="77777777" w:rsidR="002D1F3F" w:rsidRPr="00267630" w:rsidRDefault="002D1F3F" w:rsidP="00267630">
      <w:pPr>
        <w:pStyle w:val="BodyText"/>
        <w:widowControl w:val="0"/>
        <w:spacing w:after="0"/>
        <w:rPr>
          <w:rFonts w:cs="Times New Roman"/>
          <w:noProof/>
          <w:lang w:val="en-US"/>
        </w:rPr>
      </w:pPr>
    </w:p>
    <w:p w14:paraId="3622B5AA" w14:textId="77777777" w:rsidR="002D1F3F" w:rsidRPr="00267630" w:rsidRDefault="002D1F3F" w:rsidP="00267630">
      <w:pPr>
        <w:pStyle w:val="BodyText"/>
        <w:widowControl w:val="0"/>
        <w:spacing w:after="0"/>
        <w:rPr>
          <w:rFonts w:cs="Times New Roman"/>
          <w:noProof/>
        </w:rPr>
      </w:pPr>
      <w:r>
        <w:t>[VĀRDS, UZVĀRDS]</w:t>
      </w:r>
    </w:p>
    <w:p w14:paraId="6C9FFA85" w14:textId="77777777" w:rsidR="002D1F3F" w:rsidRPr="00267630" w:rsidRDefault="002D1F3F" w:rsidP="00267630">
      <w:pPr>
        <w:pStyle w:val="BodyText"/>
        <w:widowControl w:val="0"/>
        <w:spacing w:after="0"/>
        <w:rPr>
          <w:rFonts w:cs="Times New Roman"/>
          <w:noProof/>
        </w:rPr>
      </w:pPr>
      <w:r>
        <w:t>[AMATS]</w:t>
      </w:r>
    </w:p>
    <w:p w14:paraId="505AB042" w14:textId="77777777" w:rsidR="002D1F3F" w:rsidRPr="00267630" w:rsidRDefault="002D1F3F" w:rsidP="00267630">
      <w:pPr>
        <w:pStyle w:val="BodyText"/>
        <w:widowControl w:val="0"/>
        <w:spacing w:after="0"/>
        <w:rPr>
          <w:rFonts w:cs="Times New Roman"/>
          <w:noProof/>
        </w:rPr>
      </w:pPr>
      <w:r>
        <w:t>[PARAKSTĪŠANAS DATUMS]</w:t>
      </w:r>
    </w:p>
    <w:p w14:paraId="4228BC34" w14:textId="01AD3D86" w:rsidR="009E7B70" w:rsidRDefault="009E7B70">
      <w:pPr>
        <w:spacing w:after="0"/>
        <w:jc w:val="left"/>
        <w:rPr>
          <w:rFonts w:cs="Times New Roman"/>
          <w:noProof/>
        </w:rPr>
      </w:pPr>
      <w:r>
        <w:br w:type="page"/>
      </w:r>
    </w:p>
    <w:p w14:paraId="16842619" w14:textId="77777777" w:rsidR="00267630" w:rsidRDefault="00267630" w:rsidP="00267630">
      <w:pPr>
        <w:pStyle w:val="BodyText"/>
        <w:widowControl w:val="0"/>
        <w:spacing w:after="0"/>
        <w:rPr>
          <w:rFonts w:cs="Times New Roman"/>
          <w:noProof/>
          <w:lang w:val="en-US"/>
        </w:rPr>
      </w:pPr>
    </w:p>
    <w:p w14:paraId="78420658" w14:textId="77777777" w:rsidR="00267630" w:rsidRDefault="002D1F3F" w:rsidP="009E7B70">
      <w:pPr>
        <w:widowControl w:val="0"/>
        <w:spacing w:after="0"/>
        <w:jc w:val="center"/>
        <w:rPr>
          <w:b/>
          <w:caps/>
          <w:noProof/>
        </w:rPr>
      </w:pPr>
      <w:r>
        <w:rPr>
          <w:b/>
          <w:caps/>
        </w:rPr>
        <w:t>1. saraksts</w:t>
      </w:r>
    </w:p>
    <w:p w14:paraId="48D6BDFB" w14:textId="3405F341" w:rsidR="002D1F3F" w:rsidRDefault="002D1F3F" w:rsidP="009E7B70">
      <w:pPr>
        <w:widowControl w:val="0"/>
        <w:spacing w:after="0"/>
        <w:jc w:val="center"/>
        <w:rPr>
          <w:b/>
          <w:caps/>
          <w:noProof/>
        </w:rPr>
      </w:pPr>
      <w:r>
        <w:rPr>
          <w:b/>
          <w:caps/>
        </w:rPr>
        <w:t>Garantētais ieguldījums</w:t>
      </w:r>
    </w:p>
    <w:p w14:paraId="6351D4B6" w14:textId="77777777" w:rsidR="009E7B70" w:rsidRPr="00267630" w:rsidRDefault="009E7B70" w:rsidP="009E7B70">
      <w:pPr>
        <w:widowControl w:val="0"/>
        <w:spacing w:after="0"/>
        <w:jc w:val="center"/>
        <w:rPr>
          <w:b/>
          <w:caps/>
          <w:noProof/>
          <w:lang w:val="en-US"/>
        </w:rPr>
      </w:pPr>
    </w:p>
    <w:tbl>
      <w:tblPr>
        <w:tblW w:w="0" w:type="auto"/>
        <w:tblCellMar>
          <w:top w:w="28" w:type="dxa"/>
          <w:left w:w="28" w:type="dxa"/>
          <w:bottom w:w="28" w:type="dxa"/>
          <w:right w:w="28" w:type="dxa"/>
        </w:tblCellMar>
        <w:tblLook w:val="0000" w:firstRow="0" w:lastRow="0" w:firstColumn="0" w:lastColumn="0" w:noHBand="0" w:noVBand="0"/>
      </w:tblPr>
      <w:tblGrid>
        <w:gridCol w:w="2902"/>
        <w:gridCol w:w="1914"/>
        <w:gridCol w:w="3152"/>
      </w:tblGrid>
      <w:tr w:rsidR="002D1F3F" w:rsidRPr="00267630" w14:paraId="582DCF2E" w14:textId="77777777" w:rsidTr="009E7B70">
        <w:tc>
          <w:tcPr>
            <w:tcW w:w="1821" w:type="pct"/>
            <w:noWrap/>
          </w:tcPr>
          <w:p w14:paraId="71430F9C" w14:textId="17FA4DD7" w:rsidR="002D1F3F" w:rsidRPr="00267630" w:rsidRDefault="002D1F3F" w:rsidP="009E7B70">
            <w:pPr>
              <w:widowControl w:val="0"/>
              <w:spacing w:after="0"/>
              <w:jc w:val="center"/>
              <w:rPr>
                <w:b/>
                <w:bCs/>
                <w:noProof/>
              </w:rPr>
            </w:pPr>
            <w:r>
              <w:rPr>
                <w:b/>
                <w:bCs/>
              </w:rPr>
              <w:t>Dalībvalsts</w:t>
            </w:r>
          </w:p>
        </w:tc>
        <w:tc>
          <w:tcPr>
            <w:tcW w:w="1201" w:type="pct"/>
          </w:tcPr>
          <w:p w14:paraId="34BAD42D" w14:textId="77777777" w:rsidR="002D1F3F" w:rsidRPr="00267630" w:rsidRDefault="002D1F3F" w:rsidP="009E7B70">
            <w:pPr>
              <w:widowControl w:val="0"/>
              <w:spacing w:after="0"/>
              <w:jc w:val="center"/>
              <w:rPr>
                <w:b/>
                <w:bCs/>
                <w:noProof/>
                <w:lang w:val="en-US"/>
              </w:rPr>
            </w:pPr>
          </w:p>
        </w:tc>
        <w:tc>
          <w:tcPr>
            <w:tcW w:w="1978" w:type="pct"/>
          </w:tcPr>
          <w:p w14:paraId="7E6A899A" w14:textId="37CFAD21" w:rsidR="002D1F3F" w:rsidRPr="00267630" w:rsidRDefault="002D1F3F" w:rsidP="009E7B70">
            <w:pPr>
              <w:widowControl w:val="0"/>
              <w:spacing w:after="0"/>
              <w:jc w:val="center"/>
              <w:rPr>
                <w:b/>
                <w:bCs/>
                <w:noProof/>
              </w:rPr>
            </w:pPr>
            <w:r>
              <w:rPr>
                <w:b/>
                <w:bCs/>
              </w:rPr>
              <w:t>Summa (EUR)</w:t>
            </w:r>
          </w:p>
        </w:tc>
      </w:tr>
      <w:tr w:rsidR="002D1F3F" w:rsidRPr="00267630" w14:paraId="2BEAF9C6" w14:textId="77777777" w:rsidTr="009E7B70">
        <w:tc>
          <w:tcPr>
            <w:tcW w:w="1821" w:type="pct"/>
            <w:noWrap/>
          </w:tcPr>
          <w:p w14:paraId="707209D3" w14:textId="77777777" w:rsidR="002D1F3F" w:rsidRPr="00267630" w:rsidRDefault="002D1F3F" w:rsidP="00267630">
            <w:pPr>
              <w:widowControl w:val="0"/>
              <w:spacing w:after="0"/>
              <w:rPr>
                <w:noProof/>
              </w:rPr>
            </w:pPr>
            <w:r>
              <w:t>Beļģijas Karaliste</w:t>
            </w:r>
          </w:p>
          <w:p w14:paraId="61EFD5FE" w14:textId="77777777" w:rsidR="002D1F3F" w:rsidRPr="00267630" w:rsidRDefault="002D1F3F" w:rsidP="00267630">
            <w:pPr>
              <w:widowControl w:val="0"/>
              <w:spacing w:after="0"/>
              <w:rPr>
                <w:noProof/>
              </w:rPr>
            </w:pPr>
            <w:r>
              <w:t>Bulgārijas Republika</w:t>
            </w:r>
          </w:p>
          <w:p w14:paraId="48F1524E" w14:textId="77777777" w:rsidR="002D1F3F" w:rsidRPr="00267630" w:rsidRDefault="002D1F3F" w:rsidP="00267630">
            <w:pPr>
              <w:widowControl w:val="0"/>
              <w:spacing w:after="0"/>
              <w:rPr>
                <w:noProof/>
              </w:rPr>
            </w:pPr>
            <w:r>
              <w:t>Čehijas Republika</w:t>
            </w:r>
          </w:p>
          <w:p w14:paraId="6CEF5CCA" w14:textId="77777777" w:rsidR="002D1F3F" w:rsidRPr="00267630" w:rsidRDefault="002D1F3F" w:rsidP="00267630">
            <w:pPr>
              <w:widowControl w:val="0"/>
              <w:spacing w:after="0"/>
              <w:rPr>
                <w:noProof/>
              </w:rPr>
            </w:pPr>
            <w:r>
              <w:t>Dānijas Karaliste</w:t>
            </w:r>
          </w:p>
        </w:tc>
        <w:tc>
          <w:tcPr>
            <w:tcW w:w="1201" w:type="pct"/>
          </w:tcPr>
          <w:p w14:paraId="35C7A526" w14:textId="77777777" w:rsidR="002D1F3F" w:rsidRPr="00267630" w:rsidRDefault="002D1F3F" w:rsidP="00267630">
            <w:pPr>
              <w:widowControl w:val="0"/>
              <w:spacing w:after="0"/>
              <w:rPr>
                <w:noProof/>
                <w:lang w:val="en-US"/>
              </w:rPr>
            </w:pPr>
          </w:p>
        </w:tc>
        <w:tc>
          <w:tcPr>
            <w:tcW w:w="1978" w:type="pct"/>
          </w:tcPr>
          <w:p w14:paraId="47176EB5" w14:textId="77777777" w:rsidR="002D1F3F" w:rsidRPr="00267630" w:rsidRDefault="002D1F3F" w:rsidP="009E7B70">
            <w:pPr>
              <w:widowControl w:val="0"/>
              <w:spacing w:after="0"/>
              <w:jc w:val="right"/>
              <w:rPr>
                <w:noProof/>
              </w:rPr>
            </w:pPr>
            <w:r>
              <w:t>838 224 250</w:t>
            </w:r>
          </w:p>
          <w:p w14:paraId="68FEEFAA" w14:textId="77777777" w:rsidR="002D1F3F" w:rsidRPr="00267630" w:rsidRDefault="002D1F3F" w:rsidP="009E7B70">
            <w:pPr>
              <w:widowControl w:val="0"/>
              <w:spacing w:after="0"/>
              <w:jc w:val="right"/>
              <w:rPr>
                <w:noProof/>
              </w:rPr>
            </w:pPr>
            <w:r>
              <w:t>107 466 500</w:t>
            </w:r>
          </w:p>
          <w:p w14:paraId="173D4BC4" w14:textId="77777777" w:rsidR="002D1F3F" w:rsidRPr="00267630" w:rsidRDefault="002D1F3F" w:rsidP="009E7B70">
            <w:pPr>
              <w:widowControl w:val="0"/>
              <w:spacing w:after="0"/>
              <w:jc w:val="right"/>
              <w:rPr>
                <w:noProof/>
              </w:rPr>
            </w:pPr>
            <w:r>
              <w:t>374 538 500</w:t>
            </w:r>
          </w:p>
          <w:p w14:paraId="25904D1C" w14:textId="77777777" w:rsidR="002D1F3F" w:rsidRPr="00267630" w:rsidRDefault="002D1F3F" w:rsidP="009E7B70">
            <w:pPr>
              <w:widowControl w:val="0"/>
              <w:spacing w:after="0"/>
              <w:jc w:val="right"/>
              <w:rPr>
                <w:noProof/>
              </w:rPr>
            </w:pPr>
            <w:r>
              <w:t>563 837 750</w:t>
            </w:r>
          </w:p>
        </w:tc>
      </w:tr>
      <w:tr w:rsidR="002D1F3F" w:rsidRPr="00267630" w14:paraId="50FE26DE" w14:textId="77777777" w:rsidTr="009E7B70">
        <w:tc>
          <w:tcPr>
            <w:tcW w:w="1821" w:type="pct"/>
            <w:noWrap/>
          </w:tcPr>
          <w:p w14:paraId="596C7981" w14:textId="77777777" w:rsidR="009E7B70" w:rsidRDefault="002D1F3F" w:rsidP="009E7B70">
            <w:pPr>
              <w:widowControl w:val="0"/>
              <w:spacing w:after="0"/>
              <w:rPr>
                <w:noProof/>
              </w:rPr>
            </w:pPr>
            <w:r>
              <w:t>Vācijas Federatīvā Republika</w:t>
            </w:r>
          </w:p>
          <w:p w14:paraId="0309A7A2" w14:textId="317E3995" w:rsidR="002D1F3F" w:rsidRPr="00267630" w:rsidRDefault="002D1F3F" w:rsidP="009E7B70">
            <w:pPr>
              <w:widowControl w:val="0"/>
              <w:spacing w:after="0"/>
              <w:rPr>
                <w:noProof/>
              </w:rPr>
            </w:pPr>
            <w:r>
              <w:t>Igaunijas Republika</w:t>
            </w:r>
          </w:p>
        </w:tc>
        <w:tc>
          <w:tcPr>
            <w:tcW w:w="1201" w:type="pct"/>
          </w:tcPr>
          <w:p w14:paraId="2470AE52" w14:textId="77777777" w:rsidR="002D1F3F" w:rsidRPr="00267630" w:rsidRDefault="002D1F3F" w:rsidP="00267630">
            <w:pPr>
              <w:widowControl w:val="0"/>
              <w:spacing w:after="0"/>
              <w:rPr>
                <w:noProof/>
                <w:lang w:val="en-US"/>
              </w:rPr>
            </w:pPr>
          </w:p>
        </w:tc>
        <w:tc>
          <w:tcPr>
            <w:tcW w:w="1978" w:type="pct"/>
          </w:tcPr>
          <w:p w14:paraId="11DC49AD" w14:textId="77777777" w:rsidR="002D1F3F" w:rsidRPr="00267630" w:rsidRDefault="002D1F3F" w:rsidP="009E7B70">
            <w:pPr>
              <w:widowControl w:val="0"/>
              <w:spacing w:after="0"/>
              <w:jc w:val="right"/>
              <w:rPr>
                <w:noProof/>
              </w:rPr>
            </w:pPr>
            <w:r>
              <w:t>6 383 820 000</w:t>
            </w:r>
          </w:p>
          <w:p w14:paraId="4B0319B6" w14:textId="77777777" w:rsidR="002D1F3F" w:rsidRPr="00267630" w:rsidRDefault="002D1F3F" w:rsidP="009E7B70">
            <w:pPr>
              <w:widowControl w:val="0"/>
              <w:spacing w:after="0"/>
              <w:jc w:val="right"/>
              <w:rPr>
                <w:noProof/>
              </w:rPr>
            </w:pPr>
            <w:r>
              <w:t>48 716 500</w:t>
            </w:r>
          </w:p>
        </w:tc>
      </w:tr>
      <w:tr w:rsidR="002D1F3F" w:rsidRPr="00267630" w14:paraId="7BB92721" w14:textId="77777777" w:rsidTr="009E7B70">
        <w:tc>
          <w:tcPr>
            <w:tcW w:w="1821" w:type="pct"/>
            <w:noWrap/>
          </w:tcPr>
          <w:p w14:paraId="412604FD" w14:textId="77777777" w:rsidR="002D1F3F" w:rsidRPr="00267630" w:rsidRDefault="002D1F3F" w:rsidP="00267630">
            <w:pPr>
              <w:widowControl w:val="0"/>
              <w:spacing w:after="0"/>
              <w:rPr>
                <w:noProof/>
              </w:rPr>
            </w:pPr>
            <w:r>
              <w:t>Īrija</w:t>
            </w:r>
          </w:p>
          <w:p w14:paraId="6A9A3ECA" w14:textId="5273DC4C" w:rsidR="002D1F3F" w:rsidRPr="00267630" w:rsidRDefault="002D1F3F" w:rsidP="00267630">
            <w:pPr>
              <w:widowControl w:val="0"/>
              <w:spacing w:after="0"/>
              <w:rPr>
                <w:noProof/>
              </w:rPr>
            </w:pPr>
            <w:r>
              <w:t>Grieķijas Republika</w:t>
            </w:r>
          </w:p>
        </w:tc>
        <w:tc>
          <w:tcPr>
            <w:tcW w:w="1201" w:type="pct"/>
          </w:tcPr>
          <w:p w14:paraId="3A67C644" w14:textId="77777777" w:rsidR="002D1F3F" w:rsidRPr="00267630" w:rsidRDefault="002D1F3F" w:rsidP="00267630">
            <w:pPr>
              <w:widowControl w:val="0"/>
              <w:spacing w:after="0"/>
              <w:rPr>
                <w:noProof/>
                <w:lang w:val="en-US"/>
              </w:rPr>
            </w:pPr>
          </w:p>
        </w:tc>
        <w:tc>
          <w:tcPr>
            <w:tcW w:w="1978" w:type="pct"/>
          </w:tcPr>
          <w:p w14:paraId="3A2DF459" w14:textId="77777777" w:rsidR="002D1F3F" w:rsidRPr="00267630" w:rsidRDefault="002D1F3F" w:rsidP="009E7B70">
            <w:pPr>
              <w:widowControl w:val="0"/>
              <w:spacing w:after="0"/>
              <w:jc w:val="right"/>
              <w:rPr>
                <w:noProof/>
              </w:rPr>
            </w:pPr>
            <w:r>
              <w:t>483 401 250</w:t>
            </w:r>
          </w:p>
          <w:p w14:paraId="1003C56A" w14:textId="77777777" w:rsidR="002D1F3F" w:rsidRPr="00267630" w:rsidRDefault="002D1F3F" w:rsidP="009E7B70">
            <w:pPr>
              <w:widowControl w:val="0"/>
              <w:spacing w:after="0"/>
              <w:jc w:val="right"/>
              <w:rPr>
                <w:noProof/>
              </w:rPr>
            </w:pPr>
            <w:r>
              <w:t>342 618 750</w:t>
            </w:r>
          </w:p>
        </w:tc>
      </w:tr>
      <w:tr w:rsidR="002D1F3F" w:rsidRPr="00267630" w14:paraId="2BEE352C" w14:textId="77777777" w:rsidTr="009E7B70">
        <w:tc>
          <w:tcPr>
            <w:tcW w:w="1821" w:type="pct"/>
            <w:noWrap/>
          </w:tcPr>
          <w:p w14:paraId="091F22F7" w14:textId="77777777" w:rsidR="002D1F3F" w:rsidRPr="00267630" w:rsidRDefault="002D1F3F" w:rsidP="00267630">
            <w:pPr>
              <w:widowControl w:val="0"/>
              <w:spacing w:after="0"/>
              <w:rPr>
                <w:noProof/>
              </w:rPr>
            </w:pPr>
            <w:r>
              <w:t>Spānijas Karaliste</w:t>
            </w:r>
          </w:p>
        </w:tc>
        <w:tc>
          <w:tcPr>
            <w:tcW w:w="1201" w:type="pct"/>
          </w:tcPr>
          <w:p w14:paraId="0A8D0885" w14:textId="77777777" w:rsidR="002D1F3F" w:rsidRPr="00267630" w:rsidRDefault="002D1F3F" w:rsidP="00267630">
            <w:pPr>
              <w:widowControl w:val="0"/>
              <w:spacing w:after="0"/>
              <w:rPr>
                <w:noProof/>
                <w:lang w:val="en-US"/>
              </w:rPr>
            </w:pPr>
          </w:p>
        </w:tc>
        <w:tc>
          <w:tcPr>
            <w:tcW w:w="1978" w:type="pct"/>
          </w:tcPr>
          <w:p w14:paraId="5F8C7EED" w14:textId="77777777" w:rsidR="002D1F3F" w:rsidRPr="00267630" w:rsidRDefault="002D1F3F" w:rsidP="009E7B70">
            <w:pPr>
              <w:widowControl w:val="0"/>
              <w:spacing w:after="0"/>
              <w:jc w:val="right"/>
              <w:rPr>
                <w:noProof/>
              </w:rPr>
            </w:pPr>
            <w:r>
              <w:t>2 252 890 750</w:t>
            </w:r>
          </w:p>
        </w:tc>
      </w:tr>
      <w:tr w:rsidR="002D1F3F" w:rsidRPr="00267630" w14:paraId="76E87E68" w14:textId="77777777" w:rsidTr="009E7B70">
        <w:tc>
          <w:tcPr>
            <w:tcW w:w="1821" w:type="pct"/>
            <w:noWrap/>
          </w:tcPr>
          <w:p w14:paraId="6C7AA21D" w14:textId="77777777" w:rsidR="002D1F3F" w:rsidRPr="00267630" w:rsidRDefault="002D1F3F" w:rsidP="00267630">
            <w:pPr>
              <w:widowControl w:val="0"/>
              <w:spacing w:after="0"/>
              <w:rPr>
                <w:noProof/>
              </w:rPr>
            </w:pPr>
            <w:r>
              <w:t>Francijas Republika</w:t>
            </w:r>
          </w:p>
          <w:p w14:paraId="37AA172A" w14:textId="77777777" w:rsidR="002D1F3F" w:rsidRPr="00267630" w:rsidRDefault="002D1F3F" w:rsidP="00267630">
            <w:pPr>
              <w:widowControl w:val="0"/>
              <w:spacing w:after="0"/>
              <w:rPr>
                <w:noProof/>
              </w:rPr>
            </w:pPr>
            <w:r>
              <w:t>Horvātijas Republika</w:t>
            </w:r>
          </w:p>
        </w:tc>
        <w:tc>
          <w:tcPr>
            <w:tcW w:w="1201" w:type="pct"/>
          </w:tcPr>
          <w:p w14:paraId="13477E00" w14:textId="77777777" w:rsidR="002D1F3F" w:rsidRPr="00267630" w:rsidRDefault="002D1F3F" w:rsidP="00267630">
            <w:pPr>
              <w:widowControl w:val="0"/>
              <w:spacing w:after="0"/>
              <w:rPr>
                <w:noProof/>
                <w:lang w:val="en-US"/>
              </w:rPr>
            </w:pPr>
          </w:p>
        </w:tc>
        <w:tc>
          <w:tcPr>
            <w:tcW w:w="1978" w:type="pct"/>
          </w:tcPr>
          <w:p w14:paraId="38B99460" w14:textId="77777777" w:rsidR="002D1F3F" w:rsidRPr="00267630" w:rsidRDefault="002D1F3F" w:rsidP="009E7B70">
            <w:pPr>
              <w:widowControl w:val="0"/>
              <w:spacing w:after="0"/>
              <w:jc w:val="right"/>
              <w:rPr>
                <w:noProof/>
              </w:rPr>
            </w:pPr>
            <w:r>
              <w:t>4 406 976 250</w:t>
            </w:r>
          </w:p>
          <w:p w14:paraId="427E0090" w14:textId="77777777" w:rsidR="002D1F3F" w:rsidRPr="00267630" w:rsidRDefault="002D1F3F" w:rsidP="009E7B70">
            <w:pPr>
              <w:widowControl w:val="0"/>
              <w:spacing w:after="0"/>
              <w:jc w:val="right"/>
              <w:rPr>
                <w:noProof/>
              </w:rPr>
            </w:pPr>
            <w:r>
              <w:t>95 693 500</w:t>
            </w:r>
          </w:p>
        </w:tc>
      </w:tr>
      <w:tr w:rsidR="002D1F3F" w:rsidRPr="00267630" w14:paraId="4564E680" w14:textId="77777777" w:rsidTr="009E7B70">
        <w:tc>
          <w:tcPr>
            <w:tcW w:w="1821" w:type="pct"/>
            <w:noWrap/>
          </w:tcPr>
          <w:p w14:paraId="504663C7" w14:textId="77777777" w:rsidR="002D1F3F" w:rsidRPr="00267630" w:rsidRDefault="002D1F3F" w:rsidP="00267630">
            <w:pPr>
              <w:widowControl w:val="0"/>
              <w:spacing w:after="0"/>
              <w:rPr>
                <w:noProof/>
              </w:rPr>
            </w:pPr>
            <w:r>
              <w:t>Itālijas Republika</w:t>
            </w:r>
          </w:p>
        </w:tc>
        <w:tc>
          <w:tcPr>
            <w:tcW w:w="1201" w:type="pct"/>
          </w:tcPr>
          <w:p w14:paraId="376E96D8" w14:textId="77777777" w:rsidR="002D1F3F" w:rsidRPr="00267630" w:rsidRDefault="002D1F3F" w:rsidP="00267630">
            <w:pPr>
              <w:widowControl w:val="0"/>
              <w:spacing w:after="0"/>
              <w:rPr>
                <w:noProof/>
                <w:lang w:val="en-US"/>
              </w:rPr>
            </w:pPr>
          </w:p>
        </w:tc>
        <w:tc>
          <w:tcPr>
            <w:tcW w:w="1978" w:type="pct"/>
          </w:tcPr>
          <w:p w14:paraId="289DB63C" w14:textId="77777777" w:rsidR="002D1F3F" w:rsidRPr="00267630" w:rsidRDefault="002D1F3F" w:rsidP="009E7B70">
            <w:pPr>
              <w:widowControl w:val="0"/>
              <w:spacing w:after="0"/>
              <w:jc w:val="right"/>
              <w:rPr>
                <w:noProof/>
              </w:rPr>
            </w:pPr>
            <w:r>
              <w:t>3 183 786 000</w:t>
            </w:r>
          </w:p>
        </w:tc>
      </w:tr>
      <w:tr w:rsidR="002D1F3F" w:rsidRPr="00267630" w14:paraId="2B2B54A6" w14:textId="77777777" w:rsidTr="009E7B70">
        <w:tc>
          <w:tcPr>
            <w:tcW w:w="1821" w:type="pct"/>
            <w:noWrap/>
          </w:tcPr>
          <w:p w14:paraId="4AEB9A03" w14:textId="77777777" w:rsidR="002D1F3F" w:rsidRPr="00267630" w:rsidRDefault="002D1F3F" w:rsidP="00267630">
            <w:pPr>
              <w:widowControl w:val="0"/>
              <w:spacing w:after="0"/>
              <w:rPr>
                <w:noProof/>
              </w:rPr>
            </w:pPr>
            <w:r>
              <w:t>Kipras Republika</w:t>
            </w:r>
          </w:p>
          <w:p w14:paraId="4B8032F1" w14:textId="77777777" w:rsidR="002D1F3F" w:rsidRPr="00267630" w:rsidRDefault="002D1F3F" w:rsidP="00267630">
            <w:pPr>
              <w:widowControl w:val="0"/>
              <w:spacing w:after="0"/>
              <w:rPr>
                <w:noProof/>
              </w:rPr>
            </w:pPr>
            <w:r>
              <w:t>Latvijas Republika</w:t>
            </w:r>
          </w:p>
          <w:p w14:paraId="102F16D4" w14:textId="41D74147" w:rsidR="002D1F3F" w:rsidRPr="00267630" w:rsidRDefault="002D1F3F" w:rsidP="00267630">
            <w:pPr>
              <w:widowControl w:val="0"/>
              <w:spacing w:after="0"/>
              <w:rPr>
                <w:noProof/>
              </w:rPr>
            </w:pPr>
            <w:r>
              <w:t>Lietuvas Republika</w:t>
            </w:r>
          </w:p>
        </w:tc>
        <w:tc>
          <w:tcPr>
            <w:tcW w:w="1201" w:type="pct"/>
          </w:tcPr>
          <w:p w14:paraId="798B7D3B" w14:textId="77777777" w:rsidR="002D1F3F" w:rsidRPr="00267630" w:rsidRDefault="002D1F3F" w:rsidP="00267630">
            <w:pPr>
              <w:widowControl w:val="0"/>
              <w:spacing w:after="0"/>
              <w:rPr>
                <w:noProof/>
                <w:lang w:val="en-US"/>
              </w:rPr>
            </w:pPr>
          </w:p>
        </w:tc>
        <w:tc>
          <w:tcPr>
            <w:tcW w:w="1978" w:type="pct"/>
          </w:tcPr>
          <w:p w14:paraId="775045CE" w14:textId="77777777" w:rsidR="002D1F3F" w:rsidRPr="00267630" w:rsidRDefault="002D1F3F" w:rsidP="009E7B70">
            <w:pPr>
              <w:widowControl w:val="0"/>
              <w:spacing w:after="0"/>
              <w:jc w:val="right"/>
              <w:rPr>
                <w:noProof/>
              </w:rPr>
            </w:pPr>
            <w:r>
              <w:t>38 114 750</w:t>
            </w:r>
          </w:p>
          <w:p w14:paraId="5D92D5F6" w14:textId="77777777" w:rsidR="002D1F3F" w:rsidRPr="00267630" w:rsidRDefault="002D1F3F" w:rsidP="009E7B70">
            <w:pPr>
              <w:widowControl w:val="0"/>
              <w:spacing w:after="0"/>
              <w:jc w:val="right"/>
              <w:rPr>
                <w:noProof/>
              </w:rPr>
            </w:pPr>
            <w:r>
              <w:t>57 070 750</w:t>
            </w:r>
          </w:p>
          <w:p w14:paraId="65272E62" w14:textId="77777777" w:rsidR="002D1F3F" w:rsidRPr="00267630" w:rsidRDefault="002D1F3F" w:rsidP="009E7B70">
            <w:pPr>
              <w:widowControl w:val="0"/>
              <w:spacing w:after="0"/>
              <w:jc w:val="right"/>
              <w:rPr>
                <w:noProof/>
              </w:rPr>
            </w:pPr>
            <w:r>
              <w:t xml:space="preserve">83 953 500 </w:t>
            </w:r>
          </w:p>
        </w:tc>
      </w:tr>
      <w:tr w:rsidR="002D1F3F" w:rsidRPr="00267630" w14:paraId="183D75FF" w14:textId="77777777" w:rsidTr="009E7B70">
        <w:tc>
          <w:tcPr>
            <w:tcW w:w="1821" w:type="pct"/>
            <w:noWrap/>
          </w:tcPr>
          <w:p w14:paraId="385B1F20" w14:textId="77777777" w:rsidR="002D1F3F" w:rsidRPr="00267630" w:rsidRDefault="002D1F3F" w:rsidP="00267630">
            <w:pPr>
              <w:widowControl w:val="0"/>
              <w:spacing w:after="0"/>
              <w:rPr>
                <w:noProof/>
              </w:rPr>
            </w:pPr>
            <w:r>
              <w:t>Luksemburgas Lielhercogiste</w:t>
            </w:r>
          </w:p>
          <w:p w14:paraId="1AC5D8A8" w14:textId="79F00952" w:rsidR="002D1F3F" w:rsidRPr="00267630" w:rsidRDefault="002D1F3F" w:rsidP="00267630">
            <w:pPr>
              <w:widowControl w:val="0"/>
              <w:spacing w:after="0"/>
              <w:rPr>
                <w:noProof/>
              </w:rPr>
            </w:pPr>
            <w:r>
              <w:t>Ungārija</w:t>
            </w:r>
          </w:p>
        </w:tc>
        <w:tc>
          <w:tcPr>
            <w:tcW w:w="1201" w:type="pct"/>
          </w:tcPr>
          <w:p w14:paraId="33156A31" w14:textId="77777777" w:rsidR="002D1F3F" w:rsidRPr="00267630" w:rsidRDefault="002D1F3F" w:rsidP="00267630">
            <w:pPr>
              <w:widowControl w:val="0"/>
              <w:spacing w:after="0"/>
              <w:rPr>
                <w:noProof/>
                <w:lang w:val="en-US"/>
              </w:rPr>
            </w:pPr>
          </w:p>
        </w:tc>
        <w:tc>
          <w:tcPr>
            <w:tcW w:w="1978" w:type="pct"/>
          </w:tcPr>
          <w:p w14:paraId="5797A660" w14:textId="77777777" w:rsidR="002D1F3F" w:rsidRPr="00267630" w:rsidRDefault="002D1F3F" w:rsidP="009E7B70">
            <w:pPr>
              <w:widowControl w:val="0"/>
              <w:spacing w:after="0"/>
              <w:jc w:val="right"/>
              <w:rPr>
                <w:noProof/>
              </w:rPr>
            </w:pPr>
            <w:r>
              <w:t>76 856 750</w:t>
            </w:r>
          </w:p>
          <w:p w14:paraId="6FD6A323" w14:textId="77777777" w:rsidR="002D1F3F" w:rsidRPr="00267630" w:rsidRDefault="002D1F3F" w:rsidP="009E7B70">
            <w:pPr>
              <w:widowControl w:val="0"/>
              <w:spacing w:after="0"/>
              <w:jc w:val="right"/>
              <w:rPr>
                <w:noProof/>
              </w:rPr>
            </w:pPr>
            <w:r>
              <w:t>249 596 000</w:t>
            </w:r>
          </w:p>
        </w:tc>
      </w:tr>
      <w:tr w:rsidR="002D1F3F" w:rsidRPr="00267630" w14:paraId="6673F7EC" w14:textId="77777777" w:rsidTr="009E7B70">
        <w:tc>
          <w:tcPr>
            <w:tcW w:w="1821" w:type="pct"/>
            <w:noWrap/>
          </w:tcPr>
          <w:p w14:paraId="08E469EB" w14:textId="77777777" w:rsidR="002D1F3F" w:rsidRPr="00267630" w:rsidRDefault="002D1F3F" w:rsidP="00267630">
            <w:pPr>
              <w:widowControl w:val="0"/>
              <w:spacing w:after="0"/>
              <w:rPr>
                <w:noProof/>
              </w:rPr>
            </w:pPr>
            <w:r>
              <w:t>Maltas Republika</w:t>
            </w:r>
          </w:p>
        </w:tc>
        <w:tc>
          <w:tcPr>
            <w:tcW w:w="1201" w:type="pct"/>
          </w:tcPr>
          <w:p w14:paraId="3DC00B47" w14:textId="77777777" w:rsidR="002D1F3F" w:rsidRPr="00267630" w:rsidRDefault="002D1F3F" w:rsidP="00267630">
            <w:pPr>
              <w:widowControl w:val="0"/>
              <w:spacing w:after="0"/>
              <w:rPr>
                <w:noProof/>
                <w:lang w:val="en-US"/>
              </w:rPr>
            </w:pPr>
          </w:p>
        </w:tc>
        <w:tc>
          <w:tcPr>
            <w:tcW w:w="1978" w:type="pct"/>
          </w:tcPr>
          <w:p w14:paraId="0B7D7165" w14:textId="77777777" w:rsidR="002D1F3F" w:rsidRPr="00267630" w:rsidRDefault="002D1F3F" w:rsidP="009E7B70">
            <w:pPr>
              <w:widowControl w:val="0"/>
              <w:spacing w:after="0"/>
              <w:jc w:val="right"/>
              <w:rPr>
                <w:noProof/>
              </w:rPr>
            </w:pPr>
            <w:r>
              <w:t>23 044 250</w:t>
            </w:r>
          </w:p>
        </w:tc>
      </w:tr>
      <w:tr w:rsidR="002D1F3F" w:rsidRPr="00267630" w14:paraId="14401B18" w14:textId="77777777" w:rsidTr="009E7B70">
        <w:tc>
          <w:tcPr>
            <w:tcW w:w="1821" w:type="pct"/>
            <w:noWrap/>
          </w:tcPr>
          <w:p w14:paraId="09FAF679" w14:textId="77777777" w:rsidR="002D1F3F" w:rsidRPr="00267630" w:rsidRDefault="002D1F3F" w:rsidP="00267630">
            <w:pPr>
              <w:widowControl w:val="0"/>
              <w:spacing w:after="0"/>
              <w:rPr>
                <w:noProof/>
              </w:rPr>
            </w:pPr>
            <w:r>
              <w:t>Nīderlandes Karaliste</w:t>
            </w:r>
          </w:p>
        </w:tc>
        <w:tc>
          <w:tcPr>
            <w:tcW w:w="1201" w:type="pct"/>
          </w:tcPr>
          <w:p w14:paraId="7BCE3C59" w14:textId="77777777" w:rsidR="002D1F3F" w:rsidRPr="00267630" w:rsidRDefault="002D1F3F" w:rsidP="00267630">
            <w:pPr>
              <w:widowControl w:val="0"/>
              <w:spacing w:after="0"/>
              <w:rPr>
                <w:noProof/>
                <w:lang w:val="en-US"/>
              </w:rPr>
            </w:pPr>
          </w:p>
        </w:tc>
        <w:tc>
          <w:tcPr>
            <w:tcW w:w="1978" w:type="pct"/>
          </w:tcPr>
          <w:p w14:paraId="31EE0B9C" w14:textId="77777777" w:rsidR="002D1F3F" w:rsidRPr="00267630" w:rsidRDefault="002D1F3F" w:rsidP="009E7B70">
            <w:pPr>
              <w:widowControl w:val="0"/>
              <w:spacing w:after="0"/>
              <w:jc w:val="right"/>
              <w:rPr>
                <w:noProof/>
              </w:rPr>
            </w:pPr>
            <w:r>
              <w:t>1 441 199 500</w:t>
            </w:r>
          </w:p>
        </w:tc>
      </w:tr>
      <w:tr w:rsidR="002D1F3F" w:rsidRPr="00267630" w14:paraId="6A45A788" w14:textId="77777777" w:rsidTr="009E7B70">
        <w:tc>
          <w:tcPr>
            <w:tcW w:w="1821" w:type="pct"/>
            <w:noWrap/>
          </w:tcPr>
          <w:p w14:paraId="7A5C1CC4" w14:textId="77777777" w:rsidR="002D1F3F" w:rsidRPr="00267630" w:rsidRDefault="002D1F3F" w:rsidP="00267630">
            <w:pPr>
              <w:widowControl w:val="0"/>
              <w:spacing w:after="0"/>
              <w:rPr>
                <w:noProof/>
              </w:rPr>
            </w:pPr>
            <w:r>
              <w:t>Austrijas Republika</w:t>
            </w:r>
          </w:p>
          <w:p w14:paraId="3AC87C1F" w14:textId="08A28867" w:rsidR="002D1F3F" w:rsidRPr="00267630" w:rsidRDefault="002D1F3F" w:rsidP="00267630">
            <w:pPr>
              <w:widowControl w:val="0"/>
              <w:spacing w:after="0"/>
              <w:rPr>
                <w:noProof/>
              </w:rPr>
            </w:pPr>
            <w:r>
              <w:t>Polijas Republika</w:t>
            </w:r>
          </w:p>
        </w:tc>
        <w:tc>
          <w:tcPr>
            <w:tcW w:w="1201" w:type="pct"/>
          </w:tcPr>
          <w:p w14:paraId="384E80E9" w14:textId="77777777" w:rsidR="002D1F3F" w:rsidRPr="00267630" w:rsidRDefault="002D1F3F" w:rsidP="00267630">
            <w:pPr>
              <w:widowControl w:val="0"/>
              <w:spacing w:after="0"/>
              <w:rPr>
                <w:noProof/>
                <w:lang w:val="en-US"/>
              </w:rPr>
            </w:pPr>
          </w:p>
        </w:tc>
        <w:tc>
          <w:tcPr>
            <w:tcW w:w="1978" w:type="pct"/>
          </w:tcPr>
          <w:p w14:paraId="36B447B5" w14:textId="77777777" w:rsidR="002D1F3F" w:rsidRPr="00267630" w:rsidRDefault="002D1F3F" w:rsidP="009E7B70">
            <w:pPr>
              <w:widowControl w:val="0"/>
              <w:spacing w:after="0"/>
              <w:jc w:val="right"/>
              <w:rPr>
                <w:noProof/>
              </w:rPr>
            </w:pPr>
            <w:r>
              <w:t>717 215 750</w:t>
            </w:r>
          </w:p>
          <w:p w14:paraId="3D2FB528" w14:textId="77777777" w:rsidR="002D1F3F" w:rsidRPr="00267630" w:rsidRDefault="002D1F3F" w:rsidP="009E7B70">
            <w:pPr>
              <w:widowControl w:val="0"/>
              <w:spacing w:after="0"/>
              <w:jc w:val="right"/>
              <w:rPr>
                <w:noProof/>
              </w:rPr>
            </w:pPr>
            <w:r>
              <w:t>930 103 250</w:t>
            </w:r>
          </w:p>
        </w:tc>
      </w:tr>
      <w:tr w:rsidR="002D1F3F" w:rsidRPr="00267630" w14:paraId="59E90FB7" w14:textId="77777777" w:rsidTr="009E7B70">
        <w:tc>
          <w:tcPr>
            <w:tcW w:w="1821" w:type="pct"/>
            <w:noWrap/>
          </w:tcPr>
          <w:p w14:paraId="0D38EABF" w14:textId="77777777" w:rsidR="002D1F3F" w:rsidRPr="00267630" w:rsidRDefault="002D1F3F" w:rsidP="00267630">
            <w:pPr>
              <w:widowControl w:val="0"/>
              <w:spacing w:after="0"/>
              <w:rPr>
                <w:noProof/>
              </w:rPr>
            </w:pPr>
            <w:r>
              <w:t>Portugāles Republika</w:t>
            </w:r>
          </w:p>
          <w:p w14:paraId="5B9248CC" w14:textId="77777777" w:rsidR="002D1F3F" w:rsidRPr="00267630" w:rsidRDefault="002D1F3F" w:rsidP="00267630">
            <w:pPr>
              <w:widowControl w:val="0"/>
              <w:spacing w:after="0"/>
              <w:rPr>
                <w:noProof/>
              </w:rPr>
            </w:pPr>
            <w:r>
              <w:t>Rumānija</w:t>
            </w:r>
          </w:p>
        </w:tc>
        <w:tc>
          <w:tcPr>
            <w:tcW w:w="1201" w:type="pct"/>
          </w:tcPr>
          <w:p w14:paraId="15FFA8C8" w14:textId="77777777" w:rsidR="002D1F3F" w:rsidRPr="00267630" w:rsidRDefault="002D1F3F" w:rsidP="00267630">
            <w:pPr>
              <w:widowControl w:val="0"/>
              <w:spacing w:after="0"/>
              <w:rPr>
                <w:noProof/>
                <w:lang w:val="en-US"/>
              </w:rPr>
            </w:pPr>
          </w:p>
        </w:tc>
        <w:tc>
          <w:tcPr>
            <w:tcW w:w="1978" w:type="pct"/>
          </w:tcPr>
          <w:p w14:paraId="0BFABF00" w14:textId="77777777" w:rsidR="002D1F3F" w:rsidRPr="00267630" w:rsidRDefault="002D1F3F" w:rsidP="009E7B70">
            <w:pPr>
              <w:widowControl w:val="0"/>
              <w:spacing w:after="0"/>
              <w:jc w:val="right"/>
              <w:rPr>
                <w:noProof/>
              </w:rPr>
            </w:pPr>
            <w:r>
              <w:t>365 571 000</w:t>
            </w:r>
          </w:p>
          <w:p w14:paraId="2D7E1B46" w14:textId="77777777" w:rsidR="002D1F3F" w:rsidRPr="00267630" w:rsidRDefault="002D1F3F" w:rsidP="009E7B70">
            <w:pPr>
              <w:widowControl w:val="0"/>
              <w:spacing w:after="0"/>
              <w:jc w:val="right"/>
              <w:rPr>
                <w:noProof/>
              </w:rPr>
            </w:pPr>
            <w:r>
              <w:t>393 384 250</w:t>
            </w:r>
          </w:p>
        </w:tc>
      </w:tr>
      <w:tr w:rsidR="002D1F3F" w:rsidRPr="00267630" w14:paraId="6E1515F6" w14:textId="77777777" w:rsidTr="009E7B70">
        <w:tc>
          <w:tcPr>
            <w:tcW w:w="1821" w:type="pct"/>
            <w:noWrap/>
          </w:tcPr>
          <w:p w14:paraId="5D0CBDAA" w14:textId="77777777" w:rsidR="002D1F3F" w:rsidRPr="00267630" w:rsidRDefault="002D1F3F" w:rsidP="00267630">
            <w:pPr>
              <w:widowControl w:val="0"/>
              <w:spacing w:after="0"/>
              <w:rPr>
                <w:noProof/>
              </w:rPr>
            </w:pPr>
            <w:r>
              <w:t>Slovēnijas Republika</w:t>
            </w:r>
          </w:p>
        </w:tc>
        <w:tc>
          <w:tcPr>
            <w:tcW w:w="1201" w:type="pct"/>
          </w:tcPr>
          <w:p w14:paraId="4CD508F6" w14:textId="77777777" w:rsidR="002D1F3F" w:rsidRPr="00267630" w:rsidRDefault="002D1F3F" w:rsidP="00267630">
            <w:pPr>
              <w:widowControl w:val="0"/>
              <w:spacing w:after="0"/>
              <w:rPr>
                <w:noProof/>
                <w:lang w:val="en-US"/>
              </w:rPr>
            </w:pPr>
          </w:p>
        </w:tc>
        <w:tc>
          <w:tcPr>
            <w:tcW w:w="1978" w:type="pct"/>
          </w:tcPr>
          <w:p w14:paraId="23C595EB" w14:textId="77777777" w:rsidR="002D1F3F" w:rsidRPr="00267630" w:rsidRDefault="002D1F3F" w:rsidP="009E7B70">
            <w:pPr>
              <w:widowControl w:val="0"/>
              <w:spacing w:after="0"/>
              <w:jc w:val="right"/>
              <w:rPr>
                <w:noProof/>
              </w:rPr>
            </w:pPr>
            <w:r>
              <w:t>88 126 500</w:t>
            </w:r>
          </w:p>
        </w:tc>
      </w:tr>
      <w:tr w:rsidR="002D1F3F" w:rsidRPr="00267630" w14:paraId="23FF4691" w14:textId="77777777" w:rsidTr="009E7B70">
        <w:tc>
          <w:tcPr>
            <w:tcW w:w="1821" w:type="pct"/>
            <w:noWrap/>
          </w:tcPr>
          <w:p w14:paraId="39F8640C" w14:textId="77777777" w:rsidR="002D1F3F" w:rsidRPr="00267630" w:rsidRDefault="002D1F3F" w:rsidP="00267630">
            <w:pPr>
              <w:widowControl w:val="0"/>
              <w:spacing w:after="0"/>
              <w:rPr>
                <w:noProof/>
              </w:rPr>
            </w:pPr>
            <w:r>
              <w:t>Slovākijas Republika</w:t>
            </w:r>
          </w:p>
        </w:tc>
        <w:tc>
          <w:tcPr>
            <w:tcW w:w="1201" w:type="pct"/>
          </w:tcPr>
          <w:p w14:paraId="0922E692" w14:textId="77777777" w:rsidR="002D1F3F" w:rsidRPr="00267630" w:rsidRDefault="002D1F3F" w:rsidP="00267630">
            <w:pPr>
              <w:widowControl w:val="0"/>
              <w:spacing w:after="0"/>
              <w:rPr>
                <w:noProof/>
                <w:lang w:val="en-US"/>
              </w:rPr>
            </w:pPr>
          </w:p>
        </w:tc>
        <w:tc>
          <w:tcPr>
            <w:tcW w:w="1978" w:type="pct"/>
          </w:tcPr>
          <w:p w14:paraId="1AF42A16" w14:textId="77777777" w:rsidR="002D1F3F" w:rsidRPr="00267630" w:rsidRDefault="002D1F3F" w:rsidP="009E7B70">
            <w:pPr>
              <w:widowControl w:val="0"/>
              <w:spacing w:after="0"/>
              <w:jc w:val="right"/>
              <w:rPr>
                <w:noProof/>
              </w:rPr>
            </w:pPr>
            <w:r>
              <w:t>173 516 250</w:t>
            </w:r>
          </w:p>
        </w:tc>
      </w:tr>
      <w:tr w:rsidR="002D1F3F" w:rsidRPr="00267630" w14:paraId="69CFD756" w14:textId="77777777" w:rsidTr="009E7B70">
        <w:trPr>
          <w:trHeight w:val="625"/>
        </w:trPr>
        <w:tc>
          <w:tcPr>
            <w:tcW w:w="1821" w:type="pct"/>
            <w:noWrap/>
          </w:tcPr>
          <w:p w14:paraId="1342E179" w14:textId="77777777" w:rsidR="002D1F3F" w:rsidRPr="00267630" w:rsidRDefault="002D1F3F" w:rsidP="00267630">
            <w:pPr>
              <w:widowControl w:val="0"/>
              <w:spacing w:after="0"/>
              <w:rPr>
                <w:noProof/>
              </w:rPr>
            </w:pPr>
            <w:r>
              <w:t>Somijas Republika</w:t>
            </w:r>
          </w:p>
          <w:p w14:paraId="07D0ACA9" w14:textId="77777777" w:rsidR="002D1F3F" w:rsidRPr="00267630" w:rsidRDefault="002D1F3F" w:rsidP="00267630">
            <w:pPr>
              <w:widowControl w:val="0"/>
              <w:spacing w:after="0"/>
              <w:rPr>
                <w:noProof/>
              </w:rPr>
            </w:pPr>
            <w:r>
              <w:t>Zviedrijas Karaliste</w:t>
            </w:r>
          </w:p>
        </w:tc>
        <w:tc>
          <w:tcPr>
            <w:tcW w:w="1201" w:type="pct"/>
          </w:tcPr>
          <w:p w14:paraId="6B7C90BB" w14:textId="77777777" w:rsidR="002D1F3F" w:rsidRPr="00267630" w:rsidRDefault="002D1F3F" w:rsidP="00267630">
            <w:pPr>
              <w:widowControl w:val="0"/>
              <w:spacing w:after="0"/>
              <w:rPr>
                <w:noProof/>
                <w:lang w:val="en-US"/>
              </w:rPr>
            </w:pPr>
          </w:p>
        </w:tc>
        <w:tc>
          <w:tcPr>
            <w:tcW w:w="1978" w:type="pct"/>
          </w:tcPr>
          <w:p w14:paraId="24C93EC3" w14:textId="77777777" w:rsidR="002D1F3F" w:rsidRPr="00267630" w:rsidRDefault="002D1F3F" w:rsidP="009E7B70">
            <w:pPr>
              <w:widowControl w:val="0"/>
              <w:spacing w:after="0"/>
              <w:jc w:val="right"/>
              <w:rPr>
                <w:noProof/>
              </w:rPr>
            </w:pPr>
            <w:r>
              <w:t>431 740 250</w:t>
            </w:r>
          </w:p>
          <w:p w14:paraId="577976CF" w14:textId="77777777" w:rsidR="002D1F3F" w:rsidRPr="00267630" w:rsidRDefault="002D1F3F" w:rsidP="009E7B70">
            <w:pPr>
              <w:widowControl w:val="0"/>
              <w:spacing w:after="0"/>
              <w:jc w:val="right"/>
              <w:rPr>
                <w:noProof/>
                <w:u w:val="single"/>
              </w:rPr>
            </w:pPr>
            <w:r>
              <w:rPr>
                <w:u w:val="single"/>
              </w:rPr>
              <w:t>848 537 250</w:t>
            </w:r>
          </w:p>
        </w:tc>
      </w:tr>
      <w:tr w:rsidR="002D1F3F" w:rsidRPr="00267630" w14:paraId="44C3F461" w14:textId="77777777" w:rsidTr="009E7B70">
        <w:tc>
          <w:tcPr>
            <w:tcW w:w="1821" w:type="pct"/>
            <w:noWrap/>
          </w:tcPr>
          <w:p w14:paraId="6584ECE9" w14:textId="77777777" w:rsidR="002D1F3F" w:rsidRPr="00267630" w:rsidRDefault="002D1F3F" w:rsidP="00267630">
            <w:pPr>
              <w:widowControl w:val="0"/>
              <w:spacing w:after="0"/>
              <w:rPr>
                <w:b/>
                <w:noProof/>
              </w:rPr>
            </w:pPr>
            <w:r>
              <w:rPr>
                <w:b/>
              </w:rPr>
              <w:t>Kopā</w:t>
            </w:r>
          </w:p>
        </w:tc>
        <w:tc>
          <w:tcPr>
            <w:tcW w:w="1201" w:type="pct"/>
          </w:tcPr>
          <w:p w14:paraId="37818B59" w14:textId="77777777" w:rsidR="002D1F3F" w:rsidRPr="00267630" w:rsidRDefault="002D1F3F" w:rsidP="00267630">
            <w:pPr>
              <w:widowControl w:val="0"/>
              <w:spacing w:after="0"/>
              <w:rPr>
                <w:noProof/>
                <w:lang w:val="en-US"/>
              </w:rPr>
            </w:pPr>
          </w:p>
        </w:tc>
        <w:tc>
          <w:tcPr>
            <w:tcW w:w="1978" w:type="pct"/>
          </w:tcPr>
          <w:p w14:paraId="7FCBB3F7" w14:textId="77777777" w:rsidR="002D1F3F" w:rsidRPr="00267630" w:rsidRDefault="002D1F3F" w:rsidP="009E7B70">
            <w:pPr>
              <w:widowControl w:val="0"/>
              <w:spacing w:after="0"/>
              <w:jc w:val="right"/>
              <w:rPr>
                <w:noProof/>
              </w:rPr>
            </w:pPr>
            <w:r>
              <w:t>25 000 000 000</w:t>
            </w:r>
          </w:p>
        </w:tc>
      </w:tr>
    </w:tbl>
    <w:p w14:paraId="38F80463" w14:textId="77777777" w:rsidR="009E7B70" w:rsidRDefault="009E7B70" w:rsidP="00267630">
      <w:pPr>
        <w:widowControl w:val="0"/>
        <w:spacing w:after="0"/>
        <w:rPr>
          <w:b/>
          <w:caps/>
          <w:noProof/>
          <w:lang w:val="en-US"/>
        </w:rPr>
      </w:pPr>
    </w:p>
    <w:p w14:paraId="5F682416" w14:textId="5E578366" w:rsidR="009E7B70" w:rsidRDefault="009E7B70">
      <w:pPr>
        <w:spacing w:after="0"/>
        <w:jc w:val="left"/>
        <w:rPr>
          <w:b/>
          <w:caps/>
          <w:noProof/>
        </w:rPr>
      </w:pPr>
      <w:r>
        <w:br w:type="page"/>
      </w:r>
    </w:p>
    <w:p w14:paraId="3E4DA065" w14:textId="77777777" w:rsidR="009E7B70" w:rsidRDefault="009E7B70" w:rsidP="00267630">
      <w:pPr>
        <w:widowControl w:val="0"/>
        <w:spacing w:after="0"/>
        <w:rPr>
          <w:b/>
          <w:caps/>
          <w:noProof/>
          <w:lang w:val="en-US"/>
        </w:rPr>
      </w:pPr>
    </w:p>
    <w:p w14:paraId="7AC15180" w14:textId="761C7F54" w:rsidR="00267630" w:rsidRDefault="002D1F3F" w:rsidP="009E7B70">
      <w:pPr>
        <w:widowControl w:val="0"/>
        <w:spacing w:after="0"/>
        <w:jc w:val="center"/>
        <w:rPr>
          <w:b/>
          <w:caps/>
          <w:noProof/>
        </w:rPr>
      </w:pPr>
      <w:r>
        <w:rPr>
          <w:b/>
          <w:caps/>
        </w:rPr>
        <w:t>2. saraksts</w:t>
      </w:r>
    </w:p>
    <w:p w14:paraId="2EBAE6F1" w14:textId="77777777" w:rsidR="00267630" w:rsidRDefault="002D1F3F" w:rsidP="009E7B70">
      <w:pPr>
        <w:widowControl w:val="0"/>
        <w:spacing w:after="0"/>
        <w:jc w:val="center"/>
        <w:rPr>
          <w:b/>
          <w:caps/>
          <w:noProof/>
        </w:rPr>
      </w:pPr>
      <w:r>
        <w:rPr>
          <w:b/>
          <w:caps/>
        </w:rPr>
        <w:t>Garantijas ieguldījumu skala</w:t>
      </w:r>
    </w:p>
    <w:p w14:paraId="3A5FD42E" w14:textId="10754E9D" w:rsidR="002D1F3F" w:rsidRDefault="002D1F3F" w:rsidP="009E7B70">
      <w:pPr>
        <w:widowControl w:val="0"/>
        <w:spacing w:after="0"/>
        <w:jc w:val="center"/>
        <w:rPr>
          <w:b/>
          <w:noProof/>
        </w:rPr>
      </w:pPr>
      <w:r>
        <w:rPr>
          <w:b/>
        </w:rPr>
        <w:t>(dalībvalstu relatīvās daļas Savienības nacionālajā kopienākumā, kas noteiktas, pamatojoties uz 2019. gada 27. novembrī pieņemtajā Eiropas Savienības vispārējā budžetā 2020. finanšu gadam iekļautās budžeta ieņēmumu daļas 2020. gadam A daļas “Ievads un Savienības vispārējā budžeta finansējums” 3. tabulas 1. sleju)</w:t>
      </w:r>
    </w:p>
    <w:p w14:paraId="7F5585CB" w14:textId="77777777" w:rsidR="009E7B70" w:rsidRPr="000538A2" w:rsidRDefault="009E7B70" w:rsidP="00267630">
      <w:pPr>
        <w:widowControl w:val="0"/>
        <w:spacing w:after="0"/>
        <w:rPr>
          <w:b/>
          <w:noProof/>
        </w:rPr>
      </w:pPr>
    </w:p>
    <w:tbl>
      <w:tblPr>
        <w:tblW w:w="0" w:type="auto"/>
        <w:tblCellMar>
          <w:top w:w="28" w:type="dxa"/>
          <w:left w:w="28" w:type="dxa"/>
          <w:bottom w:w="28" w:type="dxa"/>
          <w:right w:w="28" w:type="dxa"/>
        </w:tblCellMar>
        <w:tblLook w:val="0000" w:firstRow="0" w:lastRow="0" w:firstColumn="0" w:lastColumn="0" w:noHBand="0" w:noVBand="0"/>
      </w:tblPr>
      <w:tblGrid>
        <w:gridCol w:w="3304"/>
        <w:gridCol w:w="2179"/>
        <w:gridCol w:w="3588"/>
      </w:tblGrid>
      <w:tr w:rsidR="002D1F3F" w:rsidRPr="00267630" w14:paraId="276BE0E9" w14:textId="77777777" w:rsidTr="009E7B70">
        <w:tc>
          <w:tcPr>
            <w:tcW w:w="1821" w:type="pct"/>
            <w:noWrap/>
          </w:tcPr>
          <w:p w14:paraId="095BB105" w14:textId="65609BC6" w:rsidR="002D1F3F" w:rsidRPr="00267630" w:rsidRDefault="002D1F3F" w:rsidP="009E7B70">
            <w:pPr>
              <w:widowControl w:val="0"/>
              <w:spacing w:after="0"/>
              <w:jc w:val="center"/>
              <w:rPr>
                <w:b/>
                <w:bCs/>
                <w:noProof/>
              </w:rPr>
            </w:pPr>
            <w:r>
              <w:rPr>
                <w:b/>
                <w:bCs/>
              </w:rPr>
              <w:t>Dalībvalsts</w:t>
            </w:r>
          </w:p>
        </w:tc>
        <w:tc>
          <w:tcPr>
            <w:tcW w:w="1201" w:type="pct"/>
          </w:tcPr>
          <w:p w14:paraId="1DA2CB29" w14:textId="77777777" w:rsidR="002D1F3F" w:rsidRPr="00267630" w:rsidRDefault="002D1F3F" w:rsidP="009E7B70">
            <w:pPr>
              <w:widowControl w:val="0"/>
              <w:spacing w:after="0"/>
              <w:jc w:val="center"/>
              <w:rPr>
                <w:b/>
                <w:bCs/>
                <w:noProof/>
                <w:lang w:val="en-US"/>
              </w:rPr>
            </w:pPr>
          </w:p>
        </w:tc>
        <w:tc>
          <w:tcPr>
            <w:tcW w:w="1978" w:type="pct"/>
          </w:tcPr>
          <w:p w14:paraId="09589C2B" w14:textId="5F351B17" w:rsidR="002D1F3F" w:rsidRPr="00267630" w:rsidRDefault="002D1F3F" w:rsidP="009E7B70">
            <w:pPr>
              <w:widowControl w:val="0"/>
              <w:spacing w:after="0"/>
              <w:jc w:val="center"/>
              <w:rPr>
                <w:b/>
                <w:bCs/>
                <w:noProof/>
              </w:rPr>
            </w:pPr>
            <w:r>
              <w:rPr>
                <w:b/>
                <w:bCs/>
              </w:rPr>
              <w:t>Garantijas devēja ieguldījumu skalas procentuālā daļa</w:t>
            </w:r>
          </w:p>
        </w:tc>
      </w:tr>
      <w:tr w:rsidR="002D1F3F" w:rsidRPr="00267630" w14:paraId="34812576" w14:textId="77777777" w:rsidTr="009E7B70">
        <w:tc>
          <w:tcPr>
            <w:tcW w:w="1821" w:type="pct"/>
            <w:noWrap/>
          </w:tcPr>
          <w:p w14:paraId="70A00277" w14:textId="77777777" w:rsidR="002D1F3F" w:rsidRPr="00267630" w:rsidRDefault="002D1F3F" w:rsidP="00267630">
            <w:pPr>
              <w:widowControl w:val="0"/>
              <w:spacing w:after="0"/>
              <w:rPr>
                <w:noProof/>
              </w:rPr>
            </w:pPr>
            <w:r>
              <w:t>Beļģijas Karaliste</w:t>
            </w:r>
          </w:p>
          <w:p w14:paraId="458B756F" w14:textId="77777777" w:rsidR="002D1F3F" w:rsidRPr="00267630" w:rsidRDefault="002D1F3F" w:rsidP="00267630">
            <w:pPr>
              <w:widowControl w:val="0"/>
              <w:spacing w:after="0"/>
              <w:rPr>
                <w:noProof/>
              </w:rPr>
            </w:pPr>
            <w:r>
              <w:t>Bulgārijas Republika</w:t>
            </w:r>
          </w:p>
          <w:p w14:paraId="1224F3E0" w14:textId="77777777" w:rsidR="002D1F3F" w:rsidRPr="00267630" w:rsidRDefault="002D1F3F" w:rsidP="00267630">
            <w:pPr>
              <w:widowControl w:val="0"/>
              <w:spacing w:after="0"/>
              <w:rPr>
                <w:noProof/>
              </w:rPr>
            </w:pPr>
            <w:r>
              <w:t>Čehijas Republika</w:t>
            </w:r>
          </w:p>
          <w:p w14:paraId="2EAC95F8" w14:textId="77777777" w:rsidR="002D1F3F" w:rsidRPr="00267630" w:rsidRDefault="002D1F3F" w:rsidP="00267630">
            <w:pPr>
              <w:widowControl w:val="0"/>
              <w:spacing w:after="0"/>
              <w:rPr>
                <w:noProof/>
              </w:rPr>
            </w:pPr>
            <w:r>
              <w:t>Dānijas Karaliste</w:t>
            </w:r>
          </w:p>
        </w:tc>
        <w:tc>
          <w:tcPr>
            <w:tcW w:w="1201" w:type="pct"/>
          </w:tcPr>
          <w:p w14:paraId="2E020A69" w14:textId="77777777" w:rsidR="002D1F3F" w:rsidRPr="00267630" w:rsidRDefault="002D1F3F" w:rsidP="00267630">
            <w:pPr>
              <w:widowControl w:val="0"/>
              <w:spacing w:after="0"/>
              <w:rPr>
                <w:noProof/>
                <w:lang w:val="en-US"/>
              </w:rPr>
            </w:pPr>
          </w:p>
        </w:tc>
        <w:tc>
          <w:tcPr>
            <w:tcW w:w="1978" w:type="pct"/>
          </w:tcPr>
          <w:p w14:paraId="1F562448" w14:textId="77777777" w:rsidR="002D1F3F" w:rsidRPr="00267630" w:rsidRDefault="002D1F3F" w:rsidP="009E7B70">
            <w:pPr>
              <w:widowControl w:val="0"/>
              <w:spacing w:after="0"/>
              <w:jc w:val="right"/>
              <w:rPr>
                <w:noProof/>
              </w:rPr>
            </w:pPr>
            <w:r>
              <w:t>3,352 897 %</w:t>
            </w:r>
          </w:p>
          <w:p w14:paraId="46BA923B" w14:textId="77777777" w:rsidR="002D1F3F" w:rsidRPr="00267630" w:rsidRDefault="002D1F3F" w:rsidP="009E7B70">
            <w:pPr>
              <w:widowControl w:val="0"/>
              <w:spacing w:after="0"/>
              <w:jc w:val="right"/>
              <w:rPr>
                <w:noProof/>
              </w:rPr>
            </w:pPr>
            <w:r>
              <w:t>0,429 866 %</w:t>
            </w:r>
          </w:p>
          <w:p w14:paraId="7E88C47C" w14:textId="77777777" w:rsidR="002D1F3F" w:rsidRPr="00267630" w:rsidRDefault="002D1F3F" w:rsidP="009E7B70">
            <w:pPr>
              <w:widowControl w:val="0"/>
              <w:spacing w:after="0"/>
              <w:jc w:val="right"/>
              <w:rPr>
                <w:noProof/>
              </w:rPr>
            </w:pPr>
            <w:r>
              <w:t>1,498 154 %</w:t>
            </w:r>
          </w:p>
          <w:p w14:paraId="5FE6CE31" w14:textId="77777777" w:rsidR="002D1F3F" w:rsidRPr="00267630" w:rsidRDefault="002D1F3F" w:rsidP="009E7B70">
            <w:pPr>
              <w:widowControl w:val="0"/>
              <w:spacing w:after="0"/>
              <w:jc w:val="right"/>
              <w:rPr>
                <w:noProof/>
              </w:rPr>
            </w:pPr>
            <w:r>
              <w:t>2,255 351 %</w:t>
            </w:r>
          </w:p>
        </w:tc>
      </w:tr>
      <w:tr w:rsidR="002D1F3F" w:rsidRPr="00267630" w14:paraId="2518C4BD" w14:textId="77777777" w:rsidTr="009E7B70">
        <w:tc>
          <w:tcPr>
            <w:tcW w:w="1821" w:type="pct"/>
            <w:noWrap/>
          </w:tcPr>
          <w:p w14:paraId="5986FCC7" w14:textId="77777777" w:rsidR="002D1F3F" w:rsidRPr="00267630" w:rsidRDefault="002D1F3F" w:rsidP="00267630">
            <w:pPr>
              <w:widowControl w:val="0"/>
              <w:spacing w:after="0"/>
              <w:rPr>
                <w:noProof/>
              </w:rPr>
            </w:pPr>
            <w:r>
              <w:t>Vācijas Federatīvā Republika</w:t>
            </w:r>
          </w:p>
          <w:p w14:paraId="2A9C4120" w14:textId="0EFAB5C2" w:rsidR="002D1F3F" w:rsidRPr="00267630" w:rsidRDefault="002D1F3F" w:rsidP="00267630">
            <w:pPr>
              <w:widowControl w:val="0"/>
              <w:spacing w:after="0"/>
              <w:rPr>
                <w:noProof/>
              </w:rPr>
            </w:pPr>
            <w:r>
              <w:t>Igaunijas Republika</w:t>
            </w:r>
          </w:p>
        </w:tc>
        <w:tc>
          <w:tcPr>
            <w:tcW w:w="1201" w:type="pct"/>
          </w:tcPr>
          <w:p w14:paraId="477B3281" w14:textId="77777777" w:rsidR="002D1F3F" w:rsidRPr="00267630" w:rsidRDefault="002D1F3F" w:rsidP="00267630">
            <w:pPr>
              <w:widowControl w:val="0"/>
              <w:spacing w:after="0"/>
              <w:rPr>
                <w:noProof/>
                <w:lang w:val="en-US"/>
              </w:rPr>
            </w:pPr>
          </w:p>
        </w:tc>
        <w:tc>
          <w:tcPr>
            <w:tcW w:w="1978" w:type="pct"/>
          </w:tcPr>
          <w:p w14:paraId="5C4D5C73" w14:textId="77777777" w:rsidR="002D1F3F" w:rsidRPr="00267630" w:rsidRDefault="002D1F3F" w:rsidP="009E7B70">
            <w:pPr>
              <w:widowControl w:val="0"/>
              <w:spacing w:after="0"/>
              <w:jc w:val="right"/>
              <w:rPr>
                <w:noProof/>
              </w:rPr>
            </w:pPr>
            <w:r>
              <w:t>25,535 280 %</w:t>
            </w:r>
          </w:p>
          <w:p w14:paraId="1EE07C99" w14:textId="77777777" w:rsidR="002D1F3F" w:rsidRPr="00267630" w:rsidRDefault="002D1F3F" w:rsidP="009E7B70">
            <w:pPr>
              <w:widowControl w:val="0"/>
              <w:spacing w:after="0"/>
              <w:jc w:val="right"/>
              <w:rPr>
                <w:noProof/>
              </w:rPr>
            </w:pPr>
            <w:r>
              <w:t>0,194 866 %</w:t>
            </w:r>
          </w:p>
        </w:tc>
      </w:tr>
      <w:tr w:rsidR="002D1F3F" w:rsidRPr="00267630" w14:paraId="22404F85" w14:textId="77777777" w:rsidTr="009E7B70">
        <w:tc>
          <w:tcPr>
            <w:tcW w:w="1821" w:type="pct"/>
            <w:noWrap/>
          </w:tcPr>
          <w:p w14:paraId="42404141" w14:textId="77777777" w:rsidR="002D1F3F" w:rsidRPr="00267630" w:rsidRDefault="002D1F3F" w:rsidP="00267630">
            <w:pPr>
              <w:widowControl w:val="0"/>
              <w:spacing w:after="0"/>
              <w:rPr>
                <w:noProof/>
              </w:rPr>
            </w:pPr>
            <w:r>
              <w:t>Īrija</w:t>
            </w:r>
          </w:p>
          <w:p w14:paraId="3614361A" w14:textId="431B9471" w:rsidR="002D1F3F" w:rsidRPr="00267630" w:rsidRDefault="002D1F3F" w:rsidP="00267630">
            <w:pPr>
              <w:widowControl w:val="0"/>
              <w:spacing w:after="0"/>
              <w:rPr>
                <w:noProof/>
              </w:rPr>
            </w:pPr>
            <w:r>
              <w:t>Grieķijas Republika</w:t>
            </w:r>
          </w:p>
        </w:tc>
        <w:tc>
          <w:tcPr>
            <w:tcW w:w="1201" w:type="pct"/>
          </w:tcPr>
          <w:p w14:paraId="406C54F8" w14:textId="77777777" w:rsidR="002D1F3F" w:rsidRPr="00267630" w:rsidRDefault="002D1F3F" w:rsidP="00267630">
            <w:pPr>
              <w:widowControl w:val="0"/>
              <w:spacing w:after="0"/>
              <w:rPr>
                <w:noProof/>
                <w:lang w:val="en-US"/>
              </w:rPr>
            </w:pPr>
          </w:p>
        </w:tc>
        <w:tc>
          <w:tcPr>
            <w:tcW w:w="1978" w:type="pct"/>
          </w:tcPr>
          <w:p w14:paraId="1704798D" w14:textId="77777777" w:rsidR="002D1F3F" w:rsidRPr="00267630" w:rsidRDefault="002D1F3F" w:rsidP="009E7B70">
            <w:pPr>
              <w:widowControl w:val="0"/>
              <w:spacing w:after="0"/>
              <w:jc w:val="right"/>
              <w:rPr>
                <w:noProof/>
              </w:rPr>
            </w:pPr>
            <w:r>
              <w:t>1,933 605 %</w:t>
            </w:r>
          </w:p>
          <w:p w14:paraId="21B7C654" w14:textId="77777777" w:rsidR="002D1F3F" w:rsidRPr="00267630" w:rsidRDefault="002D1F3F" w:rsidP="009E7B70">
            <w:pPr>
              <w:widowControl w:val="0"/>
              <w:spacing w:after="0"/>
              <w:jc w:val="right"/>
              <w:rPr>
                <w:noProof/>
              </w:rPr>
            </w:pPr>
            <w:r>
              <w:t>1,370 475 %</w:t>
            </w:r>
          </w:p>
        </w:tc>
      </w:tr>
      <w:tr w:rsidR="002D1F3F" w:rsidRPr="00267630" w14:paraId="5D5160EE" w14:textId="77777777" w:rsidTr="009E7B70">
        <w:tc>
          <w:tcPr>
            <w:tcW w:w="1821" w:type="pct"/>
            <w:noWrap/>
          </w:tcPr>
          <w:p w14:paraId="18377457" w14:textId="77777777" w:rsidR="002D1F3F" w:rsidRPr="00267630" w:rsidRDefault="002D1F3F" w:rsidP="00267630">
            <w:pPr>
              <w:widowControl w:val="0"/>
              <w:spacing w:after="0"/>
              <w:rPr>
                <w:noProof/>
              </w:rPr>
            </w:pPr>
            <w:r>
              <w:t>Spānijas Karaliste</w:t>
            </w:r>
          </w:p>
        </w:tc>
        <w:tc>
          <w:tcPr>
            <w:tcW w:w="1201" w:type="pct"/>
          </w:tcPr>
          <w:p w14:paraId="2276EAF9" w14:textId="77777777" w:rsidR="002D1F3F" w:rsidRPr="00267630" w:rsidRDefault="002D1F3F" w:rsidP="00267630">
            <w:pPr>
              <w:widowControl w:val="0"/>
              <w:spacing w:after="0"/>
              <w:rPr>
                <w:noProof/>
                <w:lang w:val="en-US"/>
              </w:rPr>
            </w:pPr>
          </w:p>
        </w:tc>
        <w:tc>
          <w:tcPr>
            <w:tcW w:w="1978" w:type="pct"/>
          </w:tcPr>
          <w:p w14:paraId="4721233B" w14:textId="77777777" w:rsidR="002D1F3F" w:rsidRPr="00267630" w:rsidRDefault="002D1F3F" w:rsidP="009E7B70">
            <w:pPr>
              <w:widowControl w:val="0"/>
              <w:spacing w:after="0"/>
              <w:jc w:val="right"/>
              <w:rPr>
                <w:noProof/>
              </w:rPr>
            </w:pPr>
            <w:r>
              <w:t>9,011 563 %</w:t>
            </w:r>
          </w:p>
        </w:tc>
      </w:tr>
      <w:tr w:rsidR="002D1F3F" w:rsidRPr="00267630" w14:paraId="43EB87F2" w14:textId="77777777" w:rsidTr="009E7B70">
        <w:tc>
          <w:tcPr>
            <w:tcW w:w="1821" w:type="pct"/>
            <w:noWrap/>
          </w:tcPr>
          <w:p w14:paraId="160063C7" w14:textId="77777777" w:rsidR="002D1F3F" w:rsidRPr="00267630" w:rsidRDefault="002D1F3F" w:rsidP="00267630">
            <w:pPr>
              <w:widowControl w:val="0"/>
              <w:spacing w:after="0"/>
              <w:rPr>
                <w:noProof/>
              </w:rPr>
            </w:pPr>
            <w:r>
              <w:t>Francijas Republika</w:t>
            </w:r>
          </w:p>
          <w:p w14:paraId="2800908D" w14:textId="77777777" w:rsidR="002D1F3F" w:rsidRPr="00267630" w:rsidRDefault="002D1F3F" w:rsidP="00267630">
            <w:pPr>
              <w:widowControl w:val="0"/>
              <w:spacing w:after="0"/>
              <w:rPr>
                <w:noProof/>
              </w:rPr>
            </w:pPr>
            <w:r>
              <w:t>Horvātijas Republika</w:t>
            </w:r>
          </w:p>
        </w:tc>
        <w:tc>
          <w:tcPr>
            <w:tcW w:w="1201" w:type="pct"/>
          </w:tcPr>
          <w:p w14:paraId="38B64119" w14:textId="77777777" w:rsidR="002D1F3F" w:rsidRPr="00267630" w:rsidRDefault="002D1F3F" w:rsidP="00267630">
            <w:pPr>
              <w:widowControl w:val="0"/>
              <w:spacing w:after="0"/>
              <w:rPr>
                <w:noProof/>
                <w:lang w:val="en-US"/>
              </w:rPr>
            </w:pPr>
          </w:p>
        </w:tc>
        <w:tc>
          <w:tcPr>
            <w:tcW w:w="1978" w:type="pct"/>
          </w:tcPr>
          <w:p w14:paraId="42EC27AF" w14:textId="77777777" w:rsidR="002D1F3F" w:rsidRPr="00267630" w:rsidRDefault="002D1F3F" w:rsidP="009E7B70">
            <w:pPr>
              <w:widowControl w:val="0"/>
              <w:spacing w:after="0"/>
              <w:jc w:val="right"/>
              <w:rPr>
                <w:noProof/>
              </w:rPr>
            </w:pPr>
            <w:r>
              <w:t>17,627 905 %</w:t>
            </w:r>
          </w:p>
          <w:p w14:paraId="78BB48FA" w14:textId="77777777" w:rsidR="002D1F3F" w:rsidRPr="00267630" w:rsidRDefault="002D1F3F" w:rsidP="009E7B70">
            <w:pPr>
              <w:widowControl w:val="0"/>
              <w:spacing w:after="0"/>
              <w:jc w:val="right"/>
              <w:rPr>
                <w:noProof/>
              </w:rPr>
            </w:pPr>
            <w:r>
              <w:t>0,382 774 %</w:t>
            </w:r>
          </w:p>
        </w:tc>
      </w:tr>
      <w:tr w:rsidR="002D1F3F" w:rsidRPr="00267630" w14:paraId="5E35BF26" w14:textId="77777777" w:rsidTr="009E7B70">
        <w:tc>
          <w:tcPr>
            <w:tcW w:w="1821" w:type="pct"/>
            <w:noWrap/>
          </w:tcPr>
          <w:p w14:paraId="3DCB22C2" w14:textId="77777777" w:rsidR="002D1F3F" w:rsidRPr="00267630" w:rsidRDefault="002D1F3F" w:rsidP="00267630">
            <w:pPr>
              <w:widowControl w:val="0"/>
              <w:spacing w:after="0"/>
              <w:rPr>
                <w:noProof/>
              </w:rPr>
            </w:pPr>
            <w:r>
              <w:t>Itālijas Republika</w:t>
            </w:r>
          </w:p>
        </w:tc>
        <w:tc>
          <w:tcPr>
            <w:tcW w:w="1201" w:type="pct"/>
          </w:tcPr>
          <w:p w14:paraId="35015022" w14:textId="77777777" w:rsidR="002D1F3F" w:rsidRPr="00267630" w:rsidRDefault="002D1F3F" w:rsidP="00267630">
            <w:pPr>
              <w:widowControl w:val="0"/>
              <w:spacing w:after="0"/>
              <w:rPr>
                <w:noProof/>
                <w:lang w:val="en-US"/>
              </w:rPr>
            </w:pPr>
          </w:p>
        </w:tc>
        <w:tc>
          <w:tcPr>
            <w:tcW w:w="1978" w:type="pct"/>
          </w:tcPr>
          <w:p w14:paraId="0E6BF229" w14:textId="77777777" w:rsidR="002D1F3F" w:rsidRPr="00267630" w:rsidRDefault="002D1F3F" w:rsidP="009E7B70">
            <w:pPr>
              <w:widowControl w:val="0"/>
              <w:spacing w:after="0"/>
              <w:jc w:val="right"/>
              <w:rPr>
                <w:noProof/>
              </w:rPr>
            </w:pPr>
            <w:r>
              <w:t>12,735 144 %</w:t>
            </w:r>
          </w:p>
        </w:tc>
      </w:tr>
      <w:tr w:rsidR="002D1F3F" w:rsidRPr="00267630" w14:paraId="748CFAC0" w14:textId="77777777" w:rsidTr="009E7B70">
        <w:tc>
          <w:tcPr>
            <w:tcW w:w="1821" w:type="pct"/>
            <w:noWrap/>
          </w:tcPr>
          <w:p w14:paraId="4EF2EDBE" w14:textId="77777777" w:rsidR="002D1F3F" w:rsidRPr="00267630" w:rsidRDefault="002D1F3F" w:rsidP="00267630">
            <w:pPr>
              <w:widowControl w:val="0"/>
              <w:spacing w:after="0"/>
              <w:rPr>
                <w:noProof/>
              </w:rPr>
            </w:pPr>
            <w:r>
              <w:t>Kipras Republika</w:t>
            </w:r>
          </w:p>
          <w:p w14:paraId="5897832A" w14:textId="77777777" w:rsidR="002D1F3F" w:rsidRPr="00267630" w:rsidRDefault="002D1F3F" w:rsidP="00267630">
            <w:pPr>
              <w:widowControl w:val="0"/>
              <w:spacing w:after="0"/>
              <w:rPr>
                <w:noProof/>
              </w:rPr>
            </w:pPr>
            <w:r>
              <w:t>Latvijas Republika</w:t>
            </w:r>
          </w:p>
          <w:p w14:paraId="478FC6BD" w14:textId="141A7909" w:rsidR="002D1F3F" w:rsidRPr="00267630" w:rsidRDefault="002D1F3F" w:rsidP="00267630">
            <w:pPr>
              <w:widowControl w:val="0"/>
              <w:spacing w:after="0"/>
              <w:rPr>
                <w:noProof/>
              </w:rPr>
            </w:pPr>
            <w:r>
              <w:t>Lietuvas Republika</w:t>
            </w:r>
          </w:p>
        </w:tc>
        <w:tc>
          <w:tcPr>
            <w:tcW w:w="1201" w:type="pct"/>
          </w:tcPr>
          <w:p w14:paraId="71C80A63" w14:textId="77777777" w:rsidR="002D1F3F" w:rsidRPr="00267630" w:rsidRDefault="002D1F3F" w:rsidP="00267630">
            <w:pPr>
              <w:widowControl w:val="0"/>
              <w:spacing w:after="0"/>
              <w:rPr>
                <w:noProof/>
                <w:lang w:val="en-US"/>
              </w:rPr>
            </w:pPr>
          </w:p>
        </w:tc>
        <w:tc>
          <w:tcPr>
            <w:tcW w:w="1978" w:type="pct"/>
          </w:tcPr>
          <w:p w14:paraId="22436DFB" w14:textId="77777777" w:rsidR="002D1F3F" w:rsidRPr="00267630" w:rsidRDefault="002D1F3F" w:rsidP="009E7B70">
            <w:pPr>
              <w:widowControl w:val="0"/>
              <w:spacing w:after="0"/>
              <w:jc w:val="right"/>
              <w:rPr>
                <w:noProof/>
              </w:rPr>
            </w:pPr>
            <w:r>
              <w:t>0,152 459 %</w:t>
            </w:r>
          </w:p>
          <w:p w14:paraId="0FDEECF6" w14:textId="77777777" w:rsidR="002D1F3F" w:rsidRPr="00267630" w:rsidRDefault="002D1F3F" w:rsidP="009E7B70">
            <w:pPr>
              <w:widowControl w:val="0"/>
              <w:spacing w:after="0"/>
              <w:jc w:val="right"/>
              <w:rPr>
                <w:noProof/>
              </w:rPr>
            </w:pPr>
            <w:r>
              <w:t>0,228 283 %</w:t>
            </w:r>
          </w:p>
          <w:p w14:paraId="76354460" w14:textId="77777777" w:rsidR="002D1F3F" w:rsidRPr="00267630" w:rsidRDefault="002D1F3F" w:rsidP="009E7B70">
            <w:pPr>
              <w:widowControl w:val="0"/>
              <w:spacing w:after="0"/>
              <w:jc w:val="right"/>
              <w:rPr>
                <w:noProof/>
              </w:rPr>
            </w:pPr>
            <w:r>
              <w:t xml:space="preserve">0,335 814 % </w:t>
            </w:r>
          </w:p>
        </w:tc>
      </w:tr>
      <w:tr w:rsidR="002D1F3F" w:rsidRPr="00267630" w14:paraId="3021E918" w14:textId="77777777" w:rsidTr="009E7B70">
        <w:tc>
          <w:tcPr>
            <w:tcW w:w="1821" w:type="pct"/>
            <w:noWrap/>
          </w:tcPr>
          <w:p w14:paraId="5F7C9CE5" w14:textId="77777777" w:rsidR="002D1F3F" w:rsidRPr="00267630" w:rsidRDefault="002D1F3F" w:rsidP="00267630">
            <w:pPr>
              <w:widowControl w:val="0"/>
              <w:spacing w:after="0"/>
              <w:rPr>
                <w:noProof/>
              </w:rPr>
            </w:pPr>
            <w:r>
              <w:t>Luksemburgas Lielhercogiste</w:t>
            </w:r>
          </w:p>
          <w:p w14:paraId="4A9BF4DA" w14:textId="56A21AC5" w:rsidR="002D1F3F" w:rsidRPr="00267630" w:rsidRDefault="002D1F3F" w:rsidP="00267630">
            <w:pPr>
              <w:widowControl w:val="0"/>
              <w:spacing w:after="0"/>
              <w:rPr>
                <w:noProof/>
              </w:rPr>
            </w:pPr>
            <w:r>
              <w:t>Ungārija</w:t>
            </w:r>
          </w:p>
        </w:tc>
        <w:tc>
          <w:tcPr>
            <w:tcW w:w="1201" w:type="pct"/>
          </w:tcPr>
          <w:p w14:paraId="5C0D2C1B" w14:textId="77777777" w:rsidR="002D1F3F" w:rsidRPr="00267630" w:rsidRDefault="002D1F3F" w:rsidP="00267630">
            <w:pPr>
              <w:widowControl w:val="0"/>
              <w:spacing w:after="0"/>
              <w:rPr>
                <w:noProof/>
                <w:lang w:val="en-US"/>
              </w:rPr>
            </w:pPr>
          </w:p>
        </w:tc>
        <w:tc>
          <w:tcPr>
            <w:tcW w:w="1978" w:type="pct"/>
          </w:tcPr>
          <w:p w14:paraId="0061EAA5" w14:textId="77777777" w:rsidR="002D1F3F" w:rsidRPr="00267630" w:rsidRDefault="002D1F3F" w:rsidP="009E7B70">
            <w:pPr>
              <w:widowControl w:val="0"/>
              <w:spacing w:after="0"/>
              <w:jc w:val="right"/>
              <w:rPr>
                <w:noProof/>
              </w:rPr>
            </w:pPr>
            <w:r>
              <w:t>0,307 427 %</w:t>
            </w:r>
          </w:p>
          <w:p w14:paraId="47735F75" w14:textId="77777777" w:rsidR="002D1F3F" w:rsidRPr="00267630" w:rsidRDefault="002D1F3F" w:rsidP="009E7B70">
            <w:pPr>
              <w:widowControl w:val="0"/>
              <w:spacing w:after="0"/>
              <w:jc w:val="right"/>
              <w:rPr>
                <w:noProof/>
              </w:rPr>
            </w:pPr>
            <w:r>
              <w:t>0,998 384 %</w:t>
            </w:r>
          </w:p>
        </w:tc>
      </w:tr>
      <w:tr w:rsidR="002D1F3F" w:rsidRPr="00267630" w14:paraId="6AED2AEC" w14:textId="77777777" w:rsidTr="009E7B70">
        <w:tc>
          <w:tcPr>
            <w:tcW w:w="1821" w:type="pct"/>
            <w:noWrap/>
          </w:tcPr>
          <w:p w14:paraId="1FF7FA90" w14:textId="77777777" w:rsidR="002D1F3F" w:rsidRPr="00267630" w:rsidRDefault="002D1F3F" w:rsidP="00267630">
            <w:pPr>
              <w:widowControl w:val="0"/>
              <w:spacing w:after="0"/>
              <w:rPr>
                <w:noProof/>
              </w:rPr>
            </w:pPr>
            <w:r>
              <w:t>Maltas Republika</w:t>
            </w:r>
          </w:p>
        </w:tc>
        <w:tc>
          <w:tcPr>
            <w:tcW w:w="1201" w:type="pct"/>
          </w:tcPr>
          <w:p w14:paraId="07542CAD" w14:textId="77777777" w:rsidR="002D1F3F" w:rsidRPr="00267630" w:rsidRDefault="002D1F3F" w:rsidP="00267630">
            <w:pPr>
              <w:widowControl w:val="0"/>
              <w:spacing w:after="0"/>
              <w:rPr>
                <w:noProof/>
                <w:lang w:val="en-US"/>
              </w:rPr>
            </w:pPr>
          </w:p>
        </w:tc>
        <w:tc>
          <w:tcPr>
            <w:tcW w:w="1978" w:type="pct"/>
          </w:tcPr>
          <w:p w14:paraId="43428B77" w14:textId="77777777" w:rsidR="002D1F3F" w:rsidRPr="00267630" w:rsidRDefault="002D1F3F" w:rsidP="009E7B70">
            <w:pPr>
              <w:widowControl w:val="0"/>
              <w:spacing w:after="0"/>
              <w:jc w:val="right"/>
              <w:rPr>
                <w:noProof/>
              </w:rPr>
            </w:pPr>
            <w:r>
              <w:t>0,092 177 %</w:t>
            </w:r>
          </w:p>
        </w:tc>
      </w:tr>
      <w:tr w:rsidR="002D1F3F" w:rsidRPr="00267630" w14:paraId="3E5CD3E5" w14:textId="77777777" w:rsidTr="009E7B70">
        <w:tc>
          <w:tcPr>
            <w:tcW w:w="1821" w:type="pct"/>
            <w:noWrap/>
          </w:tcPr>
          <w:p w14:paraId="27947FA5" w14:textId="77777777" w:rsidR="002D1F3F" w:rsidRPr="00267630" w:rsidRDefault="002D1F3F" w:rsidP="00267630">
            <w:pPr>
              <w:widowControl w:val="0"/>
              <w:spacing w:after="0"/>
              <w:rPr>
                <w:noProof/>
              </w:rPr>
            </w:pPr>
            <w:r>
              <w:t>Nīderlandes Karaliste</w:t>
            </w:r>
          </w:p>
        </w:tc>
        <w:tc>
          <w:tcPr>
            <w:tcW w:w="1201" w:type="pct"/>
          </w:tcPr>
          <w:p w14:paraId="06F1A39A" w14:textId="77777777" w:rsidR="002D1F3F" w:rsidRPr="00267630" w:rsidRDefault="002D1F3F" w:rsidP="00267630">
            <w:pPr>
              <w:widowControl w:val="0"/>
              <w:spacing w:after="0"/>
              <w:rPr>
                <w:noProof/>
                <w:lang w:val="en-US"/>
              </w:rPr>
            </w:pPr>
          </w:p>
        </w:tc>
        <w:tc>
          <w:tcPr>
            <w:tcW w:w="1978" w:type="pct"/>
          </w:tcPr>
          <w:p w14:paraId="7F1E096F" w14:textId="77777777" w:rsidR="002D1F3F" w:rsidRPr="00267630" w:rsidRDefault="002D1F3F" w:rsidP="009E7B70">
            <w:pPr>
              <w:widowControl w:val="0"/>
              <w:spacing w:after="0"/>
              <w:jc w:val="right"/>
              <w:rPr>
                <w:noProof/>
              </w:rPr>
            </w:pPr>
            <w:r>
              <w:t>5,764 798 %</w:t>
            </w:r>
          </w:p>
        </w:tc>
      </w:tr>
      <w:tr w:rsidR="002D1F3F" w:rsidRPr="00267630" w14:paraId="6D4FEEDE" w14:textId="77777777" w:rsidTr="009E7B70">
        <w:tc>
          <w:tcPr>
            <w:tcW w:w="1821" w:type="pct"/>
            <w:noWrap/>
          </w:tcPr>
          <w:p w14:paraId="0A39D9AD" w14:textId="77777777" w:rsidR="002D1F3F" w:rsidRPr="00267630" w:rsidRDefault="002D1F3F" w:rsidP="00267630">
            <w:pPr>
              <w:widowControl w:val="0"/>
              <w:spacing w:after="0"/>
              <w:rPr>
                <w:noProof/>
              </w:rPr>
            </w:pPr>
            <w:r>
              <w:t>Austrijas Republika</w:t>
            </w:r>
          </w:p>
          <w:p w14:paraId="68608162" w14:textId="23E9E2DE" w:rsidR="002D1F3F" w:rsidRPr="00267630" w:rsidRDefault="002D1F3F" w:rsidP="00267630">
            <w:pPr>
              <w:widowControl w:val="0"/>
              <w:spacing w:after="0"/>
              <w:rPr>
                <w:noProof/>
              </w:rPr>
            </w:pPr>
            <w:r>
              <w:t>Polijas Republika</w:t>
            </w:r>
          </w:p>
        </w:tc>
        <w:tc>
          <w:tcPr>
            <w:tcW w:w="1201" w:type="pct"/>
          </w:tcPr>
          <w:p w14:paraId="59508E00" w14:textId="77777777" w:rsidR="002D1F3F" w:rsidRPr="00267630" w:rsidRDefault="002D1F3F" w:rsidP="00267630">
            <w:pPr>
              <w:widowControl w:val="0"/>
              <w:spacing w:after="0"/>
              <w:rPr>
                <w:noProof/>
                <w:lang w:val="en-US"/>
              </w:rPr>
            </w:pPr>
          </w:p>
        </w:tc>
        <w:tc>
          <w:tcPr>
            <w:tcW w:w="1978" w:type="pct"/>
          </w:tcPr>
          <w:p w14:paraId="02648A71" w14:textId="77777777" w:rsidR="002D1F3F" w:rsidRPr="00267630" w:rsidRDefault="002D1F3F" w:rsidP="009E7B70">
            <w:pPr>
              <w:widowControl w:val="0"/>
              <w:spacing w:after="0"/>
              <w:jc w:val="right"/>
              <w:rPr>
                <w:noProof/>
              </w:rPr>
            </w:pPr>
            <w:r>
              <w:t>2,868 863 %</w:t>
            </w:r>
          </w:p>
          <w:p w14:paraId="661FCEDD" w14:textId="77777777" w:rsidR="002D1F3F" w:rsidRPr="00267630" w:rsidRDefault="002D1F3F" w:rsidP="009E7B70">
            <w:pPr>
              <w:widowControl w:val="0"/>
              <w:spacing w:after="0"/>
              <w:jc w:val="right"/>
              <w:rPr>
                <w:noProof/>
              </w:rPr>
            </w:pPr>
            <w:r>
              <w:t>3,720 413 %</w:t>
            </w:r>
          </w:p>
        </w:tc>
      </w:tr>
      <w:tr w:rsidR="002D1F3F" w:rsidRPr="00267630" w14:paraId="410817E2" w14:textId="77777777" w:rsidTr="009E7B70">
        <w:tc>
          <w:tcPr>
            <w:tcW w:w="1821" w:type="pct"/>
            <w:noWrap/>
          </w:tcPr>
          <w:p w14:paraId="2E8BB1C9" w14:textId="77777777" w:rsidR="002D1F3F" w:rsidRPr="00267630" w:rsidRDefault="002D1F3F" w:rsidP="00267630">
            <w:pPr>
              <w:widowControl w:val="0"/>
              <w:spacing w:after="0"/>
              <w:rPr>
                <w:noProof/>
              </w:rPr>
            </w:pPr>
            <w:r>
              <w:t>Portugāles Republika</w:t>
            </w:r>
          </w:p>
          <w:p w14:paraId="40303EAA" w14:textId="77777777" w:rsidR="002D1F3F" w:rsidRPr="00267630" w:rsidRDefault="002D1F3F" w:rsidP="00267630">
            <w:pPr>
              <w:widowControl w:val="0"/>
              <w:spacing w:after="0"/>
              <w:rPr>
                <w:noProof/>
              </w:rPr>
            </w:pPr>
            <w:r>
              <w:t>Rumānija</w:t>
            </w:r>
          </w:p>
        </w:tc>
        <w:tc>
          <w:tcPr>
            <w:tcW w:w="1201" w:type="pct"/>
          </w:tcPr>
          <w:p w14:paraId="15E0E703" w14:textId="77777777" w:rsidR="002D1F3F" w:rsidRPr="00267630" w:rsidRDefault="002D1F3F" w:rsidP="00267630">
            <w:pPr>
              <w:widowControl w:val="0"/>
              <w:spacing w:after="0"/>
              <w:rPr>
                <w:noProof/>
                <w:lang w:val="en-US"/>
              </w:rPr>
            </w:pPr>
          </w:p>
        </w:tc>
        <w:tc>
          <w:tcPr>
            <w:tcW w:w="1978" w:type="pct"/>
          </w:tcPr>
          <w:p w14:paraId="700B1D1A" w14:textId="77777777" w:rsidR="002D1F3F" w:rsidRPr="00267630" w:rsidRDefault="002D1F3F" w:rsidP="009E7B70">
            <w:pPr>
              <w:widowControl w:val="0"/>
              <w:spacing w:after="0"/>
              <w:jc w:val="right"/>
              <w:rPr>
                <w:noProof/>
              </w:rPr>
            </w:pPr>
            <w:r>
              <w:t>1,462 284 %</w:t>
            </w:r>
          </w:p>
          <w:p w14:paraId="7568656E" w14:textId="77777777" w:rsidR="002D1F3F" w:rsidRPr="00267630" w:rsidRDefault="002D1F3F" w:rsidP="009E7B70">
            <w:pPr>
              <w:widowControl w:val="0"/>
              <w:spacing w:after="0"/>
              <w:jc w:val="right"/>
              <w:rPr>
                <w:noProof/>
              </w:rPr>
            </w:pPr>
            <w:r>
              <w:t>1,573 537 %</w:t>
            </w:r>
          </w:p>
        </w:tc>
      </w:tr>
      <w:tr w:rsidR="002D1F3F" w:rsidRPr="00267630" w14:paraId="55503723" w14:textId="77777777" w:rsidTr="009E7B70">
        <w:tc>
          <w:tcPr>
            <w:tcW w:w="1821" w:type="pct"/>
            <w:noWrap/>
          </w:tcPr>
          <w:p w14:paraId="6E891ABB" w14:textId="77777777" w:rsidR="002D1F3F" w:rsidRPr="00267630" w:rsidRDefault="002D1F3F" w:rsidP="00267630">
            <w:pPr>
              <w:widowControl w:val="0"/>
              <w:spacing w:after="0"/>
              <w:rPr>
                <w:noProof/>
              </w:rPr>
            </w:pPr>
            <w:r>
              <w:t>Slovēnijas Republika</w:t>
            </w:r>
          </w:p>
        </w:tc>
        <w:tc>
          <w:tcPr>
            <w:tcW w:w="1201" w:type="pct"/>
          </w:tcPr>
          <w:p w14:paraId="1CD36BC6" w14:textId="77777777" w:rsidR="002D1F3F" w:rsidRPr="00267630" w:rsidRDefault="002D1F3F" w:rsidP="00267630">
            <w:pPr>
              <w:widowControl w:val="0"/>
              <w:spacing w:after="0"/>
              <w:rPr>
                <w:noProof/>
                <w:lang w:val="en-US"/>
              </w:rPr>
            </w:pPr>
          </w:p>
        </w:tc>
        <w:tc>
          <w:tcPr>
            <w:tcW w:w="1978" w:type="pct"/>
          </w:tcPr>
          <w:p w14:paraId="75DA5DDF" w14:textId="77777777" w:rsidR="002D1F3F" w:rsidRPr="00267630" w:rsidRDefault="002D1F3F" w:rsidP="009E7B70">
            <w:pPr>
              <w:widowControl w:val="0"/>
              <w:spacing w:after="0"/>
              <w:jc w:val="right"/>
              <w:rPr>
                <w:noProof/>
              </w:rPr>
            </w:pPr>
            <w:r>
              <w:t>0,352 506 %</w:t>
            </w:r>
          </w:p>
        </w:tc>
      </w:tr>
      <w:tr w:rsidR="002D1F3F" w:rsidRPr="00267630" w14:paraId="5F4A8BDC" w14:textId="77777777" w:rsidTr="009E7B70">
        <w:tc>
          <w:tcPr>
            <w:tcW w:w="1821" w:type="pct"/>
            <w:noWrap/>
          </w:tcPr>
          <w:p w14:paraId="01600EC3" w14:textId="77777777" w:rsidR="002D1F3F" w:rsidRPr="00267630" w:rsidRDefault="002D1F3F" w:rsidP="00267630">
            <w:pPr>
              <w:widowControl w:val="0"/>
              <w:spacing w:after="0"/>
              <w:rPr>
                <w:noProof/>
              </w:rPr>
            </w:pPr>
            <w:r>
              <w:t>Slovākijas Republika</w:t>
            </w:r>
          </w:p>
        </w:tc>
        <w:tc>
          <w:tcPr>
            <w:tcW w:w="1201" w:type="pct"/>
          </w:tcPr>
          <w:p w14:paraId="5D230888" w14:textId="77777777" w:rsidR="002D1F3F" w:rsidRPr="00267630" w:rsidRDefault="002D1F3F" w:rsidP="00267630">
            <w:pPr>
              <w:widowControl w:val="0"/>
              <w:spacing w:after="0"/>
              <w:rPr>
                <w:noProof/>
                <w:lang w:val="en-US"/>
              </w:rPr>
            </w:pPr>
          </w:p>
        </w:tc>
        <w:tc>
          <w:tcPr>
            <w:tcW w:w="1978" w:type="pct"/>
          </w:tcPr>
          <w:p w14:paraId="240B445E" w14:textId="77777777" w:rsidR="002D1F3F" w:rsidRPr="00267630" w:rsidRDefault="002D1F3F" w:rsidP="009E7B70">
            <w:pPr>
              <w:widowControl w:val="0"/>
              <w:spacing w:after="0"/>
              <w:jc w:val="right"/>
              <w:rPr>
                <w:noProof/>
              </w:rPr>
            </w:pPr>
            <w:r>
              <w:t>0,694 065 %</w:t>
            </w:r>
          </w:p>
        </w:tc>
      </w:tr>
      <w:tr w:rsidR="002D1F3F" w:rsidRPr="00267630" w14:paraId="1DB1EA38" w14:textId="77777777" w:rsidTr="009E7B70">
        <w:trPr>
          <w:trHeight w:val="676"/>
        </w:trPr>
        <w:tc>
          <w:tcPr>
            <w:tcW w:w="1821" w:type="pct"/>
            <w:noWrap/>
          </w:tcPr>
          <w:p w14:paraId="49E45C3A" w14:textId="77777777" w:rsidR="002D1F3F" w:rsidRPr="00267630" w:rsidRDefault="002D1F3F" w:rsidP="00267630">
            <w:pPr>
              <w:widowControl w:val="0"/>
              <w:spacing w:after="0"/>
              <w:rPr>
                <w:noProof/>
              </w:rPr>
            </w:pPr>
            <w:r>
              <w:t>Somijas Republika</w:t>
            </w:r>
          </w:p>
          <w:p w14:paraId="58B2E6B9" w14:textId="77777777" w:rsidR="002D1F3F" w:rsidRPr="00267630" w:rsidRDefault="002D1F3F" w:rsidP="00267630">
            <w:pPr>
              <w:widowControl w:val="0"/>
              <w:spacing w:after="0"/>
              <w:rPr>
                <w:noProof/>
              </w:rPr>
            </w:pPr>
            <w:r>
              <w:t>Zviedrijas Karaliste</w:t>
            </w:r>
          </w:p>
        </w:tc>
        <w:tc>
          <w:tcPr>
            <w:tcW w:w="1201" w:type="pct"/>
          </w:tcPr>
          <w:p w14:paraId="624A3640" w14:textId="77777777" w:rsidR="002D1F3F" w:rsidRPr="00267630" w:rsidRDefault="002D1F3F" w:rsidP="00267630">
            <w:pPr>
              <w:widowControl w:val="0"/>
              <w:spacing w:after="0"/>
              <w:rPr>
                <w:noProof/>
                <w:lang w:val="en-US"/>
              </w:rPr>
            </w:pPr>
          </w:p>
        </w:tc>
        <w:tc>
          <w:tcPr>
            <w:tcW w:w="1978" w:type="pct"/>
          </w:tcPr>
          <w:p w14:paraId="5410166E" w14:textId="77777777" w:rsidR="002D1F3F" w:rsidRPr="00267630" w:rsidRDefault="002D1F3F" w:rsidP="009E7B70">
            <w:pPr>
              <w:widowControl w:val="0"/>
              <w:spacing w:after="0"/>
              <w:jc w:val="right"/>
              <w:rPr>
                <w:noProof/>
              </w:rPr>
            </w:pPr>
            <w:r>
              <w:t>1,726 961 %</w:t>
            </w:r>
          </w:p>
          <w:p w14:paraId="08396A5B" w14:textId="77777777" w:rsidR="002D1F3F" w:rsidRPr="00267630" w:rsidRDefault="002D1F3F" w:rsidP="009E7B70">
            <w:pPr>
              <w:widowControl w:val="0"/>
              <w:spacing w:after="0"/>
              <w:jc w:val="right"/>
              <w:rPr>
                <w:noProof/>
                <w:u w:val="single"/>
              </w:rPr>
            </w:pPr>
            <w:r>
              <w:rPr>
                <w:u w:val="single"/>
              </w:rPr>
              <w:t>3,394 149 %</w:t>
            </w:r>
          </w:p>
        </w:tc>
      </w:tr>
      <w:tr w:rsidR="002D1F3F" w:rsidRPr="00267630" w14:paraId="368BC0A1" w14:textId="77777777" w:rsidTr="009E7B70">
        <w:tc>
          <w:tcPr>
            <w:tcW w:w="1821" w:type="pct"/>
            <w:noWrap/>
          </w:tcPr>
          <w:p w14:paraId="4D7332EC" w14:textId="77777777" w:rsidR="002D1F3F" w:rsidRPr="00267630" w:rsidRDefault="002D1F3F" w:rsidP="00267630">
            <w:pPr>
              <w:widowControl w:val="0"/>
              <w:spacing w:after="0"/>
              <w:rPr>
                <w:b/>
                <w:noProof/>
              </w:rPr>
            </w:pPr>
            <w:r>
              <w:rPr>
                <w:b/>
              </w:rPr>
              <w:t>Kopā</w:t>
            </w:r>
          </w:p>
        </w:tc>
        <w:tc>
          <w:tcPr>
            <w:tcW w:w="1201" w:type="pct"/>
          </w:tcPr>
          <w:p w14:paraId="577553A3" w14:textId="77777777" w:rsidR="002D1F3F" w:rsidRPr="00267630" w:rsidRDefault="002D1F3F" w:rsidP="00267630">
            <w:pPr>
              <w:widowControl w:val="0"/>
              <w:spacing w:after="0"/>
              <w:rPr>
                <w:noProof/>
                <w:lang w:val="en-US"/>
              </w:rPr>
            </w:pPr>
          </w:p>
        </w:tc>
        <w:tc>
          <w:tcPr>
            <w:tcW w:w="1978" w:type="pct"/>
          </w:tcPr>
          <w:p w14:paraId="4B166E21" w14:textId="77777777" w:rsidR="002D1F3F" w:rsidRPr="00267630" w:rsidRDefault="002D1F3F" w:rsidP="009E7B70">
            <w:pPr>
              <w:widowControl w:val="0"/>
              <w:spacing w:after="0"/>
              <w:jc w:val="right"/>
              <w:rPr>
                <w:noProof/>
              </w:rPr>
            </w:pPr>
            <w:r>
              <w:t>100,000 000 %</w:t>
            </w:r>
          </w:p>
        </w:tc>
      </w:tr>
      <w:tr w:rsidR="002D1F3F" w:rsidRPr="00267630" w14:paraId="7DDC62DE" w14:textId="77777777" w:rsidTr="009E7B70">
        <w:tc>
          <w:tcPr>
            <w:tcW w:w="1821" w:type="pct"/>
            <w:noWrap/>
          </w:tcPr>
          <w:p w14:paraId="2A69B5C2" w14:textId="77777777" w:rsidR="002D1F3F" w:rsidRPr="00267630" w:rsidRDefault="002D1F3F" w:rsidP="00267630">
            <w:pPr>
              <w:widowControl w:val="0"/>
              <w:spacing w:after="0"/>
              <w:rPr>
                <w:noProof/>
                <w:lang w:val="en-US"/>
              </w:rPr>
            </w:pPr>
          </w:p>
        </w:tc>
        <w:tc>
          <w:tcPr>
            <w:tcW w:w="1201" w:type="pct"/>
          </w:tcPr>
          <w:p w14:paraId="346EA214" w14:textId="77777777" w:rsidR="002D1F3F" w:rsidRPr="00267630" w:rsidRDefault="002D1F3F" w:rsidP="00267630">
            <w:pPr>
              <w:widowControl w:val="0"/>
              <w:spacing w:after="0"/>
              <w:rPr>
                <w:noProof/>
                <w:lang w:val="en-US"/>
              </w:rPr>
            </w:pPr>
          </w:p>
        </w:tc>
        <w:tc>
          <w:tcPr>
            <w:tcW w:w="1978" w:type="pct"/>
          </w:tcPr>
          <w:p w14:paraId="134CA180" w14:textId="77777777" w:rsidR="002D1F3F" w:rsidRPr="00267630" w:rsidRDefault="002D1F3F" w:rsidP="00267630">
            <w:pPr>
              <w:widowControl w:val="0"/>
              <w:spacing w:after="0"/>
              <w:rPr>
                <w:noProof/>
                <w:lang w:val="en-US"/>
              </w:rPr>
            </w:pPr>
          </w:p>
        </w:tc>
      </w:tr>
    </w:tbl>
    <w:p w14:paraId="0AC9E7C5" w14:textId="77777777" w:rsidR="002D1F3F" w:rsidRPr="00267630" w:rsidRDefault="002D1F3F" w:rsidP="00267630">
      <w:pPr>
        <w:pStyle w:val="BodyText"/>
        <w:widowControl w:val="0"/>
        <w:spacing w:after="0"/>
        <w:rPr>
          <w:rFonts w:cs="Times New Roman"/>
          <w:noProof/>
          <w:lang w:val="en-US"/>
        </w:rPr>
      </w:pPr>
    </w:p>
    <w:sectPr w:rsidR="002D1F3F" w:rsidRPr="00267630" w:rsidSect="00267630">
      <w:headerReference w:type="default" r:id="rId9"/>
      <w:footerReference w:type="default" r:id="rId10"/>
      <w:headerReference w:type="firs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498D0" w14:textId="77777777" w:rsidR="006B2680" w:rsidRPr="002D1F3F" w:rsidRDefault="006B2680" w:rsidP="00C434F0">
      <w:pPr>
        <w:spacing w:after="0"/>
        <w:rPr>
          <w:noProof/>
          <w:lang w:val="en-US"/>
        </w:rPr>
      </w:pPr>
      <w:r w:rsidRPr="002D1F3F">
        <w:rPr>
          <w:noProof/>
          <w:lang w:val="en-US"/>
        </w:rPr>
        <w:separator/>
      </w:r>
    </w:p>
  </w:endnote>
  <w:endnote w:type="continuationSeparator" w:id="0">
    <w:p w14:paraId="662647D5" w14:textId="77777777" w:rsidR="006B2680" w:rsidRPr="002D1F3F" w:rsidRDefault="006B2680" w:rsidP="00C434F0">
      <w:pPr>
        <w:spacing w:after="0"/>
        <w:rPr>
          <w:noProof/>
          <w:lang w:val="en-US"/>
        </w:rPr>
      </w:pPr>
      <w:r w:rsidRPr="002D1F3F">
        <w:rPr>
          <w:noProof/>
          <w:lang w:val="en-US"/>
        </w:rPr>
        <w:continuationSeparator/>
      </w:r>
    </w:p>
  </w:endnote>
  <w:endnote w:type="continuationNotice" w:id="1">
    <w:p w14:paraId="130ED7FB" w14:textId="77777777" w:rsidR="006B2680" w:rsidRDefault="006B26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0000" w:usb1="80000000" w:usb2="00000008" w:usb3="00000000" w:csb0="00000041" w:csb1="00000000"/>
  </w:font>
  <w:font w:name="tim">
    <w:altName w:val="Times New Roman"/>
    <w:panose1 w:val="00000000000000000000"/>
    <w:charset w:val="00"/>
    <w:family w:val="roman"/>
    <w:notTrueType/>
    <w:pitch w:val="default"/>
  </w:font>
  <w:font w:name="Arial Black">
    <w:panose1 w:val="020B0A04020102020204"/>
    <w:charset w:val="BA"/>
    <w:family w:val="swiss"/>
    <w:pitch w:val="variable"/>
    <w:sig w:usb0="A00002AF" w:usb1="400078FB"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FC81" w14:textId="77777777" w:rsidR="00464DB5" w:rsidRPr="00630941" w:rsidRDefault="00464DB5" w:rsidP="00464DB5">
    <w:pPr>
      <w:pStyle w:val="Header"/>
      <w:tabs>
        <w:tab w:val="left" w:pos="9072"/>
      </w:tabs>
      <w:rPr>
        <w:rStyle w:val="PageNumber"/>
        <w:sz w:val="20"/>
        <w:szCs w:val="18"/>
      </w:rPr>
    </w:pPr>
  </w:p>
  <w:p w14:paraId="009D9E62" w14:textId="77777777" w:rsidR="00464DB5" w:rsidRPr="00630941" w:rsidRDefault="00464DB5" w:rsidP="00464DB5">
    <w:pPr>
      <w:pStyle w:val="Header"/>
      <w:tabs>
        <w:tab w:val="right" w:leader="underscore" w:pos="9072"/>
      </w:tabs>
      <w:rPr>
        <w:rStyle w:val="PageNumber"/>
        <w:sz w:val="20"/>
        <w:szCs w:val="18"/>
      </w:rPr>
    </w:pPr>
    <w:r w:rsidRPr="00630941">
      <w:rPr>
        <w:rStyle w:val="PageNumber"/>
        <w:sz w:val="20"/>
        <w:szCs w:val="18"/>
      </w:rPr>
      <w:tab/>
    </w:r>
  </w:p>
  <w:p w14:paraId="39D1CDF3" w14:textId="77777777" w:rsidR="00464DB5" w:rsidRPr="00630941" w:rsidRDefault="00464DB5" w:rsidP="00464DB5">
    <w:pPr>
      <w:pStyle w:val="Header"/>
      <w:tabs>
        <w:tab w:val="right" w:pos="9072"/>
      </w:tabs>
      <w:rPr>
        <w:rStyle w:val="PageNumber"/>
        <w:sz w:val="20"/>
        <w:szCs w:val="18"/>
      </w:rPr>
    </w:pPr>
  </w:p>
  <w:p w14:paraId="40D6AD88" w14:textId="3B492CDE" w:rsidR="00464DB5" w:rsidRPr="00630941" w:rsidRDefault="00464DB5" w:rsidP="00464DB5">
    <w:pPr>
      <w:pStyle w:val="Footer"/>
      <w:tabs>
        <w:tab w:val="right" w:pos="9072"/>
      </w:tabs>
      <w:rPr>
        <w:sz w:val="20"/>
        <w:szCs w:val="18"/>
      </w:rPr>
    </w:pPr>
    <w:r w:rsidRPr="00630941">
      <w:rPr>
        <w:noProof/>
        <w:sz w:val="20"/>
        <w:szCs w:val="18"/>
      </w:rPr>
      <w:t xml:space="preserve">Tulkojums </w:t>
    </w:r>
    <w:r w:rsidRPr="00630941">
      <w:rPr>
        <w:noProof/>
        <w:sz w:val="20"/>
        <w:szCs w:val="18"/>
      </w:rPr>
      <w:fldChar w:fldCharType="begin"/>
    </w:r>
    <w:r w:rsidRPr="00630941">
      <w:rPr>
        <w:noProof/>
        <w:sz w:val="20"/>
        <w:szCs w:val="18"/>
      </w:rPr>
      <w:instrText>symbol 211 \f "Symbol" \s 9</w:instrText>
    </w:r>
    <w:r w:rsidRPr="00630941">
      <w:rPr>
        <w:noProof/>
        <w:sz w:val="20"/>
        <w:szCs w:val="18"/>
      </w:rPr>
      <w:fldChar w:fldCharType="separate"/>
    </w:r>
    <w:r w:rsidRPr="00630941">
      <w:rPr>
        <w:noProof/>
        <w:sz w:val="20"/>
        <w:szCs w:val="18"/>
      </w:rPr>
      <w:t>Ó</w:t>
    </w:r>
    <w:r w:rsidRPr="00630941">
      <w:rPr>
        <w:noProof/>
        <w:sz w:val="20"/>
        <w:szCs w:val="18"/>
      </w:rPr>
      <w:fldChar w:fldCharType="end"/>
    </w:r>
    <w:r w:rsidRPr="00630941">
      <w:rPr>
        <w:noProof/>
        <w:sz w:val="20"/>
        <w:szCs w:val="18"/>
      </w:rPr>
      <w:t xml:space="preserve"> Valsts valodas centrs, 20</w:t>
    </w:r>
    <w:r>
      <w:rPr>
        <w:noProof/>
        <w:sz w:val="20"/>
        <w:szCs w:val="18"/>
      </w:rPr>
      <w:t>20</w:t>
    </w:r>
    <w:r w:rsidRPr="00630941">
      <w:rPr>
        <w:sz w:val="20"/>
        <w:szCs w:val="18"/>
      </w:rPr>
      <w:tab/>
    </w:r>
    <w:r w:rsidRPr="00630941">
      <w:rPr>
        <w:rStyle w:val="PageNumber"/>
        <w:sz w:val="20"/>
        <w:szCs w:val="18"/>
      </w:rPr>
      <w:fldChar w:fldCharType="begin"/>
    </w:r>
    <w:r w:rsidRPr="00630941">
      <w:rPr>
        <w:rStyle w:val="PageNumber"/>
        <w:sz w:val="20"/>
        <w:szCs w:val="18"/>
      </w:rPr>
      <w:instrText xml:space="preserve">page </w:instrText>
    </w:r>
    <w:r w:rsidRPr="00630941">
      <w:rPr>
        <w:rStyle w:val="PageNumber"/>
        <w:sz w:val="20"/>
        <w:szCs w:val="18"/>
      </w:rPr>
      <w:fldChar w:fldCharType="separate"/>
    </w:r>
    <w:r w:rsidR="000538A2">
      <w:rPr>
        <w:rStyle w:val="PageNumber"/>
        <w:noProof/>
        <w:sz w:val="20"/>
        <w:szCs w:val="18"/>
      </w:rPr>
      <w:t>10</w:t>
    </w:r>
    <w:r w:rsidRPr="00630941">
      <w:rPr>
        <w:rStyle w:val="PageNumber"/>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743E" w14:textId="77777777" w:rsidR="00464DB5" w:rsidRPr="00630941" w:rsidRDefault="00464DB5" w:rsidP="00464DB5">
    <w:pPr>
      <w:pStyle w:val="Header"/>
      <w:tabs>
        <w:tab w:val="left" w:pos="9072"/>
      </w:tabs>
      <w:rPr>
        <w:rStyle w:val="PageNumber"/>
        <w:sz w:val="20"/>
        <w:szCs w:val="18"/>
      </w:rPr>
    </w:pPr>
    <w:bookmarkStart w:id="52" w:name="_Hlk496261764"/>
    <w:bookmarkStart w:id="53" w:name="_Hlk496261765"/>
    <w:bookmarkStart w:id="54" w:name="_Hlk496261766"/>
    <w:bookmarkStart w:id="55" w:name="_Hlk30491075"/>
    <w:bookmarkStart w:id="56" w:name="_Hlk30491076"/>
  </w:p>
  <w:p w14:paraId="08F82813" w14:textId="77777777" w:rsidR="00464DB5" w:rsidRPr="00630941" w:rsidRDefault="00464DB5" w:rsidP="00464DB5">
    <w:pPr>
      <w:pStyle w:val="Header"/>
      <w:tabs>
        <w:tab w:val="left" w:leader="underscore" w:pos="9072"/>
      </w:tabs>
      <w:rPr>
        <w:rStyle w:val="PageNumber"/>
        <w:sz w:val="20"/>
        <w:szCs w:val="18"/>
      </w:rPr>
    </w:pPr>
    <w:r w:rsidRPr="00630941">
      <w:rPr>
        <w:rStyle w:val="PageNumber"/>
        <w:sz w:val="20"/>
        <w:szCs w:val="18"/>
      </w:rPr>
      <w:tab/>
    </w:r>
  </w:p>
  <w:p w14:paraId="33260CB2" w14:textId="77777777" w:rsidR="00464DB5" w:rsidRPr="00630941" w:rsidRDefault="00464DB5" w:rsidP="00464DB5">
    <w:pPr>
      <w:pStyle w:val="Header"/>
      <w:tabs>
        <w:tab w:val="left" w:pos="9072"/>
      </w:tabs>
      <w:rPr>
        <w:rStyle w:val="PageNumber"/>
        <w:sz w:val="20"/>
        <w:szCs w:val="18"/>
      </w:rPr>
    </w:pPr>
  </w:p>
  <w:p w14:paraId="55C1CE2E" w14:textId="77777777" w:rsidR="00464DB5" w:rsidRPr="00630941" w:rsidRDefault="00464DB5" w:rsidP="00464DB5">
    <w:pPr>
      <w:pStyle w:val="Footer"/>
      <w:rPr>
        <w:sz w:val="20"/>
        <w:szCs w:val="18"/>
      </w:rPr>
    </w:pPr>
    <w:r w:rsidRPr="00630941">
      <w:rPr>
        <w:noProof/>
        <w:sz w:val="20"/>
        <w:szCs w:val="18"/>
      </w:rPr>
      <w:t xml:space="preserve">Tulkojums </w:t>
    </w:r>
    <w:r w:rsidRPr="00630941">
      <w:rPr>
        <w:noProof/>
        <w:sz w:val="20"/>
        <w:szCs w:val="18"/>
      </w:rPr>
      <w:fldChar w:fldCharType="begin"/>
    </w:r>
    <w:r w:rsidRPr="00630941">
      <w:rPr>
        <w:noProof/>
        <w:sz w:val="20"/>
        <w:szCs w:val="18"/>
      </w:rPr>
      <w:instrText>symbol 211 \f "Symbol" \s 9</w:instrText>
    </w:r>
    <w:r w:rsidRPr="00630941">
      <w:rPr>
        <w:noProof/>
        <w:sz w:val="20"/>
        <w:szCs w:val="18"/>
      </w:rPr>
      <w:fldChar w:fldCharType="separate"/>
    </w:r>
    <w:r w:rsidRPr="00630941">
      <w:rPr>
        <w:noProof/>
        <w:sz w:val="20"/>
        <w:szCs w:val="18"/>
      </w:rPr>
      <w:t>Ó</w:t>
    </w:r>
    <w:r w:rsidRPr="00630941">
      <w:rPr>
        <w:noProof/>
        <w:sz w:val="20"/>
        <w:szCs w:val="18"/>
      </w:rPr>
      <w:fldChar w:fldCharType="end"/>
    </w:r>
    <w:r w:rsidRPr="00630941">
      <w:rPr>
        <w:noProof/>
        <w:sz w:val="20"/>
        <w:szCs w:val="18"/>
      </w:rPr>
      <w:t xml:space="preserve"> Valsts valodas centrs, 20</w:t>
    </w:r>
    <w:bookmarkEnd w:id="52"/>
    <w:bookmarkEnd w:id="53"/>
    <w:bookmarkEnd w:id="54"/>
    <w:r>
      <w:rPr>
        <w:noProof/>
        <w:sz w:val="20"/>
        <w:szCs w:val="18"/>
      </w:rPr>
      <w:t>20</w:t>
    </w:r>
    <w:bookmarkEnd w:id="55"/>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3B9B2" w14:textId="77777777" w:rsidR="006B2680" w:rsidRPr="002D1F3F" w:rsidRDefault="006B2680" w:rsidP="00C434F0">
      <w:pPr>
        <w:spacing w:after="0"/>
        <w:rPr>
          <w:noProof/>
          <w:lang w:val="en-US"/>
        </w:rPr>
      </w:pPr>
      <w:r w:rsidRPr="002D1F3F">
        <w:rPr>
          <w:noProof/>
          <w:lang w:val="en-US"/>
        </w:rPr>
        <w:separator/>
      </w:r>
    </w:p>
  </w:footnote>
  <w:footnote w:type="continuationSeparator" w:id="0">
    <w:p w14:paraId="498191EA" w14:textId="77777777" w:rsidR="006B2680" w:rsidRPr="002D1F3F" w:rsidRDefault="006B2680" w:rsidP="00C434F0">
      <w:pPr>
        <w:spacing w:after="0"/>
        <w:rPr>
          <w:noProof/>
          <w:lang w:val="en-US"/>
        </w:rPr>
      </w:pPr>
      <w:r w:rsidRPr="002D1F3F">
        <w:rPr>
          <w:noProof/>
          <w:lang w:val="en-US"/>
        </w:rPr>
        <w:continuationSeparator/>
      </w:r>
    </w:p>
  </w:footnote>
  <w:footnote w:type="continuationNotice" w:id="1">
    <w:p w14:paraId="25FC72CD" w14:textId="77777777" w:rsidR="006B2680" w:rsidRDefault="006B2680">
      <w:pPr>
        <w:spacing w:after="0"/>
      </w:pPr>
    </w:p>
  </w:footnote>
  <w:footnote w:id="2">
    <w:p w14:paraId="0CED01EC" w14:textId="77777777" w:rsidR="002D1F3F" w:rsidRPr="009E7B70" w:rsidRDefault="002D1F3F" w:rsidP="009E7B70">
      <w:pPr>
        <w:pStyle w:val="FootnoteText"/>
        <w:widowControl w:val="0"/>
        <w:spacing w:after="0"/>
        <w:ind w:left="0" w:firstLine="0"/>
        <w:rPr>
          <w:noProof/>
        </w:rPr>
      </w:pPr>
      <w:r>
        <w:rPr>
          <w:rStyle w:val="FootnoteReference"/>
          <w:noProof/>
          <w:sz w:val="20"/>
          <w:szCs w:val="20"/>
          <w:lang w:val="en-US"/>
        </w:rPr>
        <w:footnoteRef/>
      </w:r>
      <w:r>
        <w:t xml:space="preserve"> Norāde uz valsts tiesisko pamatu līguma parakstīšanai, ja tas ir nepieciešams garantijas devējai dalībvalstij.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1171" w14:textId="77777777" w:rsidR="00464DB5" w:rsidRPr="00630941" w:rsidRDefault="00464DB5" w:rsidP="00464DB5">
    <w:pPr>
      <w:pStyle w:val="Header"/>
      <w:rPr>
        <w:rStyle w:val="PageNumber"/>
        <w:sz w:val="20"/>
        <w:szCs w:val="20"/>
      </w:rPr>
    </w:pPr>
    <w:bookmarkStart w:id="38" w:name="_Hlk496261784"/>
    <w:bookmarkStart w:id="39" w:name="_Hlk496261785"/>
    <w:bookmarkStart w:id="40" w:name="_Hlk496261786"/>
    <w:bookmarkStart w:id="41" w:name="_Hlk502757728"/>
    <w:bookmarkStart w:id="42" w:name="_Hlk502757729"/>
    <w:bookmarkStart w:id="43" w:name="_Hlk502757738"/>
    <w:bookmarkStart w:id="44" w:name="_Hlk502757739"/>
    <w:bookmarkStart w:id="45" w:name="_Hlk30491084"/>
    <w:bookmarkStart w:id="46" w:name="_Hlk30491085"/>
  </w:p>
  <w:p w14:paraId="2846F1B2" w14:textId="77777777" w:rsidR="00464DB5" w:rsidRPr="00630941" w:rsidRDefault="00464DB5" w:rsidP="00464DB5">
    <w:pPr>
      <w:pStyle w:val="Header"/>
      <w:tabs>
        <w:tab w:val="right" w:leader="underscore" w:pos="9072"/>
      </w:tabs>
      <w:rPr>
        <w:rStyle w:val="PageNumber"/>
        <w:sz w:val="20"/>
        <w:szCs w:val="20"/>
      </w:rPr>
    </w:pPr>
    <w:r w:rsidRPr="00630941">
      <w:rPr>
        <w:rStyle w:val="PageNumber"/>
        <w:sz w:val="20"/>
        <w:szCs w:val="20"/>
      </w:rPr>
      <w:tab/>
    </w:r>
  </w:p>
  <w:bookmarkEnd w:id="38"/>
  <w:bookmarkEnd w:id="39"/>
  <w:bookmarkEnd w:id="40"/>
  <w:bookmarkEnd w:id="41"/>
  <w:bookmarkEnd w:id="42"/>
  <w:bookmarkEnd w:id="43"/>
  <w:bookmarkEnd w:id="44"/>
  <w:bookmarkEnd w:id="45"/>
  <w:bookmarkEnd w:id="46"/>
  <w:p w14:paraId="44B304BE" w14:textId="77777777" w:rsidR="00464DB5" w:rsidRPr="00630941" w:rsidRDefault="00464DB5" w:rsidP="00464DB5">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F679" w14:textId="77777777" w:rsidR="00464DB5" w:rsidRPr="00402160" w:rsidRDefault="00464DB5" w:rsidP="00464DB5">
    <w:pPr>
      <w:pBdr>
        <w:bottom w:val="single" w:sz="12" w:space="5" w:color="auto"/>
      </w:pBdr>
      <w:spacing w:after="0"/>
      <w:rPr>
        <w:spacing w:val="-2"/>
        <w:sz w:val="20"/>
        <w:szCs w:val="20"/>
      </w:rPr>
    </w:pPr>
    <w:bookmarkStart w:id="47" w:name="_Hlk496261745"/>
    <w:bookmarkStart w:id="48" w:name="_Hlk496261746"/>
    <w:bookmarkStart w:id="49" w:name="_Hlk496261747"/>
    <w:bookmarkStart w:id="50" w:name="_Hlk30491063"/>
    <w:bookmarkStart w:id="51" w:name="_Hlk30491064"/>
  </w:p>
  <w:bookmarkEnd w:id="47"/>
  <w:bookmarkEnd w:id="48"/>
  <w:bookmarkEnd w:id="49"/>
  <w:bookmarkEnd w:id="50"/>
  <w:bookmarkEnd w:id="51"/>
  <w:p w14:paraId="006649B1" w14:textId="77777777" w:rsidR="00464DB5" w:rsidRPr="00402160" w:rsidRDefault="00464DB5" w:rsidP="00464DB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0E405CBE"/>
    <w:multiLevelType w:val="multilevel"/>
    <w:tmpl w:val="E8EC38D0"/>
    <w:name w:val="Standard"/>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C957AE"/>
    <w:multiLevelType w:val="hybridMultilevel"/>
    <w:tmpl w:val="CCAA5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B04F58"/>
    <w:multiLevelType w:val="multilevel"/>
    <w:tmpl w:val="8940F9CE"/>
    <w:name w:val="Simple List"/>
    <w:lvl w:ilvl="0">
      <w:start w:val="1"/>
      <w:numFmt w:val="decimal"/>
      <w:lvlRestart w:val="0"/>
      <w:pStyle w:val="Schedule1L1"/>
      <w:suff w:val="nothing"/>
      <w:lvlText w:val="Schedule %1"/>
      <w:lvlJc w:val="left"/>
      <w:pPr>
        <w:tabs>
          <w:tab w:val="num" w:pos="0"/>
        </w:tabs>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tabs>
          <w:tab w:val="num" w:pos="0"/>
        </w:tabs>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5A3B4FAF"/>
    <w:multiLevelType w:val="multilevel"/>
    <w:tmpl w:val="6FCC4D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F42733"/>
    <w:multiLevelType w:val="multilevel"/>
    <w:tmpl w:val="E7288B12"/>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4"/>
  </w:num>
  <w:num w:numId="3">
    <w:abstractNumId w:val="6"/>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6"/>
  </w:num>
  <w:num w:numId="16">
    <w:abstractNumId w:val="6"/>
  </w:num>
  <w:num w:numId="17">
    <w:abstractNumId w:val="1"/>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num>
  <w:num w:numId="23">
    <w:abstractNumId w:val="4"/>
  </w:num>
  <w:num w:numId="24">
    <w:abstractNumId w:val="1"/>
  </w:num>
  <w:num w:numId="25">
    <w:abstractNumId w:val="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oNotHyphenateCaps/>
  <w:drawingGridHorizontalSpacing w:val="120"/>
  <w:displayHorizontalDrawingGridEvery w:val="2"/>
  <w:characterSpacingControl w:val="doNotCompress"/>
  <w:doNotValidateAgainstSchema/>
  <w:hdrShapeDefaults>
    <o:shapedefaults v:ext="edit" spidmax="1228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AGREEMENT"/>
  </w:docVars>
  <w:rsids>
    <w:rsidRoot w:val="006B6FEC"/>
    <w:rsid w:val="000016AF"/>
    <w:rsid w:val="000017E7"/>
    <w:rsid w:val="00005EF9"/>
    <w:rsid w:val="000061B2"/>
    <w:rsid w:val="00006EE6"/>
    <w:rsid w:val="00007A8B"/>
    <w:rsid w:val="00010281"/>
    <w:rsid w:val="000114A9"/>
    <w:rsid w:val="00013763"/>
    <w:rsid w:val="000149AB"/>
    <w:rsid w:val="00014A20"/>
    <w:rsid w:val="00014D7B"/>
    <w:rsid w:val="00015DA3"/>
    <w:rsid w:val="00016AE3"/>
    <w:rsid w:val="000207A9"/>
    <w:rsid w:val="00021AC7"/>
    <w:rsid w:val="000232A5"/>
    <w:rsid w:val="00024D4D"/>
    <w:rsid w:val="00024DF5"/>
    <w:rsid w:val="00025F44"/>
    <w:rsid w:val="00034069"/>
    <w:rsid w:val="00034EBF"/>
    <w:rsid w:val="00037EF5"/>
    <w:rsid w:val="000402F2"/>
    <w:rsid w:val="000429D8"/>
    <w:rsid w:val="00043123"/>
    <w:rsid w:val="000459D5"/>
    <w:rsid w:val="00046E08"/>
    <w:rsid w:val="000471A3"/>
    <w:rsid w:val="00047C84"/>
    <w:rsid w:val="00050062"/>
    <w:rsid w:val="00052676"/>
    <w:rsid w:val="000538A2"/>
    <w:rsid w:val="00055A55"/>
    <w:rsid w:val="00056967"/>
    <w:rsid w:val="000609B1"/>
    <w:rsid w:val="000611E6"/>
    <w:rsid w:val="0006779D"/>
    <w:rsid w:val="00070006"/>
    <w:rsid w:val="00070430"/>
    <w:rsid w:val="00071E51"/>
    <w:rsid w:val="0007728A"/>
    <w:rsid w:val="00082141"/>
    <w:rsid w:val="00082260"/>
    <w:rsid w:val="000946EA"/>
    <w:rsid w:val="000960B2"/>
    <w:rsid w:val="000979E3"/>
    <w:rsid w:val="000A0D85"/>
    <w:rsid w:val="000A2A15"/>
    <w:rsid w:val="000A514B"/>
    <w:rsid w:val="000B4182"/>
    <w:rsid w:val="000B5F94"/>
    <w:rsid w:val="000C3D28"/>
    <w:rsid w:val="000D038A"/>
    <w:rsid w:val="000D0E22"/>
    <w:rsid w:val="000D1830"/>
    <w:rsid w:val="000D3D13"/>
    <w:rsid w:val="000D5E0B"/>
    <w:rsid w:val="000D643E"/>
    <w:rsid w:val="000E09DB"/>
    <w:rsid w:val="000E0C77"/>
    <w:rsid w:val="000E4CFE"/>
    <w:rsid w:val="000E5C05"/>
    <w:rsid w:val="000E6C0E"/>
    <w:rsid w:val="000F087A"/>
    <w:rsid w:val="000F0C5D"/>
    <w:rsid w:val="000F2D4C"/>
    <w:rsid w:val="000F44DB"/>
    <w:rsid w:val="000F643D"/>
    <w:rsid w:val="000F7FEA"/>
    <w:rsid w:val="00102747"/>
    <w:rsid w:val="00104B8F"/>
    <w:rsid w:val="0010539E"/>
    <w:rsid w:val="00106495"/>
    <w:rsid w:val="00107C99"/>
    <w:rsid w:val="0011474B"/>
    <w:rsid w:val="00114CE0"/>
    <w:rsid w:val="00115798"/>
    <w:rsid w:val="00116853"/>
    <w:rsid w:val="001226A2"/>
    <w:rsid w:val="00123638"/>
    <w:rsid w:val="00123907"/>
    <w:rsid w:val="00125211"/>
    <w:rsid w:val="00126535"/>
    <w:rsid w:val="00126AA4"/>
    <w:rsid w:val="00127352"/>
    <w:rsid w:val="00130D6E"/>
    <w:rsid w:val="001324AA"/>
    <w:rsid w:val="0013371B"/>
    <w:rsid w:val="00133EA3"/>
    <w:rsid w:val="00141884"/>
    <w:rsid w:val="0014354C"/>
    <w:rsid w:val="001442F8"/>
    <w:rsid w:val="00145F3A"/>
    <w:rsid w:val="00146B50"/>
    <w:rsid w:val="001470A3"/>
    <w:rsid w:val="00150619"/>
    <w:rsid w:val="00154174"/>
    <w:rsid w:val="00155516"/>
    <w:rsid w:val="001557B3"/>
    <w:rsid w:val="00155845"/>
    <w:rsid w:val="001562D8"/>
    <w:rsid w:val="00157BFC"/>
    <w:rsid w:val="00157D07"/>
    <w:rsid w:val="00160FD9"/>
    <w:rsid w:val="00162103"/>
    <w:rsid w:val="001648ED"/>
    <w:rsid w:val="00164DDD"/>
    <w:rsid w:val="00167DA8"/>
    <w:rsid w:val="00170BD4"/>
    <w:rsid w:val="001741A2"/>
    <w:rsid w:val="001761B7"/>
    <w:rsid w:val="00180C93"/>
    <w:rsid w:val="001849BD"/>
    <w:rsid w:val="00187D04"/>
    <w:rsid w:val="001949FA"/>
    <w:rsid w:val="00194A81"/>
    <w:rsid w:val="00195070"/>
    <w:rsid w:val="00195111"/>
    <w:rsid w:val="001A0F04"/>
    <w:rsid w:val="001A16E2"/>
    <w:rsid w:val="001A1F30"/>
    <w:rsid w:val="001A246E"/>
    <w:rsid w:val="001A5A16"/>
    <w:rsid w:val="001B23FA"/>
    <w:rsid w:val="001B2ADC"/>
    <w:rsid w:val="001B4152"/>
    <w:rsid w:val="001B435D"/>
    <w:rsid w:val="001B6547"/>
    <w:rsid w:val="001C2F0C"/>
    <w:rsid w:val="001C5D43"/>
    <w:rsid w:val="001C6C38"/>
    <w:rsid w:val="001D349A"/>
    <w:rsid w:val="001D3D1D"/>
    <w:rsid w:val="001D4810"/>
    <w:rsid w:val="001D7C94"/>
    <w:rsid w:val="001E175A"/>
    <w:rsid w:val="001E1FEB"/>
    <w:rsid w:val="001E2354"/>
    <w:rsid w:val="001E3173"/>
    <w:rsid w:val="001F441E"/>
    <w:rsid w:val="001F48A1"/>
    <w:rsid w:val="001F4FD4"/>
    <w:rsid w:val="002004D6"/>
    <w:rsid w:val="0020109E"/>
    <w:rsid w:val="00201387"/>
    <w:rsid w:val="0020294F"/>
    <w:rsid w:val="0020510A"/>
    <w:rsid w:val="002066C3"/>
    <w:rsid w:val="00210ACD"/>
    <w:rsid w:val="002114BD"/>
    <w:rsid w:val="00213955"/>
    <w:rsid w:val="0021424E"/>
    <w:rsid w:val="00215C30"/>
    <w:rsid w:val="00216EF6"/>
    <w:rsid w:val="00217A6A"/>
    <w:rsid w:val="002200C0"/>
    <w:rsid w:val="00223245"/>
    <w:rsid w:val="00224549"/>
    <w:rsid w:val="00230607"/>
    <w:rsid w:val="00232B49"/>
    <w:rsid w:val="00232C73"/>
    <w:rsid w:val="00240F13"/>
    <w:rsid w:val="00241071"/>
    <w:rsid w:val="002417B6"/>
    <w:rsid w:val="00242CE2"/>
    <w:rsid w:val="002464DC"/>
    <w:rsid w:val="00253113"/>
    <w:rsid w:val="00257DE8"/>
    <w:rsid w:val="00263779"/>
    <w:rsid w:val="00263AE6"/>
    <w:rsid w:val="00263E1E"/>
    <w:rsid w:val="00264CEC"/>
    <w:rsid w:val="002661DB"/>
    <w:rsid w:val="00267630"/>
    <w:rsid w:val="00273850"/>
    <w:rsid w:val="0027399F"/>
    <w:rsid w:val="00274D53"/>
    <w:rsid w:val="0028084A"/>
    <w:rsid w:val="00287B8C"/>
    <w:rsid w:val="002909A4"/>
    <w:rsid w:val="00295C61"/>
    <w:rsid w:val="00295F16"/>
    <w:rsid w:val="00296461"/>
    <w:rsid w:val="002A11C3"/>
    <w:rsid w:val="002B0F0D"/>
    <w:rsid w:val="002B383D"/>
    <w:rsid w:val="002B61C0"/>
    <w:rsid w:val="002C2EB0"/>
    <w:rsid w:val="002C3095"/>
    <w:rsid w:val="002C3820"/>
    <w:rsid w:val="002C6B1F"/>
    <w:rsid w:val="002D0BE5"/>
    <w:rsid w:val="002D1F3F"/>
    <w:rsid w:val="002D2170"/>
    <w:rsid w:val="002D48D9"/>
    <w:rsid w:val="002D52E9"/>
    <w:rsid w:val="002D7F01"/>
    <w:rsid w:val="002E0BE9"/>
    <w:rsid w:val="002E1F6C"/>
    <w:rsid w:val="002F0205"/>
    <w:rsid w:val="002F2388"/>
    <w:rsid w:val="0030171E"/>
    <w:rsid w:val="00302E85"/>
    <w:rsid w:val="00302FA5"/>
    <w:rsid w:val="0030486D"/>
    <w:rsid w:val="00304FEF"/>
    <w:rsid w:val="00306875"/>
    <w:rsid w:val="0031300C"/>
    <w:rsid w:val="00316B5C"/>
    <w:rsid w:val="00321F57"/>
    <w:rsid w:val="00322CCB"/>
    <w:rsid w:val="003249B4"/>
    <w:rsid w:val="0033129E"/>
    <w:rsid w:val="00331D5D"/>
    <w:rsid w:val="00331E50"/>
    <w:rsid w:val="0033663A"/>
    <w:rsid w:val="003547D0"/>
    <w:rsid w:val="0035750F"/>
    <w:rsid w:val="00361481"/>
    <w:rsid w:val="00361EE1"/>
    <w:rsid w:val="00365812"/>
    <w:rsid w:val="00365F59"/>
    <w:rsid w:val="00366A6B"/>
    <w:rsid w:val="003713B5"/>
    <w:rsid w:val="003744B6"/>
    <w:rsid w:val="0037713C"/>
    <w:rsid w:val="0037762E"/>
    <w:rsid w:val="00380C1C"/>
    <w:rsid w:val="003833B4"/>
    <w:rsid w:val="0038650A"/>
    <w:rsid w:val="00390D42"/>
    <w:rsid w:val="00395435"/>
    <w:rsid w:val="00396C13"/>
    <w:rsid w:val="00396DBC"/>
    <w:rsid w:val="003A31C0"/>
    <w:rsid w:val="003A3257"/>
    <w:rsid w:val="003A51F9"/>
    <w:rsid w:val="003A6F24"/>
    <w:rsid w:val="003B1E90"/>
    <w:rsid w:val="003B321A"/>
    <w:rsid w:val="003B37CB"/>
    <w:rsid w:val="003B5E5A"/>
    <w:rsid w:val="003C1DDF"/>
    <w:rsid w:val="003C6570"/>
    <w:rsid w:val="003C6E72"/>
    <w:rsid w:val="003D1CE1"/>
    <w:rsid w:val="003D2481"/>
    <w:rsid w:val="003D2CC3"/>
    <w:rsid w:val="003D3798"/>
    <w:rsid w:val="003D4F4D"/>
    <w:rsid w:val="003E3B64"/>
    <w:rsid w:val="003E51D1"/>
    <w:rsid w:val="003E64B3"/>
    <w:rsid w:val="003F176F"/>
    <w:rsid w:val="003F1D3D"/>
    <w:rsid w:val="003F2F8C"/>
    <w:rsid w:val="003F37A9"/>
    <w:rsid w:val="003F4C0B"/>
    <w:rsid w:val="0040014D"/>
    <w:rsid w:val="0040088D"/>
    <w:rsid w:val="00400EB3"/>
    <w:rsid w:val="004018FC"/>
    <w:rsid w:val="00404BC7"/>
    <w:rsid w:val="00406134"/>
    <w:rsid w:val="00406B84"/>
    <w:rsid w:val="00414F00"/>
    <w:rsid w:val="00417F8F"/>
    <w:rsid w:val="00421736"/>
    <w:rsid w:val="004236A1"/>
    <w:rsid w:val="00423A1E"/>
    <w:rsid w:val="0042527B"/>
    <w:rsid w:val="00426E77"/>
    <w:rsid w:val="004333EF"/>
    <w:rsid w:val="004355BC"/>
    <w:rsid w:val="00436AC5"/>
    <w:rsid w:val="00437C8C"/>
    <w:rsid w:val="00441BF6"/>
    <w:rsid w:val="00443F96"/>
    <w:rsid w:val="0044451E"/>
    <w:rsid w:val="00446A5A"/>
    <w:rsid w:val="004471FB"/>
    <w:rsid w:val="0045003F"/>
    <w:rsid w:val="0045277F"/>
    <w:rsid w:val="00452D4E"/>
    <w:rsid w:val="004550C9"/>
    <w:rsid w:val="00455A18"/>
    <w:rsid w:val="00460205"/>
    <w:rsid w:val="00462AE3"/>
    <w:rsid w:val="00462C68"/>
    <w:rsid w:val="0046331B"/>
    <w:rsid w:val="004640B5"/>
    <w:rsid w:val="00464DB5"/>
    <w:rsid w:val="004678B7"/>
    <w:rsid w:val="00470AF4"/>
    <w:rsid w:val="00473312"/>
    <w:rsid w:val="00473EDB"/>
    <w:rsid w:val="004820D1"/>
    <w:rsid w:val="00482FC3"/>
    <w:rsid w:val="00483D84"/>
    <w:rsid w:val="00483FDD"/>
    <w:rsid w:val="0048409B"/>
    <w:rsid w:val="00486609"/>
    <w:rsid w:val="00490919"/>
    <w:rsid w:val="00490F03"/>
    <w:rsid w:val="00493642"/>
    <w:rsid w:val="00494078"/>
    <w:rsid w:val="004940E2"/>
    <w:rsid w:val="004A0B9D"/>
    <w:rsid w:val="004B02DB"/>
    <w:rsid w:val="004B05EE"/>
    <w:rsid w:val="004B1A8D"/>
    <w:rsid w:val="004B1BAF"/>
    <w:rsid w:val="004B2312"/>
    <w:rsid w:val="004B74FE"/>
    <w:rsid w:val="004C117A"/>
    <w:rsid w:val="004D3B52"/>
    <w:rsid w:val="004D608E"/>
    <w:rsid w:val="004D7722"/>
    <w:rsid w:val="004E02D0"/>
    <w:rsid w:val="004E075D"/>
    <w:rsid w:val="004E1EDA"/>
    <w:rsid w:val="004E34F6"/>
    <w:rsid w:val="004E4282"/>
    <w:rsid w:val="004E5241"/>
    <w:rsid w:val="004E7A95"/>
    <w:rsid w:val="004E7E22"/>
    <w:rsid w:val="004E7E8C"/>
    <w:rsid w:val="004F0B4B"/>
    <w:rsid w:val="004F12DC"/>
    <w:rsid w:val="004F44F6"/>
    <w:rsid w:val="004F485C"/>
    <w:rsid w:val="00506BA7"/>
    <w:rsid w:val="00510C71"/>
    <w:rsid w:val="0051561B"/>
    <w:rsid w:val="005158E3"/>
    <w:rsid w:val="005160E4"/>
    <w:rsid w:val="00516EC0"/>
    <w:rsid w:val="00522B33"/>
    <w:rsid w:val="0054024B"/>
    <w:rsid w:val="00541356"/>
    <w:rsid w:val="00541FB6"/>
    <w:rsid w:val="00542B95"/>
    <w:rsid w:val="00543AFC"/>
    <w:rsid w:val="00543F4D"/>
    <w:rsid w:val="00547F04"/>
    <w:rsid w:val="00553C02"/>
    <w:rsid w:val="00553C43"/>
    <w:rsid w:val="00555F6C"/>
    <w:rsid w:val="0056183A"/>
    <w:rsid w:val="00562B33"/>
    <w:rsid w:val="00564DB2"/>
    <w:rsid w:val="0056584C"/>
    <w:rsid w:val="00574FB3"/>
    <w:rsid w:val="00575ACC"/>
    <w:rsid w:val="0058028A"/>
    <w:rsid w:val="00580BC7"/>
    <w:rsid w:val="005811A9"/>
    <w:rsid w:val="00582161"/>
    <w:rsid w:val="00592996"/>
    <w:rsid w:val="005939F5"/>
    <w:rsid w:val="00594EAA"/>
    <w:rsid w:val="00595C67"/>
    <w:rsid w:val="00596501"/>
    <w:rsid w:val="00596A3E"/>
    <w:rsid w:val="005A5CC0"/>
    <w:rsid w:val="005A626D"/>
    <w:rsid w:val="005B289D"/>
    <w:rsid w:val="005B3296"/>
    <w:rsid w:val="005B3D8C"/>
    <w:rsid w:val="005B4FE0"/>
    <w:rsid w:val="005B7199"/>
    <w:rsid w:val="005C0842"/>
    <w:rsid w:val="005C1213"/>
    <w:rsid w:val="005C1539"/>
    <w:rsid w:val="005C3FB9"/>
    <w:rsid w:val="005C5D98"/>
    <w:rsid w:val="005C6C88"/>
    <w:rsid w:val="005D0C31"/>
    <w:rsid w:val="005D1D40"/>
    <w:rsid w:val="005D3FAF"/>
    <w:rsid w:val="005D4F2A"/>
    <w:rsid w:val="005D5436"/>
    <w:rsid w:val="005E1F18"/>
    <w:rsid w:val="005E2A5D"/>
    <w:rsid w:val="005E471D"/>
    <w:rsid w:val="005E5977"/>
    <w:rsid w:val="005E6AA9"/>
    <w:rsid w:val="005F03BA"/>
    <w:rsid w:val="005F0640"/>
    <w:rsid w:val="005F55FE"/>
    <w:rsid w:val="005F56E0"/>
    <w:rsid w:val="005F7004"/>
    <w:rsid w:val="005F796F"/>
    <w:rsid w:val="00605A36"/>
    <w:rsid w:val="006115B6"/>
    <w:rsid w:val="00612510"/>
    <w:rsid w:val="0061324C"/>
    <w:rsid w:val="006133C3"/>
    <w:rsid w:val="006204CD"/>
    <w:rsid w:val="006227D6"/>
    <w:rsid w:val="00623BB6"/>
    <w:rsid w:val="006262D8"/>
    <w:rsid w:val="00630133"/>
    <w:rsid w:val="006329B3"/>
    <w:rsid w:val="006334ED"/>
    <w:rsid w:val="00634721"/>
    <w:rsid w:val="00637738"/>
    <w:rsid w:val="00643F37"/>
    <w:rsid w:val="00646B1C"/>
    <w:rsid w:val="00647322"/>
    <w:rsid w:val="0065131E"/>
    <w:rsid w:val="00651D96"/>
    <w:rsid w:val="0065233A"/>
    <w:rsid w:val="00653D32"/>
    <w:rsid w:val="0065652A"/>
    <w:rsid w:val="0065734E"/>
    <w:rsid w:val="00660D9A"/>
    <w:rsid w:val="00662515"/>
    <w:rsid w:val="006659E6"/>
    <w:rsid w:val="00666A9F"/>
    <w:rsid w:val="00666F0B"/>
    <w:rsid w:val="006713A4"/>
    <w:rsid w:val="006775EA"/>
    <w:rsid w:val="006779F1"/>
    <w:rsid w:val="00680149"/>
    <w:rsid w:val="006818CC"/>
    <w:rsid w:val="0068261A"/>
    <w:rsid w:val="006850DD"/>
    <w:rsid w:val="00691C60"/>
    <w:rsid w:val="00694C17"/>
    <w:rsid w:val="00697DDB"/>
    <w:rsid w:val="006A1E7D"/>
    <w:rsid w:val="006A2159"/>
    <w:rsid w:val="006A66FB"/>
    <w:rsid w:val="006A7773"/>
    <w:rsid w:val="006B2680"/>
    <w:rsid w:val="006B4364"/>
    <w:rsid w:val="006B54B0"/>
    <w:rsid w:val="006B5899"/>
    <w:rsid w:val="006B6FEC"/>
    <w:rsid w:val="006C20C1"/>
    <w:rsid w:val="006C2317"/>
    <w:rsid w:val="006C39FF"/>
    <w:rsid w:val="006C4E26"/>
    <w:rsid w:val="006D2F52"/>
    <w:rsid w:val="006D3B5E"/>
    <w:rsid w:val="006D3FE6"/>
    <w:rsid w:val="006E0C03"/>
    <w:rsid w:val="006E18BF"/>
    <w:rsid w:val="006E2AD6"/>
    <w:rsid w:val="006E3E62"/>
    <w:rsid w:val="006F1965"/>
    <w:rsid w:val="006F52D5"/>
    <w:rsid w:val="006F6127"/>
    <w:rsid w:val="00700E3B"/>
    <w:rsid w:val="007015F4"/>
    <w:rsid w:val="00702037"/>
    <w:rsid w:val="007030D9"/>
    <w:rsid w:val="00704E70"/>
    <w:rsid w:val="00705202"/>
    <w:rsid w:val="00711465"/>
    <w:rsid w:val="0071269A"/>
    <w:rsid w:val="00714682"/>
    <w:rsid w:val="0071483C"/>
    <w:rsid w:val="00720837"/>
    <w:rsid w:val="00721154"/>
    <w:rsid w:val="0072119E"/>
    <w:rsid w:val="00722CC5"/>
    <w:rsid w:val="00724579"/>
    <w:rsid w:val="007253C2"/>
    <w:rsid w:val="0072630B"/>
    <w:rsid w:val="00727D77"/>
    <w:rsid w:val="00730C0C"/>
    <w:rsid w:val="007323D0"/>
    <w:rsid w:val="00732AFD"/>
    <w:rsid w:val="00735418"/>
    <w:rsid w:val="007541EA"/>
    <w:rsid w:val="007542AF"/>
    <w:rsid w:val="00756895"/>
    <w:rsid w:val="00757998"/>
    <w:rsid w:val="00761345"/>
    <w:rsid w:val="00764478"/>
    <w:rsid w:val="007646B2"/>
    <w:rsid w:val="00764A75"/>
    <w:rsid w:val="0076651D"/>
    <w:rsid w:val="0077242A"/>
    <w:rsid w:val="0077368A"/>
    <w:rsid w:val="00776230"/>
    <w:rsid w:val="00782616"/>
    <w:rsid w:val="00782C30"/>
    <w:rsid w:val="00786927"/>
    <w:rsid w:val="00787EFC"/>
    <w:rsid w:val="00791E42"/>
    <w:rsid w:val="007929C0"/>
    <w:rsid w:val="00792ECF"/>
    <w:rsid w:val="00793C07"/>
    <w:rsid w:val="007A37BD"/>
    <w:rsid w:val="007A5E55"/>
    <w:rsid w:val="007A76EF"/>
    <w:rsid w:val="007B0AF7"/>
    <w:rsid w:val="007B29F8"/>
    <w:rsid w:val="007B3B97"/>
    <w:rsid w:val="007B423A"/>
    <w:rsid w:val="007B6467"/>
    <w:rsid w:val="007C4972"/>
    <w:rsid w:val="007C7A8F"/>
    <w:rsid w:val="007D1D21"/>
    <w:rsid w:val="007D3A98"/>
    <w:rsid w:val="007D7AD3"/>
    <w:rsid w:val="007E1E7B"/>
    <w:rsid w:val="007E355B"/>
    <w:rsid w:val="007E3D43"/>
    <w:rsid w:val="007F0A8A"/>
    <w:rsid w:val="007F2C4C"/>
    <w:rsid w:val="007F2DD7"/>
    <w:rsid w:val="007F7796"/>
    <w:rsid w:val="007F7D96"/>
    <w:rsid w:val="008023F4"/>
    <w:rsid w:val="0080261D"/>
    <w:rsid w:val="00805255"/>
    <w:rsid w:val="00805726"/>
    <w:rsid w:val="00805808"/>
    <w:rsid w:val="00812654"/>
    <w:rsid w:val="00815132"/>
    <w:rsid w:val="008153F3"/>
    <w:rsid w:val="00816A02"/>
    <w:rsid w:val="008172C0"/>
    <w:rsid w:val="00821284"/>
    <w:rsid w:val="008248C9"/>
    <w:rsid w:val="00825819"/>
    <w:rsid w:val="00831DCC"/>
    <w:rsid w:val="00835D88"/>
    <w:rsid w:val="0084189F"/>
    <w:rsid w:val="0084410C"/>
    <w:rsid w:val="00846263"/>
    <w:rsid w:val="0084750F"/>
    <w:rsid w:val="0085061D"/>
    <w:rsid w:val="00851C91"/>
    <w:rsid w:val="008554B2"/>
    <w:rsid w:val="00855A3A"/>
    <w:rsid w:val="00855A57"/>
    <w:rsid w:val="00856079"/>
    <w:rsid w:val="0085784E"/>
    <w:rsid w:val="00857AA0"/>
    <w:rsid w:val="00860735"/>
    <w:rsid w:val="00870121"/>
    <w:rsid w:val="008707AF"/>
    <w:rsid w:val="00871272"/>
    <w:rsid w:val="00876683"/>
    <w:rsid w:val="00882ADB"/>
    <w:rsid w:val="008846BC"/>
    <w:rsid w:val="00890DE3"/>
    <w:rsid w:val="008915A9"/>
    <w:rsid w:val="00891BAB"/>
    <w:rsid w:val="00894E68"/>
    <w:rsid w:val="00897673"/>
    <w:rsid w:val="008A737D"/>
    <w:rsid w:val="008B1CDE"/>
    <w:rsid w:val="008B4D7C"/>
    <w:rsid w:val="008B5058"/>
    <w:rsid w:val="008B67F7"/>
    <w:rsid w:val="008B707C"/>
    <w:rsid w:val="008B7101"/>
    <w:rsid w:val="008B76E7"/>
    <w:rsid w:val="008C0B01"/>
    <w:rsid w:val="008C17C1"/>
    <w:rsid w:val="008C7120"/>
    <w:rsid w:val="008D2164"/>
    <w:rsid w:val="008D35F9"/>
    <w:rsid w:val="008D4677"/>
    <w:rsid w:val="008D5618"/>
    <w:rsid w:val="008D7B0E"/>
    <w:rsid w:val="008E1D03"/>
    <w:rsid w:val="008E20A4"/>
    <w:rsid w:val="008E2705"/>
    <w:rsid w:val="008E77F0"/>
    <w:rsid w:val="008F3148"/>
    <w:rsid w:val="008F69E5"/>
    <w:rsid w:val="0090412A"/>
    <w:rsid w:val="009055EB"/>
    <w:rsid w:val="00905DC7"/>
    <w:rsid w:val="009075EC"/>
    <w:rsid w:val="009102E2"/>
    <w:rsid w:val="009118C3"/>
    <w:rsid w:val="00912B17"/>
    <w:rsid w:val="0091457D"/>
    <w:rsid w:val="009164E0"/>
    <w:rsid w:val="00920733"/>
    <w:rsid w:val="00922E75"/>
    <w:rsid w:val="00923ABB"/>
    <w:rsid w:val="00932C50"/>
    <w:rsid w:val="00933660"/>
    <w:rsid w:val="00933790"/>
    <w:rsid w:val="009357DE"/>
    <w:rsid w:val="00940B6A"/>
    <w:rsid w:val="00941615"/>
    <w:rsid w:val="00941E15"/>
    <w:rsid w:val="00945744"/>
    <w:rsid w:val="00945BEB"/>
    <w:rsid w:val="009475CF"/>
    <w:rsid w:val="00951F85"/>
    <w:rsid w:val="0095639F"/>
    <w:rsid w:val="00956AC2"/>
    <w:rsid w:val="009607AD"/>
    <w:rsid w:val="00960CD3"/>
    <w:rsid w:val="00961D68"/>
    <w:rsid w:val="00963284"/>
    <w:rsid w:val="00965C62"/>
    <w:rsid w:val="00974B33"/>
    <w:rsid w:val="00974C4B"/>
    <w:rsid w:val="00980CB6"/>
    <w:rsid w:val="0098218E"/>
    <w:rsid w:val="00982C4E"/>
    <w:rsid w:val="00985964"/>
    <w:rsid w:val="0099100D"/>
    <w:rsid w:val="009927C4"/>
    <w:rsid w:val="00995E23"/>
    <w:rsid w:val="009975DB"/>
    <w:rsid w:val="009A05F9"/>
    <w:rsid w:val="009A1A12"/>
    <w:rsid w:val="009A541D"/>
    <w:rsid w:val="009B1E1C"/>
    <w:rsid w:val="009B41DE"/>
    <w:rsid w:val="009B516B"/>
    <w:rsid w:val="009B5208"/>
    <w:rsid w:val="009C3C01"/>
    <w:rsid w:val="009C3F01"/>
    <w:rsid w:val="009C4EFB"/>
    <w:rsid w:val="009C7431"/>
    <w:rsid w:val="009D07FC"/>
    <w:rsid w:val="009D3DCC"/>
    <w:rsid w:val="009D3FA7"/>
    <w:rsid w:val="009D6658"/>
    <w:rsid w:val="009E147B"/>
    <w:rsid w:val="009E2D70"/>
    <w:rsid w:val="009E4FE1"/>
    <w:rsid w:val="009E61F6"/>
    <w:rsid w:val="009E6850"/>
    <w:rsid w:val="009E6B54"/>
    <w:rsid w:val="009E72FB"/>
    <w:rsid w:val="009E7B70"/>
    <w:rsid w:val="009F070E"/>
    <w:rsid w:val="009F18B1"/>
    <w:rsid w:val="009F7411"/>
    <w:rsid w:val="009F764D"/>
    <w:rsid w:val="00A010F6"/>
    <w:rsid w:val="00A013C7"/>
    <w:rsid w:val="00A01647"/>
    <w:rsid w:val="00A016CB"/>
    <w:rsid w:val="00A02F1D"/>
    <w:rsid w:val="00A038C7"/>
    <w:rsid w:val="00A052EF"/>
    <w:rsid w:val="00A07573"/>
    <w:rsid w:val="00A13E33"/>
    <w:rsid w:val="00A14212"/>
    <w:rsid w:val="00A1689B"/>
    <w:rsid w:val="00A21111"/>
    <w:rsid w:val="00A2306B"/>
    <w:rsid w:val="00A236AF"/>
    <w:rsid w:val="00A2482B"/>
    <w:rsid w:val="00A25771"/>
    <w:rsid w:val="00A32530"/>
    <w:rsid w:val="00A36048"/>
    <w:rsid w:val="00A36183"/>
    <w:rsid w:val="00A37BA1"/>
    <w:rsid w:val="00A41367"/>
    <w:rsid w:val="00A4144E"/>
    <w:rsid w:val="00A41D77"/>
    <w:rsid w:val="00A4373A"/>
    <w:rsid w:val="00A44646"/>
    <w:rsid w:val="00A46EBB"/>
    <w:rsid w:val="00A52803"/>
    <w:rsid w:val="00A529B6"/>
    <w:rsid w:val="00A56611"/>
    <w:rsid w:val="00A56613"/>
    <w:rsid w:val="00A62E13"/>
    <w:rsid w:val="00A63238"/>
    <w:rsid w:val="00A65139"/>
    <w:rsid w:val="00A744E5"/>
    <w:rsid w:val="00A762B5"/>
    <w:rsid w:val="00A8040C"/>
    <w:rsid w:val="00A869B9"/>
    <w:rsid w:val="00A905D0"/>
    <w:rsid w:val="00A91623"/>
    <w:rsid w:val="00A929B9"/>
    <w:rsid w:val="00A930D6"/>
    <w:rsid w:val="00A942BB"/>
    <w:rsid w:val="00A97582"/>
    <w:rsid w:val="00AA0E04"/>
    <w:rsid w:val="00AA2495"/>
    <w:rsid w:val="00AA6E0C"/>
    <w:rsid w:val="00AA701E"/>
    <w:rsid w:val="00AB2911"/>
    <w:rsid w:val="00AB6CD8"/>
    <w:rsid w:val="00AC3D5F"/>
    <w:rsid w:val="00AC7440"/>
    <w:rsid w:val="00AC74E1"/>
    <w:rsid w:val="00AC7782"/>
    <w:rsid w:val="00AD0B27"/>
    <w:rsid w:val="00AD1862"/>
    <w:rsid w:val="00AD1B6F"/>
    <w:rsid w:val="00AD4E31"/>
    <w:rsid w:val="00AD5B3A"/>
    <w:rsid w:val="00AE13FA"/>
    <w:rsid w:val="00AE1AC4"/>
    <w:rsid w:val="00AE4875"/>
    <w:rsid w:val="00AE4FEA"/>
    <w:rsid w:val="00AE68FF"/>
    <w:rsid w:val="00AF0410"/>
    <w:rsid w:val="00AF37F8"/>
    <w:rsid w:val="00AF42C8"/>
    <w:rsid w:val="00AF663C"/>
    <w:rsid w:val="00B00A1A"/>
    <w:rsid w:val="00B00F3E"/>
    <w:rsid w:val="00B0247F"/>
    <w:rsid w:val="00B03B49"/>
    <w:rsid w:val="00B0536F"/>
    <w:rsid w:val="00B06520"/>
    <w:rsid w:val="00B16EE2"/>
    <w:rsid w:val="00B227B2"/>
    <w:rsid w:val="00B25E33"/>
    <w:rsid w:val="00B26A9D"/>
    <w:rsid w:val="00B2797C"/>
    <w:rsid w:val="00B30EB9"/>
    <w:rsid w:val="00B32E7A"/>
    <w:rsid w:val="00B341D1"/>
    <w:rsid w:val="00B3660A"/>
    <w:rsid w:val="00B40FD3"/>
    <w:rsid w:val="00B41176"/>
    <w:rsid w:val="00B42D42"/>
    <w:rsid w:val="00B43A02"/>
    <w:rsid w:val="00B46EDA"/>
    <w:rsid w:val="00B47B62"/>
    <w:rsid w:val="00B516B6"/>
    <w:rsid w:val="00B60D4D"/>
    <w:rsid w:val="00B61AAB"/>
    <w:rsid w:val="00B7114A"/>
    <w:rsid w:val="00B73561"/>
    <w:rsid w:val="00B76106"/>
    <w:rsid w:val="00B77D20"/>
    <w:rsid w:val="00B83003"/>
    <w:rsid w:val="00B83E91"/>
    <w:rsid w:val="00B83F0A"/>
    <w:rsid w:val="00B84283"/>
    <w:rsid w:val="00B84BB1"/>
    <w:rsid w:val="00B84BB8"/>
    <w:rsid w:val="00B90378"/>
    <w:rsid w:val="00B91720"/>
    <w:rsid w:val="00B93892"/>
    <w:rsid w:val="00B9397C"/>
    <w:rsid w:val="00B95687"/>
    <w:rsid w:val="00B95944"/>
    <w:rsid w:val="00BA25F3"/>
    <w:rsid w:val="00BA69C9"/>
    <w:rsid w:val="00BB19F2"/>
    <w:rsid w:val="00BB26DB"/>
    <w:rsid w:val="00BB4110"/>
    <w:rsid w:val="00BB4D65"/>
    <w:rsid w:val="00BC0BA4"/>
    <w:rsid w:val="00BC60C0"/>
    <w:rsid w:val="00BC6808"/>
    <w:rsid w:val="00BC79AC"/>
    <w:rsid w:val="00BC7A82"/>
    <w:rsid w:val="00BD0617"/>
    <w:rsid w:val="00BD21EE"/>
    <w:rsid w:val="00BD4815"/>
    <w:rsid w:val="00BD791B"/>
    <w:rsid w:val="00BE10AA"/>
    <w:rsid w:val="00BE2B8D"/>
    <w:rsid w:val="00BF15CE"/>
    <w:rsid w:val="00BF3332"/>
    <w:rsid w:val="00BF3A08"/>
    <w:rsid w:val="00BF5C02"/>
    <w:rsid w:val="00BF62FB"/>
    <w:rsid w:val="00C03097"/>
    <w:rsid w:val="00C03BB1"/>
    <w:rsid w:val="00C05468"/>
    <w:rsid w:val="00C06FDE"/>
    <w:rsid w:val="00C12EC3"/>
    <w:rsid w:val="00C136A6"/>
    <w:rsid w:val="00C1409C"/>
    <w:rsid w:val="00C17D56"/>
    <w:rsid w:val="00C212FB"/>
    <w:rsid w:val="00C302DF"/>
    <w:rsid w:val="00C3329D"/>
    <w:rsid w:val="00C35C93"/>
    <w:rsid w:val="00C36C3D"/>
    <w:rsid w:val="00C37843"/>
    <w:rsid w:val="00C42173"/>
    <w:rsid w:val="00C434DA"/>
    <w:rsid w:val="00C434F0"/>
    <w:rsid w:val="00C4534E"/>
    <w:rsid w:val="00C45709"/>
    <w:rsid w:val="00C46900"/>
    <w:rsid w:val="00C5022B"/>
    <w:rsid w:val="00C56D64"/>
    <w:rsid w:val="00C57950"/>
    <w:rsid w:val="00C61F11"/>
    <w:rsid w:val="00C63F78"/>
    <w:rsid w:val="00C650E9"/>
    <w:rsid w:val="00C66E84"/>
    <w:rsid w:val="00C72AE7"/>
    <w:rsid w:val="00C74CA2"/>
    <w:rsid w:val="00C75985"/>
    <w:rsid w:val="00C761C3"/>
    <w:rsid w:val="00C7632B"/>
    <w:rsid w:val="00C80766"/>
    <w:rsid w:val="00C83F5C"/>
    <w:rsid w:val="00C83FE4"/>
    <w:rsid w:val="00C867F3"/>
    <w:rsid w:val="00C92FDD"/>
    <w:rsid w:val="00C93440"/>
    <w:rsid w:val="00C939A6"/>
    <w:rsid w:val="00C94149"/>
    <w:rsid w:val="00C96A0B"/>
    <w:rsid w:val="00C97311"/>
    <w:rsid w:val="00C977DF"/>
    <w:rsid w:val="00CA1256"/>
    <w:rsid w:val="00CA198F"/>
    <w:rsid w:val="00CA4B12"/>
    <w:rsid w:val="00CA70C6"/>
    <w:rsid w:val="00CA7186"/>
    <w:rsid w:val="00CA756A"/>
    <w:rsid w:val="00CB1B13"/>
    <w:rsid w:val="00CC1D2B"/>
    <w:rsid w:val="00CC29C8"/>
    <w:rsid w:val="00CC2C4A"/>
    <w:rsid w:val="00CD1296"/>
    <w:rsid w:val="00CD3B42"/>
    <w:rsid w:val="00CD3E9B"/>
    <w:rsid w:val="00CD4DA7"/>
    <w:rsid w:val="00CE05DF"/>
    <w:rsid w:val="00CE379D"/>
    <w:rsid w:val="00CE3FCD"/>
    <w:rsid w:val="00CE5A25"/>
    <w:rsid w:val="00CE7F2F"/>
    <w:rsid w:val="00CF278C"/>
    <w:rsid w:val="00CF2E6C"/>
    <w:rsid w:val="00D00CEE"/>
    <w:rsid w:val="00D03357"/>
    <w:rsid w:val="00D04A8C"/>
    <w:rsid w:val="00D1010A"/>
    <w:rsid w:val="00D11937"/>
    <w:rsid w:val="00D12D21"/>
    <w:rsid w:val="00D12F72"/>
    <w:rsid w:val="00D14328"/>
    <w:rsid w:val="00D1534F"/>
    <w:rsid w:val="00D22569"/>
    <w:rsid w:val="00D226D2"/>
    <w:rsid w:val="00D233F6"/>
    <w:rsid w:val="00D266D9"/>
    <w:rsid w:val="00D26DFB"/>
    <w:rsid w:val="00D26E3D"/>
    <w:rsid w:val="00D3260A"/>
    <w:rsid w:val="00D341BB"/>
    <w:rsid w:val="00D375BE"/>
    <w:rsid w:val="00D375FE"/>
    <w:rsid w:val="00D44302"/>
    <w:rsid w:val="00D45013"/>
    <w:rsid w:val="00D54402"/>
    <w:rsid w:val="00D5470C"/>
    <w:rsid w:val="00D556F3"/>
    <w:rsid w:val="00D55D69"/>
    <w:rsid w:val="00D562F5"/>
    <w:rsid w:val="00D607B5"/>
    <w:rsid w:val="00D61C25"/>
    <w:rsid w:val="00D62116"/>
    <w:rsid w:val="00D6427F"/>
    <w:rsid w:val="00D642C1"/>
    <w:rsid w:val="00D6484F"/>
    <w:rsid w:val="00D64C62"/>
    <w:rsid w:val="00D64CEC"/>
    <w:rsid w:val="00D66CDE"/>
    <w:rsid w:val="00D718C5"/>
    <w:rsid w:val="00D7440F"/>
    <w:rsid w:val="00D7529A"/>
    <w:rsid w:val="00D772C5"/>
    <w:rsid w:val="00D77935"/>
    <w:rsid w:val="00D810ED"/>
    <w:rsid w:val="00D8176C"/>
    <w:rsid w:val="00D82481"/>
    <w:rsid w:val="00D83393"/>
    <w:rsid w:val="00D84102"/>
    <w:rsid w:val="00D91FD3"/>
    <w:rsid w:val="00D925D8"/>
    <w:rsid w:val="00D9267D"/>
    <w:rsid w:val="00D95E93"/>
    <w:rsid w:val="00DA22C2"/>
    <w:rsid w:val="00DA4263"/>
    <w:rsid w:val="00DA5F98"/>
    <w:rsid w:val="00DA7137"/>
    <w:rsid w:val="00DA7B2F"/>
    <w:rsid w:val="00DB437D"/>
    <w:rsid w:val="00DC1111"/>
    <w:rsid w:val="00DC748E"/>
    <w:rsid w:val="00DC74F2"/>
    <w:rsid w:val="00DD155F"/>
    <w:rsid w:val="00DD64AF"/>
    <w:rsid w:val="00DD67B8"/>
    <w:rsid w:val="00DD70FB"/>
    <w:rsid w:val="00DD796D"/>
    <w:rsid w:val="00DE341A"/>
    <w:rsid w:val="00DE3B7E"/>
    <w:rsid w:val="00DE50E4"/>
    <w:rsid w:val="00DE5696"/>
    <w:rsid w:val="00DE5C09"/>
    <w:rsid w:val="00DE6CCD"/>
    <w:rsid w:val="00DE7676"/>
    <w:rsid w:val="00DF0043"/>
    <w:rsid w:val="00DF1C0E"/>
    <w:rsid w:val="00DF3D27"/>
    <w:rsid w:val="00DF61A2"/>
    <w:rsid w:val="00DF64D4"/>
    <w:rsid w:val="00DF766B"/>
    <w:rsid w:val="00E007EF"/>
    <w:rsid w:val="00E07490"/>
    <w:rsid w:val="00E11368"/>
    <w:rsid w:val="00E129FF"/>
    <w:rsid w:val="00E15C06"/>
    <w:rsid w:val="00E20D5E"/>
    <w:rsid w:val="00E26387"/>
    <w:rsid w:val="00E274A5"/>
    <w:rsid w:val="00E32325"/>
    <w:rsid w:val="00E32CE2"/>
    <w:rsid w:val="00E3564F"/>
    <w:rsid w:val="00E36473"/>
    <w:rsid w:val="00E36BE9"/>
    <w:rsid w:val="00E37876"/>
    <w:rsid w:val="00E379AB"/>
    <w:rsid w:val="00E405F1"/>
    <w:rsid w:val="00E439DE"/>
    <w:rsid w:val="00E47936"/>
    <w:rsid w:val="00E51E40"/>
    <w:rsid w:val="00E5356E"/>
    <w:rsid w:val="00E53C16"/>
    <w:rsid w:val="00E54252"/>
    <w:rsid w:val="00E54A3E"/>
    <w:rsid w:val="00E5526F"/>
    <w:rsid w:val="00E55C75"/>
    <w:rsid w:val="00E6101B"/>
    <w:rsid w:val="00E6253C"/>
    <w:rsid w:val="00E62696"/>
    <w:rsid w:val="00E62D5C"/>
    <w:rsid w:val="00E62DEE"/>
    <w:rsid w:val="00E64957"/>
    <w:rsid w:val="00E6707B"/>
    <w:rsid w:val="00E6772A"/>
    <w:rsid w:val="00E70C46"/>
    <w:rsid w:val="00E71920"/>
    <w:rsid w:val="00E7375C"/>
    <w:rsid w:val="00E74721"/>
    <w:rsid w:val="00E74D8A"/>
    <w:rsid w:val="00E76C6C"/>
    <w:rsid w:val="00E83C7D"/>
    <w:rsid w:val="00E86FD0"/>
    <w:rsid w:val="00E93A2D"/>
    <w:rsid w:val="00E95BB1"/>
    <w:rsid w:val="00E97651"/>
    <w:rsid w:val="00EA19B9"/>
    <w:rsid w:val="00EA4D68"/>
    <w:rsid w:val="00EB02C6"/>
    <w:rsid w:val="00EB0D4A"/>
    <w:rsid w:val="00EB464B"/>
    <w:rsid w:val="00EB5177"/>
    <w:rsid w:val="00EB6089"/>
    <w:rsid w:val="00EB6F0B"/>
    <w:rsid w:val="00EB760C"/>
    <w:rsid w:val="00EC51B5"/>
    <w:rsid w:val="00ED04BB"/>
    <w:rsid w:val="00ED0C9C"/>
    <w:rsid w:val="00ED2B34"/>
    <w:rsid w:val="00ED4018"/>
    <w:rsid w:val="00ED564D"/>
    <w:rsid w:val="00ED6E28"/>
    <w:rsid w:val="00EE2EA8"/>
    <w:rsid w:val="00EE3195"/>
    <w:rsid w:val="00EF0982"/>
    <w:rsid w:val="00EF4DF9"/>
    <w:rsid w:val="00EF7CEA"/>
    <w:rsid w:val="00F01890"/>
    <w:rsid w:val="00F01CB0"/>
    <w:rsid w:val="00F03110"/>
    <w:rsid w:val="00F04C10"/>
    <w:rsid w:val="00F05776"/>
    <w:rsid w:val="00F068C3"/>
    <w:rsid w:val="00F07254"/>
    <w:rsid w:val="00F107F5"/>
    <w:rsid w:val="00F14FB7"/>
    <w:rsid w:val="00F173A5"/>
    <w:rsid w:val="00F2300C"/>
    <w:rsid w:val="00F233E5"/>
    <w:rsid w:val="00F24CE3"/>
    <w:rsid w:val="00F2543B"/>
    <w:rsid w:val="00F2550A"/>
    <w:rsid w:val="00F25935"/>
    <w:rsid w:val="00F307BB"/>
    <w:rsid w:val="00F3126B"/>
    <w:rsid w:val="00F33B05"/>
    <w:rsid w:val="00F34748"/>
    <w:rsid w:val="00F354B3"/>
    <w:rsid w:val="00F42459"/>
    <w:rsid w:val="00F43F1A"/>
    <w:rsid w:val="00F44FB2"/>
    <w:rsid w:val="00F4681C"/>
    <w:rsid w:val="00F4732B"/>
    <w:rsid w:val="00F5295C"/>
    <w:rsid w:val="00F532E5"/>
    <w:rsid w:val="00F53871"/>
    <w:rsid w:val="00F5450A"/>
    <w:rsid w:val="00F55090"/>
    <w:rsid w:val="00F551FC"/>
    <w:rsid w:val="00F56BEF"/>
    <w:rsid w:val="00F6067A"/>
    <w:rsid w:val="00F636ED"/>
    <w:rsid w:val="00F661BD"/>
    <w:rsid w:val="00F71394"/>
    <w:rsid w:val="00F73757"/>
    <w:rsid w:val="00F74C06"/>
    <w:rsid w:val="00F7585D"/>
    <w:rsid w:val="00F774F9"/>
    <w:rsid w:val="00F8183F"/>
    <w:rsid w:val="00F843EC"/>
    <w:rsid w:val="00F849A6"/>
    <w:rsid w:val="00F9081E"/>
    <w:rsid w:val="00F908A2"/>
    <w:rsid w:val="00F957FF"/>
    <w:rsid w:val="00F9607C"/>
    <w:rsid w:val="00FA1FA2"/>
    <w:rsid w:val="00FA664B"/>
    <w:rsid w:val="00FA7190"/>
    <w:rsid w:val="00FB52C0"/>
    <w:rsid w:val="00FC56DB"/>
    <w:rsid w:val="00FC6997"/>
    <w:rsid w:val="00FD13AE"/>
    <w:rsid w:val="00FE21C4"/>
    <w:rsid w:val="00FE3EF0"/>
    <w:rsid w:val="00FF0E5D"/>
    <w:rsid w:val="00FF2BDD"/>
    <w:rsid w:val="00FF3E7A"/>
    <w:rsid w:val="00FF5CAA"/>
    <w:rsid w:val="00FF7C09"/>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attachedSchema w:val="Microsystems.SD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B4F6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lv-LV"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4C"/>
    <w:pPr>
      <w:spacing w:after="240"/>
      <w:jc w:val="both"/>
    </w:pPr>
    <w:rPr>
      <w:rFonts w:cs="tim"/>
      <w:sz w:val="24"/>
      <w:szCs w:val="24"/>
      <w:lang w:eastAsia="zh-CN" w:bidi="ar-AE"/>
    </w:rPr>
  </w:style>
  <w:style w:type="paragraph" w:styleId="Heading1">
    <w:name w:val="heading 1"/>
    <w:basedOn w:val="Normal"/>
    <w:next w:val="BodyText"/>
    <w:link w:val="Heading1Char"/>
    <w:qFormat/>
    <w:rsid w:val="00464DB5"/>
    <w:pPr>
      <w:spacing w:after="0"/>
      <w:outlineLvl w:val="0"/>
    </w:pPr>
    <w:rPr>
      <w:b/>
      <w:caps/>
    </w:r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lv-LV" w:bidi="ar-AE"/>
    </w:rPr>
  </w:style>
  <w:style w:type="character" w:customStyle="1" w:styleId="Heading1Char">
    <w:name w:val="Heading 1 Char"/>
    <w:link w:val="Heading1"/>
    <w:rsid w:val="00464DB5"/>
    <w:rPr>
      <w:rFonts w:cs="tim"/>
      <w:b/>
      <w:caps/>
      <w:sz w:val="24"/>
      <w:szCs w:val="24"/>
      <w:lang w:eastAsia="zh-CN"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qFormat/>
    <w:rsid w:val="00E54252"/>
    <w:pPr>
      <w:jc w:val="both"/>
    </w:pPr>
    <w:rPr>
      <w:sz w:val="24"/>
      <w:szCs w:val="24"/>
      <w:lang w:eastAsia="zh-CN" w:bidi="he-IL"/>
    </w:rPr>
  </w:style>
  <w:style w:type="character" w:customStyle="1" w:styleId="HeaderChar">
    <w:name w:val="Header Char"/>
    <w:link w:val="Header"/>
    <w:uiPriority w:val="99"/>
    <w:rsid w:val="00855A3A"/>
    <w:rPr>
      <w:sz w:val="24"/>
      <w:szCs w:val="24"/>
      <w:lang w:val="lv-LV" w:eastAsia="zh-CN" w:bidi="he-IL"/>
    </w:rPr>
  </w:style>
  <w:style w:type="paragraph" w:styleId="Footer">
    <w:name w:val="footer"/>
    <w:link w:val="FooterChar"/>
    <w:qFormat/>
    <w:rsid w:val="006E18BF"/>
    <w:rPr>
      <w:sz w:val="16"/>
      <w:szCs w:val="16"/>
      <w:lang w:eastAsia="zh-CN" w:bidi="he-IL"/>
    </w:rPr>
  </w:style>
  <w:style w:type="character" w:customStyle="1" w:styleId="FooterChar">
    <w:name w:val="Footer Char"/>
    <w:link w:val="Footer"/>
    <w:uiPriority w:val="99"/>
    <w:rsid w:val="00855A3A"/>
    <w:rPr>
      <w:sz w:val="16"/>
      <w:szCs w:val="16"/>
      <w:lang w:val="lv-LV"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6C2317"/>
    <w:rPr>
      <w:rFonts w:ascii="Times New Roman" w:eastAsia="SimSun" w:hAnsi="Times New Roman" w:cs="Simplified Arabic"/>
      <w:sz w:val="24"/>
      <w:szCs w:val="24"/>
      <w:lang w:val="lv-LV"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nhideWhenUsed/>
    <w:rsid w:val="00E54252"/>
    <w:rPr>
      <w:rFonts w:ascii="Times New Roman" w:eastAsia="SimSun" w:hAnsi="Times New Roman" w:cs="Simplified Arabic"/>
      <w:sz w:val="18"/>
      <w:szCs w:val="18"/>
      <w:lang w:val="lv-LV" w:bidi="ar-AE"/>
    </w:rPr>
  </w:style>
  <w:style w:type="paragraph" w:styleId="CommentText">
    <w:name w:val="annotation text"/>
    <w:basedOn w:val="Normal"/>
    <w:link w:val="CommentTextChar"/>
    <w:unhideWhenUsed/>
    <w:rsid w:val="00E54252"/>
    <w:pPr>
      <w:spacing w:after="120"/>
    </w:pPr>
    <w:rPr>
      <w:sz w:val="20"/>
      <w:szCs w:val="20"/>
    </w:rPr>
  </w:style>
  <w:style w:type="character" w:customStyle="1" w:styleId="CommentTextChar">
    <w:name w:val="Comment Text Char"/>
    <w:link w:val="CommentText"/>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paragraph" w:customStyle="1" w:styleId="StandardL1">
    <w:name w:val="Standard L1"/>
    <w:basedOn w:val="Normal"/>
    <w:next w:val="BodyText1"/>
    <w:rsid w:val="001741A2"/>
    <w:pPr>
      <w:keepNext/>
      <w:numPr>
        <w:numId w:val="1"/>
      </w:numPr>
      <w:jc w:val="left"/>
      <w:outlineLvl w:val="0"/>
    </w:pPr>
    <w:rPr>
      <w:b/>
      <w:bCs/>
      <w:caps/>
      <w:lang w:eastAsia="en-GB"/>
    </w:rPr>
  </w:style>
  <w:style w:type="paragraph" w:customStyle="1" w:styleId="StandardL2">
    <w:name w:val="Standard L2"/>
    <w:basedOn w:val="Normal"/>
    <w:next w:val="BodyText1"/>
    <w:rsid w:val="001741A2"/>
    <w:pPr>
      <w:numPr>
        <w:ilvl w:val="1"/>
        <w:numId w:val="1"/>
      </w:numPr>
      <w:outlineLvl w:val="1"/>
    </w:pPr>
    <w:rPr>
      <w:lang w:eastAsia="en-GB"/>
    </w:rPr>
  </w:style>
  <w:style w:type="paragraph" w:customStyle="1" w:styleId="StandardL3">
    <w:name w:val="Standard L3"/>
    <w:basedOn w:val="Normal"/>
    <w:next w:val="BodyText2"/>
    <w:rsid w:val="001741A2"/>
    <w:pPr>
      <w:numPr>
        <w:ilvl w:val="2"/>
        <w:numId w:val="1"/>
      </w:numPr>
      <w:outlineLvl w:val="2"/>
    </w:pPr>
    <w:rPr>
      <w:lang w:eastAsia="en-GB"/>
    </w:rPr>
  </w:style>
  <w:style w:type="paragraph" w:customStyle="1" w:styleId="StandardL4">
    <w:name w:val="Standard L4"/>
    <w:basedOn w:val="Normal"/>
    <w:next w:val="BodyText3"/>
    <w:rsid w:val="001741A2"/>
    <w:pPr>
      <w:numPr>
        <w:ilvl w:val="3"/>
        <w:numId w:val="1"/>
      </w:numPr>
      <w:outlineLvl w:val="3"/>
    </w:pPr>
    <w:rPr>
      <w:lang w:eastAsia="en-GB"/>
    </w:rPr>
  </w:style>
  <w:style w:type="paragraph" w:customStyle="1" w:styleId="StandardL5">
    <w:name w:val="Standard L5"/>
    <w:basedOn w:val="Normal"/>
    <w:next w:val="BodyText4"/>
    <w:rsid w:val="001741A2"/>
    <w:pPr>
      <w:numPr>
        <w:ilvl w:val="4"/>
        <w:numId w:val="1"/>
      </w:numPr>
      <w:outlineLvl w:val="4"/>
    </w:pPr>
    <w:rPr>
      <w:lang w:eastAsia="en-GB"/>
    </w:rPr>
  </w:style>
  <w:style w:type="paragraph" w:customStyle="1" w:styleId="StandardL6">
    <w:name w:val="Standard L6"/>
    <w:basedOn w:val="Normal"/>
    <w:next w:val="BodyText5"/>
    <w:rsid w:val="001741A2"/>
    <w:pPr>
      <w:numPr>
        <w:ilvl w:val="5"/>
        <w:numId w:val="1"/>
      </w:numPr>
      <w:outlineLvl w:val="5"/>
    </w:pPr>
    <w:rPr>
      <w:lang w:eastAsia="en-GB"/>
    </w:rPr>
  </w:style>
  <w:style w:type="paragraph" w:customStyle="1" w:styleId="StandardL7">
    <w:name w:val="Standard L7"/>
    <w:basedOn w:val="Normal"/>
    <w:next w:val="BodyText6"/>
    <w:rsid w:val="001741A2"/>
    <w:pPr>
      <w:numPr>
        <w:ilvl w:val="6"/>
        <w:numId w:val="1"/>
      </w:numPr>
      <w:outlineLvl w:val="6"/>
    </w:pPr>
    <w:rPr>
      <w:lang w:eastAsia="en-GB"/>
    </w:rPr>
  </w:style>
  <w:style w:type="paragraph" w:customStyle="1" w:styleId="StandardL8">
    <w:name w:val="Standard L8"/>
    <w:basedOn w:val="Normal"/>
    <w:next w:val="BodyText2"/>
    <w:rsid w:val="001741A2"/>
    <w:pPr>
      <w:numPr>
        <w:ilvl w:val="7"/>
        <w:numId w:val="1"/>
      </w:numPr>
      <w:outlineLvl w:val="7"/>
    </w:pPr>
    <w:rPr>
      <w:lang w:eastAsia="en-GB"/>
    </w:rPr>
  </w:style>
  <w:style w:type="paragraph" w:customStyle="1" w:styleId="StandardL9">
    <w:name w:val="Standard L9"/>
    <w:basedOn w:val="Normal"/>
    <w:next w:val="BodyText3"/>
    <w:rsid w:val="001741A2"/>
    <w:pPr>
      <w:numPr>
        <w:ilvl w:val="8"/>
        <w:numId w:val="1"/>
      </w:numPr>
      <w:outlineLvl w:val="8"/>
    </w:pPr>
    <w:rPr>
      <w:lang w:eastAsia="en-GB"/>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rsid w:val="00E54252"/>
    <w:pPr>
      <w:keepLines/>
      <w:tabs>
        <w:tab w:val="right" w:leader="dot" w:pos="9016"/>
      </w:tabs>
      <w:adjustRightInd w:val="0"/>
      <w:snapToGrid w:val="0"/>
      <w:spacing w:before="100" w:after="0"/>
      <w:ind w:left="720" w:hanging="720"/>
    </w:pPr>
    <w:rPr>
      <w:snapToGrid w:val="0"/>
    </w:rPr>
  </w:style>
  <w:style w:type="paragraph" w:styleId="TOC2">
    <w:name w:val="toc 2"/>
    <w:basedOn w:val="Normal"/>
    <w:next w:val="BodyText"/>
    <w:uiPriority w:val="39"/>
    <w:unhideWhenUsed/>
    <w:rsid w:val="00E54252"/>
    <w:pPr>
      <w:keepLines/>
      <w:tabs>
        <w:tab w:val="right" w:leader="dot" w:pos="9015"/>
      </w:tabs>
      <w:adjustRightInd w:val="0"/>
      <w:snapToGrid w:val="0"/>
      <w:spacing w:before="100" w:after="0"/>
      <w:ind w:left="144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chedule1L9">
    <w:name w:val="Schedule 1 L9"/>
    <w:basedOn w:val="Normal"/>
    <w:next w:val="BodyText6"/>
    <w:link w:val="Schedule1L9Char"/>
    <w:rsid w:val="00D95E93"/>
    <w:pPr>
      <w:numPr>
        <w:ilvl w:val="8"/>
        <w:numId w:val="2"/>
      </w:numPr>
      <w:spacing w:line="288" w:lineRule="auto"/>
      <w:outlineLvl w:val="8"/>
    </w:pPr>
  </w:style>
  <w:style w:type="character" w:customStyle="1" w:styleId="Schedule1L9Char">
    <w:name w:val="Schedule 1 L9 Char"/>
    <w:link w:val="Schedule1L9"/>
    <w:rsid w:val="00D95E93"/>
    <w:rPr>
      <w:sz w:val="24"/>
      <w:szCs w:val="24"/>
      <w:lang w:val="lv-LV" w:bidi="ar-AE"/>
    </w:rPr>
  </w:style>
  <w:style w:type="paragraph" w:customStyle="1" w:styleId="Schedule1L8">
    <w:name w:val="Schedule 1 L8"/>
    <w:basedOn w:val="Normal"/>
    <w:next w:val="BodyText5"/>
    <w:link w:val="Schedule1L8Char"/>
    <w:rsid w:val="00D95E93"/>
    <w:pPr>
      <w:numPr>
        <w:ilvl w:val="7"/>
        <w:numId w:val="2"/>
      </w:numPr>
      <w:spacing w:line="288" w:lineRule="auto"/>
      <w:outlineLvl w:val="7"/>
    </w:pPr>
  </w:style>
  <w:style w:type="character" w:customStyle="1" w:styleId="Schedule1L8Char">
    <w:name w:val="Schedule 1 L8 Char"/>
    <w:link w:val="Schedule1L8"/>
    <w:rsid w:val="00D95E93"/>
    <w:rPr>
      <w:sz w:val="24"/>
      <w:szCs w:val="24"/>
      <w:lang w:val="lv-LV" w:bidi="ar-AE"/>
    </w:rPr>
  </w:style>
  <w:style w:type="paragraph" w:customStyle="1" w:styleId="Schedule1L7">
    <w:name w:val="Schedule 1 L7"/>
    <w:basedOn w:val="Normal"/>
    <w:next w:val="BodyText4"/>
    <w:link w:val="Schedule1L7Char"/>
    <w:rsid w:val="00D95E93"/>
    <w:pPr>
      <w:numPr>
        <w:ilvl w:val="6"/>
        <w:numId w:val="2"/>
      </w:numPr>
      <w:spacing w:line="288" w:lineRule="auto"/>
      <w:outlineLvl w:val="6"/>
    </w:pPr>
  </w:style>
  <w:style w:type="character" w:customStyle="1" w:styleId="Schedule1L7Char">
    <w:name w:val="Schedule 1 L7 Char"/>
    <w:link w:val="Schedule1L7"/>
    <w:rsid w:val="00D95E93"/>
    <w:rPr>
      <w:sz w:val="24"/>
      <w:szCs w:val="24"/>
      <w:lang w:val="lv-LV" w:bidi="ar-AE"/>
    </w:rPr>
  </w:style>
  <w:style w:type="paragraph" w:customStyle="1" w:styleId="Schedule1L6">
    <w:name w:val="Schedule 1 L6"/>
    <w:basedOn w:val="Normal"/>
    <w:next w:val="BodyText3"/>
    <w:link w:val="Schedule1L6Char"/>
    <w:rsid w:val="00D95E93"/>
    <w:pPr>
      <w:numPr>
        <w:ilvl w:val="5"/>
        <w:numId w:val="2"/>
      </w:numPr>
      <w:spacing w:line="288" w:lineRule="auto"/>
      <w:outlineLvl w:val="5"/>
    </w:pPr>
  </w:style>
  <w:style w:type="character" w:customStyle="1" w:styleId="Schedule1L6Char">
    <w:name w:val="Schedule 1 L6 Char"/>
    <w:link w:val="Schedule1L6"/>
    <w:rsid w:val="00D95E93"/>
    <w:rPr>
      <w:sz w:val="24"/>
      <w:szCs w:val="24"/>
      <w:lang w:val="lv-LV" w:bidi="ar-AE"/>
    </w:rPr>
  </w:style>
  <w:style w:type="paragraph" w:customStyle="1" w:styleId="Schedule1L5">
    <w:name w:val="Schedule 1 L5"/>
    <w:basedOn w:val="Normal"/>
    <w:next w:val="BodyText2"/>
    <w:link w:val="Schedule1L5Char"/>
    <w:rsid w:val="00D95E93"/>
    <w:pPr>
      <w:numPr>
        <w:ilvl w:val="4"/>
        <w:numId w:val="2"/>
      </w:numPr>
      <w:spacing w:line="288" w:lineRule="auto"/>
      <w:outlineLvl w:val="4"/>
    </w:pPr>
  </w:style>
  <w:style w:type="character" w:customStyle="1" w:styleId="Schedule1L5Char">
    <w:name w:val="Schedule 1 L5 Char"/>
    <w:link w:val="Schedule1L5"/>
    <w:rsid w:val="00D95E93"/>
    <w:rPr>
      <w:sz w:val="24"/>
      <w:szCs w:val="24"/>
      <w:lang w:val="lv-LV" w:bidi="ar-AE"/>
    </w:rPr>
  </w:style>
  <w:style w:type="paragraph" w:customStyle="1" w:styleId="Schedule1L4">
    <w:name w:val="Schedule 1 L4"/>
    <w:basedOn w:val="Normal"/>
    <w:next w:val="BodyText1"/>
    <w:link w:val="Schedule1L4Char"/>
    <w:rsid w:val="00D95E93"/>
    <w:pPr>
      <w:numPr>
        <w:ilvl w:val="3"/>
        <w:numId w:val="2"/>
      </w:numPr>
      <w:spacing w:line="288" w:lineRule="auto"/>
      <w:outlineLvl w:val="3"/>
    </w:pPr>
  </w:style>
  <w:style w:type="character" w:customStyle="1" w:styleId="Schedule1L4Char">
    <w:name w:val="Schedule 1 L4 Char"/>
    <w:link w:val="Schedule1L4"/>
    <w:rsid w:val="00D95E93"/>
    <w:rPr>
      <w:sz w:val="24"/>
      <w:szCs w:val="24"/>
      <w:lang w:val="lv-LV" w:bidi="ar-AE"/>
    </w:rPr>
  </w:style>
  <w:style w:type="paragraph" w:customStyle="1" w:styleId="Schedule1L3">
    <w:name w:val="Schedule 1 L3"/>
    <w:basedOn w:val="Normal"/>
    <w:next w:val="BodyText1"/>
    <w:link w:val="Schedule1L3Char"/>
    <w:rsid w:val="00D95E93"/>
    <w:pPr>
      <w:numPr>
        <w:ilvl w:val="2"/>
        <w:numId w:val="2"/>
      </w:numPr>
      <w:spacing w:line="288" w:lineRule="auto"/>
      <w:outlineLvl w:val="2"/>
    </w:pPr>
  </w:style>
  <w:style w:type="character" w:customStyle="1" w:styleId="Schedule1L3Char">
    <w:name w:val="Schedule 1 L3 Char"/>
    <w:link w:val="Schedule1L3"/>
    <w:rsid w:val="00D95E93"/>
    <w:rPr>
      <w:sz w:val="24"/>
      <w:szCs w:val="24"/>
      <w:lang w:val="lv-LV" w:bidi="ar-AE"/>
    </w:rPr>
  </w:style>
  <w:style w:type="paragraph" w:customStyle="1" w:styleId="Schedule1L2">
    <w:name w:val="Schedule 1 L2"/>
    <w:basedOn w:val="Normal"/>
    <w:next w:val="BodyText"/>
    <w:link w:val="Schedule1L2Char"/>
    <w:rsid w:val="00D95E93"/>
    <w:pPr>
      <w:numPr>
        <w:ilvl w:val="1"/>
        <w:numId w:val="2"/>
      </w:numPr>
      <w:spacing w:line="288" w:lineRule="auto"/>
      <w:jc w:val="center"/>
      <w:outlineLvl w:val="1"/>
    </w:pPr>
    <w:rPr>
      <w:b/>
      <w:caps/>
    </w:rPr>
  </w:style>
  <w:style w:type="character" w:customStyle="1" w:styleId="Schedule1L2Char">
    <w:name w:val="Schedule 1 L2 Char"/>
    <w:link w:val="Schedule1L2"/>
    <w:rsid w:val="00D95E93"/>
    <w:rPr>
      <w:b/>
      <w:caps/>
      <w:sz w:val="24"/>
      <w:szCs w:val="24"/>
      <w:lang w:val="lv-LV" w:bidi="ar-AE"/>
    </w:rPr>
  </w:style>
  <w:style w:type="paragraph" w:customStyle="1" w:styleId="Schedule1L1">
    <w:name w:val="Schedule 1 L1"/>
    <w:basedOn w:val="Normal"/>
    <w:next w:val="BodyText"/>
    <w:link w:val="Schedule1L1Char"/>
    <w:rsid w:val="00D95E93"/>
    <w:pPr>
      <w:keepNext/>
      <w:pageBreakBefore/>
      <w:numPr>
        <w:numId w:val="2"/>
      </w:numPr>
      <w:spacing w:line="288" w:lineRule="auto"/>
      <w:jc w:val="center"/>
      <w:outlineLvl w:val="0"/>
    </w:pPr>
    <w:rPr>
      <w:b/>
      <w:caps/>
    </w:rPr>
  </w:style>
  <w:style w:type="character" w:customStyle="1" w:styleId="Schedule1L1Char">
    <w:name w:val="Schedule 1 L1 Char"/>
    <w:link w:val="Schedule1L1"/>
    <w:rsid w:val="00D95E93"/>
    <w:rPr>
      <w:b/>
      <w:caps/>
      <w:sz w:val="24"/>
      <w:szCs w:val="24"/>
      <w:lang w:val="lv-LV" w:bidi="ar-AE"/>
    </w:rPr>
  </w:style>
  <w:style w:type="paragraph" w:customStyle="1" w:styleId="SimpleL9">
    <w:name w:val="Simple L9"/>
    <w:basedOn w:val="Normal"/>
    <w:link w:val="SimpleL9Char"/>
    <w:rsid w:val="00D95E93"/>
    <w:pPr>
      <w:numPr>
        <w:ilvl w:val="8"/>
        <w:numId w:val="3"/>
      </w:numPr>
      <w:spacing w:line="288" w:lineRule="auto"/>
      <w:outlineLvl w:val="8"/>
    </w:pPr>
  </w:style>
  <w:style w:type="character" w:customStyle="1" w:styleId="SimpleL9Char">
    <w:name w:val="Simple L9 Char"/>
    <w:link w:val="SimpleL9"/>
    <w:rsid w:val="00D95E93"/>
    <w:rPr>
      <w:sz w:val="24"/>
      <w:szCs w:val="24"/>
      <w:lang w:val="lv-LV" w:bidi="ar-AE"/>
    </w:rPr>
  </w:style>
  <w:style w:type="paragraph" w:customStyle="1" w:styleId="SimpleL8">
    <w:name w:val="Simple L8"/>
    <w:basedOn w:val="Normal"/>
    <w:link w:val="SimpleL8Char"/>
    <w:rsid w:val="00D95E93"/>
    <w:pPr>
      <w:numPr>
        <w:ilvl w:val="7"/>
        <w:numId w:val="3"/>
      </w:numPr>
      <w:spacing w:line="288" w:lineRule="auto"/>
      <w:outlineLvl w:val="7"/>
    </w:pPr>
  </w:style>
  <w:style w:type="character" w:customStyle="1" w:styleId="SimpleL8Char">
    <w:name w:val="Simple L8 Char"/>
    <w:link w:val="SimpleL8"/>
    <w:rsid w:val="00D95E93"/>
    <w:rPr>
      <w:sz w:val="24"/>
      <w:szCs w:val="24"/>
      <w:lang w:val="lv-LV" w:bidi="ar-AE"/>
    </w:rPr>
  </w:style>
  <w:style w:type="paragraph" w:customStyle="1" w:styleId="SimpleL7">
    <w:name w:val="Simple L7"/>
    <w:basedOn w:val="Normal"/>
    <w:link w:val="SimpleL7Char"/>
    <w:rsid w:val="00D95E93"/>
    <w:pPr>
      <w:numPr>
        <w:ilvl w:val="6"/>
        <w:numId w:val="3"/>
      </w:numPr>
      <w:spacing w:line="288" w:lineRule="auto"/>
      <w:outlineLvl w:val="6"/>
    </w:pPr>
  </w:style>
  <w:style w:type="character" w:customStyle="1" w:styleId="SimpleL7Char">
    <w:name w:val="Simple L7 Char"/>
    <w:link w:val="SimpleL7"/>
    <w:rsid w:val="00D95E93"/>
    <w:rPr>
      <w:sz w:val="24"/>
      <w:szCs w:val="24"/>
      <w:lang w:val="lv-LV" w:bidi="ar-AE"/>
    </w:rPr>
  </w:style>
  <w:style w:type="paragraph" w:customStyle="1" w:styleId="SimpleL6">
    <w:name w:val="Simple L6"/>
    <w:basedOn w:val="Normal"/>
    <w:link w:val="SimpleL6Char"/>
    <w:rsid w:val="00D95E93"/>
    <w:pPr>
      <w:numPr>
        <w:ilvl w:val="5"/>
        <w:numId w:val="3"/>
      </w:numPr>
      <w:spacing w:line="288" w:lineRule="auto"/>
      <w:outlineLvl w:val="5"/>
    </w:pPr>
  </w:style>
  <w:style w:type="character" w:customStyle="1" w:styleId="SimpleL6Char">
    <w:name w:val="Simple L6 Char"/>
    <w:link w:val="SimpleL6"/>
    <w:rsid w:val="00D95E93"/>
    <w:rPr>
      <w:sz w:val="24"/>
      <w:szCs w:val="24"/>
      <w:lang w:val="lv-LV" w:bidi="ar-AE"/>
    </w:rPr>
  </w:style>
  <w:style w:type="paragraph" w:customStyle="1" w:styleId="SimpleL5">
    <w:name w:val="Simple L5"/>
    <w:basedOn w:val="Normal"/>
    <w:link w:val="SimpleL5Char"/>
    <w:rsid w:val="00D95E93"/>
    <w:pPr>
      <w:numPr>
        <w:ilvl w:val="4"/>
        <w:numId w:val="3"/>
      </w:numPr>
      <w:spacing w:line="288" w:lineRule="auto"/>
      <w:outlineLvl w:val="4"/>
    </w:pPr>
  </w:style>
  <w:style w:type="character" w:customStyle="1" w:styleId="SimpleL5Char">
    <w:name w:val="Simple L5 Char"/>
    <w:link w:val="SimpleL5"/>
    <w:rsid w:val="00D95E93"/>
    <w:rPr>
      <w:sz w:val="24"/>
      <w:szCs w:val="24"/>
      <w:lang w:val="lv-LV" w:bidi="ar-AE"/>
    </w:rPr>
  </w:style>
  <w:style w:type="paragraph" w:customStyle="1" w:styleId="SimpleL4">
    <w:name w:val="Simple L4"/>
    <w:basedOn w:val="Normal"/>
    <w:link w:val="SimpleL4Char"/>
    <w:rsid w:val="00D95E93"/>
    <w:pPr>
      <w:numPr>
        <w:ilvl w:val="3"/>
        <w:numId w:val="3"/>
      </w:numPr>
      <w:outlineLvl w:val="3"/>
    </w:pPr>
  </w:style>
  <w:style w:type="character" w:customStyle="1" w:styleId="SimpleL4Char">
    <w:name w:val="Simple L4 Char"/>
    <w:link w:val="SimpleL4"/>
    <w:rsid w:val="00D95E93"/>
    <w:rPr>
      <w:sz w:val="24"/>
      <w:szCs w:val="24"/>
      <w:lang w:val="lv-LV" w:bidi="ar-AE"/>
    </w:rPr>
  </w:style>
  <w:style w:type="paragraph" w:customStyle="1" w:styleId="SimpleL3">
    <w:name w:val="Simple L3"/>
    <w:basedOn w:val="Normal"/>
    <w:link w:val="SimpleL3Char"/>
    <w:rsid w:val="00D95E93"/>
    <w:pPr>
      <w:numPr>
        <w:ilvl w:val="2"/>
        <w:numId w:val="3"/>
      </w:numPr>
      <w:spacing w:line="288" w:lineRule="auto"/>
      <w:outlineLvl w:val="2"/>
    </w:pPr>
  </w:style>
  <w:style w:type="character" w:customStyle="1" w:styleId="SimpleL3Char">
    <w:name w:val="Simple L3 Char"/>
    <w:link w:val="SimpleL3"/>
    <w:rsid w:val="00D95E93"/>
    <w:rPr>
      <w:sz w:val="24"/>
      <w:szCs w:val="24"/>
      <w:lang w:val="lv-LV" w:bidi="ar-AE"/>
    </w:rPr>
  </w:style>
  <w:style w:type="paragraph" w:customStyle="1" w:styleId="SimpleL2">
    <w:name w:val="Simple L2"/>
    <w:basedOn w:val="Normal"/>
    <w:link w:val="SimpleL2Char"/>
    <w:rsid w:val="00D95E93"/>
    <w:pPr>
      <w:numPr>
        <w:ilvl w:val="1"/>
        <w:numId w:val="3"/>
      </w:numPr>
      <w:outlineLvl w:val="1"/>
    </w:pPr>
  </w:style>
  <w:style w:type="character" w:customStyle="1" w:styleId="SimpleL2Char">
    <w:name w:val="Simple L2 Char"/>
    <w:link w:val="SimpleL2"/>
    <w:rsid w:val="00D95E93"/>
    <w:rPr>
      <w:sz w:val="24"/>
      <w:szCs w:val="24"/>
      <w:lang w:val="lv-LV" w:bidi="ar-AE"/>
    </w:rPr>
  </w:style>
  <w:style w:type="paragraph" w:customStyle="1" w:styleId="SimpleL1">
    <w:name w:val="Simple L1"/>
    <w:basedOn w:val="Normal"/>
    <w:link w:val="SimpleL1Char"/>
    <w:rsid w:val="00D95E93"/>
    <w:pPr>
      <w:numPr>
        <w:numId w:val="3"/>
      </w:numPr>
      <w:spacing w:line="288" w:lineRule="auto"/>
      <w:outlineLvl w:val="0"/>
    </w:pPr>
  </w:style>
  <w:style w:type="character" w:customStyle="1" w:styleId="SimpleL1Char">
    <w:name w:val="Simple L1 Char"/>
    <w:link w:val="SimpleL1"/>
    <w:rsid w:val="00D95E93"/>
    <w:rPr>
      <w:sz w:val="24"/>
      <w:szCs w:val="24"/>
      <w:lang w:val="lv-LV" w:bidi="ar-AE"/>
    </w:rPr>
  </w:style>
  <w:style w:type="character" w:styleId="Hyperlink">
    <w:name w:val="Hyperlink"/>
    <w:uiPriority w:val="99"/>
    <w:unhideWhenUsed/>
    <w:rsid w:val="003249B4"/>
    <w:rPr>
      <w:color w:val="0000FF"/>
      <w:u w:val="single"/>
    </w:rPr>
  </w:style>
  <w:style w:type="paragraph" w:styleId="TOC3">
    <w:name w:val="toc 3"/>
    <w:basedOn w:val="Normal"/>
    <w:next w:val="Normal"/>
    <w:autoRedefine/>
    <w:uiPriority w:val="39"/>
    <w:semiHidden/>
    <w:unhideWhenUsed/>
    <w:rsid w:val="00116853"/>
    <w:pPr>
      <w:ind w:left="480"/>
    </w:pPr>
  </w:style>
  <w:style w:type="paragraph" w:styleId="TOC4">
    <w:name w:val="toc 4"/>
    <w:basedOn w:val="Normal"/>
    <w:next w:val="Normal"/>
    <w:autoRedefine/>
    <w:uiPriority w:val="39"/>
    <w:semiHidden/>
    <w:unhideWhenUsed/>
    <w:rsid w:val="00116853"/>
    <w:pPr>
      <w:ind w:left="720"/>
    </w:pPr>
  </w:style>
  <w:style w:type="paragraph" w:customStyle="1" w:styleId="ListBullet1">
    <w:name w:val="List Bullet 1"/>
    <w:basedOn w:val="Normal"/>
    <w:rsid w:val="001A246E"/>
    <w:pPr>
      <w:numPr>
        <w:numId w:val="18"/>
      </w:numPr>
      <w:spacing w:before="120" w:after="120"/>
    </w:pPr>
    <w:rPr>
      <w:rFonts w:eastAsia="Times New Roman" w:cs="Times New Roman"/>
      <w:szCs w:val="22"/>
      <w:lang w:eastAsia="de-DE" w:bidi="ar-SA"/>
    </w:rPr>
  </w:style>
  <w:style w:type="paragraph" w:customStyle="1" w:styleId="NumPar1">
    <w:name w:val="NumPar 1"/>
    <w:basedOn w:val="Normal"/>
    <w:next w:val="Normal"/>
    <w:rsid w:val="000E4CFE"/>
    <w:pPr>
      <w:numPr>
        <w:numId w:val="19"/>
      </w:numPr>
      <w:tabs>
        <w:tab w:val="clear" w:pos="850"/>
        <w:tab w:val="num" w:pos="1134"/>
      </w:tabs>
      <w:spacing w:before="120" w:after="120"/>
      <w:ind w:left="1134" w:hanging="283"/>
    </w:pPr>
    <w:rPr>
      <w:rFonts w:eastAsia="Calibri" w:cs="Times New Roman"/>
      <w:szCs w:val="22"/>
      <w:lang w:eastAsia="en-US" w:bidi="ar-SA"/>
    </w:rPr>
  </w:style>
  <w:style w:type="paragraph" w:customStyle="1" w:styleId="NumPar2">
    <w:name w:val="NumPar 2"/>
    <w:basedOn w:val="Normal"/>
    <w:next w:val="Normal"/>
    <w:rsid w:val="000E4CFE"/>
    <w:pPr>
      <w:numPr>
        <w:ilvl w:val="1"/>
        <w:numId w:val="19"/>
      </w:numPr>
      <w:tabs>
        <w:tab w:val="clear" w:pos="850"/>
        <w:tab w:val="num" w:pos="1134"/>
      </w:tabs>
      <w:spacing w:before="120" w:after="120"/>
      <w:ind w:left="1134" w:hanging="283"/>
    </w:pPr>
    <w:rPr>
      <w:rFonts w:eastAsia="Calibri" w:cs="Times New Roman"/>
      <w:szCs w:val="22"/>
      <w:lang w:eastAsia="en-US" w:bidi="ar-SA"/>
    </w:rPr>
  </w:style>
  <w:style w:type="paragraph" w:customStyle="1" w:styleId="NumPar3">
    <w:name w:val="NumPar 3"/>
    <w:basedOn w:val="Normal"/>
    <w:next w:val="Normal"/>
    <w:rsid w:val="000E4CFE"/>
    <w:pPr>
      <w:numPr>
        <w:ilvl w:val="2"/>
        <w:numId w:val="19"/>
      </w:numPr>
      <w:tabs>
        <w:tab w:val="clear" w:pos="850"/>
        <w:tab w:val="num" w:pos="1134"/>
      </w:tabs>
      <w:spacing w:before="120" w:after="120"/>
      <w:ind w:left="1134" w:hanging="283"/>
    </w:pPr>
    <w:rPr>
      <w:rFonts w:eastAsia="Calibri" w:cs="Times New Roman"/>
      <w:szCs w:val="22"/>
      <w:lang w:eastAsia="en-US" w:bidi="ar-SA"/>
    </w:rPr>
  </w:style>
  <w:style w:type="paragraph" w:customStyle="1" w:styleId="NumPar4">
    <w:name w:val="NumPar 4"/>
    <w:basedOn w:val="Normal"/>
    <w:next w:val="Normal"/>
    <w:rsid w:val="000E4CFE"/>
    <w:pPr>
      <w:numPr>
        <w:ilvl w:val="3"/>
        <w:numId w:val="19"/>
      </w:numPr>
      <w:tabs>
        <w:tab w:val="clear" w:pos="850"/>
        <w:tab w:val="num" w:pos="1134"/>
      </w:tabs>
      <w:spacing w:before="120" w:after="120"/>
      <w:ind w:left="1134" w:hanging="283"/>
    </w:pPr>
    <w:rPr>
      <w:rFonts w:eastAsia="Calibri" w:cs="Times New Roman"/>
      <w:szCs w:val="22"/>
      <w:lang w:eastAsia="en-US" w:bidi="ar-SA"/>
    </w:rPr>
  </w:style>
  <w:style w:type="paragraph" w:styleId="Revision">
    <w:name w:val="Revision"/>
    <w:hidden/>
    <w:uiPriority w:val="99"/>
    <w:semiHidden/>
    <w:rsid w:val="00133EA3"/>
    <w:rPr>
      <w:rFonts w:cs="tim"/>
      <w:sz w:val="24"/>
      <w:szCs w:val="24"/>
      <w:lang w:eastAsia="zh-CN" w:bidi="ar-AE"/>
    </w:rPr>
  </w:style>
  <w:style w:type="paragraph" w:styleId="NormalWeb">
    <w:name w:val="Normal (Web)"/>
    <w:basedOn w:val="Normal"/>
    <w:uiPriority w:val="99"/>
    <w:semiHidden/>
    <w:unhideWhenUsed/>
    <w:rsid w:val="00691C60"/>
    <w:pPr>
      <w:spacing w:before="100" w:beforeAutospacing="1" w:after="100" w:afterAutospacing="1"/>
      <w:jc w:val="left"/>
    </w:pPr>
    <w:rPr>
      <w:rFonts w:eastAsiaTheme="minorEastAsia" w:cs="Times New Roman"/>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9691-6426-4058-BB10-6F369886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14019</Words>
  <Characters>7992</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21968</CharactersWithSpaces>
  <SharedDoc>false</SharedDoc>
  <HLinks>
    <vt:vector size="54" baseType="variant">
      <vt:variant>
        <vt:i4>1638452</vt:i4>
      </vt:variant>
      <vt:variant>
        <vt:i4>53</vt:i4>
      </vt:variant>
      <vt:variant>
        <vt:i4>0</vt:i4>
      </vt:variant>
      <vt:variant>
        <vt:i4>5</vt:i4>
      </vt:variant>
      <vt:variant>
        <vt:lpwstr/>
      </vt:variant>
      <vt:variant>
        <vt:lpwstr>_Toc39746467</vt:lpwstr>
      </vt:variant>
      <vt:variant>
        <vt:i4>1572916</vt:i4>
      </vt:variant>
      <vt:variant>
        <vt:i4>47</vt:i4>
      </vt:variant>
      <vt:variant>
        <vt:i4>0</vt:i4>
      </vt:variant>
      <vt:variant>
        <vt:i4>5</vt:i4>
      </vt:variant>
      <vt:variant>
        <vt:lpwstr/>
      </vt:variant>
      <vt:variant>
        <vt:lpwstr>_Toc39746466</vt:lpwstr>
      </vt:variant>
      <vt:variant>
        <vt:i4>1769524</vt:i4>
      </vt:variant>
      <vt:variant>
        <vt:i4>41</vt:i4>
      </vt:variant>
      <vt:variant>
        <vt:i4>0</vt:i4>
      </vt:variant>
      <vt:variant>
        <vt:i4>5</vt:i4>
      </vt:variant>
      <vt:variant>
        <vt:lpwstr/>
      </vt:variant>
      <vt:variant>
        <vt:lpwstr>_Toc39746465</vt:lpwstr>
      </vt:variant>
      <vt:variant>
        <vt:i4>1703988</vt:i4>
      </vt:variant>
      <vt:variant>
        <vt:i4>35</vt:i4>
      </vt:variant>
      <vt:variant>
        <vt:i4>0</vt:i4>
      </vt:variant>
      <vt:variant>
        <vt:i4>5</vt:i4>
      </vt:variant>
      <vt:variant>
        <vt:lpwstr/>
      </vt:variant>
      <vt:variant>
        <vt:lpwstr>_Toc39746464</vt:lpwstr>
      </vt:variant>
      <vt:variant>
        <vt:i4>1900596</vt:i4>
      </vt:variant>
      <vt:variant>
        <vt:i4>29</vt:i4>
      </vt:variant>
      <vt:variant>
        <vt:i4>0</vt:i4>
      </vt:variant>
      <vt:variant>
        <vt:i4>5</vt:i4>
      </vt:variant>
      <vt:variant>
        <vt:lpwstr/>
      </vt:variant>
      <vt:variant>
        <vt:lpwstr>_Toc39746463</vt:lpwstr>
      </vt:variant>
      <vt:variant>
        <vt:i4>1835060</vt:i4>
      </vt:variant>
      <vt:variant>
        <vt:i4>23</vt:i4>
      </vt:variant>
      <vt:variant>
        <vt:i4>0</vt:i4>
      </vt:variant>
      <vt:variant>
        <vt:i4>5</vt:i4>
      </vt:variant>
      <vt:variant>
        <vt:lpwstr/>
      </vt:variant>
      <vt:variant>
        <vt:lpwstr>_Toc39746462</vt:lpwstr>
      </vt:variant>
      <vt:variant>
        <vt:i4>2031668</vt:i4>
      </vt:variant>
      <vt:variant>
        <vt:i4>17</vt:i4>
      </vt:variant>
      <vt:variant>
        <vt:i4>0</vt:i4>
      </vt:variant>
      <vt:variant>
        <vt:i4>5</vt:i4>
      </vt:variant>
      <vt:variant>
        <vt:lpwstr/>
      </vt:variant>
      <vt:variant>
        <vt:lpwstr>_Toc39746461</vt:lpwstr>
      </vt:variant>
      <vt:variant>
        <vt:i4>1966132</vt:i4>
      </vt:variant>
      <vt:variant>
        <vt:i4>11</vt:i4>
      </vt:variant>
      <vt:variant>
        <vt:i4>0</vt:i4>
      </vt:variant>
      <vt:variant>
        <vt:i4>5</vt:i4>
      </vt:variant>
      <vt:variant>
        <vt:lpwstr/>
      </vt:variant>
      <vt:variant>
        <vt:lpwstr>_Toc39746460</vt:lpwstr>
      </vt:variant>
      <vt:variant>
        <vt:i4>1507383</vt:i4>
      </vt:variant>
      <vt:variant>
        <vt:i4>5</vt:i4>
      </vt:variant>
      <vt:variant>
        <vt:i4>0</vt:i4>
      </vt:variant>
      <vt:variant>
        <vt:i4>5</vt:i4>
      </vt:variant>
      <vt:variant>
        <vt:lpwstr/>
      </vt:variant>
      <vt:variant>
        <vt:lpwstr>_Toc39746459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2020-05-15T11:36:00Z</dcterms:created>
  <dcterms:modified xsi:type="dcterms:W3CDTF">2020-05-28T08:36:00Z</dcterms:modified>
</cp:coreProperties>
</file>