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2D6CB" w14:textId="77777777" w:rsidR="007B32EC" w:rsidRDefault="007B32EC" w:rsidP="007B32EC">
      <w:pPr>
        <w:jc w:val="right"/>
        <w:rPr>
          <w:b/>
        </w:rPr>
      </w:pPr>
      <w:bookmarkStart w:id="0" w:name="_GoBack"/>
      <w:bookmarkEnd w:id="0"/>
      <w:r>
        <w:rPr>
          <w:b/>
        </w:rPr>
        <w:t>Pielikums</w:t>
      </w:r>
    </w:p>
    <w:p w14:paraId="45D6F37A" w14:textId="77777777" w:rsidR="007B32EC" w:rsidRDefault="008442A5" w:rsidP="00562E8E">
      <w:pPr>
        <w:spacing w:after="0" w:line="240" w:lineRule="auto"/>
        <w:jc w:val="right"/>
      </w:pPr>
      <w:r>
        <w:t>Informatīvajam</w:t>
      </w:r>
      <w:r w:rsidR="007B32EC">
        <w:t xml:space="preserve"> ziņojuma</w:t>
      </w:r>
      <w:r>
        <w:t>m</w:t>
      </w:r>
      <w:r w:rsidR="007B32EC">
        <w:t xml:space="preserve"> </w:t>
      </w:r>
      <w:r w:rsidR="007B32EC" w:rsidRPr="00562E8E">
        <w:t>“</w:t>
      </w:r>
      <w:r w:rsidR="007B32EC" w:rsidRPr="007B32EC">
        <w:t xml:space="preserve">Par spēkā esošo </w:t>
      </w:r>
    </w:p>
    <w:p w14:paraId="62475EF8" w14:textId="77777777" w:rsidR="007B32EC" w:rsidRDefault="007B32EC" w:rsidP="00562E8E">
      <w:pPr>
        <w:spacing w:after="0" w:line="240" w:lineRule="auto"/>
        <w:jc w:val="right"/>
        <w:rPr>
          <w:b/>
        </w:rPr>
      </w:pPr>
      <w:r w:rsidRPr="007B32EC">
        <w:t>nodokļu atvieglojumu izvērtēšanu</w:t>
      </w:r>
      <w:r w:rsidRPr="007B32EC">
        <w:rPr>
          <w:b/>
        </w:rPr>
        <w:t>”</w:t>
      </w:r>
    </w:p>
    <w:p w14:paraId="67132D27" w14:textId="77777777" w:rsidR="007B32EC" w:rsidRDefault="007B32EC" w:rsidP="00DC3825">
      <w:pPr>
        <w:spacing w:after="0" w:line="240" w:lineRule="auto"/>
      </w:pPr>
    </w:p>
    <w:tbl>
      <w:tblPr>
        <w:tblStyle w:val="TableGrid"/>
        <w:tblpPr w:leftFromText="180" w:rightFromText="180" w:vertAnchor="text" w:tblpXSpec="center" w:tblpY="1"/>
        <w:tblOverlap w:val="never"/>
        <w:tblW w:w="10201" w:type="dxa"/>
        <w:jc w:val="center"/>
        <w:tblLook w:val="04A0" w:firstRow="1" w:lastRow="0" w:firstColumn="1" w:lastColumn="0" w:noHBand="0" w:noVBand="1"/>
      </w:tblPr>
      <w:tblGrid>
        <w:gridCol w:w="3681"/>
        <w:gridCol w:w="6520"/>
      </w:tblGrid>
      <w:tr w:rsidR="00E77303" w:rsidRPr="00953B4D" w14:paraId="63FAB5D3" w14:textId="77777777" w:rsidTr="000B693E">
        <w:trPr>
          <w:trHeight w:val="562"/>
          <w:jc w:val="center"/>
        </w:trPr>
        <w:tc>
          <w:tcPr>
            <w:tcW w:w="10201" w:type="dxa"/>
            <w:gridSpan w:val="2"/>
            <w:vAlign w:val="center"/>
          </w:tcPr>
          <w:p w14:paraId="22778B77" w14:textId="77777777" w:rsidR="0010472D" w:rsidRDefault="00E77303" w:rsidP="00562E8E">
            <w:pPr>
              <w:keepNext/>
              <w:keepLines/>
              <w:spacing w:before="240"/>
              <w:ind w:left="167" w:hanging="284"/>
              <w:jc w:val="center"/>
              <w:outlineLvl w:val="0"/>
              <w:rPr>
                <w:rFonts w:eastAsiaTheme="majorEastAsia"/>
                <w:sz w:val="28"/>
                <w:szCs w:val="28"/>
              </w:rPr>
            </w:pPr>
            <w:r w:rsidRPr="00562E8E">
              <w:rPr>
                <w:rFonts w:eastAsiaTheme="majorEastAsia"/>
                <w:b/>
                <w:sz w:val="28"/>
                <w:szCs w:val="28"/>
              </w:rPr>
              <w:t>Plānā spēkā esoš</w:t>
            </w:r>
            <w:r w:rsidR="00FC5D9C" w:rsidRPr="00562E8E">
              <w:rPr>
                <w:rFonts w:eastAsiaTheme="majorEastAsia"/>
                <w:b/>
                <w:sz w:val="28"/>
                <w:szCs w:val="28"/>
              </w:rPr>
              <w:t>ā</w:t>
            </w:r>
            <w:r w:rsidRPr="00562E8E">
              <w:rPr>
                <w:rFonts w:eastAsiaTheme="majorEastAsia"/>
                <w:b/>
                <w:sz w:val="28"/>
                <w:szCs w:val="28"/>
              </w:rPr>
              <w:t xml:space="preserve"> nodokļu atvieglojum</w:t>
            </w:r>
            <w:r w:rsidR="00FC5D9C" w:rsidRPr="00562E8E">
              <w:rPr>
                <w:rFonts w:eastAsiaTheme="majorEastAsia"/>
                <w:b/>
                <w:sz w:val="28"/>
                <w:szCs w:val="28"/>
              </w:rPr>
              <w:t>a</w:t>
            </w:r>
            <w:r w:rsidRPr="00562E8E">
              <w:rPr>
                <w:rFonts w:eastAsiaTheme="majorEastAsia"/>
                <w:b/>
                <w:sz w:val="28"/>
                <w:szCs w:val="28"/>
              </w:rPr>
              <w:t>, kur</w:t>
            </w:r>
            <w:r w:rsidR="00FC5D9C" w:rsidRPr="00562E8E">
              <w:rPr>
                <w:rFonts w:eastAsiaTheme="majorEastAsia"/>
                <w:b/>
                <w:sz w:val="28"/>
                <w:szCs w:val="28"/>
              </w:rPr>
              <w:t>am</w:t>
            </w:r>
            <w:r w:rsidRPr="00562E8E">
              <w:rPr>
                <w:rFonts w:eastAsiaTheme="majorEastAsia"/>
                <w:b/>
                <w:sz w:val="28"/>
                <w:szCs w:val="28"/>
              </w:rPr>
              <w:t xml:space="preserve"> mērķis un sasniedzamie rādītāji ir definējami </w:t>
            </w:r>
            <w:r w:rsidRPr="00562E8E">
              <w:rPr>
                <w:rFonts w:eastAsiaTheme="majorEastAsia"/>
                <w:sz w:val="28"/>
                <w:szCs w:val="28"/>
              </w:rPr>
              <w:t>/1.kategorija/</w:t>
            </w:r>
          </w:p>
          <w:p w14:paraId="265F56D8" w14:textId="4375BE8B" w:rsidR="0010472D" w:rsidRDefault="0010472D" w:rsidP="0010472D">
            <w:pPr>
              <w:keepNext/>
              <w:keepLines/>
              <w:ind w:left="165" w:hanging="284"/>
              <w:jc w:val="center"/>
              <w:outlineLvl w:val="0"/>
              <w:rPr>
                <w:rFonts w:eastAsiaTheme="majorEastAsia"/>
                <w:sz w:val="28"/>
                <w:szCs w:val="28"/>
              </w:rPr>
            </w:pPr>
            <w:r>
              <w:rPr>
                <w:rFonts w:eastAsiaTheme="majorEastAsia"/>
                <w:sz w:val="28"/>
                <w:szCs w:val="28"/>
              </w:rPr>
              <w:t>vai</w:t>
            </w:r>
          </w:p>
          <w:p w14:paraId="65B821EF" w14:textId="520A4B3D" w:rsidR="0010472D" w:rsidRPr="0010472D" w:rsidRDefault="0010472D" w:rsidP="0010472D">
            <w:pPr>
              <w:keepNext/>
              <w:keepLines/>
              <w:spacing w:after="120"/>
              <w:ind w:left="165" w:hanging="284"/>
              <w:jc w:val="center"/>
              <w:outlineLvl w:val="0"/>
              <w:rPr>
                <w:rFonts w:eastAsiaTheme="majorEastAsia"/>
                <w:sz w:val="28"/>
                <w:szCs w:val="28"/>
              </w:rPr>
            </w:pPr>
            <w:r w:rsidRPr="00562E8E">
              <w:rPr>
                <w:rFonts w:eastAsiaTheme="majorEastAsia"/>
                <w:b/>
                <w:sz w:val="28"/>
                <w:szCs w:val="28"/>
              </w:rPr>
              <w:t xml:space="preserve">Plānā spēkā esošā nodokļu atvieglojuma, kuram mērķis un sasniedzamie rādītāji </w:t>
            </w:r>
            <w:r>
              <w:rPr>
                <w:rFonts w:eastAsiaTheme="majorEastAsia"/>
                <w:b/>
                <w:sz w:val="28"/>
                <w:szCs w:val="28"/>
              </w:rPr>
              <w:t>nav</w:t>
            </w:r>
            <w:r w:rsidRPr="00562E8E">
              <w:rPr>
                <w:rFonts w:eastAsiaTheme="majorEastAsia"/>
                <w:b/>
                <w:sz w:val="28"/>
                <w:szCs w:val="28"/>
              </w:rPr>
              <w:t xml:space="preserve"> definējami </w:t>
            </w:r>
            <w:r w:rsidRPr="00562E8E">
              <w:rPr>
                <w:rFonts w:eastAsiaTheme="majorEastAsia"/>
                <w:sz w:val="28"/>
                <w:szCs w:val="28"/>
              </w:rPr>
              <w:t>/</w:t>
            </w:r>
            <w:r>
              <w:rPr>
                <w:rFonts w:eastAsiaTheme="majorEastAsia"/>
                <w:sz w:val="28"/>
                <w:szCs w:val="28"/>
              </w:rPr>
              <w:t>2</w:t>
            </w:r>
            <w:r w:rsidRPr="00562E8E">
              <w:rPr>
                <w:rFonts w:eastAsiaTheme="majorEastAsia"/>
                <w:sz w:val="28"/>
                <w:szCs w:val="28"/>
              </w:rPr>
              <w:t>.kategorija/</w:t>
            </w:r>
          </w:p>
        </w:tc>
      </w:tr>
      <w:tr w:rsidR="00E77303" w:rsidRPr="00DF0BC7" w14:paraId="3584883F" w14:textId="77777777" w:rsidTr="000B693E">
        <w:trPr>
          <w:trHeight w:val="460"/>
          <w:jc w:val="center"/>
        </w:trPr>
        <w:tc>
          <w:tcPr>
            <w:tcW w:w="3681" w:type="dxa"/>
          </w:tcPr>
          <w:p w14:paraId="241E3DFD" w14:textId="77777777" w:rsidR="00E77303" w:rsidRPr="00DF0BC7" w:rsidRDefault="00E77303">
            <w:pPr>
              <w:keepNext/>
              <w:keepLines/>
              <w:spacing w:before="240"/>
              <w:jc w:val="center"/>
              <w:outlineLvl w:val="0"/>
              <w:rPr>
                <w:rFonts w:eastAsiaTheme="majorEastAsia"/>
              </w:rPr>
            </w:pPr>
            <w:r w:rsidRPr="00DF0BC7">
              <w:rPr>
                <w:rFonts w:eastAsiaTheme="majorEastAsia"/>
              </w:rPr>
              <w:t>Nosaukums</w:t>
            </w:r>
          </w:p>
        </w:tc>
        <w:tc>
          <w:tcPr>
            <w:tcW w:w="6520" w:type="dxa"/>
            <w:vAlign w:val="center"/>
          </w:tcPr>
          <w:p w14:paraId="373CE0B0" w14:textId="47B6594C" w:rsidR="00E77303" w:rsidRPr="00DF0BC7" w:rsidRDefault="00E77303">
            <w:pPr>
              <w:keepNext/>
              <w:keepLines/>
              <w:spacing w:before="240"/>
              <w:jc w:val="center"/>
              <w:outlineLvl w:val="0"/>
              <w:rPr>
                <w:rFonts w:eastAsiaTheme="majorEastAsia"/>
              </w:rPr>
            </w:pPr>
          </w:p>
        </w:tc>
      </w:tr>
      <w:tr w:rsidR="00E77303" w:rsidRPr="00DF0BC7" w14:paraId="092B650B" w14:textId="77777777" w:rsidTr="000B693E">
        <w:trPr>
          <w:jc w:val="center"/>
        </w:trPr>
        <w:tc>
          <w:tcPr>
            <w:tcW w:w="3681" w:type="dxa"/>
          </w:tcPr>
          <w:p w14:paraId="386B973A" w14:textId="77777777" w:rsidR="00E77303" w:rsidRPr="00DF0BC7" w:rsidRDefault="00E77303">
            <w:pPr>
              <w:keepNext/>
              <w:keepLines/>
              <w:spacing w:before="240"/>
              <w:jc w:val="center"/>
              <w:outlineLvl w:val="0"/>
              <w:rPr>
                <w:rFonts w:eastAsiaTheme="majorEastAsia"/>
              </w:rPr>
            </w:pPr>
            <w:proofErr w:type="spellStart"/>
            <w:r w:rsidRPr="00DF0BC7">
              <w:rPr>
                <w:rFonts w:eastAsiaTheme="majorEastAsia"/>
              </w:rPr>
              <w:t>N.p.k</w:t>
            </w:r>
            <w:proofErr w:type="spellEnd"/>
            <w:r w:rsidRPr="00DF0BC7">
              <w:rPr>
                <w:rFonts w:eastAsiaTheme="majorEastAsia"/>
              </w:rPr>
              <w:t>.</w:t>
            </w:r>
          </w:p>
        </w:tc>
        <w:tc>
          <w:tcPr>
            <w:tcW w:w="6520" w:type="dxa"/>
            <w:vAlign w:val="center"/>
          </w:tcPr>
          <w:p w14:paraId="12956AB5" w14:textId="398C8A0F" w:rsidR="00E77303" w:rsidRPr="00DF0BC7" w:rsidRDefault="00E77303">
            <w:pPr>
              <w:keepNext/>
              <w:keepLines/>
              <w:spacing w:before="240"/>
              <w:jc w:val="center"/>
              <w:outlineLvl w:val="0"/>
              <w:rPr>
                <w:rFonts w:eastAsiaTheme="majorEastAsia"/>
              </w:rPr>
            </w:pPr>
          </w:p>
        </w:tc>
      </w:tr>
    </w:tbl>
    <w:p w14:paraId="60D00ED1" w14:textId="77777777" w:rsidR="007B32EC" w:rsidRPr="00DF0BC7" w:rsidRDefault="007B32EC" w:rsidP="00DC3825">
      <w:pPr>
        <w:spacing w:after="0" w:line="240" w:lineRule="auto"/>
      </w:pPr>
    </w:p>
    <w:tbl>
      <w:tblPr>
        <w:tblStyle w:val="TableGrid"/>
        <w:tblW w:w="10206" w:type="dxa"/>
        <w:tblInd w:w="-572" w:type="dxa"/>
        <w:tblLayout w:type="fixed"/>
        <w:tblLook w:val="04A0" w:firstRow="1" w:lastRow="0" w:firstColumn="1" w:lastColumn="0" w:noHBand="0" w:noVBand="1"/>
      </w:tblPr>
      <w:tblGrid>
        <w:gridCol w:w="709"/>
        <w:gridCol w:w="2977"/>
        <w:gridCol w:w="4394"/>
        <w:gridCol w:w="709"/>
        <w:gridCol w:w="709"/>
        <w:gridCol w:w="708"/>
      </w:tblGrid>
      <w:tr w:rsidR="00696A94" w:rsidRPr="000F4D7D" w14:paraId="427455E3" w14:textId="77777777" w:rsidTr="000B693E">
        <w:tc>
          <w:tcPr>
            <w:tcW w:w="709" w:type="dxa"/>
          </w:tcPr>
          <w:p w14:paraId="28D54E21" w14:textId="77777777" w:rsidR="00696A94" w:rsidRPr="000F4D7D" w:rsidRDefault="00696A94" w:rsidP="00562E8E">
            <w:pPr>
              <w:pStyle w:val="ListParagraph"/>
              <w:numPr>
                <w:ilvl w:val="0"/>
                <w:numId w:val="8"/>
              </w:numPr>
            </w:pPr>
          </w:p>
        </w:tc>
        <w:tc>
          <w:tcPr>
            <w:tcW w:w="2977" w:type="dxa"/>
          </w:tcPr>
          <w:p w14:paraId="1A23188A" w14:textId="77777777" w:rsidR="00696A94" w:rsidRPr="00A46697" w:rsidRDefault="00696A94" w:rsidP="0010472D">
            <w:pPr>
              <w:spacing w:after="120"/>
              <w:jc w:val="both"/>
            </w:pPr>
            <w:r w:rsidRPr="00A46697">
              <w:t>Normatīvais akts</w:t>
            </w:r>
          </w:p>
        </w:tc>
        <w:tc>
          <w:tcPr>
            <w:tcW w:w="6520" w:type="dxa"/>
            <w:gridSpan w:val="4"/>
          </w:tcPr>
          <w:p w14:paraId="4F7123B9" w14:textId="5F9925EF" w:rsidR="00696A94" w:rsidRPr="000F4D7D" w:rsidRDefault="00696A94" w:rsidP="00DC3825">
            <w:pPr>
              <w:jc w:val="both"/>
            </w:pPr>
          </w:p>
        </w:tc>
      </w:tr>
      <w:tr w:rsidR="00696A94" w:rsidRPr="000F4D7D" w14:paraId="29D482CC" w14:textId="77777777" w:rsidTr="000B693E">
        <w:tc>
          <w:tcPr>
            <w:tcW w:w="709" w:type="dxa"/>
          </w:tcPr>
          <w:p w14:paraId="040FAB9A" w14:textId="77777777" w:rsidR="00696A94" w:rsidRPr="000F4D7D" w:rsidRDefault="00696A94" w:rsidP="00562E8E">
            <w:pPr>
              <w:pStyle w:val="ListParagraph"/>
              <w:numPr>
                <w:ilvl w:val="0"/>
                <w:numId w:val="8"/>
              </w:numPr>
            </w:pPr>
          </w:p>
        </w:tc>
        <w:tc>
          <w:tcPr>
            <w:tcW w:w="2977" w:type="dxa"/>
          </w:tcPr>
          <w:p w14:paraId="6836E705" w14:textId="77777777" w:rsidR="00696A94" w:rsidRPr="00A46697" w:rsidRDefault="00696A94" w:rsidP="0010472D">
            <w:pPr>
              <w:spacing w:after="120"/>
              <w:jc w:val="both"/>
            </w:pPr>
            <w:r w:rsidRPr="00A46697">
              <w:t>Norma (likuma pants, panta daļa, punkts, apakšpunkts vai pārejas noteikumu punkts)</w:t>
            </w:r>
          </w:p>
        </w:tc>
        <w:tc>
          <w:tcPr>
            <w:tcW w:w="6520" w:type="dxa"/>
            <w:gridSpan w:val="4"/>
          </w:tcPr>
          <w:p w14:paraId="1D498DE0" w14:textId="6FBBD922" w:rsidR="00696A94" w:rsidRPr="000F4D7D" w:rsidRDefault="00696A94" w:rsidP="00DC3825">
            <w:pPr>
              <w:jc w:val="both"/>
            </w:pPr>
          </w:p>
        </w:tc>
      </w:tr>
      <w:tr w:rsidR="00696A94" w:rsidRPr="000F4D7D" w14:paraId="67E62F3C" w14:textId="77777777" w:rsidTr="000B693E">
        <w:tc>
          <w:tcPr>
            <w:tcW w:w="709" w:type="dxa"/>
          </w:tcPr>
          <w:p w14:paraId="58AA9D55" w14:textId="77777777" w:rsidR="00696A94" w:rsidRPr="000F4D7D" w:rsidRDefault="00696A94" w:rsidP="00562E8E">
            <w:pPr>
              <w:pStyle w:val="ListParagraph"/>
              <w:numPr>
                <w:ilvl w:val="0"/>
                <w:numId w:val="8"/>
              </w:numPr>
            </w:pPr>
          </w:p>
        </w:tc>
        <w:tc>
          <w:tcPr>
            <w:tcW w:w="2977" w:type="dxa"/>
          </w:tcPr>
          <w:p w14:paraId="24629BD3" w14:textId="77777777" w:rsidR="00696A94" w:rsidRPr="00A46697" w:rsidRDefault="00696A94" w:rsidP="0010472D">
            <w:pPr>
              <w:spacing w:after="120"/>
            </w:pPr>
            <w:r w:rsidRPr="00A46697">
              <w:t>Nodokļa atvieglojuma redakcija</w:t>
            </w:r>
          </w:p>
        </w:tc>
        <w:tc>
          <w:tcPr>
            <w:tcW w:w="6520" w:type="dxa"/>
            <w:gridSpan w:val="4"/>
          </w:tcPr>
          <w:p w14:paraId="620EABEB" w14:textId="37F90B7E" w:rsidR="000F4D7D" w:rsidRPr="00DF0BC7" w:rsidRDefault="000F4D7D" w:rsidP="00E12A40">
            <w:pPr>
              <w:ind w:left="248" w:hanging="248"/>
              <w:jc w:val="both"/>
            </w:pPr>
          </w:p>
        </w:tc>
      </w:tr>
      <w:tr w:rsidR="00A432AE" w:rsidRPr="000F4D7D" w14:paraId="7CD164E7" w14:textId="77777777" w:rsidTr="000B693E">
        <w:tc>
          <w:tcPr>
            <w:tcW w:w="709" w:type="dxa"/>
          </w:tcPr>
          <w:p w14:paraId="04AEFAF9" w14:textId="77777777" w:rsidR="00A432AE" w:rsidRPr="000F4D7D" w:rsidRDefault="00A432AE" w:rsidP="00562E8E">
            <w:pPr>
              <w:pStyle w:val="ListParagraph"/>
              <w:numPr>
                <w:ilvl w:val="0"/>
                <w:numId w:val="8"/>
              </w:numPr>
            </w:pPr>
          </w:p>
        </w:tc>
        <w:tc>
          <w:tcPr>
            <w:tcW w:w="2977" w:type="dxa"/>
          </w:tcPr>
          <w:p w14:paraId="4CF84A05" w14:textId="6A8DE769" w:rsidR="00A432AE" w:rsidRPr="00A46697" w:rsidRDefault="00A432AE" w:rsidP="0010472D">
            <w:pPr>
              <w:spacing w:after="120"/>
            </w:pPr>
            <w:r w:rsidRPr="00A46697">
              <w:t>Nodokļa atvieglojuma mērķis</w:t>
            </w:r>
          </w:p>
        </w:tc>
        <w:tc>
          <w:tcPr>
            <w:tcW w:w="6520" w:type="dxa"/>
            <w:gridSpan w:val="4"/>
          </w:tcPr>
          <w:p w14:paraId="59E9E3B4" w14:textId="77777777" w:rsidR="005B61A0" w:rsidRPr="000F4D7D" w:rsidRDefault="005B61A0" w:rsidP="00B22141">
            <w:pPr>
              <w:jc w:val="both"/>
            </w:pPr>
          </w:p>
        </w:tc>
      </w:tr>
      <w:tr w:rsidR="00696A94" w:rsidRPr="000F4D7D" w14:paraId="3D27F903" w14:textId="77777777" w:rsidTr="000B693E">
        <w:trPr>
          <w:trHeight w:val="325"/>
        </w:trPr>
        <w:tc>
          <w:tcPr>
            <w:tcW w:w="709" w:type="dxa"/>
          </w:tcPr>
          <w:p w14:paraId="0818DD12" w14:textId="77777777" w:rsidR="00696A94" w:rsidRPr="000F4D7D" w:rsidRDefault="00696A94" w:rsidP="00562E8E">
            <w:pPr>
              <w:pStyle w:val="ListParagraph"/>
              <w:numPr>
                <w:ilvl w:val="0"/>
                <w:numId w:val="8"/>
              </w:numPr>
            </w:pPr>
          </w:p>
        </w:tc>
        <w:tc>
          <w:tcPr>
            <w:tcW w:w="2977" w:type="dxa"/>
          </w:tcPr>
          <w:p w14:paraId="3CE5A56D" w14:textId="77777777" w:rsidR="00696A94" w:rsidRPr="00A46697" w:rsidRDefault="00696A94" w:rsidP="0010472D">
            <w:pPr>
              <w:spacing w:after="120"/>
            </w:pPr>
            <w:r w:rsidRPr="00A46697">
              <w:t>Nodokļa atvieglojuma grupa</w:t>
            </w:r>
            <w:r w:rsidRPr="00A46697">
              <w:rPr>
                <w:rStyle w:val="FootnoteReference"/>
              </w:rPr>
              <w:footnoteReference w:id="1"/>
            </w:r>
          </w:p>
        </w:tc>
        <w:tc>
          <w:tcPr>
            <w:tcW w:w="6520" w:type="dxa"/>
            <w:gridSpan w:val="4"/>
          </w:tcPr>
          <w:p w14:paraId="51080EAE" w14:textId="3B0265C0" w:rsidR="00696A94" w:rsidRPr="000F4D7D" w:rsidRDefault="00696A94" w:rsidP="00B22141">
            <w:pPr>
              <w:pStyle w:val="ListParagraph"/>
              <w:tabs>
                <w:tab w:val="left" w:pos="265"/>
              </w:tabs>
              <w:ind w:left="0"/>
              <w:jc w:val="both"/>
            </w:pPr>
          </w:p>
        </w:tc>
      </w:tr>
      <w:tr w:rsidR="00696A94" w:rsidRPr="000F4D7D" w14:paraId="0874ECC8" w14:textId="77777777" w:rsidTr="000B693E">
        <w:trPr>
          <w:trHeight w:val="699"/>
        </w:trPr>
        <w:tc>
          <w:tcPr>
            <w:tcW w:w="709" w:type="dxa"/>
          </w:tcPr>
          <w:p w14:paraId="4188ACB9" w14:textId="77777777" w:rsidR="00696A94" w:rsidRPr="000F4D7D" w:rsidRDefault="00696A94" w:rsidP="00562E8E">
            <w:pPr>
              <w:pStyle w:val="ListParagraph"/>
              <w:numPr>
                <w:ilvl w:val="0"/>
                <w:numId w:val="8"/>
              </w:numPr>
            </w:pPr>
          </w:p>
        </w:tc>
        <w:tc>
          <w:tcPr>
            <w:tcW w:w="2977" w:type="dxa"/>
          </w:tcPr>
          <w:p w14:paraId="33571DBC" w14:textId="77777777" w:rsidR="00696A94" w:rsidRPr="00A46697" w:rsidRDefault="00696A94" w:rsidP="0010472D">
            <w:pPr>
              <w:spacing w:after="120"/>
            </w:pPr>
            <w:r w:rsidRPr="00A46697">
              <w:t xml:space="preserve">Prognozētais </w:t>
            </w:r>
            <w:r w:rsidR="00C22103" w:rsidRPr="00A46697">
              <w:t xml:space="preserve">(esošais) </w:t>
            </w:r>
            <w:r w:rsidRPr="00A46697">
              <w:t xml:space="preserve">nodokļa maksātāju skaits, kuri saņems nodokļa atvieglojumu, trīs gadu periodā, sākot ar nodokļa </w:t>
            </w:r>
            <w:r w:rsidR="00AD3A27" w:rsidRPr="00A46697">
              <w:t>atvieglojuma ieviešanas periodu</w:t>
            </w:r>
          </w:p>
        </w:tc>
        <w:tc>
          <w:tcPr>
            <w:tcW w:w="6520" w:type="dxa"/>
            <w:gridSpan w:val="4"/>
          </w:tcPr>
          <w:p w14:paraId="2C1A4FD2" w14:textId="672ECE8A" w:rsidR="00FA189F" w:rsidRPr="000F4D7D" w:rsidRDefault="00FA189F" w:rsidP="00C22103"/>
        </w:tc>
      </w:tr>
      <w:tr w:rsidR="00696A94" w:rsidRPr="000F4D7D" w14:paraId="7F5C5AB6" w14:textId="77777777" w:rsidTr="000B693E">
        <w:trPr>
          <w:trHeight w:val="540"/>
        </w:trPr>
        <w:tc>
          <w:tcPr>
            <w:tcW w:w="709" w:type="dxa"/>
          </w:tcPr>
          <w:p w14:paraId="08AC5EB2" w14:textId="77777777" w:rsidR="00696A94" w:rsidRPr="000F4D7D" w:rsidRDefault="00696A94" w:rsidP="00562E8E">
            <w:pPr>
              <w:pStyle w:val="ListParagraph"/>
              <w:numPr>
                <w:ilvl w:val="0"/>
                <w:numId w:val="8"/>
              </w:numPr>
            </w:pPr>
          </w:p>
        </w:tc>
        <w:tc>
          <w:tcPr>
            <w:tcW w:w="2977" w:type="dxa"/>
          </w:tcPr>
          <w:p w14:paraId="57B98251" w14:textId="77777777" w:rsidR="00696A94" w:rsidRPr="00A46697" w:rsidRDefault="00696A94" w:rsidP="00BA77A4">
            <w:pPr>
              <w:spacing w:after="120"/>
            </w:pPr>
            <w:r w:rsidRPr="00A46697">
              <w:t xml:space="preserve">Prognozētā </w:t>
            </w:r>
            <w:r w:rsidR="00C22103" w:rsidRPr="00A46697">
              <w:t xml:space="preserve">(esošā) </w:t>
            </w:r>
            <w:r w:rsidRPr="00A46697">
              <w:t xml:space="preserve">nodokļa atvieglojuma fiskālā ietekme trīs gadu periodā, sākot ar nodokļa atvieglojuma ieviešanas </w:t>
            </w:r>
            <w:r w:rsidR="00C22103" w:rsidRPr="00A46697">
              <w:t>(</w:t>
            </w:r>
            <w:proofErr w:type="spellStart"/>
            <w:r w:rsidR="00C22103" w:rsidRPr="00A46697">
              <w:t>izvērtējuma</w:t>
            </w:r>
            <w:proofErr w:type="spellEnd"/>
            <w:r w:rsidR="00C22103" w:rsidRPr="00A46697">
              <w:t xml:space="preserve">) </w:t>
            </w:r>
            <w:r w:rsidRPr="00A46697">
              <w:t>periodu</w:t>
            </w:r>
          </w:p>
        </w:tc>
        <w:tc>
          <w:tcPr>
            <w:tcW w:w="6520" w:type="dxa"/>
            <w:gridSpan w:val="4"/>
          </w:tcPr>
          <w:p w14:paraId="02C94B5A" w14:textId="489ED4D7" w:rsidR="00DC3825" w:rsidRPr="00E12A40" w:rsidRDefault="00DC3825" w:rsidP="00C22103"/>
        </w:tc>
      </w:tr>
      <w:tr w:rsidR="001B37F9" w:rsidRPr="000F4D7D" w14:paraId="3BBEB449" w14:textId="77777777" w:rsidTr="000B693E">
        <w:trPr>
          <w:trHeight w:val="319"/>
        </w:trPr>
        <w:tc>
          <w:tcPr>
            <w:tcW w:w="709" w:type="dxa"/>
            <w:vMerge w:val="restart"/>
          </w:tcPr>
          <w:p w14:paraId="1510FFF8" w14:textId="77777777" w:rsidR="00696A94" w:rsidRPr="000F4D7D" w:rsidRDefault="00696A94" w:rsidP="00562E8E">
            <w:pPr>
              <w:pStyle w:val="ListParagraph"/>
              <w:numPr>
                <w:ilvl w:val="0"/>
                <w:numId w:val="8"/>
              </w:numPr>
            </w:pPr>
          </w:p>
        </w:tc>
        <w:tc>
          <w:tcPr>
            <w:tcW w:w="2977" w:type="dxa"/>
            <w:vMerge w:val="restart"/>
          </w:tcPr>
          <w:p w14:paraId="48387D46" w14:textId="3A33A689" w:rsidR="00696A94" w:rsidRPr="00A46697" w:rsidRDefault="000B693E" w:rsidP="00BA77A4">
            <w:pPr>
              <w:spacing w:after="120"/>
            </w:pPr>
            <w:r w:rsidRPr="00A46697">
              <w:t>Nodokļa atvieglojuma</w:t>
            </w:r>
            <w:r w:rsidR="00696A94" w:rsidRPr="00A46697">
              <w:t xml:space="preserve"> sasniedzamie kvantitatīvie rezultatīvie rādītāji trīs gadu periodā, sākot ar nodokļa atvieglojuma ieviešanas periodu</w:t>
            </w:r>
          </w:p>
        </w:tc>
        <w:tc>
          <w:tcPr>
            <w:tcW w:w="4394" w:type="dxa"/>
          </w:tcPr>
          <w:p w14:paraId="3A2AB867" w14:textId="77777777" w:rsidR="00696A94" w:rsidRPr="000F4D7D" w:rsidRDefault="00696A94" w:rsidP="00DC3825">
            <w:r w:rsidRPr="000F4D7D">
              <w:t>Rezultatīvais rādītājs</w:t>
            </w:r>
          </w:p>
        </w:tc>
        <w:tc>
          <w:tcPr>
            <w:tcW w:w="709" w:type="dxa"/>
          </w:tcPr>
          <w:p w14:paraId="13F11652" w14:textId="77777777" w:rsidR="00696A94" w:rsidRPr="000F4D7D" w:rsidRDefault="00696A94" w:rsidP="00DC3825">
            <w:r w:rsidRPr="000F4D7D">
              <w:t>2020</w:t>
            </w:r>
          </w:p>
        </w:tc>
        <w:tc>
          <w:tcPr>
            <w:tcW w:w="709" w:type="dxa"/>
          </w:tcPr>
          <w:p w14:paraId="22F20588" w14:textId="77777777" w:rsidR="00696A94" w:rsidRPr="000F4D7D" w:rsidRDefault="00696A94" w:rsidP="00DC3825">
            <w:r w:rsidRPr="000F4D7D">
              <w:t>2021</w:t>
            </w:r>
          </w:p>
        </w:tc>
        <w:tc>
          <w:tcPr>
            <w:tcW w:w="708" w:type="dxa"/>
          </w:tcPr>
          <w:p w14:paraId="39CAFFA8" w14:textId="77777777" w:rsidR="00696A94" w:rsidRPr="000F4D7D" w:rsidRDefault="00696A94" w:rsidP="00DC3825">
            <w:r w:rsidRPr="000F4D7D">
              <w:t>2022</w:t>
            </w:r>
          </w:p>
        </w:tc>
      </w:tr>
      <w:tr w:rsidR="001B37F9" w:rsidRPr="000F4D7D" w14:paraId="024F2238" w14:textId="77777777" w:rsidTr="000B693E">
        <w:trPr>
          <w:trHeight w:val="330"/>
        </w:trPr>
        <w:tc>
          <w:tcPr>
            <w:tcW w:w="709" w:type="dxa"/>
            <w:vMerge/>
          </w:tcPr>
          <w:p w14:paraId="1E172FB6" w14:textId="77777777" w:rsidR="00AD3A27" w:rsidRPr="000F4D7D" w:rsidRDefault="00AD3A27" w:rsidP="00562E8E">
            <w:pPr>
              <w:pStyle w:val="ListParagraph"/>
              <w:numPr>
                <w:ilvl w:val="0"/>
                <w:numId w:val="8"/>
              </w:numPr>
            </w:pPr>
          </w:p>
        </w:tc>
        <w:tc>
          <w:tcPr>
            <w:tcW w:w="2977" w:type="dxa"/>
            <w:vMerge/>
          </w:tcPr>
          <w:p w14:paraId="7A8E0EC3" w14:textId="77777777" w:rsidR="00AD3A27" w:rsidRPr="00A46697" w:rsidRDefault="00AD3A27" w:rsidP="00AD3A27"/>
        </w:tc>
        <w:tc>
          <w:tcPr>
            <w:tcW w:w="4394" w:type="dxa"/>
          </w:tcPr>
          <w:p w14:paraId="36D95124" w14:textId="158FAA55" w:rsidR="00AD3A27" w:rsidRPr="000F4D7D" w:rsidRDefault="000B693E" w:rsidP="00AD3A27">
            <w:pPr>
              <w:jc w:val="both"/>
            </w:pPr>
            <w:r>
              <w:t>1.</w:t>
            </w:r>
          </w:p>
        </w:tc>
        <w:tc>
          <w:tcPr>
            <w:tcW w:w="709" w:type="dxa"/>
          </w:tcPr>
          <w:p w14:paraId="4A0AA71F" w14:textId="77777777" w:rsidR="00AD3A27" w:rsidRPr="00E12A40" w:rsidRDefault="00AD3A27" w:rsidP="00AD3A27"/>
        </w:tc>
        <w:tc>
          <w:tcPr>
            <w:tcW w:w="709" w:type="dxa"/>
          </w:tcPr>
          <w:p w14:paraId="15BA3053" w14:textId="77777777" w:rsidR="00AD3A27" w:rsidRPr="00E12A40" w:rsidRDefault="00AD3A27" w:rsidP="00AD3A27"/>
        </w:tc>
        <w:tc>
          <w:tcPr>
            <w:tcW w:w="708" w:type="dxa"/>
          </w:tcPr>
          <w:p w14:paraId="22DC8E63" w14:textId="77777777" w:rsidR="00AD3A27" w:rsidRPr="00E12A40" w:rsidRDefault="00AD3A27" w:rsidP="00AD3A27"/>
        </w:tc>
      </w:tr>
      <w:tr w:rsidR="001B37F9" w:rsidRPr="000F4D7D" w14:paraId="12C7E51D" w14:textId="77777777" w:rsidTr="000B693E">
        <w:trPr>
          <w:trHeight w:val="330"/>
        </w:trPr>
        <w:tc>
          <w:tcPr>
            <w:tcW w:w="709" w:type="dxa"/>
            <w:vMerge/>
          </w:tcPr>
          <w:p w14:paraId="30E05EF0" w14:textId="77777777" w:rsidR="00AD3A27" w:rsidRPr="000F4D7D" w:rsidRDefault="00AD3A27" w:rsidP="00562E8E">
            <w:pPr>
              <w:pStyle w:val="ListParagraph"/>
              <w:numPr>
                <w:ilvl w:val="0"/>
                <w:numId w:val="8"/>
              </w:numPr>
            </w:pPr>
          </w:p>
        </w:tc>
        <w:tc>
          <w:tcPr>
            <w:tcW w:w="2977" w:type="dxa"/>
            <w:vMerge/>
          </w:tcPr>
          <w:p w14:paraId="2AA6F78E" w14:textId="77777777" w:rsidR="00AD3A27" w:rsidRPr="00A46697" w:rsidRDefault="00AD3A27" w:rsidP="00AD3A27"/>
        </w:tc>
        <w:tc>
          <w:tcPr>
            <w:tcW w:w="4394" w:type="dxa"/>
          </w:tcPr>
          <w:p w14:paraId="6273CF50" w14:textId="125CEFA9" w:rsidR="00AD3A27" w:rsidRPr="000F4D7D" w:rsidRDefault="000B693E" w:rsidP="00AD3A27">
            <w:pPr>
              <w:jc w:val="both"/>
            </w:pPr>
            <w:r>
              <w:t>2.</w:t>
            </w:r>
          </w:p>
        </w:tc>
        <w:tc>
          <w:tcPr>
            <w:tcW w:w="709" w:type="dxa"/>
          </w:tcPr>
          <w:p w14:paraId="0FE509E8" w14:textId="77777777" w:rsidR="00AD3A27" w:rsidRPr="00E12A40" w:rsidRDefault="00AD3A27" w:rsidP="00AD3A27"/>
        </w:tc>
        <w:tc>
          <w:tcPr>
            <w:tcW w:w="709" w:type="dxa"/>
          </w:tcPr>
          <w:p w14:paraId="60B9B497" w14:textId="77777777" w:rsidR="00AD3A27" w:rsidRPr="00E12A40" w:rsidRDefault="00AD3A27" w:rsidP="00AD3A27"/>
        </w:tc>
        <w:tc>
          <w:tcPr>
            <w:tcW w:w="708" w:type="dxa"/>
          </w:tcPr>
          <w:p w14:paraId="4F51DE3F" w14:textId="77777777" w:rsidR="001B37F9" w:rsidRPr="00E12A40" w:rsidRDefault="001B37F9" w:rsidP="00AD3A27"/>
        </w:tc>
      </w:tr>
      <w:tr w:rsidR="00AD3A27" w:rsidRPr="000F4D7D" w14:paraId="4848465B" w14:textId="77777777" w:rsidTr="000B693E">
        <w:tc>
          <w:tcPr>
            <w:tcW w:w="709" w:type="dxa"/>
          </w:tcPr>
          <w:p w14:paraId="19AD554A" w14:textId="77777777" w:rsidR="00AD3A27" w:rsidRPr="000F4D7D" w:rsidRDefault="00AD3A27" w:rsidP="00562E8E">
            <w:pPr>
              <w:pStyle w:val="ListParagraph"/>
              <w:numPr>
                <w:ilvl w:val="0"/>
                <w:numId w:val="8"/>
              </w:numPr>
            </w:pPr>
          </w:p>
        </w:tc>
        <w:tc>
          <w:tcPr>
            <w:tcW w:w="2977" w:type="dxa"/>
          </w:tcPr>
          <w:p w14:paraId="29ADC3DD" w14:textId="77777777" w:rsidR="00AD3A27" w:rsidRPr="00A46697" w:rsidRDefault="00AD3A27" w:rsidP="00BA77A4">
            <w:pPr>
              <w:spacing w:after="120"/>
            </w:pPr>
            <w:r w:rsidRPr="00A46697">
              <w:t xml:space="preserve">Nodokļa atvieglojuma paredzamais pozitīvais efekts salīdzinājumā ar paredzamo budžeta ieņēmumu samazinājumu – kvalitatīvs </w:t>
            </w:r>
            <w:proofErr w:type="spellStart"/>
            <w:r w:rsidRPr="00A46697">
              <w:t>izvērtējums</w:t>
            </w:r>
            <w:proofErr w:type="spellEnd"/>
            <w:r w:rsidRPr="00A46697">
              <w:t xml:space="preserve"> </w:t>
            </w:r>
            <w:r w:rsidR="005B61A0" w:rsidRPr="00A46697">
              <w:t>(ja nepieciešams vai nav kvantitatīvo rādītāju)</w:t>
            </w:r>
          </w:p>
        </w:tc>
        <w:tc>
          <w:tcPr>
            <w:tcW w:w="6520" w:type="dxa"/>
            <w:gridSpan w:val="4"/>
          </w:tcPr>
          <w:p w14:paraId="0A3FAFCF" w14:textId="4939DDB3" w:rsidR="00AD3A27" w:rsidRPr="000F4D7D" w:rsidRDefault="00AD3A27" w:rsidP="00453228">
            <w:pPr>
              <w:jc w:val="both"/>
            </w:pPr>
          </w:p>
        </w:tc>
      </w:tr>
      <w:tr w:rsidR="00AD3A27" w:rsidRPr="000F4D7D" w14:paraId="7B936165" w14:textId="77777777" w:rsidTr="000B693E">
        <w:tc>
          <w:tcPr>
            <w:tcW w:w="709" w:type="dxa"/>
          </w:tcPr>
          <w:p w14:paraId="17BFE6B4" w14:textId="77777777" w:rsidR="00AD3A27" w:rsidRPr="000F4D7D" w:rsidRDefault="00AD3A27" w:rsidP="00562E8E">
            <w:pPr>
              <w:pStyle w:val="ListParagraph"/>
              <w:numPr>
                <w:ilvl w:val="0"/>
                <w:numId w:val="8"/>
              </w:numPr>
            </w:pPr>
          </w:p>
        </w:tc>
        <w:tc>
          <w:tcPr>
            <w:tcW w:w="2977" w:type="dxa"/>
          </w:tcPr>
          <w:p w14:paraId="38025278" w14:textId="77777777" w:rsidR="00AD3A27" w:rsidRPr="00A46697" w:rsidRDefault="00AD3A27" w:rsidP="00BA77A4">
            <w:pPr>
              <w:spacing w:after="120"/>
            </w:pPr>
            <w:r w:rsidRPr="00A46697">
              <w:t xml:space="preserve">Nodokļa atvieglojuma iespējamie </w:t>
            </w:r>
            <w:r w:rsidR="00E34830" w:rsidRPr="00A46697">
              <w:t xml:space="preserve">blakusefekti, riski </w:t>
            </w:r>
            <w:r w:rsidRPr="00A46697">
              <w:t xml:space="preserve">(t.sk. paredzama nodokļu plānošana, lai samazinātu maksājamo nodokļu kopējo apmēru, izkropļota resursu pārdale ekonomikā u.c.), </w:t>
            </w:r>
            <w:r w:rsidR="00E34830" w:rsidRPr="00A46697">
              <w:t xml:space="preserve">problēmas </w:t>
            </w:r>
            <w:r w:rsidRPr="00A46697">
              <w:t>u.tml.</w:t>
            </w:r>
          </w:p>
        </w:tc>
        <w:tc>
          <w:tcPr>
            <w:tcW w:w="6520" w:type="dxa"/>
            <w:gridSpan w:val="4"/>
          </w:tcPr>
          <w:p w14:paraId="63BD9894" w14:textId="3BAF8C81" w:rsidR="00F43913" w:rsidRPr="000F4D7D" w:rsidRDefault="00F43913" w:rsidP="00B22141">
            <w:pPr>
              <w:jc w:val="both"/>
            </w:pPr>
          </w:p>
        </w:tc>
      </w:tr>
      <w:tr w:rsidR="00AD3A27" w:rsidRPr="000F4D7D" w14:paraId="26A46E8D" w14:textId="77777777" w:rsidTr="000B693E">
        <w:tc>
          <w:tcPr>
            <w:tcW w:w="709" w:type="dxa"/>
          </w:tcPr>
          <w:p w14:paraId="600C54A7" w14:textId="77777777" w:rsidR="00AD3A27" w:rsidRPr="000F4D7D" w:rsidRDefault="00AD3A27" w:rsidP="00562E8E">
            <w:pPr>
              <w:pStyle w:val="ListParagraph"/>
              <w:numPr>
                <w:ilvl w:val="0"/>
                <w:numId w:val="8"/>
              </w:numPr>
            </w:pPr>
          </w:p>
        </w:tc>
        <w:tc>
          <w:tcPr>
            <w:tcW w:w="2977" w:type="dxa"/>
          </w:tcPr>
          <w:p w14:paraId="54187956" w14:textId="77777777" w:rsidR="00AD3A27" w:rsidRPr="00A46697" w:rsidRDefault="00AD3A27" w:rsidP="00BA77A4">
            <w:pPr>
              <w:spacing w:after="120"/>
            </w:pPr>
            <w:r w:rsidRPr="00A46697">
              <w:t>Atbilstība ES valsts atbalsta nosacījumiem</w:t>
            </w:r>
          </w:p>
        </w:tc>
        <w:tc>
          <w:tcPr>
            <w:tcW w:w="6520" w:type="dxa"/>
            <w:gridSpan w:val="4"/>
          </w:tcPr>
          <w:p w14:paraId="49F3BCF2" w14:textId="58ADFD10" w:rsidR="00AD3A27" w:rsidRPr="000F4D7D" w:rsidRDefault="00AD3A27" w:rsidP="00AD3A27"/>
        </w:tc>
      </w:tr>
      <w:tr w:rsidR="00AD3A27" w:rsidRPr="000F4D7D" w14:paraId="2BF123E2" w14:textId="77777777" w:rsidTr="000B693E">
        <w:tc>
          <w:tcPr>
            <w:tcW w:w="709" w:type="dxa"/>
          </w:tcPr>
          <w:p w14:paraId="0D31DA83" w14:textId="77777777" w:rsidR="00AD3A27" w:rsidRPr="000F4D7D" w:rsidRDefault="00AD3A27" w:rsidP="00562E8E">
            <w:pPr>
              <w:pStyle w:val="ListParagraph"/>
              <w:numPr>
                <w:ilvl w:val="0"/>
                <w:numId w:val="8"/>
              </w:numPr>
            </w:pPr>
          </w:p>
        </w:tc>
        <w:tc>
          <w:tcPr>
            <w:tcW w:w="2977" w:type="dxa"/>
          </w:tcPr>
          <w:p w14:paraId="4C988B69" w14:textId="77777777" w:rsidR="00AD3A27" w:rsidRPr="00A46697" w:rsidRDefault="00D81396" w:rsidP="00BA77A4">
            <w:pPr>
              <w:spacing w:after="120"/>
            </w:pPr>
            <w:r w:rsidRPr="00A46697">
              <w:t>Papildus pieejamais valsts atbalsts</w:t>
            </w:r>
          </w:p>
        </w:tc>
        <w:tc>
          <w:tcPr>
            <w:tcW w:w="6520" w:type="dxa"/>
            <w:gridSpan w:val="4"/>
          </w:tcPr>
          <w:p w14:paraId="1329215A" w14:textId="740B0C36" w:rsidR="00E34830" w:rsidRPr="000F4D7D" w:rsidRDefault="00E34830" w:rsidP="00B22141">
            <w:pPr>
              <w:jc w:val="both"/>
            </w:pPr>
          </w:p>
        </w:tc>
      </w:tr>
    </w:tbl>
    <w:p w14:paraId="5D8746C1" w14:textId="29B238C0" w:rsidR="00A46697" w:rsidRDefault="00A46697" w:rsidP="00DC3825">
      <w:pPr>
        <w:spacing w:after="0" w:line="240" w:lineRule="auto"/>
      </w:pPr>
    </w:p>
    <w:p w14:paraId="3537E109" w14:textId="3BC0F474" w:rsidR="00A46697" w:rsidRDefault="00A46697" w:rsidP="00DC3825">
      <w:pPr>
        <w:spacing w:after="0" w:line="240" w:lineRule="auto"/>
      </w:pPr>
    </w:p>
    <w:p w14:paraId="746EEC57" w14:textId="77777777" w:rsidR="00A46697" w:rsidRDefault="00A46697" w:rsidP="00DC3825">
      <w:pPr>
        <w:spacing w:after="0" w:line="240" w:lineRule="auto"/>
      </w:pPr>
    </w:p>
    <w:p w14:paraId="54E31E64" w14:textId="77777777" w:rsidR="00407B03" w:rsidRPr="00407B03" w:rsidRDefault="00407B03" w:rsidP="00407B03">
      <w:pPr>
        <w:tabs>
          <w:tab w:val="left" w:pos="6946"/>
        </w:tabs>
        <w:spacing w:after="0" w:line="240" w:lineRule="auto"/>
        <w:rPr>
          <w:rFonts w:cstheme="minorBidi"/>
          <w:color w:val="000000"/>
          <w:sz w:val="26"/>
          <w:szCs w:val="26"/>
        </w:rPr>
      </w:pPr>
      <w:r w:rsidRPr="00407B03">
        <w:rPr>
          <w:rFonts w:cstheme="minorBidi"/>
          <w:color w:val="000000"/>
          <w:sz w:val="26"/>
          <w:szCs w:val="26"/>
        </w:rPr>
        <w:t>Finanšu ministrs</w:t>
      </w:r>
      <w:r w:rsidRPr="00407B03">
        <w:rPr>
          <w:rFonts w:cstheme="minorBidi"/>
          <w:color w:val="000000"/>
          <w:sz w:val="26"/>
          <w:szCs w:val="26"/>
        </w:rPr>
        <w:tab/>
        <w:t>Jānis Reirs</w:t>
      </w:r>
    </w:p>
    <w:p w14:paraId="2811B3A1" w14:textId="77777777" w:rsidR="00407B03" w:rsidRPr="00407B03" w:rsidRDefault="00407B03" w:rsidP="00407B03">
      <w:pPr>
        <w:spacing w:after="0" w:line="240" w:lineRule="auto"/>
        <w:rPr>
          <w:rFonts w:cstheme="minorBidi"/>
          <w:sz w:val="20"/>
          <w:szCs w:val="20"/>
        </w:rPr>
      </w:pPr>
    </w:p>
    <w:p w14:paraId="4A24DE09" w14:textId="77777777" w:rsidR="00407B03" w:rsidRPr="00407B03" w:rsidRDefault="00407B03" w:rsidP="00407B03">
      <w:pPr>
        <w:spacing w:after="0" w:line="240" w:lineRule="auto"/>
        <w:rPr>
          <w:rFonts w:cstheme="minorBidi"/>
          <w:sz w:val="20"/>
          <w:szCs w:val="20"/>
        </w:rPr>
      </w:pPr>
    </w:p>
    <w:p w14:paraId="0366E21B" w14:textId="77777777" w:rsidR="00407B03" w:rsidRDefault="00407B03" w:rsidP="00407B03">
      <w:pPr>
        <w:spacing w:after="0" w:line="240" w:lineRule="auto"/>
        <w:rPr>
          <w:rFonts w:cstheme="minorBidi"/>
          <w:sz w:val="20"/>
          <w:szCs w:val="20"/>
        </w:rPr>
      </w:pPr>
    </w:p>
    <w:p w14:paraId="1CFCC954" w14:textId="77777777" w:rsidR="00A621B1" w:rsidRDefault="00A621B1" w:rsidP="00407B03">
      <w:pPr>
        <w:spacing w:after="0" w:line="240" w:lineRule="auto"/>
        <w:rPr>
          <w:rFonts w:cstheme="minorBidi"/>
          <w:sz w:val="20"/>
          <w:szCs w:val="20"/>
        </w:rPr>
      </w:pPr>
    </w:p>
    <w:p w14:paraId="28C452BD" w14:textId="77777777" w:rsidR="00A621B1" w:rsidRDefault="00A621B1" w:rsidP="00407B03">
      <w:pPr>
        <w:spacing w:after="0" w:line="240" w:lineRule="auto"/>
        <w:rPr>
          <w:rFonts w:cstheme="minorBidi"/>
          <w:sz w:val="20"/>
          <w:szCs w:val="20"/>
        </w:rPr>
      </w:pPr>
    </w:p>
    <w:p w14:paraId="0EA6F17B" w14:textId="32E5F7FC" w:rsidR="00A621B1" w:rsidRDefault="00A621B1" w:rsidP="00407B03">
      <w:pPr>
        <w:spacing w:after="0" w:line="240" w:lineRule="auto"/>
        <w:rPr>
          <w:rFonts w:cstheme="minorBidi"/>
          <w:sz w:val="20"/>
          <w:szCs w:val="20"/>
        </w:rPr>
      </w:pPr>
    </w:p>
    <w:p w14:paraId="3B6744D5" w14:textId="03C86165" w:rsidR="00A46697" w:rsidRDefault="00A46697" w:rsidP="00407B03">
      <w:pPr>
        <w:spacing w:after="0" w:line="240" w:lineRule="auto"/>
        <w:rPr>
          <w:rFonts w:cstheme="minorBidi"/>
          <w:sz w:val="20"/>
          <w:szCs w:val="20"/>
        </w:rPr>
      </w:pPr>
    </w:p>
    <w:p w14:paraId="394D1424" w14:textId="5D0A889C" w:rsidR="00A46697" w:rsidRDefault="00A46697" w:rsidP="00407B03">
      <w:pPr>
        <w:spacing w:after="0" w:line="240" w:lineRule="auto"/>
        <w:rPr>
          <w:rFonts w:cstheme="minorBidi"/>
          <w:sz w:val="20"/>
          <w:szCs w:val="20"/>
        </w:rPr>
      </w:pPr>
    </w:p>
    <w:p w14:paraId="7827B936" w14:textId="26F94614" w:rsidR="00A46697" w:rsidRDefault="00A46697" w:rsidP="00407B03">
      <w:pPr>
        <w:spacing w:after="0" w:line="240" w:lineRule="auto"/>
        <w:rPr>
          <w:rFonts w:cstheme="minorBidi"/>
          <w:sz w:val="20"/>
          <w:szCs w:val="20"/>
        </w:rPr>
      </w:pPr>
    </w:p>
    <w:p w14:paraId="440231AD" w14:textId="23388D78" w:rsidR="00A46697" w:rsidRDefault="00A46697" w:rsidP="00407B03">
      <w:pPr>
        <w:spacing w:after="0" w:line="240" w:lineRule="auto"/>
        <w:rPr>
          <w:rFonts w:cstheme="minorBidi"/>
          <w:sz w:val="20"/>
          <w:szCs w:val="20"/>
        </w:rPr>
      </w:pPr>
    </w:p>
    <w:p w14:paraId="4B980358" w14:textId="21C51D23" w:rsidR="00A46697" w:rsidRDefault="00A46697" w:rsidP="00407B03">
      <w:pPr>
        <w:spacing w:after="0" w:line="240" w:lineRule="auto"/>
        <w:rPr>
          <w:rFonts w:cstheme="minorBidi"/>
          <w:sz w:val="20"/>
          <w:szCs w:val="20"/>
        </w:rPr>
      </w:pPr>
    </w:p>
    <w:p w14:paraId="21FB9D36" w14:textId="4CCADDC2" w:rsidR="00A46697" w:rsidRDefault="00A46697" w:rsidP="00407B03">
      <w:pPr>
        <w:spacing w:after="0" w:line="240" w:lineRule="auto"/>
        <w:rPr>
          <w:rFonts w:cstheme="minorBidi"/>
          <w:sz w:val="20"/>
          <w:szCs w:val="20"/>
        </w:rPr>
      </w:pPr>
    </w:p>
    <w:p w14:paraId="1DAA3DB6" w14:textId="270E279D" w:rsidR="00A46697" w:rsidRDefault="00A46697" w:rsidP="00407B03">
      <w:pPr>
        <w:spacing w:after="0" w:line="240" w:lineRule="auto"/>
        <w:rPr>
          <w:rFonts w:cstheme="minorBidi"/>
          <w:sz w:val="20"/>
          <w:szCs w:val="20"/>
        </w:rPr>
      </w:pPr>
    </w:p>
    <w:p w14:paraId="65128A39" w14:textId="134DA4E5" w:rsidR="00A46697" w:rsidRDefault="00A46697" w:rsidP="00407B03">
      <w:pPr>
        <w:spacing w:after="0" w:line="240" w:lineRule="auto"/>
        <w:rPr>
          <w:rFonts w:cstheme="minorBidi"/>
          <w:sz w:val="20"/>
          <w:szCs w:val="20"/>
        </w:rPr>
      </w:pPr>
    </w:p>
    <w:p w14:paraId="24BBA628" w14:textId="4DE21284" w:rsidR="00A46697" w:rsidRDefault="00A46697" w:rsidP="00407B03">
      <w:pPr>
        <w:spacing w:after="0" w:line="240" w:lineRule="auto"/>
        <w:rPr>
          <w:rFonts w:cstheme="minorBidi"/>
          <w:sz w:val="20"/>
          <w:szCs w:val="20"/>
        </w:rPr>
      </w:pPr>
    </w:p>
    <w:p w14:paraId="74ED1E74" w14:textId="47B63370" w:rsidR="00A46697" w:rsidRDefault="00A46697" w:rsidP="00407B03">
      <w:pPr>
        <w:spacing w:after="0" w:line="240" w:lineRule="auto"/>
        <w:rPr>
          <w:rFonts w:cstheme="minorBidi"/>
          <w:sz w:val="20"/>
          <w:szCs w:val="20"/>
        </w:rPr>
      </w:pPr>
    </w:p>
    <w:p w14:paraId="33E02DB9" w14:textId="3A46EA79" w:rsidR="00A46697" w:rsidRDefault="00A46697" w:rsidP="00407B03">
      <w:pPr>
        <w:spacing w:after="0" w:line="240" w:lineRule="auto"/>
        <w:rPr>
          <w:rFonts w:cstheme="minorBidi"/>
          <w:sz w:val="20"/>
          <w:szCs w:val="20"/>
        </w:rPr>
      </w:pPr>
    </w:p>
    <w:p w14:paraId="4D9DFCBF" w14:textId="40F60E98" w:rsidR="00A46697" w:rsidRDefault="00A46697" w:rsidP="00407B03">
      <w:pPr>
        <w:spacing w:after="0" w:line="240" w:lineRule="auto"/>
        <w:rPr>
          <w:rFonts w:cstheme="minorBidi"/>
          <w:sz w:val="20"/>
          <w:szCs w:val="20"/>
        </w:rPr>
      </w:pPr>
    </w:p>
    <w:p w14:paraId="3A9AA394" w14:textId="77777777" w:rsidR="00A46697" w:rsidRDefault="00A46697" w:rsidP="00407B03">
      <w:pPr>
        <w:spacing w:after="0" w:line="240" w:lineRule="auto"/>
        <w:rPr>
          <w:rFonts w:cstheme="minorBidi"/>
          <w:sz w:val="20"/>
          <w:szCs w:val="20"/>
        </w:rPr>
      </w:pPr>
    </w:p>
    <w:p w14:paraId="2330A6C6" w14:textId="77777777" w:rsidR="00407B03" w:rsidRPr="00407B03" w:rsidRDefault="00E12A40" w:rsidP="00407B03">
      <w:pPr>
        <w:spacing w:after="0" w:line="240" w:lineRule="auto"/>
        <w:contextualSpacing/>
        <w:rPr>
          <w:rFonts w:cstheme="minorBidi"/>
          <w:sz w:val="20"/>
          <w:szCs w:val="22"/>
        </w:rPr>
      </w:pPr>
      <w:proofErr w:type="spellStart"/>
      <w:r>
        <w:rPr>
          <w:rFonts w:cstheme="minorBidi"/>
          <w:sz w:val="20"/>
          <w:szCs w:val="22"/>
        </w:rPr>
        <w:t>D.</w:t>
      </w:r>
      <w:r w:rsidR="00407B03" w:rsidRPr="00407B03">
        <w:rPr>
          <w:rFonts w:cstheme="minorBidi"/>
          <w:sz w:val="20"/>
          <w:szCs w:val="22"/>
        </w:rPr>
        <w:t>Dzelme</w:t>
      </w:r>
      <w:proofErr w:type="spellEnd"/>
      <w:r w:rsidR="00407B03" w:rsidRPr="00407B03">
        <w:rPr>
          <w:rFonts w:cstheme="minorBidi"/>
          <w:sz w:val="20"/>
          <w:szCs w:val="22"/>
        </w:rPr>
        <w:t>-Urbāne 67095661</w:t>
      </w:r>
    </w:p>
    <w:p w14:paraId="1C7AD066" w14:textId="77777777" w:rsidR="00407B03" w:rsidRPr="00407B03" w:rsidRDefault="00407B03" w:rsidP="00407B03">
      <w:pPr>
        <w:spacing w:after="0" w:line="240" w:lineRule="auto"/>
        <w:contextualSpacing/>
        <w:rPr>
          <w:rFonts w:cstheme="minorBidi"/>
          <w:color w:val="0000FF"/>
          <w:sz w:val="20"/>
          <w:szCs w:val="22"/>
          <w:u w:val="single"/>
        </w:rPr>
      </w:pPr>
      <w:r w:rsidRPr="00407B03">
        <w:rPr>
          <w:rFonts w:cstheme="minorBidi"/>
          <w:color w:val="0000FF"/>
          <w:sz w:val="20"/>
          <w:szCs w:val="22"/>
          <w:u w:val="single"/>
        </w:rPr>
        <w:t>Daina</w:t>
      </w:r>
      <w:hyperlink r:id="rId11" w:history="1">
        <w:r w:rsidRPr="00407B03">
          <w:rPr>
            <w:rFonts w:cstheme="minorBidi"/>
            <w:color w:val="0000FF"/>
            <w:sz w:val="20"/>
            <w:szCs w:val="22"/>
            <w:u w:val="single"/>
          </w:rPr>
          <w:t>.Dzelme-Urbane@fm.gov.lv</w:t>
        </w:r>
      </w:hyperlink>
    </w:p>
    <w:sectPr w:rsidR="00407B03" w:rsidRPr="00407B03" w:rsidSect="00B57EF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72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CF682" w14:textId="77777777" w:rsidR="00CD533C" w:rsidRDefault="00CD533C" w:rsidP="00696A94">
      <w:pPr>
        <w:spacing w:after="0" w:line="240" w:lineRule="auto"/>
      </w:pPr>
      <w:r>
        <w:separator/>
      </w:r>
    </w:p>
  </w:endnote>
  <w:endnote w:type="continuationSeparator" w:id="0">
    <w:p w14:paraId="44E4681F" w14:textId="77777777" w:rsidR="00CD533C" w:rsidRDefault="00CD533C" w:rsidP="0069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5F252" w14:textId="77777777" w:rsidR="003B322F" w:rsidRDefault="003B3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12EA" w14:textId="4158C756" w:rsidR="00316557" w:rsidRPr="00A46697" w:rsidRDefault="00A46697" w:rsidP="00A46697">
    <w:pPr>
      <w:tabs>
        <w:tab w:val="center" w:pos="4153"/>
        <w:tab w:val="right" w:pos="8306"/>
      </w:tabs>
      <w:spacing w:after="0" w:line="240" w:lineRule="auto"/>
      <w:ind w:left="-284"/>
      <w:jc w:val="both"/>
      <w:rPr>
        <w:rFonts w:cstheme="minorBidi"/>
        <w:sz w:val="20"/>
        <w:szCs w:val="20"/>
      </w:rPr>
    </w:pPr>
    <w:r w:rsidRPr="00A46697">
      <w:rPr>
        <w:rFonts w:cstheme="minorBidi"/>
        <w:sz w:val="20"/>
        <w:szCs w:val="20"/>
      </w:rPr>
      <w:t>FMZinP_</w:t>
    </w:r>
    <w:r w:rsidR="003B322F">
      <w:rPr>
        <w:rFonts w:cstheme="minorBidi"/>
        <w:sz w:val="20"/>
        <w:szCs w:val="20"/>
      </w:rPr>
      <w:t>21</w:t>
    </w:r>
    <w:r w:rsidRPr="00A46697">
      <w:rPr>
        <w:rFonts w:cstheme="minorBidi"/>
        <w:sz w:val="20"/>
        <w:szCs w:val="20"/>
      </w:rPr>
      <w:t>0520_NAizv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2CF6" w14:textId="77777777" w:rsidR="003B322F" w:rsidRDefault="003B3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675A8" w14:textId="77777777" w:rsidR="00CD533C" w:rsidRDefault="00CD533C" w:rsidP="00696A94">
      <w:pPr>
        <w:spacing w:after="0" w:line="240" w:lineRule="auto"/>
      </w:pPr>
      <w:r>
        <w:separator/>
      </w:r>
    </w:p>
  </w:footnote>
  <w:footnote w:type="continuationSeparator" w:id="0">
    <w:p w14:paraId="04392051" w14:textId="77777777" w:rsidR="00CD533C" w:rsidRDefault="00CD533C" w:rsidP="00696A94">
      <w:pPr>
        <w:spacing w:after="0" w:line="240" w:lineRule="auto"/>
      </w:pPr>
      <w:r>
        <w:continuationSeparator/>
      </w:r>
    </w:p>
  </w:footnote>
  <w:footnote w:id="1">
    <w:p w14:paraId="2F1824E4" w14:textId="77777777" w:rsidR="00696A94" w:rsidRPr="00696A94" w:rsidRDefault="00696A94">
      <w:pPr>
        <w:pStyle w:val="FootnoteText"/>
        <w:rPr>
          <w:sz w:val="16"/>
        </w:rPr>
      </w:pPr>
      <w:r>
        <w:rPr>
          <w:rStyle w:val="FootnoteReference"/>
        </w:rPr>
        <w:footnoteRef/>
      </w:r>
      <w:r>
        <w:t xml:space="preserve"> </w:t>
      </w:r>
      <w:r w:rsidRPr="00696A94">
        <w:rPr>
          <w:sz w:val="16"/>
        </w:rPr>
        <w:t>1. Atvieglojums, kas vērsts uz noteiktu ekonomisku vai sociālu mērķu sasniegšanu</w:t>
      </w:r>
    </w:p>
    <w:p w14:paraId="4C4C05DC" w14:textId="77777777" w:rsidR="00696A94" w:rsidRPr="00696A94" w:rsidRDefault="00696A94" w:rsidP="00696A94">
      <w:pPr>
        <w:pStyle w:val="FootnoteText"/>
        <w:ind w:firstLine="142"/>
        <w:rPr>
          <w:sz w:val="16"/>
        </w:rPr>
      </w:pPr>
      <w:r w:rsidRPr="00696A94">
        <w:rPr>
          <w:sz w:val="16"/>
        </w:rPr>
        <w:t>2. Izriet no ienākuma nodokļu sistēmas (pēc ekonomiskās būtības nav atvieglojums)</w:t>
      </w:r>
    </w:p>
    <w:p w14:paraId="1B89AA42" w14:textId="77777777" w:rsidR="00696A94" w:rsidRPr="00696A94" w:rsidRDefault="00696A94" w:rsidP="00696A94">
      <w:pPr>
        <w:pStyle w:val="FootnoteText"/>
        <w:ind w:firstLine="142"/>
        <w:rPr>
          <w:sz w:val="16"/>
        </w:rPr>
      </w:pPr>
      <w:r w:rsidRPr="00696A94">
        <w:rPr>
          <w:sz w:val="16"/>
        </w:rPr>
        <w:t>3. Atbrīvota kompensācija, kurai nav ienākuma gūšanas raksturs</w:t>
      </w:r>
    </w:p>
    <w:p w14:paraId="0B555795" w14:textId="77777777" w:rsidR="00696A94" w:rsidRPr="00696A94" w:rsidRDefault="00696A94" w:rsidP="00696A94">
      <w:pPr>
        <w:pStyle w:val="FootnoteText"/>
        <w:ind w:left="142"/>
        <w:rPr>
          <w:sz w:val="16"/>
        </w:rPr>
      </w:pPr>
      <w:r w:rsidRPr="00696A94">
        <w:rPr>
          <w:sz w:val="16"/>
        </w:rPr>
        <w:t>4. Vienkāršota nodokļa administrēšana (pēc ekonomiskās būtības nav atvieglojums, jo būtiski nemainās nodokļa slogs salīdzinājumā ar to, kāds tas būtu vispārējā kārtībā maksājot nodokli)</w:t>
      </w:r>
    </w:p>
    <w:p w14:paraId="640DAC0B" w14:textId="77777777" w:rsidR="00696A94" w:rsidRPr="00696A94" w:rsidRDefault="00696A94" w:rsidP="00696A94">
      <w:pPr>
        <w:pStyle w:val="FootnoteText"/>
        <w:ind w:left="142"/>
        <w:rPr>
          <w:sz w:val="16"/>
        </w:rPr>
      </w:pPr>
      <w:r w:rsidRPr="00696A94">
        <w:rPr>
          <w:sz w:val="16"/>
        </w:rPr>
        <w:t xml:space="preserve">5. Atbrīvojums valsts budžeta izmaksātajiem </w:t>
      </w:r>
      <w:proofErr w:type="spellStart"/>
      <w:r w:rsidRPr="00696A94">
        <w:rPr>
          <w:sz w:val="16"/>
        </w:rPr>
        <w:t>transfertiem</w:t>
      </w:r>
      <w:proofErr w:type="spellEnd"/>
      <w:r w:rsidRPr="00696A94">
        <w:rPr>
          <w:sz w:val="16"/>
        </w:rPr>
        <w:t>, pabalstiem (parasti pēc ekonomiskās būtības noteiktu sociālu grupu atbalstam)</w:t>
      </w:r>
    </w:p>
    <w:p w14:paraId="7B8E15AF" w14:textId="77777777" w:rsidR="00696A94" w:rsidRPr="00696A94" w:rsidRDefault="00696A94" w:rsidP="00696A94">
      <w:pPr>
        <w:pStyle w:val="FootnoteText"/>
        <w:ind w:left="142"/>
        <w:rPr>
          <w:sz w:val="16"/>
        </w:rPr>
      </w:pPr>
      <w:r w:rsidRPr="00696A94">
        <w:rPr>
          <w:sz w:val="16"/>
        </w:rPr>
        <w:t>6. Ģimenes locekļu, laulāto, radinieku, bērnu un vecāku savstarpējās materiālās attiecības, kurās nodokļu likums parasti neiejaucas. Uzturnauda apgādībā esošām personām, par kurām gādāt pienākumu uzliek likums Fizisko personu (starp kuriem nepastāv iepriekš minētās saites) savstarpējās materiālās attiecības, ja savstarpējie darījumi nepārsniedz noteiktu apmēru.</w:t>
      </w:r>
    </w:p>
    <w:p w14:paraId="14E2C5CD" w14:textId="77777777" w:rsidR="00696A94" w:rsidRDefault="00696A94" w:rsidP="00696A94">
      <w:pPr>
        <w:pStyle w:val="FootnoteText"/>
        <w:ind w:left="142"/>
      </w:pPr>
      <w:r w:rsidRPr="00696A94">
        <w:rPr>
          <w:sz w:val="16"/>
        </w:rPr>
        <w:t>7. Atvieglojums, kas izriet no valsts funkciju nodrošināšanas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57550" w14:textId="77777777" w:rsidR="003B322F" w:rsidRDefault="003B3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B1905" w14:textId="77777777" w:rsidR="003B322F" w:rsidRDefault="003B3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F2673" w14:textId="77777777" w:rsidR="003B322F" w:rsidRDefault="003B3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28A0"/>
    <w:multiLevelType w:val="hybridMultilevel"/>
    <w:tmpl w:val="9A94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436A5"/>
    <w:multiLevelType w:val="hybridMultilevel"/>
    <w:tmpl w:val="3D205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4274724"/>
    <w:multiLevelType w:val="hybridMultilevel"/>
    <w:tmpl w:val="C07AB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61D34"/>
    <w:multiLevelType w:val="hybridMultilevel"/>
    <w:tmpl w:val="0EE0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E2A3B"/>
    <w:multiLevelType w:val="hybridMultilevel"/>
    <w:tmpl w:val="1AC45A4A"/>
    <w:lvl w:ilvl="0" w:tplc="F9D0618E">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A28013C"/>
    <w:multiLevelType w:val="hybridMultilevel"/>
    <w:tmpl w:val="1D14E7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1E4004"/>
    <w:multiLevelType w:val="hybridMultilevel"/>
    <w:tmpl w:val="18C6AE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A723B9B"/>
    <w:multiLevelType w:val="hybridMultilevel"/>
    <w:tmpl w:val="F8E2A46E"/>
    <w:lvl w:ilvl="0" w:tplc="E2149D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29"/>
    <w:rsid w:val="00037A0E"/>
    <w:rsid w:val="00050744"/>
    <w:rsid w:val="00074535"/>
    <w:rsid w:val="000B693E"/>
    <w:rsid w:val="000C44E9"/>
    <w:rsid w:val="000F4D7D"/>
    <w:rsid w:val="0010472D"/>
    <w:rsid w:val="001501B8"/>
    <w:rsid w:val="00154E4E"/>
    <w:rsid w:val="001872EB"/>
    <w:rsid w:val="001B37F9"/>
    <w:rsid w:val="001C29CD"/>
    <w:rsid w:val="002028FD"/>
    <w:rsid w:val="0022288C"/>
    <w:rsid w:val="00267694"/>
    <w:rsid w:val="00281B25"/>
    <w:rsid w:val="002970B6"/>
    <w:rsid w:val="002D5B02"/>
    <w:rsid w:val="00315AFA"/>
    <w:rsid w:val="00316557"/>
    <w:rsid w:val="00343B53"/>
    <w:rsid w:val="003B322F"/>
    <w:rsid w:val="003B5D6B"/>
    <w:rsid w:val="003C2352"/>
    <w:rsid w:val="003C3661"/>
    <w:rsid w:val="003E0985"/>
    <w:rsid w:val="00407B03"/>
    <w:rsid w:val="00437F4A"/>
    <w:rsid w:val="00453228"/>
    <w:rsid w:val="00456773"/>
    <w:rsid w:val="004756E9"/>
    <w:rsid w:val="00480BB2"/>
    <w:rsid w:val="004B04C6"/>
    <w:rsid w:val="004F2B19"/>
    <w:rsid w:val="005157D9"/>
    <w:rsid w:val="005429C5"/>
    <w:rsid w:val="00561E98"/>
    <w:rsid w:val="00562E8E"/>
    <w:rsid w:val="00570F13"/>
    <w:rsid w:val="00580F83"/>
    <w:rsid w:val="0058335C"/>
    <w:rsid w:val="005B61A0"/>
    <w:rsid w:val="006929FD"/>
    <w:rsid w:val="00696A94"/>
    <w:rsid w:val="007B32EC"/>
    <w:rsid w:val="007C278D"/>
    <w:rsid w:val="008442A5"/>
    <w:rsid w:val="008D2229"/>
    <w:rsid w:val="008F7B84"/>
    <w:rsid w:val="009B7B74"/>
    <w:rsid w:val="009D145A"/>
    <w:rsid w:val="009E426C"/>
    <w:rsid w:val="009F19D2"/>
    <w:rsid w:val="00A12460"/>
    <w:rsid w:val="00A2074C"/>
    <w:rsid w:val="00A2368C"/>
    <w:rsid w:val="00A23BA0"/>
    <w:rsid w:val="00A432AE"/>
    <w:rsid w:val="00A46697"/>
    <w:rsid w:val="00A621B1"/>
    <w:rsid w:val="00A63E56"/>
    <w:rsid w:val="00AB4B62"/>
    <w:rsid w:val="00AD3A27"/>
    <w:rsid w:val="00B06818"/>
    <w:rsid w:val="00B11BB0"/>
    <w:rsid w:val="00B22141"/>
    <w:rsid w:val="00B409DE"/>
    <w:rsid w:val="00B43D88"/>
    <w:rsid w:val="00B447D4"/>
    <w:rsid w:val="00B57EFF"/>
    <w:rsid w:val="00B65E26"/>
    <w:rsid w:val="00B96FAC"/>
    <w:rsid w:val="00BA6418"/>
    <w:rsid w:val="00BA77A4"/>
    <w:rsid w:val="00BC5DC1"/>
    <w:rsid w:val="00BF7DB5"/>
    <w:rsid w:val="00C22103"/>
    <w:rsid w:val="00C90D2A"/>
    <w:rsid w:val="00CB584C"/>
    <w:rsid w:val="00CD533C"/>
    <w:rsid w:val="00D81396"/>
    <w:rsid w:val="00D8646A"/>
    <w:rsid w:val="00DC3825"/>
    <w:rsid w:val="00DD2921"/>
    <w:rsid w:val="00DF0BC7"/>
    <w:rsid w:val="00E12A40"/>
    <w:rsid w:val="00E2517D"/>
    <w:rsid w:val="00E34830"/>
    <w:rsid w:val="00E51E55"/>
    <w:rsid w:val="00E77303"/>
    <w:rsid w:val="00EA6E8D"/>
    <w:rsid w:val="00EB2933"/>
    <w:rsid w:val="00F13988"/>
    <w:rsid w:val="00F2514F"/>
    <w:rsid w:val="00F43913"/>
    <w:rsid w:val="00F9397C"/>
    <w:rsid w:val="00FA189F"/>
    <w:rsid w:val="00FC5D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AA9A"/>
  <w15:chartTrackingRefBased/>
  <w15:docId w15:val="{27BBA934-A070-4C68-91CD-DFCB7F86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4C6"/>
    <w:pPr>
      <w:ind w:left="720"/>
      <w:contextualSpacing/>
    </w:pPr>
  </w:style>
  <w:style w:type="paragraph" w:styleId="BalloonText">
    <w:name w:val="Balloon Text"/>
    <w:basedOn w:val="Normal"/>
    <w:link w:val="BalloonTextChar"/>
    <w:uiPriority w:val="99"/>
    <w:semiHidden/>
    <w:unhideWhenUsed/>
    <w:rsid w:val="00A43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2AE"/>
    <w:rPr>
      <w:rFonts w:ascii="Segoe UI" w:hAnsi="Segoe UI" w:cs="Segoe UI"/>
      <w:sz w:val="18"/>
      <w:szCs w:val="18"/>
    </w:rPr>
  </w:style>
  <w:style w:type="paragraph" w:styleId="FootnoteText">
    <w:name w:val="footnote text"/>
    <w:basedOn w:val="Normal"/>
    <w:link w:val="FootnoteTextChar"/>
    <w:uiPriority w:val="99"/>
    <w:semiHidden/>
    <w:unhideWhenUsed/>
    <w:rsid w:val="00696A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A94"/>
    <w:rPr>
      <w:sz w:val="20"/>
      <w:szCs w:val="20"/>
    </w:rPr>
  </w:style>
  <w:style w:type="character" w:styleId="FootnoteReference">
    <w:name w:val="footnote reference"/>
    <w:basedOn w:val="DefaultParagraphFont"/>
    <w:uiPriority w:val="99"/>
    <w:semiHidden/>
    <w:unhideWhenUsed/>
    <w:rsid w:val="00696A94"/>
    <w:rPr>
      <w:vertAlign w:val="superscript"/>
    </w:rPr>
  </w:style>
  <w:style w:type="paragraph" w:styleId="Header">
    <w:name w:val="header"/>
    <w:basedOn w:val="Normal"/>
    <w:link w:val="HeaderChar"/>
    <w:uiPriority w:val="99"/>
    <w:unhideWhenUsed/>
    <w:rsid w:val="003165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6557"/>
  </w:style>
  <w:style w:type="paragraph" w:styleId="Footer">
    <w:name w:val="footer"/>
    <w:basedOn w:val="Normal"/>
    <w:link w:val="FooterChar"/>
    <w:uiPriority w:val="99"/>
    <w:unhideWhenUsed/>
    <w:rsid w:val="003165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6557"/>
  </w:style>
  <w:style w:type="character" w:styleId="Hyperlink">
    <w:name w:val="Hyperlink"/>
    <w:basedOn w:val="DefaultParagraphFont"/>
    <w:uiPriority w:val="99"/>
    <w:unhideWhenUsed/>
    <w:rsid w:val="00E12A40"/>
    <w:rPr>
      <w:color w:val="0563C1" w:themeColor="hyperlink"/>
      <w:u w:val="single"/>
    </w:rPr>
  </w:style>
  <w:style w:type="character" w:styleId="CommentReference">
    <w:name w:val="annotation reference"/>
    <w:basedOn w:val="DefaultParagraphFont"/>
    <w:uiPriority w:val="99"/>
    <w:semiHidden/>
    <w:unhideWhenUsed/>
    <w:rsid w:val="00B409DE"/>
    <w:rPr>
      <w:sz w:val="16"/>
      <w:szCs w:val="16"/>
    </w:rPr>
  </w:style>
  <w:style w:type="paragraph" w:styleId="CommentText">
    <w:name w:val="annotation text"/>
    <w:basedOn w:val="Normal"/>
    <w:link w:val="CommentTextChar"/>
    <w:uiPriority w:val="99"/>
    <w:semiHidden/>
    <w:unhideWhenUsed/>
    <w:rsid w:val="00B409DE"/>
    <w:pPr>
      <w:spacing w:line="240" w:lineRule="auto"/>
    </w:pPr>
    <w:rPr>
      <w:sz w:val="20"/>
      <w:szCs w:val="20"/>
    </w:rPr>
  </w:style>
  <w:style w:type="character" w:customStyle="1" w:styleId="CommentTextChar">
    <w:name w:val="Comment Text Char"/>
    <w:basedOn w:val="DefaultParagraphFont"/>
    <w:link w:val="CommentText"/>
    <w:uiPriority w:val="99"/>
    <w:semiHidden/>
    <w:rsid w:val="00B409DE"/>
    <w:rPr>
      <w:sz w:val="20"/>
      <w:szCs w:val="20"/>
    </w:rPr>
  </w:style>
  <w:style w:type="paragraph" w:styleId="CommentSubject">
    <w:name w:val="annotation subject"/>
    <w:basedOn w:val="CommentText"/>
    <w:next w:val="CommentText"/>
    <w:link w:val="CommentSubjectChar"/>
    <w:uiPriority w:val="99"/>
    <w:semiHidden/>
    <w:unhideWhenUsed/>
    <w:rsid w:val="00B409DE"/>
    <w:rPr>
      <w:b/>
      <w:bCs/>
    </w:rPr>
  </w:style>
  <w:style w:type="character" w:customStyle="1" w:styleId="CommentSubjectChar">
    <w:name w:val="Comment Subject Char"/>
    <w:basedOn w:val="CommentTextChar"/>
    <w:link w:val="CommentSubject"/>
    <w:uiPriority w:val="99"/>
    <w:semiHidden/>
    <w:rsid w:val="00B409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3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zelme-Urbane@f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Kristīne Bāra (NAD)</Vad_x012b_t_x0101_js>
    <TAP xmlns="8a8406e0-fd3e-4c97-9c6b-df4e1c510b77">53</TAP>
    <Kategorija xmlns="2e5bb04e-596e-45bd-9003-43ca78b1ba16">Informatīvais ziņojums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3DB98-E1C0-4927-B17F-281810DC6507}">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AFB00ECC-B772-424E-B207-A219012ED320}">
  <ds:schemaRefs>
    <ds:schemaRef ds:uri="http://schemas.microsoft.com/sharepoint/v3/contenttype/forms"/>
  </ds:schemaRefs>
</ds:datastoreItem>
</file>

<file path=customXml/itemProps3.xml><?xml version="1.0" encoding="utf-8"?>
<ds:datastoreItem xmlns:ds="http://schemas.openxmlformats.org/officeDocument/2006/customXml" ds:itemID="{CA3D2FD0-C6C6-44E8-8834-578435FD2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79ABEE-C8A7-440D-B3F6-119EC485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1049</Words>
  <Characters>598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Pielikums Informatīvā ziņojuma projektam “Par spēkā esošonodokļu atvieglojumu izvērtēšanu" </vt:lpstr>
    </vt:vector>
  </TitlesOfParts>
  <Company>Finanšu Ministrija</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Informatīvā ziņojuma projektam “Par spēkā esošonodokļu atvieglojumu izvērtēšanu"</dc:title>
  <dc:subject/>
  <dc:creator>D.Dzelme_Urbāne (NAD)</dc:creator>
  <cp:keywords/>
  <dc:description>D.Dzelme-Urbāne 67095661, daina.dzelme-urbane@fm.gov.lv</dc:description>
  <cp:lastModifiedBy>Inguna Dancīte</cp:lastModifiedBy>
  <cp:revision>2</cp:revision>
  <dcterms:created xsi:type="dcterms:W3CDTF">2020-06-01T07:08:00Z</dcterms:created>
  <dcterms:modified xsi:type="dcterms:W3CDTF">2020-06-01T07:08:00Z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