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2A1" w:rsidRPr="006C434B" w:rsidRDefault="00B152A1" w:rsidP="006C434B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lv-LV"/>
        </w:rPr>
      </w:pPr>
      <w:r w:rsidRPr="006C434B">
        <w:rPr>
          <w:rFonts w:ascii="Times New Roman" w:hAnsi="Times New Roman"/>
          <w:b/>
          <w:sz w:val="26"/>
          <w:szCs w:val="26"/>
        </w:rPr>
        <w:t xml:space="preserve">Ministru kabineta </w:t>
      </w:r>
      <w:r w:rsidR="00DA56AF" w:rsidRPr="006C434B">
        <w:rPr>
          <w:rFonts w:ascii="Times New Roman" w:hAnsi="Times New Roman"/>
          <w:b/>
          <w:sz w:val="26"/>
          <w:szCs w:val="26"/>
        </w:rPr>
        <w:t xml:space="preserve">rīkojuma </w:t>
      </w:r>
      <w:r w:rsidRPr="006C434B">
        <w:rPr>
          <w:rFonts w:ascii="Times New Roman" w:hAnsi="Times New Roman"/>
          <w:b/>
          <w:sz w:val="26"/>
          <w:szCs w:val="26"/>
        </w:rPr>
        <w:t>projekta „</w:t>
      </w:r>
      <w:r w:rsidRPr="006C434B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Par Latvijas Republikas pārstāvju grupu Latvijas</w:t>
      </w:r>
      <w:r w:rsidR="00053379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 xml:space="preserve"> </w:t>
      </w:r>
      <w:r w:rsidRPr="006C434B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–</w:t>
      </w:r>
      <w:r w:rsidR="00053379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 xml:space="preserve"> </w:t>
      </w:r>
      <w:bookmarkStart w:id="0" w:name="_GoBack"/>
      <w:bookmarkEnd w:id="0"/>
      <w:r w:rsidRPr="006C434B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Lietuvas Kopējā komisijā valsts robežas jautājumos</w:t>
      </w:r>
      <w:r w:rsidRPr="006C434B">
        <w:rPr>
          <w:rFonts w:ascii="Times New Roman" w:hAnsi="Times New Roman"/>
          <w:b/>
          <w:sz w:val="26"/>
          <w:szCs w:val="26"/>
        </w:rPr>
        <w:t>” sākotnējās ietekmes novērtējuma ziņojums (anotācija)</w:t>
      </w:r>
    </w:p>
    <w:p w:rsidR="00B152A1" w:rsidRPr="006C434B" w:rsidRDefault="00B152A1" w:rsidP="00B152A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B152A1" w:rsidRPr="006C434B" w:rsidTr="00A54191">
        <w:trPr>
          <w:trHeight w:val="444"/>
        </w:trPr>
        <w:tc>
          <w:tcPr>
            <w:tcW w:w="9464" w:type="dxa"/>
            <w:gridSpan w:val="2"/>
            <w:shd w:val="clear" w:color="auto" w:fill="auto"/>
            <w:vAlign w:val="center"/>
          </w:tcPr>
          <w:p w:rsidR="00B152A1" w:rsidRPr="006C434B" w:rsidRDefault="00B152A1" w:rsidP="00A541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434B">
              <w:rPr>
                <w:rFonts w:ascii="Times New Roman" w:hAnsi="Times New Roman"/>
                <w:b/>
                <w:sz w:val="26"/>
                <w:szCs w:val="26"/>
              </w:rPr>
              <w:t>Tiesību akta projekta anotācijas kopsavilkums</w:t>
            </w:r>
          </w:p>
        </w:tc>
      </w:tr>
      <w:tr w:rsidR="00B152A1" w:rsidRPr="006C434B" w:rsidTr="003D7C82">
        <w:trPr>
          <w:trHeight w:val="1362"/>
        </w:trPr>
        <w:tc>
          <w:tcPr>
            <w:tcW w:w="2802" w:type="dxa"/>
            <w:shd w:val="clear" w:color="auto" w:fill="auto"/>
          </w:tcPr>
          <w:p w:rsidR="00B152A1" w:rsidRPr="006C434B" w:rsidRDefault="00B152A1" w:rsidP="00A54191">
            <w:pPr>
              <w:rPr>
                <w:rFonts w:ascii="Times New Roman" w:hAnsi="Times New Roman"/>
                <w:sz w:val="26"/>
                <w:szCs w:val="26"/>
              </w:rPr>
            </w:pPr>
            <w:r w:rsidRPr="006C434B">
              <w:rPr>
                <w:rFonts w:ascii="Times New Roman" w:hAnsi="Times New Roman"/>
                <w:sz w:val="26"/>
                <w:szCs w:val="26"/>
              </w:rPr>
              <w:t>Mērķis, risinājums un projekta spēkā stāšanās laiks (500 zīmes bez atstarpēm)</w:t>
            </w:r>
          </w:p>
        </w:tc>
        <w:tc>
          <w:tcPr>
            <w:tcW w:w="6662" w:type="dxa"/>
            <w:shd w:val="clear" w:color="auto" w:fill="auto"/>
          </w:tcPr>
          <w:p w:rsidR="00B152A1" w:rsidRPr="006C434B" w:rsidRDefault="00B152A1" w:rsidP="00B152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434B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CD54B8" w:rsidRPr="006C434B">
              <w:rPr>
                <w:rFonts w:ascii="Times New Roman" w:hAnsi="Times New Roman"/>
                <w:sz w:val="26"/>
                <w:szCs w:val="26"/>
              </w:rPr>
              <w:t>Nav attiecināms.</w:t>
            </w:r>
          </w:p>
          <w:p w:rsidR="00CD54B8" w:rsidRPr="006C434B" w:rsidRDefault="00CD54B8" w:rsidP="00B152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152A1" w:rsidRPr="006C434B" w:rsidRDefault="00B152A1" w:rsidP="00B152A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2310"/>
        <w:gridCol w:w="363"/>
        <w:gridCol w:w="6286"/>
      </w:tblGrid>
      <w:tr w:rsidR="00B152A1" w:rsidRPr="006C434B" w:rsidTr="00A54191">
        <w:tc>
          <w:tcPr>
            <w:tcW w:w="9474" w:type="dxa"/>
            <w:gridSpan w:val="4"/>
          </w:tcPr>
          <w:p w:rsidR="00B152A1" w:rsidRPr="006C434B" w:rsidRDefault="00B152A1" w:rsidP="00A54191">
            <w:pPr>
              <w:pStyle w:val="BodyText"/>
              <w:spacing w:after="0"/>
              <w:jc w:val="center"/>
              <w:rPr>
                <w:sz w:val="26"/>
                <w:szCs w:val="26"/>
                <w:lang w:val="lv-LV" w:eastAsia="en-US"/>
              </w:rPr>
            </w:pPr>
            <w:r w:rsidRPr="006C434B">
              <w:rPr>
                <w:b/>
                <w:sz w:val="26"/>
                <w:szCs w:val="26"/>
                <w:lang w:val="lv-LV" w:eastAsia="en-US"/>
              </w:rPr>
              <w:t>I. Tiesību akta projekta izstrādes nepieciešamība</w:t>
            </w:r>
          </w:p>
        </w:tc>
      </w:tr>
      <w:tr w:rsidR="00B152A1" w:rsidRPr="006C434B" w:rsidTr="00A54191">
        <w:tc>
          <w:tcPr>
            <w:tcW w:w="515" w:type="dxa"/>
          </w:tcPr>
          <w:p w:rsidR="00B152A1" w:rsidRPr="006C434B" w:rsidRDefault="00B152A1" w:rsidP="00A541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434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310" w:type="dxa"/>
          </w:tcPr>
          <w:p w:rsidR="00B152A1" w:rsidRPr="006C434B" w:rsidRDefault="00B152A1" w:rsidP="00A541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434B">
              <w:rPr>
                <w:rFonts w:ascii="Times New Roman" w:hAnsi="Times New Roman"/>
                <w:sz w:val="26"/>
                <w:szCs w:val="26"/>
              </w:rPr>
              <w:t>Pamatojums</w:t>
            </w:r>
          </w:p>
        </w:tc>
        <w:tc>
          <w:tcPr>
            <w:tcW w:w="6649" w:type="dxa"/>
            <w:gridSpan w:val="2"/>
          </w:tcPr>
          <w:p w:rsidR="00B152A1" w:rsidRPr="006C434B" w:rsidRDefault="00B152A1" w:rsidP="00DA56AF">
            <w:pPr>
              <w:spacing w:after="0" w:line="240" w:lineRule="auto"/>
              <w:ind w:firstLine="46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434B">
              <w:rPr>
                <w:rFonts w:ascii="Times New Roman" w:hAnsi="Times New Roman"/>
                <w:sz w:val="26"/>
                <w:szCs w:val="26"/>
              </w:rPr>
              <w:t>Latvijas Republikas valdības un Lietuvas Republikas valdības līguma par Latvijas – Lietuvas valsts robežas uzturēšanu un pilnvaroto robežas pārstāvju darbību 13.pants.</w:t>
            </w:r>
          </w:p>
        </w:tc>
      </w:tr>
      <w:tr w:rsidR="00B152A1" w:rsidRPr="006C434B" w:rsidTr="00A54191">
        <w:tc>
          <w:tcPr>
            <w:tcW w:w="515" w:type="dxa"/>
          </w:tcPr>
          <w:p w:rsidR="00B152A1" w:rsidRPr="006C434B" w:rsidRDefault="00B152A1" w:rsidP="00A541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434B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310" w:type="dxa"/>
          </w:tcPr>
          <w:p w:rsidR="00B152A1" w:rsidRPr="006C434B" w:rsidRDefault="00B152A1" w:rsidP="00A541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434B">
              <w:rPr>
                <w:rFonts w:ascii="Times New Roman" w:hAnsi="Times New Roman"/>
                <w:sz w:val="26"/>
                <w:szCs w:val="26"/>
              </w:rPr>
              <w:t>Pašreizējā situācija un problēmas, kuru risināšanai tiesību akta projekts izstrādāts, tiesiskā regulējuma mērķis un būtība</w:t>
            </w:r>
          </w:p>
          <w:p w:rsidR="00B152A1" w:rsidRPr="006C434B" w:rsidRDefault="00B152A1" w:rsidP="00A5419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152A1" w:rsidRPr="006C434B" w:rsidRDefault="00B152A1" w:rsidP="00A5419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152A1" w:rsidRPr="006C434B" w:rsidRDefault="00B152A1" w:rsidP="00A5419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152A1" w:rsidRPr="006C434B" w:rsidRDefault="00B152A1" w:rsidP="00A5419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152A1" w:rsidRPr="006C434B" w:rsidRDefault="00B152A1" w:rsidP="00A5419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152A1" w:rsidRPr="006C434B" w:rsidRDefault="00B152A1" w:rsidP="00A5419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152A1" w:rsidRPr="006C434B" w:rsidRDefault="00B152A1" w:rsidP="00A5419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152A1" w:rsidRPr="006C434B" w:rsidRDefault="00B152A1" w:rsidP="00A541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  <w:gridSpan w:val="2"/>
          </w:tcPr>
          <w:p w:rsidR="00A16764" w:rsidRPr="006C434B" w:rsidRDefault="00A16764" w:rsidP="00CD54B8">
            <w:pPr>
              <w:spacing w:after="0" w:line="240" w:lineRule="auto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434B">
              <w:rPr>
                <w:rFonts w:ascii="Times New Roman" w:hAnsi="Times New Roman"/>
                <w:sz w:val="26"/>
                <w:szCs w:val="26"/>
              </w:rPr>
              <w:t xml:space="preserve">2019.gada </w:t>
            </w:r>
            <w:r w:rsidR="003D7C82" w:rsidRPr="006C434B">
              <w:rPr>
                <w:rFonts w:ascii="Times New Roman" w:hAnsi="Times New Roman"/>
                <w:sz w:val="26"/>
                <w:szCs w:val="26"/>
              </w:rPr>
              <w:t>30.decembrī</w:t>
            </w:r>
            <w:r w:rsidRPr="006C434B">
              <w:rPr>
                <w:rFonts w:ascii="Times New Roman" w:hAnsi="Times New Roman"/>
                <w:sz w:val="26"/>
                <w:szCs w:val="26"/>
              </w:rPr>
              <w:t xml:space="preserve"> stājās spēkā Latvijas Republikas valdības un Lietuvas Republikas valdības līgum</w:t>
            </w:r>
            <w:r w:rsidR="00DA56AF" w:rsidRPr="006C434B">
              <w:rPr>
                <w:rFonts w:ascii="Times New Roman" w:hAnsi="Times New Roman"/>
                <w:sz w:val="26"/>
                <w:szCs w:val="26"/>
              </w:rPr>
              <w:t>s</w:t>
            </w:r>
            <w:r w:rsidRPr="006C434B">
              <w:rPr>
                <w:rFonts w:ascii="Times New Roman" w:hAnsi="Times New Roman"/>
                <w:sz w:val="26"/>
                <w:szCs w:val="26"/>
              </w:rPr>
              <w:t xml:space="preserve"> par Latvijas – Lietuvas valsts robežas uzturēšanu un pilnvaroto robežas pārstāvju darbību (turpmāk – Līgums).</w:t>
            </w:r>
          </w:p>
          <w:p w:rsidR="00CD54B8" w:rsidRPr="006C434B" w:rsidRDefault="00A16764" w:rsidP="00CD54B8">
            <w:pPr>
              <w:pStyle w:val="NormalWeb"/>
              <w:shd w:val="clear" w:color="auto" w:fill="FFFFFF"/>
              <w:spacing w:before="0" w:beforeAutospacing="0" w:after="0" w:afterAutospacing="0"/>
              <w:ind w:firstLine="469"/>
              <w:jc w:val="both"/>
              <w:rPr>
                <w:sz w:val="26"/>
                <w:szCs w:val="26"/>
              </w:rPr>
            </w:pPr>
            <w:r w:rsidRPr="006C434B">
              <w:rPr>
                <w:sz w:val="26"/>
                <w:szCs w:val="26"/>
              </w:rPr>
              <w:t xml:space="preserve">Līguma 13.pants paredz, ka Puses sešu mēnešu laikā no Līguma spēkā stāšanās datuma izveido Kopējo komisiju. </w:t>
            </w:r>
            <w:r w:rsidR="00CD54B8" w:rsidRPr="006C434B">
              <w:rPr>
                <w:sz w:val="26"/>
                <w:szCs w:val="26"/>
              </w:rPr>
              <w:t>Kopējās komisijas pamatuzdevumi ir: valsts robežas uzturēšanas dabā kontrole; valsts robežas inventarizācijas organizēšana; tādu jautājumu koordinācija un risināšana, kas saistīti ar valsts robežas atrašanos, tās iezīmēšanu un uzturēšanu.</w:t>
            </w:r>
          </w:p>
          <w:p w:rsidR="003D7C82" w:rsidRPr="006C434B" w:rsidRDefault="003D7C82" w:rsidP="00CD54B8">
            <w:pPr>
              <w:pStyle w:val="NormalWeb"/>
              <w:shd w:val="clear" w:color="auto" w:fill="FFFFFF"/>
              <w:spacing w:before="0" w:beforeAutospacing="0" w:after="0" w:afterAutospacing="0"/>
              <w:ind w:firstLine="469"/>
              <w:jc w:val="both"/>
              <w:rPr>
                <w:sz w:val="26"/>
                <w:szCs w:val="26"/>
              </w:rPr>
            </w:pPr>
            <w:r w:rsidRPr="006C434B">
              <w:rPr>
                <w:sz w:val="26"/>
                <w:szCs w:val="26"/>
              </w:rPr>
              <w:t>Kopējo komisiju veido Latvijas pārstāvju daļa un Lietuvas pārstāvju daļa. Katras daļas sastāvā ir 5 Pušu pārstāvji. Katru daļu vada priekšsēdētājs, bet viņa prombūtnes laikā - vietnieks.</w:t>
            </w:r>
          </w:p>
          <w:p w:rsidR="003D7C82" w:rsidRPr="006C434B" w:rsidRDefault="003D7C82" w:rsidP="00CD54B8">
            <w:pPr>
              <w:shd w:val="clear" w:color="auto" w:fill="FFFFFF"/>
              <w:spacing w:after="0" w:line="240" w:lineRule="auto"/>
              <w:ind w:firstLine="469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6C434B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Līgums nosaka, ka atkarībā no nepieciešamības Kopējajai komisijai ir tiesības piesaistīt ekspertus un citu personālu, veidot kopīgas un vienpusējas darba grupas uzdevumu veikšanai Kopējās komisijas noteiktās kompetences ietvaros.</w:t>
            </w:r>
          </w:p>
          <w:p w:rsidR="00A16764" w:rsidRPr="006C434B" w:rsidRDefault="003D7C82" w:rsidP="00CD54B8">
            <w:pPr>
              <w:spacing w:after="0" w:line="240" w:lineRule="auto"/>
              <w:ind w:firstLine="469"/>
              <w:jc w:val="both"/>
              <w:rPr>
                <w:rFonts w:ascii="Times New Roman" w:eastAsia="SimSun" w:hAnsi="Times New Roman"/>
                <w:sz w:val="26"/>
                <w:szCs w:val="26"/>
                <w:lang w:eastAsia="zh-CN" w:bidi="he-IL"/>
              </w:rPr>
            </w:pPr>
            <w:r w:rsidRPr="006C434B">
              <w:rPr>
                <w:rFonts w:ascii="Times New Roman" w:eastAsia="SimSun" w:hAnsi="Times New Roman"/>
                <w:sz w:val="26"/>
                <w:szCs w:val="26"/>
                <w:lang w:eastAsia="zh-CN" w:bidi="he-IL"/>
              </w:rPr>
              <w:t>I</w:t>
            </w:r>
            <w:r w:rsidR="00A16764" w:rsidRPr="006C434B">
              <w:rPr>
                <w:rFonts w:ascii="Times New Roman" w:eastAsia="SimSun" w:hAnsi="Times New Roman"/>
                <w:sz w:val="26"/>
                <w:szCs w:val="26"/>
                <w:lang w:eastAsia="zh-CN" w:bidi="he-IL"/>
              </w:rPr>
              <w:t>zstrādātais projekts paredz apstiprināt darbam Kopējā komisijā Latvijas Republikas pārstāvju grupu.</w:t>
            </w:r>
          </w:p>
          <w:p w:rsidR="00A16764" w:rsidRPr="006C434B" w:rsidRDefault="00A16764" w:rsidP="00CD54B8">
            <w:pPr>
              <w:spacing w:after="0" w:line="240" w:lineRule="auto"/>
              <w:ind w:firstLine="469"/>
              <w:jc w:val="both"/>
              <w:rPr>
                <w:rFonts w:ascii="Times New Roman" w:eastAsia="SimSun" w:hAnsi="Times New Roman"/>
                <w:sz w:val="26"/>
                <w:szCs w:val="26"/>
                <w:lang w:eastAsia="zh-CN" w:bidi="he-IL"/>
              </w:rPr>
            </w:pPr>
            <w:r w:rsidRPr="006C434B">
              <w:rPr>
                <w:rFonts w:ascii="Times New Roman" w:eastAsia="SimSun" w:hAnsi="Times New Roman"/>
                <w:sz w:val="26"/>
                <w:szCs w:val="26"/>
                <w:lang w:eastAsia="zh-CN" w:bidi="he-IL"/>
              </w:rPr>
              <w:t>Projekta 2.punkts nosaka, ka pārstāvju grupas vadītājam ir tiesības pieaicināt ekspertus un tehnisko personālu, kā arī veidot kopīgas un vienpusējas darba grupas.</w:t>
            </w:r>
          </w:p>
          <w:p w:rsidR="00A16764" w:rsidRPr="006C434B" w:rsidRDefault="00A16764" w:rsidP="00CD54B8">
            <w:pPr>
              <w:spacing w:after="0" w:line="240" w:lineRule="auto"/>
              <w:ind w:firstLine="469"/>
              <w:jc w:val="both"/>
              <w:rPr>
                <w:rFonts w:ascii="Times New Roman" w:eastAsia="SimSun" w:hAnsi="Times New Roman"/>
                <w:sz w:val="26"/>
                <w:szCs w:val="26"/>
                <w:lang w:eastAsia="zh-CN" w:bidi="he-IL"/>
              </w:rPr>
            </w:pPr>
            <w:r w:rsidRPr="006C434B">
              <w:rPr>
                <w:rFonts w:ascii="Times New Roman" w:eastAsia="SimSun" w:hAnsi="Times New Roman"/>
                <w:sz w:val="26"/>
                <w:szCs w:val="26"/>
                <w:lang w:eastAsia="zh-CN" w:bidi="he-IL"/>
              </w:rPr>
              <w:t xml:space="preserve">Projekta 3.punkts paredz iespēju pārstāvju grupai sagatavot informāciju par situāciju uz Latvijas – </w:t>
            </w:r>
            <w:r w:rsidR="003D7C82" w:rsidRPr="006C434B">
              <w:rPr>
                <w:rFonts w:ascii="Times New Roman" w:eastAsia="SimSun" w:hAnsi="Times New Roman"/>
                <w:sz w:val="26"/>
                <w:szCs w:val="26"/>
                <w:lang w:eastAsia="zh-CN" w:bidi="he-IL"/>
              </w:rPr>
              <w:t>Lietuvas</w:t>
            </w:r>
            <w:r w:rsidRPr="006C434B">
              <w:rPr>
                <w:rFonts w:ascii="Times New Roman" w:eastAsia="SimSun" w:hAnsi="Times New Roman"/>
                <w:sz w:val="26"/>
                <w:szCs w:val="26"/>
                <w:lang w:eastAsia="zh-CN" w:bidi="he-IL"/>
              </w:rPr>
              <w:t xml:space="preserve"> valsts robežas, ja pastāv tāda nepieciešamība. Minētā informācija var tikt sagatavota informatīvā ziņojuma veidā (turpmāk – informatīvais ziņojums), kurā tiks iekļauta informācija par problēmjautājumiem uz Latvijas – </w:t>
            </w:r>
            <w:r w:rsidR="003D7C82" w:rsidRPr="006C434B">
              <w:rPr>
                <w:rFonts w:ascii="Times New Roman" w:eastAsia="SimSun" w:hAnsi="Times New Roman"/>
                <w:sz w:val="26"/>
                <w:szCs w:val="26"/>
                <w:lang w:eastAsia="zh-CN" w:bidi="he-IL"/>
              </w:rPr>
              <w:t>Lietuvas</w:t>
            </w:r>
            <w:r w:rsidRPr="006C434B">
              <w:rPr>
                <w:rFonts w:ascii="Times New Roman" w:eastAsia="SimSun" w:hAnsi="Times New Roman"/>
                <w:sz w:val="26"/>
                <w:szCs w:val="26"/>
                <w:lang w:eastAsia="zh-CN" w:bidi="he-IL"/>
              </w:rPr>
              <w:t xml:space="preserve"> valsts robežas Līguma izpratnē un iespējamiem risinājuma </w:t>
            </w:r>
            <w:r w:rsidRPr="006C434B">
              <w:rPr>
                <w:rFonts w:ascii="Times New Roman" w:eastAsia="SimSun" w:hAnsi="Times New Roman"/>
                <w:sz w:val="26"/>
                <w:szCs w:val="26"/>
                <w:lang w:eastAsia="zh-CN" w:bidi="he-IL"/>
              </w:rPr>
              <w:lastRenderedPageBreak/>
              <w:t xml:space="preserve">variantiem, kā arī attiecīgie aprēķini papildus budžeta līdzekļu piešķiršanai konstatēto problēmjautājumu uz valsts robežas novēršanai. Informatīvais ziņojums tiks virzīts saskaņā ar vispārējo kārtību atbilstoši </w:t>
            </w:r>
            <w:r w:rsidRPr="006C434B">
              <w:rPr>
                <w:rFonts w:ascii="Times New Roman" w:hAnsi="Times New Roman"/>
                <w:sz w:val="26"/>
                <w:szCs w:val="26"/>
              </w:rPr>
              <w:t>Ministru kabineta 2009.gada 7.aprīļa noteikumiem Nr.300 "Ministru kabineta kārtības rullis".</w:t>
            </w:r>
          </w:p>
          <w:p w:rsidR="00A16764" w:rsidRPr="006C434B" w:rsidRDefault="00A16764" w:rsidP="00CD54B8">
            <w:pPr>
              <w:spacing w:after="0" w:line="240" w:lineRule="auto"/>
              <w:ind w:firstLine="469"/>
              <w:jc w:val="both"/>
              <w:rPr>
                <w:rFonts w:ascii="Times New Roman" w:eastAsia="SimSun" w:hAnsi="Times New Roman"/>
                <w:sz w:val="26"/>
                <w:szCs w:val="26"/>
                <w:lang w:eastAsia="zh-CN" w:bidi="he-IL"/>
              </w:rPr>
            </w:pPr>
            <w:r w:rsidRPr="006C434B">
              <w:rPr>
                <w:rFonts w:ascii="Times New Roman" w:eastAsia="SimSun" w:hAnsi="Times New Roman"/>
                <w:sz w:val="26"/>
                <w:szCs w:val="26"/>
                <w:lang w:eastAsia="zh-CN" w:bidi="he-IL"/>
              </w:rPr>
              <w:t xml:space="preserve">Latvijas Republikas valsts robežas likuma 31.pants nosaka valsts pārvaldes iestāžu, attiecīgi Ārlietu ministrijas, Aizsardzības ministrijas un Iekšlietu ministrijas, pilnvaras valsts robežas noteikšanā, ierīkošanā un uzturēšanā. </w:t>
            </w:r>
            <w:r w:rsidR="003D7C82" w:rsidRPr="006C434B">
              <w:rPr>
                <w:rFonts w:ascii="Times New Roman" w:eastAsia="SimSun" w:hAnsi="Times New Roman"/>
                <w:sz w:val="26"/>
                <w:szCs w:val="26"/>
                <w:lang w:eastAsia="zh-CN" w:bidi="he-IL"/>
              </w:rPr>
              <w:t>Attiecīgi Latvijas pārstāvju grupa sastāvā ir iekļauti Valsts robežsardzes, Nodrošinājuma valsts aģentūras, Aizsardzības ministrijas un Ārlietu ministrijas pārstāvji.</w:t>
            </w:r>
          </w:p>
          <w:p w:rsidR="00B152A1" w:rsidRPr="006C434B" w:rsidRDefault="00A16764" w:rsidP="00CD54B8">
            <w:pPr>
              <w:pStyle w:val="NormalWeb"/>
              <w:shd w:val="clear" w:color="auto" w:fill="FFFFFF"/>
              <w:spacing w:before="0" w:beforeAutospacing="0" w:after="0" w:afterAutospacing="0"/>
              <w:ind w:firstLine="469"/>
              <w:jc w:val="both"/>
              <w:rPr>
                <w:sz w:val="26"/>
                <w:szCs w:val="26"/>
              </w:rPr>
            </w:pPr>
            <w:r w:rsidRPr="006C434B">
              <w:rPr>
                <w:rFonts w:eastAsia="SimSun"/>
                <w:sz w:val="26"/>
                <w:szCs w:val="26"/>
                <w:lang w:eastAsia="zh-CN" w:bidi="he-IL"/>
              </w:rPr>
              <w:t>Informatīvo ziņojumu, pamatojoties uz Kopējās komisijas sagatavoto informāciju, varēs virzīt un iesniegt Ministru kabinetā attiecīgā ministrija, kuras kompetencē ietilps Kopējās komisijas konstatētais problēmjautājums atbilstoši minētā likuma 31.pantā noteiktajām kompetencēm.</w:t>
            </w:r>
          </w:p>
        </w:tc>
      </w:tr>
      <w:tr w:rsidR="00B152A1" w:rsidRPr="006C434B" w:rsidTr="00A54191">
        <w:tc>
          <w:tcPr>
            <w:tcW w:w="515" w:type="dxa"/>
            <w:tcBorders>
              <w:bottom w:val="single" w:sz="4" w:space="0" w:color="auto"/>
            </w:tcBorders>
          </w:tcPr>
          <w:p w:rsidR="00B152A1" w:rsidRPr="006C434B" w:rsidRDefault="00B152A1" w:rsidP="00A541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434B"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B152A1" w:rsidRPr="006C434B" w:rsidRDefault="00B152A1" w:rsidP="00A541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434B">
              <w:rPr>
                <w:rFonts w:ascii="Times New Roman" w:hAnsi="Times New Roman"/>
                <w:sz w:val="26"/>
                <w:szCs w:val="26"/>
              </w:rPr>
              <w:t>Projekta izstrādē iesaistītās institūcijas un publiskas personas kapitālsabiedrības</w:t>
            </w:r>
          </w:p>
        </w:tc>
        <w:tc>
          <w:tcPr>
            <w:tcW w:w="6649" w:type="dxa"/>
            <w:gridSpan w:val="2"/>
            <w:tcBorders>
              <w:bottom w:val="single" w:sz="4" w:space="0" w:color="auto"/>
            </w:tcBorders>
          </w:tcPr>
          <w:p w:rsidR="00B152A1" w:rsidRPr="006C434B" w:rsidRDefault="00A16764" w:rsidP="00A16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434B">
              <w:rPr>
                <w:rFonts w:ascii="Times New Roman" w:hAnsi="Times New Roman"/>
                <w:sz w:val="26"/>
                <w:szCs w:val="26"/>
              </w:rPr>
              <w:t>Iekšlietu ministrija</w:t>
            </w:r>
            <w:r w:rsidR="003D7C82" w:rsidRPr="006C434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B152A1" w:rsidRPr="006C434B" w:rsidTr="00A54191">
        <w:tc>
          <w:tcPr>
            <w:tcW w:w="515" w:type="dxa"/>
            <w:tcBorders>
              <w:bottom w:val="single" w:sz="4" w:space="0" w:color="auto"/>
            </w:tcBorders>
          </w:tcPr>
          <w:p w:rsidR="00B152A1" w:rsidRPr="006C434B" w:rsidRDefault="00B152A1" w:rsidP="00A541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434B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B152A1" w:rsidRPr="006C434B" w:rsidRDefault="00B152A1" w:rsidP="00A541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434B">
              <w:rPr>
                <w:rFonts w:ascii="Times New Roman" w:hAnsi="Times New Roman"/>
                <w:sz w:val="26"/>
                <w:szCs w:val="26"/>
              </w:rPr>
              <w:t xml:space="preserve">Cita informācija </w:t>
            </w:r>
          </w:p>
        </w:tc>
        <w:tc>
          <w:tcPr>
            <w:tcW w:w="6649" w:type="dxa"/>
            <w:gridSpan w:val="2"/>
            <w:tcBorders>
              <w:bottom w:val="single" w:sz="4" w:space="0" w:color="auto"/>
            </w:tcBorders>
          </w:tcPr>
          <w:p w:rsidR="00A16764" w:rsidRPr="006C434B" w:rsidRDefault="00B152A1" w:rsidP="00A16764">
            <w:pPr>
              <w:pStyle w:val="NormalWeb"/>
              <w:spacing w:before="0" w:beforeAutospacing="0" w:after="0" w:afterAutospacing="0"/>
              <w:ind w:right="54"/>
              <w:jc w:val="both"/>
              <w:rPr>
                <w:sz w:val="26"/>
                <w:szCs w:val="26"/>
              </w:rPr>
            </w:pPr>
            <w:r w:rsidRPr="006C434B">
              <w:rPr>
                <w:sz w:val="26"/>
                <w:szCs w:val="26"/>
              </w:rPr>
              <w:t xml:space="preserve"> </w:t>
            </w:r>
            <w:r w:rsidR="00A16764" w:rsidRPr="006C434B">
              <w:rPr>
                <w:sz w:val="26"/>
                <w:szCs w:val="26"/>
              </w:rPr>
              <w:t>Nav.</w:t>
            </w:r>
          </w:p>
          <w:p w:rsidR="00B152A1" w:rsidRPr="006C434B" w:rsidRDefault="00B152A1" w:rsidP="00A54191">
            <w:pPr>
              <w:pStyle w:val="NormalWeb"/>
              <w:spacing w:before="0" w:beforeAutospacing="0" w:after="0" w:afterAutospacing="0"/>
              <w:ind w:right="54" w:firstLine="301"/>
              <w:jc w:val="both"/>
              <w:rPr>
                <w:sz w:val="26"/>
                <w:szCs w:val="26"/>
              </w:rPr>
            </w:pPr>
          </w:p>
        </w:tc>
      </w:tr>
      <w:tr w:rsidR="00B152A1" w:rsidRPr="006C434B" w:rsidTr="00A54191"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2A1" w:rsidRPr="006C434B" w:rsidRDefault="00B152A1" w:rsidP="00A541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2A1" w:rsidRPr="006C434B" w:rsidRDefault="00B152A1" w:rsidP="00A541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2A1" w:rsidRPr="006C434B" w:rsidRDefault="00B152A1" w:rsidP="00A541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152A1" w:rsidRPr="006C434B" w:rsidRDefault="00B152A1" w:rsidP="00A541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52A1" w:rsidRPr="006C434B" w:rsidTr="00A54191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46"/>
          <w:tblCellSpacing w:w="15" w:type="dxa"/>
        </w:trPr>
        <w:tc>
          <w:tcPr>
            <w:tcW w:w="94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2A1" w:rsidRPr="006C434B" w:rsidRDefault="00B152A1" w:rsidP="00A54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6C434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 xml:space="preserve">  II. Tiesību akta projekta ietekme uz sabiedrību, tautsaimniecības attīstību un administratīvo slogu</w:t>
            </w:r>
          </w:p>
        </w:tc>
      </w:tr>
      <w:tr w:rsidR="00B152A1" w:rsidRPr="006C434B" w:rsidTr="00A54191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6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2A1" w:rsidRPr="006C434B" w:rsidRDefault="00B152A1" w:rsidP="00A5419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6C434B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26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2A1" w:rsidRPr="006C434B" w:rsidRDefault="00B152A1" w:rsidP="00A5419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6C434B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6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2A1" w:rsidRPr="006C434B" w:rsidRDefault="00CD54B8" w:rsidP="00CD54B8">
            <w:pPr>
              <w:spacing w:after="0" w:line="240" w:lineRule="auto"/>
              <w:ind w:left="58" w:right="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434B">
              <w:rPr>
                <w:rFonts w:ascii="Times New Roman" w:hAnsi="Times New Roman"/>
                <w:sz w:val="26"/>
                <w:szCs w:val="26"/>
              </w:rPr>
              <w:t>Attiecīgo Latvijas Republikas institūciju amatpersonas, kuras tiek deleģētas darbam Latvijas Republikas pārstāvju grupā. Tā kā projekts skar tikai valsts pārvaldes iestādes, sabiedrības pārstāvji netika iesaistīti tā izstrādē</w:t>
            </w:r>
          </w:p>
        </w:tc>
      </w:tr>
      <w:tr w:rsidR="00B152A1" w:rsidRPr="006C434B" w:rsidTr="00A54191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10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2A1" w:rsidRPr="006C434B" w:rsidRDefault="00B152A1" w:rsidP="00A5419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6C434B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26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2A1" w:rsidRPr="006C434B" w:rsidRDefault="00B152A1" w:rsidP="00A5419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6C434B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6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2A1" w:rsidRPr="006C434B" w:rsidRDefault="00CD54B8" w:rsidP="00CD54B8">
            <w:pPr>
              <w:tabs>
                <w:tab w:val="left" w:pos="0"/>
                <w:tab w:val="left" w:pos="705"/>
                <w:tab w:val="left" w:pos="885"/>
              </w:tabs>
              <w:spacing w:after="0" w:line="240" w:lineRule="auto"/>
              <w:ind w:right="174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6C434B">
              <w:rPr>
                <w:rFonts w:ascii="Times New Roman" w:hAnsi="Times New Roman"/>
                <w:sz w:val="26"/>
                <w:szCs w:val="26"/>
              </w:rPr>
              <w:t>Projekts šo jomu neskar.</w:t>
            </w:r>
          </w:p>
        </w:tc>
      </w:tr>
      <w:tr w:rsidR="00B152A1" w:rsidRPr="006C434B" w:rsidTr="00A54191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10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2A1" w:rsidRPr="006C434B" w:rsidRDefault="00B152A1" w:rsidP="00A5419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6C434B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26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2A1" w:rsidRPr="006C434B" w:rsidRDefault="00B152A1" w:rsidP="00A5419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6C434B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Administratīvo izmaksu monetārs novērtējums</w:t>
            </w:r>
          </w:p>
        </w:tc>
        <w:tc>
          <w:tcPr>
            <w:tcW w:w="6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2A1" w:rsidRPr="006C434B" w:rsidRDefault="00B152A1" w:rsidP="00A541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lv-LV"/>
              </w:rPr>
            </w:pPr>
            <w:r w:rsidRPr="006C434B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Projekts šo jomu neskar.</w:t>
            </w:r>
          </w:p>
          <w:p w:rsidR="00B152A1" w:rsidRPr="006C434B" w:rsidRDefault="00B152A1" w:rsidP="00A541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</w:tr>
      <w:tr w:rsidR="00B152A1" w:rsidRPr="006C434B" w:rsidTr="00A54191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10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2A1" w:rsidRPr="006C434B" w:rsidRDefault="00B152A1" w:rsidP="00A5419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6C434B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26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2A1" w:rsidRPr="006C434B" w:rsidRDefault="00B152A1" w:rsidP="00A5419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6C434B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Atbilstības izmaksu monetārs novērtējums</w:t>
            </w:r>
          </w:p>
        </w:tc>
        <w:tc>
          <w:tcPr>
            <w:tcW w:w="6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2A1" w:rsidRPr="006C434B" w:rsidRDefault="00B152A1" w:rsidP="00A5419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6C434B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B152A1" w:rsidRPr="006C434B" w:rsidTr="00A54191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2A1" w:rsidRPr="006C434B" w:rsidRDefault="00B152A1" w:rsidP="00A5419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6C434B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5.</w:t>
            </w:r>
          </w:p>
        </w:tc>
        <w:tc>
          <w:tcPr>
            <w:tcW w:w="26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2A1" w:rsidRPr="006C434B" w:rsidRDefault="00B152A1" w:rsidP="00A5419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6C434B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6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2A1" w:rsidRPr="006C434B" w:rsidRDefault="00B152A1" w:rsidP="00A5419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6C434B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Nav.</w:t>
            </w:r>
          </w:p>
        </w:tc>
      </w:tr>
    </w:tbl>
    <w:p w:rsidR="00B152A1" w:rsidRPr="006C434B" w:rsidRDefault="00B152A1" w:rsidP="00B152A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5002" w:type="pct"/>
        <w:tblCellSpacing w:w="20" w:type="dxa"/>
        <w:tblInd w:w="-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344"/>
      </w:tblGrid>
      <w:tr w:rsidR="00B152A1" w:rsidRPr="006C434B" w:rsidTr="00A54191">
        <w:trPr>
          <w:cantSplit/>
          <w:tblCellSpacing w:w="20" w:type="dxa"/>
        </w:trPr>
        <w:tc>
          <w:tcPr>
            <w:tcW w:w="9264" w:type="dxa"/>
            <w:shd w:val="clear" w:color="auto" w:fill="auto"/>
            <w:vAlign w:val="center"/>
            <w:hideMark/>
          </w:tcPr>
          <w:p w:rsidR="00B152A1" w:rsidRPr="006C434B" w:rsidRDefault="00B152A1" w:rsidP="00CD54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C434B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III. Tiesību akta projekta ietekme uz valsts budžetu un pašvaldību budžetiem</w:t>
            </w:r>
          </w:p>
        </w:tc>
      </w:tr>
      <w:tr w:rsidR="00B152A1" w:rsidRPr="006C434B" w:rsidTr="00A54191">
        <w:trPr>
          <w:cantSplit/>
          <w:tblCellSpacing w:w="20" w:type="dxa"/>
        </w:trPr>
        <w:tc>
          <w:tcPr>
            <w:tcW w:w="9264" w:type="dxa"/>
            <w:shd w:val="clear" w:color="auto" w:fill="auto"/>
            <w:vAlign w:val="center"/>
          </w:tcPr>
          <w:p w:rsidR="00B152A1" w:rsidRPr="006C434B" w:rsidRDefault="00B152A1" w:rsidP="00CD54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C434B">
              <w:rPr>
                <w:rFonts w:ascii="Times New Roman" w:hAnsi="Times New Roman"/>
                <w:bCs/>
                <w:sz w:val="26"/>
                <w:szCs w:val="26"/>
              </w:rPr>
              <w:t>Projekts šo jomu neskar</w:t>
            </w:r>
          </w:p>
        </w:tc>
      </w:tr>
    </w:tbl>
    <w:p w:rsidR="00B152A1" w:rsidRPr="006C434B" w:rsidRDefault="00B152A1" w:rsidP="00B152A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5002" w:type="pct"/>
        <w:tblCellSpacing w:w="20" w:type="dxa"/>
        <w:tblInd w:w="-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344"/>
      </w:tblGrid>
      <w:tr w:rsidR="00CD54B8" w:rsidRPr="006C434B" w:rsidTr="00A54191">
        <w:trPr>
          <w:cantSplit/>
          <w:tblCellSpacing w:w="20" w:type="dxa"/>
        </w:trPr>
        <w:tc>
          <w:tcPr>
            <w:tcW w:w="9264" w:type="dxa"/>
            <w:shd w:val="clear" w:color="auto" w:fill="auto"/>
            <w:vAlign w:val="center"/>
            <w:hideMark/>
          </w:tcPr>
          <w:p w:rsidR="00CD54B8" w:rsidRPr="006C434B" w:rsidRDefault="00CD54B8" w:rsidP="00A541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C434B">
              <w:rPr>
                <w:rFonts w:ascii="Times New Roman" w:hAnsi="Times New Roman"/>
                <w:b/>
                <w:sz w:val="26"/>
                <w:szCs w:val="26"/>
              </w:rPr>
              <w:t>IV. Tiesību akta projekta ietekme uz spēkā esošo tiesību normu sistēmu</w:t>
            </w:r>
          </w:p>
        </w:tc>
      </w:tr>
      <w:tr w:rsidR="00CD54B8" w:rsidRPr="006C434B" w:rsidTr="00A54191">
        <w:trPr>
          <w:cantSplit/>
          <w:tblCellSpacing w:w="20" w:type="dxa"/>
        </w:trPr>
        <w:tc>
          <w:tcPr>
            <w:tcW w:w="9264" w:type="dxa"/>
            <w:shd w:val="clear" w:color="auto" w:fill="auto"/>
            <w:vAlign w:val="center"/>
          </w:tcPr>
          <w:p w:rsidR="00CD54B8" w:rsidRPr="006C434B" w:rsidRDefault="00CD54B8" w:rsidP="00A541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C434B">
              <w:rPr>
                <w:rFonts w:ascii="Times New Roman" w:hAnsi="Times New Roman"/>
                <w:bCs/>
                <w:sz w:val="26"/>
                <w:szCs w:val="26"/>
              </w:rPr>
              <w:t>Projekts šo jomu neskar</w:t>
            </w:r>
          </w:p>
        </w:tc>
      </w:tr>
    </w:tbl>
    <w:p w:rsidR="00CD54B8" w:rsidRPr="006C434B" w:rsidRDefault="00CD54B8" w:rsidP="00B152A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52A1" w:rsidRPr="006C434B" w:rsidRDefault="00B152A1" w:rsidP="00CD54B8">
      <w:pPr>
        <w:pStyle w:val="naisf"/>
        <w:spacing w:before="0" w:beforeAutospacing="0" w:after="0" w:afterAutospacing="0"/>
        <w:rPr>
          <w:sz w:val="26"/>
          <w:szCs w:val="26"/>
          <w:lang w:eastAsia="lv-LV"/>
        </w:rPr>
      </w:pPr>
    </w:p>
    <w:tbl>
      <w:tblPr>
        <w:tblW w:w="9072" w:type="dxa"/>
        <w:tblInd w:w="108" w:type="dxa"/>
        <w:tblBorders>
          <w:top w:val="single" w:sz="6" w:space="0" w:color="414142"/>
          <w:left w:val="single" w:sz="6" w:space="0" w:color="414142"/>
          <w:bottom w:val="single" w:sz="6" w:space="0" w:color="414142"/>
          <w:right w:val="single" w:sz="6" w:space="0" w:color="414142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2301"/>
        <w:gridCol w:w="6345"/>
      </w:tblGrid>
      <w:tr w:rsidR="00B152A1" w:rsidRPr="006C434B" w:rsidTr="00A16764">
        <w:tc>
          <w:tcPr>
            <w:tcW w:w="9072" w:type="dxa"/>
            <w:gridSpan w:val="3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B152A1" w:rsidRPr="006C434B" w:rsidRDefault="00B152A1" w:rsidP="00A54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434B">
              <w:rPr>
                <w:rFonts w:ascii="Times New Roman" w:hAnsi="Times New Roman"/>
                <w:b/>
                <w:sz w:val="26"/>
                <w:szCs w:val="26"/>
              </w:rPr>
              <w:t>V. Tiesību akta projekta atbilstība Latvijas Republikas starptautiskajām saistībām</w:t>
            </w:r>
          </w:p>
        </w:tc>
      </w:tr>
      <w:tr w:rsidR="00B152A1" w:rsidRPr="006C434B" w:rsidTr="00A16764">
        <w:tc>
          <w:tcPr>
            <w:tcW w:w="426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B152A1" w:rsidRPr="006C434B" w:rsidRDefault="00B152A1" w:rsidP="00A541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434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301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B152A1" w:rsidRPr="006C434B" w:rsidRDefault="00B152A1" w:rsidP="00A541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434B">
              <w:rPr>
                <w:rFonts w:ascii="Times New Roman" w:hAnsi="Times New Roman"/>
                <w:sz w:val="26"/>
                <w:szCs w:val="26"/>
              </w:rPr>
              <w:t>Saistības pret Eiropas Savienību</w:t>
            </w:r>
          </w:p>
        </w:tc>
        <w:tc>
          <w:tcPr>
            <w:tcW w:w="6345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B152A1" w:rsidRPr="006C434B" w:rsidRDefault="00B152A1" w:rsidP="00A541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434B">
              <w:rPr>
                <w:rFonts w:ascii="Times New Roman" w:hAnsi="Times New Roman"/>
                <w:sz w:val="26"/>
                <w:szCs w:val="26"/>
              </w:rPr>
              <w:t>Projekts šo jomu neskar.</w:t>
            </w:r>
          </w:p>
        </w:tc>
      </w:tr>
      <w:tr w:rsidR="00B152A1" w:rsidRPr="006C434B" w:rsidTr="00A16764">
        <w:tc>
          <w:tcPr>
            <w:tcW w:w="426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B152A1" w:rsidRPr="006C434B" w:rsidRDefault="00B152A1" w:rsidP="00A541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434B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301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B152A1" w:rsidRPr="006C434B" w:rsidRDefault="00B152A1" w:rsidP="00A541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434B">
              <w:rPr>
                <w:rFonts w:ascii="Times New Roman" w:hAnsi="Times New Roman"/>
                <w:sz w:val="26"/>
                <w:szCs w:val="26"/>
              </w:rPr>
              <w:t>Citas starptautiskās saistības</w:t>
            </w:r>
          </w:p>
        </w:tc>
        <w:tc>
          <w:tcPr>
            <w:tcW w:w="6345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B152A1" w:rsidRPr="006C434B" w:rsidRDefault="00CD54B8" w:rsidP="00DA56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434B">
              <w:rPr>
                <w:rFonts w:ascii="Times New Roman" w:hAnsi="Times New Roman"/>
                <w:sz w:val="26"/>
                <w:szCs w:val="26"/>
              </w:rPr>
              <w:t>Latvijas Republikas pārstāvju grupa tiek izveidota saskaņā ar Latvijas Republikas valdības un Lietuvas Republikas valdības līguma par Latvijas – Lietuvas valsts robežas uzturēšanu un pilnvaroto robežas pārstāvju darbību 13.pantu.</w:t>
            </w:r>
          </w:p>
        </w:tc>
      </w:tr>
      <w:tr w:rsidR="00B152A1" w:rsidRPr="006C434B" w:rsidTr="00A16764">
        <w:tc>
          <w:tcPr>
            <w:tcW w:w="426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B152A1" w:rsidRPr="006C434B" w:rsidRDefault="00B152A1" w:rsidP="00A541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434B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301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B152A1" w:rsidRPr="006C434B" w:rsidRDefault="00B152A1" w:rsidP="00A541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434B">
              <w:rPr>
                <w:rFonts w:ascii="Times New Roman" w:hAnsi="Times New Roman"/>
                <w:sz w:val="26"/>
                <w:szCs w:val="26"/>
              </w:rPr>
              <w:t>Cita informācija</w:t>
            </w:r>
          </w:p>
        </w:tc>
        <w:tc>
          <w:tcPr>
            <w:tcW w:w="6345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B152A1" w:rsidRPr="006C434B" w:rsidRDefault="00CD54B8" w:rsidP="00A541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434B">
              <w:rPr>
                <w:rFonts w:ascii="Times New Roman" w:hAnsi="Times New Roman"/>
                <w:sz w:val="26"/>
                <w:szCs w:val="26"/>
              </w:rPr>
              <w:t>Nav.</w:t>
            </w:r>
          </w:p>
        </w:tc>
      </w:tr>
    </w:tbl>
    <w:p w:rsidR="00B152A1" w:rsidRPr="006C434B" w:rsidRDefault="00B152A1" w:rsidP="00B152A1">
      <w:pPr>
        <w:pStyle w:val="naisf"/>
        <w:spacing w:before="0" w:beforeAutospacing="0" w:after="0" w:afterAutospacing="0"/>
        <w:jc w:val="center"/>
        <w:rPr>
          <w:i/>
          <w:sz w:val="26"/>
          <w:szCs w:val="26"/>
          <w:lang w:eastAsia="lv-LV"/>
        </w:rPr>
      </w:pPr>
    </w:p>
    <w:tbl>
      <w:tblPr>
        <w:tblW w:w="9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2"/>
      </w:tblGrid>
      <w:tr w:rsidR="00B152A1" w:rsidRPr="006C434B" w:rsidTr="00A54191">
        <w:trPr>
          <w:trHeight w:val="421"/>
          <w:jc w:val="center"/>
        </w:trPr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A1" w:rsidRPr="006C434B" w:rsidRDefault="00B152A1" w:rsidP="00A54191">
            <w:pPr>
              <w:pStyle w:val="naisnod"/>
              <w:spacing w:before="0" w:beforeAutospacing="0" w:after="0" w:afterAutospacing="0"/>
              <w:ind w:right="57"/>
              <w:jc w:val="center"/>
              <w:rPr>
                <w:sz w:val="26"/>
                <w:szCs w:val="26"/>
              </w:rPr>
            </w:pPr>
            <w:r w:rsidRPr="006C434B">
              <w:rPr>
                <w:b/>
                <w:sz w:val="26"/>
                <w:szCs w:val="26"/>
              </w:rPr>
              <w:t>VI. Sabiedrības līdzdalība un komunikācijas aktivitātes</w:t>
            </w:r>
          </w:p>
        </w:tc>
      </w:tr>
      <w:tr w:rsidR="00DA56AF" w:rsidRPr="006C434B" w:rsidTr="00A54191">
        <w:trPr>
          <w:trHeight w:val="421"/>
          <w:jc w:val="center"/>
        </w:trPr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AF" w:rsidRPr="006C434B" w:rsidRDefault="00DA56AF" w:rsidP="00A54191">
            <w:pPr>
              <w:pStyle w:val="naisnod"/>
              <w:spacing w:before="0" w:beforeAutospacing="0" w:after="0" w:afterAutospacing="0"/>
              <w:ind w:right="57"/>
              <w:jc w:val="center"/>
              <w:rPr>
                <w:sz w:val="26"/>
                <w:szCs w:val="26"/>
              </w:rPr>
            </w:pPr>
            <w:r w:rsidRPr="006C434B">
              <w:rPr>
                <w:bCs/>
                <w:sz w:val="26"/>
                <w:szCs w:val="26"/>
              </w:rPr>
              <w:t>Projekts šo jomu neskar</w:t>
            </w:r>
          </w:p>
        </w:tc>
      </w:tr>
    </w:tbl>
    <w:p w:rsidR="00B152A1" w:rsidRPr="006C434B" w:rsidRDefault="00B152A1" w:rsidP="00B152A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3784"/>
        <w:gridCol w:w="5142"/>
      </w:tblGrid>
      <w:tr w:rsidR="00B152A1" w:rsidRPr="006C434B" w:rsidTr="00A54191">
        <w:trPr>
          <w:trHeight w:val="381"/>
          <w:jc w:val="center"/>
        </w:trPr>
        <w:tc>
          <w:tcPr>
            <w:tcW w:w="9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A1" w:rsidRPr="006C434B" w:rsidRDefault="00B152A1" w:rsidP="00A54191">
            <w:pPr>
              <w:pStyle w:val="naisnod"/>
              <w:spacing w:before="0" w:beforeAutospacing="0" w:after="0" w:afterAutospacing="0"/>
              <w:ind w:right="57"/>
              <w:jc w:val="center"/>
              <w:rPr>
                <w:sz w:val="26"/>
                <w:szCs w:val="26"/>
              </w:rPr>
            </w:pPr>
            <w:r w:rsidRPr="006C434B">
              <w:rPr>
                <w:b/>
                <w:sz w:val="26"/>
                <w:szCs w:val="26"/>
              </w:rPr>
              <w:t>VII. Tiesību akta projekta izpildes nodrošināšana un tās ietekme uz institūcijām</w:t>
            </w:r>
          </w:p>
        </w:tc>
      </w:tr>
      <w:tr w:rsidR="00B152A1" w:rsidRPr="006C434B" w:rsidTr="00A54191">
        <w:trPr>
          <w:trHeight w:val="42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A1" w:rsidRPr="006C434B" w:rsidRDefault="00B152A1" w:rsidP="00A54191">
            <w:pPr>
              <w:pStyle w:val="naisnod"/>
              <w:spacing w:before="0" w:beforeAutospacing="0" w:after="0" w:afterAutospacing="0"/>
              <w:ind w:right="57"/>
              <w:jc w:val="both"/>
              <w:rPr>
                <w:sz w:val="26"/>
                <w:szCs w:val="26"/>
              </w:rPr>
            </w:pPr>
            <w:r w:rsidRPr="006C434B">
              <w:rPr>
                <w:sz w:val="26"/>
                <w:szCs w:val="26"/>
              </w:rPr>
              <w:t>1.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A1" w:rsidRPr="006C434B" w:rsidRDefault="00B152A1" w:rsidP="00A54191">
            <w:pPr>
              <w:pStyle w:val="naisf"/>
              <w:spacing w:before="0" w:beforeAutospacing="0" w:after="0" w:afterAutospacing="0"/>
              <w:ind w:right="57"/>
              <w:rPr>
                <w:sz w:val="26"/>
                <w:szCs w:val="26"/>
              </w:rPr>
            </w:pPr>
            <w:r w:rsidRPr="006C434B">
              <w:rPr>
                <w:sz w:val="26"/>
                <w:szCs w:val="26"/>
              </w:rPr>
              <w:t>Projekta izpildē iesaistītās institūcijas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A1" w:rsidRPr="006C434B" w:rsidRDefault="00B152A1" w:rsidP="00DA56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1" w:name="p69"/>
            <w:bookmarkStart w:id="2" w:name="p68"/>
            <w:bookmarkStart w:id="3" w:name="p67"/>
            <w:bookmarkStart w:id="4" w:name="p66"/>
            <w:bookmarkEnd w:id="1"/>
            <w:bookmarkEnd w:id="2"/>
            <w:bookmarkEnd w:id="3"/>
            <w:bookmarkEnd w:id="4"/>
            <w:r w:rsidRPr="006C434B">
              <w:rPr>
                <w:rFonts w:ascii="Times New Roman" w:hAnsi="Times New Roman"/>
                <w:sz w:val="26"/>
                <w:szCs w:val="26"/>
              </w:rPr>
              <w:t>Valsts robežsardze, Nodrošinājuma valsts aģentūra, Ārlietu ministrija</w:t>
            </w:r>
            <w:r w:rsidR="00DA56AF" w:rsidRPr="006C434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6C434B">
              <w:rPr>
                <w:rFonts w:ascii="Times New Roman" w:hAnsi="Times New Roman"/>
                <w:sz w:val="26"/>
                <w:szCs w:val="26"/>
              </w:rPr>
              <w:t>Latvijas Ģeotelpiskās informācijas aģentūra.</w:t>
            </w:r>
          </w:p>
        </w:tc>
      </w:tr>
      <w:tr w:rsidR="00B152A1" w:rsidRPr="006C434B" w:rsidTr="00A54191">
        <w:trPr>
          <w:trHeight w:val="46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A1" w:rsidRPr="006C434B" w:rsidRDefault="00B152A1" w:rsidP="00A54191">
            <w:pPr>
              <w:pStyle w:val="naisnod"/>
              <w:spacing w:before="0" w:beforeAutospacing="0" w:after="0" w:afterAutospacing="0"/>
              <w:ind w:right="57"/>
              <w:jc w:val="both"/>
              <w:rPr>
                <w:sz w:val="26"/>
                <w:szCs w:val="26"/>
              </w:rPr>
            </w:pPr>
            <w:r w:rsidRPr="006C434B">
              <w:rPr>
                <w:sz w:val="26"/>
                <w:szCs w:val="26"/>
              </w:rPr>
              <w:t>2.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A1" w:rsidRPr="006C434B" w:rsidRDefault="00B152A1" w:rsidP="00A54191">
            <w:pPr>
              <w:pStyle w:val="naisf"/>
              <w:spacing w:before="0" w:beforeAutospacing="0" w:after="0" w:afterAutospacing="0"/>
              <w:ind w:right="57"/>
              <w:rPr>
                <w:sz w:val="26"/>
                <w:szCs w:val="26"/>
                <w:lang w:eastAsia="lv-LV"/>
              </w:rPr>
            </w:pPr>
            <w:r w:rsidRPr="006C434B">
              <w:rPr>
                <w:sz w:val="26"/>
                <w:szCs w:val="26"/>
              </w:rPr>
              <w:t>Projekta izpildes ietekme uz pār</w:t>
            </w:r>
            <w:r w:rsidRPr="006C434B">
              <w:rPr>
                <w:sz w:val="26"/>
                <w:szCs w:val="26"/>
              </w:rPr>
              <w:softHyphen/>
              <w:t>valdes funkcijām un institucionālo struktūru.</w:t>
            </w:r>
          </w:p>
          <w:p w:rsidR="00B152A1" w:rsidRPr="006C434B" w:rsidRDefault="00B152A1" w:rsidP="00A54191">
            <w:pPr>
              <w:pStyle w:val="naisf"/>
              <w:spacing w:before="0" w:beforeAutospacing="0" w:after="0" w:afterAutospacing="0"/>
              <w:ind w:right="57"/>
              <w:rPr>
                <w:sz w:val="26"/>
                <w:szCs w:val="26"/>
              </w:rPr>
            </w:pPr>
            <w:r w:rsidRPr="006C434B">
              <w:rPr>
                <w:sz w:val="26"/>
                <w:szCs w:val="26"/>
              </w:rPr>
              <w:t>Jaunu institūciju izveide, esošu institūciju likvidācija vai reorga</w:t>
            </w:r>
            <w:r w:rsidRPr="006C434B">
              <w:rPr>
                <w:sz w:val="26"/>
                <w:szCs w:val="26"/>
              </w:rPr>
              <w:softHyphen/>
              <w:t>nizācija, to ietekme uz institūcijas cilvēkresursiem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A1" w:rsidRPr="006C434B" w:rsidRDefault="00B152A1" w:rsidP="00A541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434B">
              <w:rPr>
                <w:rFonts w:ascii="Times New Roman" w:hAnsi="Times New Roman"/>
                <w:sz w:val="26"/>
                <w:szCs w:val="26"/>
              </w:rPr>
              <w:t>Projekta izpildes rezultātā nav paredzēta esošu institūciju likvidācija vai reorganizācija. Iestāžu institucionālā struktūra netiek ietekmēta.</w:t>
            </w:r>
          </w:p>
        </w:tc>
      </w:tr>
      <w:tr w:rsidR="00B152A1" w:rsidRPr="006C434B" w:rsidTr="00A54191">
        <w:trPr>
          <w:trHeight w:val="26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A1" w:rsidRPr="006C434B" w:rsidRDefault="00B152A1" w:rsidP="00A54191">
            <w:pPr>
              <w:pStyle w:val="naisnod"/>
              <w:spacing w:before="0" w:beforeAutospacing="0" w:after="0" w:afterAutospacing="0"/>
              <w:ind w:right="57"/>
              <w:jc w:val="both"/>
              <w:rPr>
                <w:sz w:val="26"/>
                <w:szCs w:val="26"/>
              </w:rPr>
            </w:pPr>
            <w:r w:rsidRPr="006C434B">
              <w:rPr>
                <w:sz w:val="26"/>
                <w:szCs w:val="26"/>
              </w:rPr>
              <w:t>3.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A1" w:rsidRPr="006C434B" w:rsidRDefault="00B152A1" w:rsidP="00A54191">
            <w:pPr>
              <w:pStyle w:val="naisf"/>
              <w:spacing w:before="0" w:beforeAutospacing="0" w:after="0" w:afterAutospacing="0"/>
              <w:ind w:right="57"/>
              <w:rPr>
                <w:sz w:val="26"/>
                <w:szCs w:val="26"/>
              </w:rPr>
            </w:pPr>
            <w:r w:rsidRPr="006C434B">
              <w:rPr>
                <w:sz w:val="26"/>
                <w:szCs w:val="26"/>
              </w:rPr>
              <w:t>Cita informācija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A1" w:rsidRPr="006C434B" w:rsidRDefault="00B152A1" w:rsidP="00A5419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6C434B">
              <w:rPr>
                <w:rFonts w:ascii="Times New Roman" w:hAnsi="Times New Roman"/>
                <w:sz w:val="26"/>
                <w:szCs w:val="26"/>
              </w:rPr>
              <w:t>Projekta izpildi iesaistītās institūcijas nodrošinās piešķirto valsts budžeta līdzekļu ietvaros.</w:t>
            </w:r>
          </w:p>
        </w:tc>
      </w:tr>
    </w:tbl>
    <w:p w:rsidR="00DA56AF" w:rsidRPr="006C434B" w:rsidRDefault="00DA56AF" w:rsidP="00B152A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56AF" w:rsidRPr="006C434B" w:rsidRDefault="00DA56AF" w:rsidP="00B152A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52A1" w:rsidRPr="006C434B" w:rsidRDefault="00B152A1" w:rsidP="00B152A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434B">
        <w:rPr>
          <w:rFonts w:ascii="Times New Roman" w:hAnsi="Times New Roman"/>
          <w:sz w:val="26"/>
          <w:szCs w:val="26"/>
        </w:rPr>
        <w:t>Iekšlietu ministrs</w:t>
      </w:r>
      <w:r w:rsidRPr="006C434B">
        <w:rPr>
          <w:rFonts w:ascii="Times New Roman" w:hAnsi="Times New Roman"/>
          <w:sz w:val="26"/>
          <w:szCs w:val="26"/>
        </w:rPr>
        <w:tab/>
      </w:r>
      <w:r w:rsidRPr="006C434B">
        <w:rPr>
          <w:rFonts w:ascii="Times New Roman" w:hAnsi="Times New Roman"/>
          <w:sz w:val="26"/>
          <w:szCs w:val="26"/>
        </w:rPr>
        <w:tab/>
      </w:r>
      <w:r w:rsidRPr="006C434B">
        <w:rPr>
          <w:rFonts w:ascii="Times New Roman" w:hAnsi="Times New Roman"/>
          <w:sz w:val="26"/>
          <w:szCs w:val="26"/>
        </w:rPr>
        <w:tab/>
      </w:r>
      <w:r w:rsidRPr="006C434B">
        <w:rPr>
          <w:rFonts w:ascii="Times New Roman" w:hAnsi="Times New Roman"/>
          <w:sz w:val="26"/>
          <w:szCs w:val="26"/>
        </w:rPr>
        <w:tab/>
      </w:r>
      <w:r w:rsidRPr="006C434B">
        <w:rPr>
          <w:rFonts w:ascii="Times New Roman" w:hAnsi="Times New Roman"/>
          <w:sz w:val="26"/>
          <w:szCs w:val="26"/>
        </w:rPr>
        <w:tab/>
      </w:r>
      <w:r w:rsidRPr="006C434B">
        <w:rPr>
          <w:rFonts w:ascii="Times New Roman" w:hAnsi="Times New Roman"/>
          <w:sz w:val="26"/>
          <w:szCs w:val="26"/>
        </w:rPr>
        <w:tab/>
      </w:r>
      <w:r w:rsidRPr="006C434B">
        <w:rPr>
          <w:rFonts w:ascii="Times New Roman" w:hAnsi="Times New Roman"/>
          <w:sz w:val="26"/>
          <w:szCs w:val="26"/>
        </w:rPr>
        <w:tab/>
      </w:r>
      <w:r w:rsidR="006C434B">
        <w:rPr>
          <w:rFonts w:ascii="Times New Roman" w:hAnsi="Times New Roman"/>
          <w:sz w:val="26"/>
          <w:szCs w:val="26"/>
        </w:rPr>
        <w:tab/>
      </w:r>
      <w:r w:rsidRPr="006C434B">
        <w:rPr>
          <w:rFonts w:ascii="Times New Roman" w:hAnsi="Times New Roman"/>
          <w:sz w:val="26"/>
          <w:szCs w:val="26"/>
        </w:rPr>
        <w:tab/>
      </w:r>
      <w:proofErr w:type="spellStart"/>
      <w:r w:rsidRPr="006C434B">
        <w:rPr>
          <w:rFonts w:ascii="Times New Roman" w:hAnsi="Times New Roman"/>
          <w:sz w:val="26"/>
          <w:szCs w:val="26"/>
        </w:rPr>
        <w:t>S.Ģirģens</w:t>
      </w:r>
      <w:proofErr w:type="spellEnd"/>
    </w:p>
    <w:p w:rsidR="00B152A1" w:rsidRPr="006C434B" w:rsidRDefault="006C434B" w:rsidP="00B152A1">
      <w:pPr>
        <w:pStyle w:val="nais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152A1" w:rsidRPr="006C434B" w:rsidRDefault="00B152A1" w:rsidP="00B152A1">
      <w:pPr>
        <w:pStyle w:val="naisf"/>
        <w:spacing w:before="0" w:beforeAutospacing="0" w:after="0" w:afterAutospacing="0"/>
        <w:rPr>
          <w:sz w:val="26"/>
          <w:szCs w:val="26"/>
        </w:rPr>
      </w:pPr>
    </w:p>
    <w:p w:rsidR="00DA56AF" w:rsidRPr="006C434B" w:rsidRDefault="00B152A1" w:rsidP="006C434B">
      <w:pPr>
        <w:pStyle w:val="naisf"/>
        <w:spacing w:before="0" w:beforeAutospacing="0" w:after="0" w:afterAutospacing="0"/>
        <w:rPr>
          <w:sz w:val="26"/>
          <w:szCs w:val="26"/>
        </w:rPr>
      </w:pPr>
      <w:r w:rsidRPr="006C434B">
        <w:rPr>
          <w:sz w:val="26"/>
          <w:szCs w:val="26"/>
        </w:rPr>
        <w:t>Vīza: Valsts sekretārs</w:t>
      </w:r>
      <w:r w:rsidRPr="006C434B">
        <w:rPr>
          <w:sz w:val="26"/>
          <w:szCs w:val="26"/>
        </w:rPr>
        <w:tab/>
      </w:r>
      <w:r w:rsidRPr="006C434B">
        <w:rPr>
          <w:sz w:val="26"/>
          <w:szCs w:val="26"/>
        </w:rPr>
        <w:tab/>
      </w:r>
      <w:r w:rsidRPr="006C434B">
        <w:rPr>
          <w:sz w:val="26"/>
          <w:szCs w:val="26"/>
        </w:rPr>
        <w:tab/>
      </w:r>
      <w:r w:rsidRPr="006C434B">
        <w:rPr>
          <w:sz w:val="26"/>
          <w:szCs w:val="26"/>
        </w:rPr>
        <w:tab/>
      </w:r>
      <w:r w:rsidRPr="006C434B">
        <w:rPr>
          <w:sz w:val="26"/>
          <w:szCs w:val="26"/>
        </w:rPr>
        <w:tab/>
      </w:r>
      <w:r w:rsidRPr="006C434B">
        <w:rPr>
          <w:sz w:val="26"/>
          <w:szCs w:val="26"/>
        </w:rPr>
        <w:tab/>
        <w:t xml:space="preserve">  </w:t>
      </w:r>
      <w:r w:rsidR="00DA56AF" w:rsidRPr="006C434B">
        <w:rPr>
          <w:sz w:val="26"/>
          <w:szCs w:val="26"/>
        </w:rPr>
        <w:t xml:space="preserve">           </w:t>
      </w:r>
      <w:r w:rsidRPr="006C434B">
        <w:rPr>
          <w:sz w:val="26"/>
          <w:szCs w:val="26"/>
        </w:rPr>
        <w:tab/>
      </w:r>
      <w:proofErr w:type="spellStart"/>
      <w:r w:rsidRPr="006C434B">
        <w:rPr>
          <w:sz w:val="26"/>
          <w:szCs w:val="26"/>
        </w:rPr>
        <w:t>D.Trofimovs</w:t>
      </w:r>
      <w:proofErr w:type="spellEnd"/>
    </w:p>
    <w:p w:rsidR="00DA56AF" w:rsidRPr="003D7C82" w:rsidRDefault="00DA56AF" w:rsidP="00B152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52A1" w:rsidRPr="003D7C82" w:rsidRDefault="00B152A1" w:rsidP="00B152A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3D7C82">
        <w:rPr>
          <w:rFonts w:ascii="Times New Roman" w:hAnsi="Times New Roman"/>
          <w:sz w:val="24"/>
          <w:szCs w:val="24"/>
        </w:rPr>
        <w:tab/>
      </w:r>
    </w:p>
    <w:p w:rsidR="00DA56AF" w:rsidRDefault="00DA56AF" w:rsidP="00B152A1">
      <w:pPr>
        <w:tabs>
          <w:tab w:val="left" w:pos="397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K.Zagoskina 67219533</w:t>
      </w:r>
    </w:p>
    <w:p w:rsidR="000D1D83" w:rsidRPr="00DA56AF" w:rsidRDefault="00B152A1" w:rsidP="00DA56AF">
      <w:pPr>
        <w:tabs>
          <w:tab w:val="left" w:pos="397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A56AF">
        <w:rPr>
          <w:rFonts w:ascii="Times New Roman" w:hAnsi="Times New Roman"/>
          <w:sz w:val="20"/>
          <w:szCs w:val="20"/>
        </w:rPr>
        <w:t>karina.zagoskina@iem.gov.lv</w:t>
      </w:r>
    </w:p>
    <w:sectPr w:rsidR="000D1D83" w:rsidRPr="00DA56AF" w:rsidSect="00F81FA4">
      <w:headerReference w:type="default" r:id="rId6"/>
      <w:footerReference w:type="default" r:id="rId7"/>
      <w:footerReference w:type="first" r:id="rId8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2CE" w:rsidRDefault="00D752CE" w:rsidP="00DA56AF">
      <w:pPr>
        <w:spacing w:after="0" w:line="240" w:lineRule="auto"/>
      </w:pPr>
      <w:r>
        <w:separator/>
      </w:r>
    </w:p>
  </w:endnote>
  <w:endnote w:type="continuationSeparator" w:id="0">
    <w:p w:rsidR="00D752CE" w:rsidRDefault="00D752CE" w:rsidP="00DA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2DA" w:rsidRPr="00116D54" w:rsidRDefault="00823E1E" w:rsidP="002E32DA">
    <w:pPr>
      <w:pStyle w:val="Footer"/>
      <w:jc w:val="both"/>
      <w:rPr>
        <w:bCs/>
        <w:sz w:val="20"/>
        <w:szCs w:val="20"/>
      </w:rPr>
    </w:pPr>
    <w:r>
      <w:rPr>
        <w:sz w:val="20"/>
        <w:szCs w:val="20"/>
      </w:rPr>
      <w:t>IEMAnot_1504</w:t>
    </w:r>
    <w:r w:rsidR="00DA56AF">
      <w:rPr>
        <w:sz w:val="20"/>
        <w:szCs w:val="20"/>
      </w:rPr>
      <w:t>2020_komisija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C4E" w:rsidRPr="00DA56AF" w:rsidRDefault="00823E1E" w:rsidP="00DA56AF">
    <w:pPr>
      <w:pStyle w:val="Footer"/>
      <w:jc w:val="both"/>
      <w:rPr>
        <w:bCs/>
        <w:sz w:val="20"/>
        <w:szCs w:val="20"/>
      </w:rPr>
    </w:pPr>
    <w:r>
      <w:rPr>
        <w:sz w:val="20"/>
        <w:szCs w:val="20"/>
      </w:rPr>
      <w:t>IEMAnot_1504</w:t>
    </w:r>
    <w:r w:rsidR="00DA56AF">
      <w:rPr>
        <w:sz w:val="20"/>
        <w:szCs w:val="20"/>
      </w:rPr>
      <w:t>2020_komisija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2CE" w:rsidRDefault="00D752CE" w:rsidP="00DA56AF">
      <w:pPr>
        <w:spacing w:after="0" w:line="240" w:lineRule="auto"/>
      </w:pPr>
      <w:r>
        <w:separator/>
      </w:r>
    </w:p>
  </w:footnote>
  <w:footnote w:type="continuationSeparator" w:id="0">
    <w:p w:rsidR="00D752CE" w:rsidRDefault="00D752CE" w:rsidP="00DA5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F3E" w:rsidRDefault="000A68D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3379">
      <w:rPr>
        <w:noProof/>
      </w:rPr>
      <w:t>3</w:t>
    </w:r>
    <w:r>
      <w:rPr>
        <w:noProof/>
      </w:rPr>
      <w:fldChar w:fldCharType="end"/>
    </w:r>
  </w:p>
  <w:p w:rsidR="00AC4F3E" w:rsidRDefault="000533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A1"/>
    <w:rsid w:val="00053379"/>
    <w:rsid w:val="000A68D6"/>
    <w:rsid w:val="000D1D83"/>
    <w:rsid w:val="003D7C82"/>
    <w:rsid w:val="006356EA"/>
    <w:rsid w:val="006C434B"/>
    <w:rsid w:val="00823E1E"/>
    <w:rsid w:val="00A16764"/>
    <w:rsid w:val="00B152A1"/>
    <w:rsid w:val="00BE620A"/>
    <w:rsid w:val="00CD54B8"/>
    <w:rsid w:val="00D752CE"/>
    <w:rsid w:val="00DA56AF"/>
    <w:rsid w:val="00DC61B3"/>
    <w:rsid w:val="00DD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6F11"/>
  <w15:chartTrackingRefBased/>
  <w15:docId w15:val="{1C3B5E87-D667-44B6-A503-533CFDCA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2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152A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152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B152A1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BodyText">
    <w:name w:val="Body Text"/>
    <w:basedOn w:val="Normal"/>
    <w:link w:val="BodyTextChar"/>
    <w:unhideWhenUsed/>
    <w:rsid w:val="00B152A1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B152A1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NoSpacing">
    <w:name w:val="No Spacing"/>
    <w:qFormat/>
    <w:rsid w:val="00B152A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aisfChar">
    <w:name w:val="naisf Char"/>
    <w:link w:val="naisf"/>
    <w:locked/>
    <w:rsid w:val="00B152A1"/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Normal"/>
    <w:link w:val="naisfChar"/>
    <w:rsid w:val="00B152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isnod">
    <w:name w:val="naisnod"/>
    <w:basedOn w:val="Normal"/>
    <w:rsid w:val="00B152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152A1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152A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B152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3651</Words>
  <Characters>2082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Zagoskina</dc:creator>
  <cp:keywords/>
  <dc:description/>
  <cp:lastModifiedBy>Karina Zagoskina</cp:lastModifiedBy>
  <cp:revision>4</cp:revision>
  <dcterms:created xsi:type="dcterms:W3CDTF">2020-04-30T11:36:00Z</dcterms:created>
  <dcterms:modified xsi:type="dcterms:W3CDTF">2020-04-30T11:36:00Z</dcterms:modified>
</cp:coreProperties>
</file>